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411" w:rsidRPr="00322FEC" w:rsidRDefault="00D20411" w:rsidP="00B34B65">
      <w:pPr>
        <w:spacing w:before="240"/>
        <w:rPr>
          <w:rFonts w:eastAsia="Batang"/>
          <w:b/>
          <w:bCs/>
          <w:lang w:val="es-ES_tradnl"/>
        </w:rPr>
      </w:pPr>
      <w:r w:rsidRPr="00322FEC">
        <w:rPr>
          <w:rFonts w:eastAsia="Batang"/>
          <w:b/>
          <w:bCs/>
          <w:lang w:val="es-ES_tradnl"/>
        </w:rPr>
        <w:t>Comoras (indicativo de país +269)</w:t>
      </w:r>
    </w:p>
    <w:p w:rsidR="00D20411" w:rsidRPr="00322FEC" w:rsidRDefault="00D20411" w:rsidP="00D20411">
      <w:pPr>
        <w:spacing w:before="0"/>
        <w:rPr>
          <w:rFonts w:eastAsia="Batang"/>
          <w:lang w:val="es-ES_tradnl"/>
        </w:rPr>
      </w:pPr>
      <w:r w:rsidRPr="00322FEC">
        <w:rPr>
          <w:rFonts w:eastAsia="Batang"/>
          <w:lang w:val="es-ES_tradnl"/>
        </w:rPr>
        <w:t>Comunicación del 29.VI</w:t>
      </w:r>
      <w:r>
        <w:rPr>
          <w:rFonts w:eastAsia="Batang"/>
          <w:lang w:val="es-ES_tradnl"/>
        </w:rPr>
        <w:t>I</w:t>
      </w:r>
      <w:r w:rsidRPr="00322FEC">
        <w:rPr>
          <w:rFonts w:eastAsia="Batang"/>
          <w:lang w:val="es-ES_tradnl"/>
        </w:rPr>
        <w:t>I.2016:</w:t>
      </w:r>
    </w:p>
    <w:p w:rsidR="00D20411" w:rsidRPr="0039693E" w:rsidRDefault="00D20411" w:rsidP="00B34B65">
      <w:pPr>
        <w:rPr>
          <w:rFonts w:eastAsia="Batang"/>
          <w:lang w:val="fr-CH"/>
        </w:rPr>
      </w:pPr>
      <w:r w:rsidRPr="0039693E">
        <w:rPr>
          <w:rFonts w:eastAsia="Batang"/>
          <w:lang w:val="fr-CH"/>
        </w:rPr>
        <w:t xml:space="preserve">La Autorité Nationale de Régulation des Technologies de l'Information et de la Communication (ANRTIC), Moroni, </w:t>
      </w:r>
      <w:proofErr w:type="spellStart"/>
      <w:r w:rsidRPr="0039693E">
        <w:rPr>
          <w:rFonts w:eastAsia="Batang"/>
          <w:lang w:val="fr-CH"/>
        </w:rPr>
        <w:t>anuncia</w:t>
      </w:r>
      <w:proofErr w:type="spellEnd"/>
      <w:r w:rsidRPr="0039693E">
        <w:rPr>
          <w:rFonts w:eastAsia="Batang"/>
          <w:lang w:val="fr-CH"/>
        </w:rPr>
        <w:t xml:space="preserve"> el </w:t>
      </w:r>
      <w:proofErr w:type="spellStart"/>
      <w:r w:rsidRPr="0039693E">
        <w:rPr>
          <w:rFonts w:eastAsia="Batang"/>
          <w:lang w:val="fr-CH"/>
        </w:rPr>
        <w:t>nuevo</w:t>
      </w:r>
      <w:proofErr w:type="spellEnd"/>
      <w:r w:rsidRPr="0039693E">
        <w:rPr>
          <w:rFonts w:eastAsia="Batang"/>
          <w:lang w:val="fr-CH"/>
        </w:rPr>
        <w:t xml:space="preserve"> plan de </w:t>
      </w:r>
      <w:proofErr w:type="spellStart"/>
      <w:proofErr w:type="gramStart"/>
      <w:r w:rsidRPr="0039693E">
        <w:rPr>
          <w:rFonts w:eastAsia="Batang"/>
          <w:lang w:val="fr-CH"/>
        </w:rPr>
        <w:t>numeración</w:t>
      </w:r>
      <w:proofErr w:type="spellEnd"/>
      <w:r w:rsidRPr="0039693E">
        <w:rPr>
          <w:rFonts w:eastAsia="Batang"/>
          <w:lang w:val="fr-CH"/>
        </w:rPr>
        <w:t xml:space="preserve">  de</w:t>
      </w:r>
      <w:proofErr w:type="gramEnd"/>
      <w:r w:rsidRPr="0039693E">
        <w:rPr>
          <w:rFonts w:eastAsia="Batang"/>
          <w:lang w:val="fr-CH"/>
        </w:rPr>
        <w:t xml:space="preserve"> la </w:t>
      </w:r>
      <w:proofErr w:type="spellStart"/>
      <w:r w:rsidRPr="0039693E">
        <w:rPr>
          <w:rFonts w:eastAsia="Batang"/>
          <w:lang w:val="fr-CH"/>
        </w:rPr>
        <w:t>Unión</w:t>
      </w:r>
      <w:proofErr w:type="spellEnd"/>
      <w:r w:rsidRPr="0039693E">
        <w:rPr>
          <w:rFonts w:eastAsia="Batang"/>
          <w:lang w:val="fr-CH"/>
        </w:rPr>
        <w:t xml:space="preserve"> de </w:t>
      </w:r>
      <w:proofErr w:type="spellStart"/>
      <w:r w:rsidRPr="0039693E">
        <w:rPr>
          <w:rFonts w:eastAsia="Batang"/>
          <w:lang w:val="fr-CH"/>
        </w:rPr>
        <w:t>Comoras</w:t>
      </w:r>
      <w:proofErr w:type="spellEnd"/>
      <w:r w:rsidRPr="0039693E">
        <w:rPr>
          <w:rFonts w:eastAsia="Batang"/>
          <w:lang w:val="fr-CH"/>
        </w:rPr>
        <w:t>.</w:t>
      </w:r>
    </w:p>
    <w:p w:rsidR="00D20411" w:rsidRPr="00322FEC" w:rsidRDefault="00D20411" w:rsidP="00D20411">
      <w:pPr>
        <w:jc w:val="center"/>
        <w:rPr>
          <w:bCs/>
          <w:lang w:val="es-ES_tradnl"/>
        </w:rPr>
      </w:pPr>
      <w:r w:rsidRPr="00322FEC">
        <w:rPr>
          <w:lang w:val="es-ES_tradnl"/>
        </w:rPr>
        <w:t>Presentación de la numeración nacional E.164 para el indicativo de país +</w:t>
      </w:r>
      <w:r w:rsidRPr="00322FEC">
        <w:rPr>
          <w:bCs/>
          <w:lang w:val="es-ES_tradnl"/>
        </w:rPr>
        <w:t>269</w:t>
      </w:r>
    </w:p>
    <w:p w:rsidR="00D20411" w:rsidRPr="00322FEC" w:rsidRDefault="00D20411" w:rsidP="00D20411">
      <w:pPr>
        <w:rPr>
          <w:rFonts w:eastAsia="Batang"/>
          <w:lang w:val="es-ES_tradnl"/>
        </w:rPr>
      </w:pPr>
      <w:r w:rsidRPr="00322FEC">
        <w:rPr>
          <w:rFonts w:eastAsia="Batang"/>
          <w:lang w:val="es-ES_tradnl"/>
        </w:rPr>
        <w:t>a)</w:t>
      </w:r>
      <w:r w:rsidRPr="00322FEC">
        <w:rPr>
          <w:rFonts w:eastAsia="Batang"/>
          <w:lang w:val="es-ES_tradnl"/>
        </w:rPr>
        <w:tab/>
        <w:t>Generalidades:</w:t>
      </w:r>
    </w:p>
    <w:p w:rsidR="00D20411" w:rsidRPr="00322FEC" w:rsidRDefault="00D20411" w:rsidP="00D20411">
      <w:pPr>
        <w:spacing w:before="0"/>
        <w:rPr>
          <w:rFonts w:eastAsia="Batang"/>
          <w:lang w:val="es-ES_tradnl"/>
        </w:rPr>
      </w:pPr>
      <w:r w:rsidRPr="00322FEC">
        <w:rPr>
          <w:rFonts w:eastAsia="Batang"/>
          <w:lang w:val="es-ES_tradnl"/>
        </w:rPr>
        <w:tab/>
        <w:t>Longitud mínima de los números (excluido el indicativo de país):</w:t>
      </w:r>
      <w:r w:rsidRPr="00322FEC">
        <w:rPr>
          <w:rFonts w:eastAsia="Batang"/>
          <w:lang w:val="es-ES_tradnl"/>
        </w:rPr>
        <w:tab/>
        <w:t>7 cifras</w:t>
      </w:r>
    </w:p>
    <w:p w:rsidR="00D20411" w:rsidRPr="00322FEC" w:rsidRDefault="00D20411" w:rsidP="00D20411">
      <w:pPr>
        <w:spacing w:before="0"/>
        <w:rPr>
          <w:rFonts w:eastAsia="Batang"/>
          <w:lang w:val="es-ES_tradnl"/>
        </w:rPr>
      </w:pPr>
      <w:r w:rsidRPr="00322FEC">
        <w:rPr>
          <w:rFonts w:eastAsia="Batang"/>
          <w:lang w:val="es-ES_tradnl"/>
        </w:rPr>
        <w:tab/>
        <w:t>Longitud máxima de los números (excluido el indicativo de país):</w:t>
      </w:r>
      <w:r w:rsidRPr="00322FEC">
        <w:rPr>
          <w:rFonts w:eastAsia="Batang"/>
          <w:lang w:val="es-ES_tradnl"/>
        </w:rPr>
        <w:tab/>
        <w:t>7 cifras</w:t>
      </w:r>
    </w:p>
    <w:p w:rsidR="00D20411" w:rsidRPr="00743489" w:rsidRDefault="00D20411" w:rsidP="00D20411">
      <w:pPr>
        <w:spacing w:after="240"/>
        <w:rPr>
          <w:rFonts w:eastAsia="Batang"/>
          <w:lang w:val="es-ES_tradnl"/>
        </w:rPr>
      </w:pPr>
      <w:r w:rsidRPr="00743489">
        <w:rPr>
          <w:lang w:val="es-ES_tradnl"/>
        </w:rPr>
        <w:t>b)</w:t>
      </w:r>
      <w:r w:rsidRPr="00743489">
        <w:rPr>
          <w:lang w:val="es-ES_tradnl"/>
        </w:rPr>
        <w:tab/>
        <w:t>Esquema de numeración detallado</w:t>
      </w:r>
      <w:r>
        <w:rPr>
          <w:lang w:val="es-ES_tradnl"/>
        </w:rPr>
        <w:t>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7"/>
        <w:gridCol w:w="924"/>
        <w:gridCol w:w="1176"/>
        <w:gridCol w:w="2757"/>
        <w:gridCol w:w="2642"/>
      </w:tblGrid>
      <w:tr w:rsidR="00D20411" w:rsidRPr="00743489" w:rsidTr="00600144">
        <w:trPr>
          <w:tblHeader/>
          <w:jc w:val="center"/>
        </w:trPr>
        <w:tc>
          <w:tcPr>
            <w:tcW w:w="1857" w:type="dxa"/>
            <w:tcBorders>
              <w:bottom w:val="nil"/>
            </w:tcBorders>
            <w:vAlign w:val="center"/>
          </w:tcPr>
          <w:p w:rsidR="00D20411" w:rsidRPr="00322FEC" w:rsidRDefault="00D20411" w:rsidP="00600144">
            <w:pPr>
              <w:keepNext/>
              <w:spacing w:before="0" w:after="40"/>
              <w:jc w:val="center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bCs/>
                <w:i/>
                <w:sz w:val="18"/>
                <w:szCs w:val="18"/>
                <w:lang w:val="es-ES_tradnl"/>
              </w:rPr>
              <w:t>(1)</w:t>
            </w:r>
          </w:p>
        </w:tc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:rsidR="00D20411" w:rsidRPr="00322FEC" w:rsidRDefault="00D20411" w:rsidP="00600144">
            <w:pPr>
              <w:keepNext/>
              <w:spacing w:before="0" w:after="40"/>
              <w:jc w:val="center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bCs/>
                <w:i/>
                <w:sz w:val="18"/>
                <w:szCs w:val="18"/>
                <w:lang w:val="es-ES_tradnl"/>
              </w:rPr>
              <w:t>(2)</w:t>
            </w:r>
          </w:p>
        </w:tc>
        <w:tc>
          <w:tcPr>
            <w:tcW w:w="2757" w:type="dxa"/>
            <w:tcBorders>
              <w:bottom w:val="nil"/>
            </w:tcBorders>
            <w:vAlign w:val="center"/>
          </w:tcPr>
          <w:p w:rsidR="00D20411" w:rsidRPr="00322FEC" w:rsidRDefault="00D20411" w:rsidP="00600144">
            <w:pPr>
              <w:keepNext/>
              <w:spacing w:before="0" w:after="40"/>
              <w:jc w:val="center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bCs/>
                <w:i/>
                <w:sz w:val="18"/>
                <w:szCs w:val="18"/>
                <w:lang w:val="es-ES_tradnl"/>
              </w:rPr>
              <w:t>(3)</w:t>
            </w:r>
          </w:p>
        </w:tc>
        <w:tc>
          <w:tcPr>
            <w:tcW w:w="2642" w:type="dxa"/>
            <w:tcBorders>
              <w:bottom w:val="nil"/>
            </w:tcBorders>
            <w:vAlign w:val="center"/>
          </w:tcPr>
          <w:p w:rsidR="00D20411" w:rsidRPr="00322FEC" w:rsidRDefault="00D20411" w:rsidP="00600144">
            <w:pPr>
              <w:keepNext/>
              <w:spacing w:before="0" w:after="40"/>
              <w:jc w:val="center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bCs/>
                <w:i/>
                <w:sz w:val="18"/>
                <w:szCs w:val="18"/>
                <w:lang w:val="es-ES_tradnl"/>
              </w:rPr>
              <w:t>(4)</w:t>
            </w:r>
          </w:p>
        </w:tc>
      </w:tr>
      <w:tr w:rsidR="00D20411" w:rsidRPr="00322FEC" w:rsidTr="00600144">
        <w:trPr>
          <w:tblHeader/>
          <w:jc w:val="center"/>
        </w:trPr>
        <w:tc>
          <w:tcPr>
            <w:tcW w:w="1857" w:type="dxa"/>
            <w:vMerge w:val="restart"/>
            <w:tcBorders>
              <w:top w:val="nil"/>
            </w:tcBorders>
            <w:vAlign w:val="center"/>
          </w:tcPr>
          <w:p w:rsidR="00D20411" w:rsidRPr="00322FEC" w:rsidRDefault="00D20411" w:rsidP="00600144">
            <w:pPr>
              <w:keepNext/>
              <w:spacing w:before="0" w:after="40"/>
              <w:jc w:val="center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>NDC (indicativo nacional de destino) o cifras iniciales del N(S)N [número nacional (significativo)]</w:t>
            </w:r>
          </w:p>
        </w:tc>
        <w:tc>
          <w:tcPr>
            <w:tcW w:w="2100" w:type="dxa"/>
            <w:gridSpan w:val="2"/>
            <w:tcBorders>
              <w:top w:val="nil"/>
            </w:tcBorders>
            <w:vAlign w:val="center"/>
          </w:tcPr>
          <w:p w:rsidR="00D20411" w:rsidRPr="00322FEC" w:rsidRDefault="00D20411" w:rsidP="00600144">
            <w:pPr>
              <w:keepNext/>
              <w:spacing w:before="0" w:after="40"/>
              <w:ind w:left="-57" w:right="-57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>Longitud del número N(S)N</w:t>
            </w:r>
          </w:p>
        </w:tc>
        <w:tc>
          <w:tcPr>
            <w:tcW w:w="2757" w:type="dxa"/>
            <w:vMerge w:val="restart"/>
            <w:tcBorders>
              <w:top w:val="nil"/>
            </w:tcBorders>
            <w:vAlign w:val="center"/>
          </w:tcPr>
          <w:p w:rsidR="00D20411" w:rsidRPr="00322FEC" w:rsidRDefault="00D20411" w:rsidP="00600144">
            <w:pPr>
              <w:keepNext/>
              <w:spacing w:before="0" w:after="40"/>
              <w:jc w:val="center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  <w:r w:rsidRPr="0039693E">
              <w:rPr>
                <w:rFonts w:cs="Arial"/>
                <w:bCs/>
                <w:i/>
                <w:sz w:val="18"/>
                <w:szCs w:val="18"/>
                <w:lang w:val="es-ES_tradnl"/>
              </w:rPr>
              <w:t>Utilización del</w:t>
            </w:r>
            <w:r>
              <w:rPr>
                <w:rFonts w:cs="Arial"/>
                <w:bCs/>
                <w:i/>
                <w:sz w:val="18"/>
                <w:szCs w:val="18"/>
                <w:lang w:val="es-ES_tradnl"/>
              </w:rPr>
              <w:br/>
            </w:r>
            <w:r w:rsidRPr="0039693E">
              <w:rPr>
                <w:rFonts w:cs="Arial"/>
                <w:bCs/>
                <w:i/>
                <w:sz w:val="18"/>
                <w:szCs w:val="18"/>
                <w:lang w:val="es-ES_tradnl"/>
              </w:rPr>
              <w:t>número UIT-T E.164</w:t>
            </w:r>
          </w:p>
        </w:tc>
        <w:tc>
          <w:tcPr>
            <w:tcW w:w="2642" w:type="dxa"/>
            <w:vMerge w:val="restart"/>
            <w:tcBorders>
              <w:top w:val="nil"/>
            </w:tcBorders>
            <w:vAlign w:val="center"/>
          </w:tcPr>
          <w:p w:rsidR="00D20411" w:rsidRPr="00322FEC" w:rsidRDefault="00D20411" w:rsidP="00600144">
            <w:pPr>
              <w:keepNext/>
              <w:spacing w:before="0" w:after="40"/>
              <w:jc w:val="center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>Información adicional</w:t>
            </w:r>
          </w:p>
        </w:tc>
      </w:tr>
      <w:tr w:rsidR="00D20411" w:rsidRPr="00322FEC" w:rsidTr="00600144">
        <w:trPr>
          <w:tblHeader/>
          <w:jc w:val="center"/>
        </w:trPr>
        <w:tc>
          <w:tcPr>
            <w:tcW w:w="1857" w:type="dxa"/>
            <w:vMerge/>
            <w:vAlign w:val="center"/>
          </w:tcPr>
          <w:p w:rsidR="00D20411" w:rsidRPr="00322FEC" w:rsidRDefault="00D20411" w:rsidP="00600144">
            <w:pPr>
              <w:keepNext/>
              <w:spacing w:before="0" w:after="80"/>
              <w:jc w:val="center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924" w:type="dxa"/>
            <w:vAlign w:val="center"/>
          </w:tcPr>
          <w:p w:rsidR="00D20411" w:rsidRPr="00322FEC" w:rsidRDefault="00D20411" w:rsidP="00600144">
            <w:pPr>
              <w:keepNext/>
              <w:spacing w:before="0" w:after="40"/>
              <w:jc w:val="center"/>
              <w:rPr>
                <w:rFonts w:cs="Arial"/>
                <w:bCs/>
                <w:i/>
                <w:sz w:val="18"/>
                <w:szCs w:val="18"/>
                <w:highlight w:val="yellow"/>
                <w:lang w:val="es-ES_tradnl"/>
              </w:rPr>
            </w:pPr>
            <w:r w:rsidRPr="00322FEC">
              <w:rPr>
                <w:rFonts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176" w:type="dxa"/>
            <w:vAlign w:val="center"/>
          </w:tcPr>
          <w:p w:rsidR="00D20411" w:rsidRPr="00322FEC" w:rsidRDefault="00D20411" w:rsidP="00600144">
            <w:pPr>
              <w:keepNext/>
              <w:spacing w:before="0" w:after="40"/>
              <w:jc w:val="center"/>
              <w:rPr>
                <w:rFonts w:cs="Arial"/>
                <w:bCs/>
                <w:i/>
                <w:sz w:val="18"/>
                <w:szCs w:val="18"/>
                <w:highlight w:val="yellow"/>
                <w:lang w:val="es-ES_tradnl"/>
              </w:rPr>
            </w:pPr>
            <w:r w:rsidRPr="00322FEC">
              <w:rPr>
                <w:rFonts w:cs="Arial"/>
                <w:bCs/>
                <w:i/>
                <w:iCs/>
                <w:color w:val="000000"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2757" w:type="dxa"/>
            <w:vMerge/>
            <w:vAlign w:val="center"/>
          </w:tcPr>
          <w:p w:rsidR="00D20411" w:rsidRPr="00322FEC" w:rsidRDefault="00D20411" w:rsidP="00600144">
            <w:pPr>
              <w:keepNext/>
              <w:spacing w:before="0" w:after="80"/>
              <w:jc w:val="center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2642" w:type="dxa"/>
            <w:vMerge/>
            <w:vAlign w:val="center"/>
          </w:tcPr>
          <w:p w:rsidR="00D20411" w:rsidRPr="00322FEC" w:rsidRDefault="00D20411" w:rsidP="00600144">
            <w:pPr>
              <w:keepNext/>
              <w:spacing w:before="0" w:after="80"/>
              <w:jc w:val="left"/>
              <w:rPr>
                <w:rFonts w:cs="Arial"/>
                <w:bCs/>
                <w:i/>
                <w:sz w:val="18"/>
                <w:szCs w:val="18"/>
                <w:lang w:val="es-ES_tradnl"/>
              </w:rPr>
            </w:pPr>
          </w:p>
        </w:tc>
      </w:tr>
      <w:tr w:rsidR="00D20411" w:rsidRPr="00322FEC" w:rsidTr="00600144">
        <w:trPr>
          <w:jc w:val="center"/>
        </w:trPr>
        <w:tc>
          <w:tcPr>
            <w:tcW w:w="1857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924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-</w:t>
            </w:r>
          </w:p>
        </w:tc>
        <w:tc>
          <w:tcPr>
            <w:tcW w:w="1176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-</w:t>
            </w:r>
          </w:p>
        </w:tc>
        <w:tc>
          <w:tcPr>
            <w:tcW w:w="2757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 xml:space="preserve">Reservado </w:t>
            </w:r>
          </w:p>
        </w:tc>
        <w:tc>
          <w:tcPr>
            <w:tcW w:w="2642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left"/>
              <w:rPr>
                <w:rFonts w:cs="Calibri"/>
                <w:sz w:val="18"/>
                <w:szCs w:val="18"/>
                <w:lang w:val="es-ES_tradnl" w:eastAsia="zh-CN"/>
              </w:rPr>
            </w:pPr>
            <w:r w:rsidRPr="00322FEC">
              <w:rPr>
                <w:rFonts w:cs="Calibri"/>
                <w:sz w:val="18"/>
                <w:szCs w:val="18"/>
                <w:lang w:val="es-ES_tradnl" w:eastAsia="zh-CN"/>
              </w:rPr>
              <w:t>Reservado para utilización futura</w:t>
            </w:r>
          </w:p>
        </w:tc>
      </w:tr>
      <w:tr w:rsidR="00D20411" w:rsidRPr="00322FEC" w:rsidTr="00600144">
        <w:trPr>
          <w:jc w:val="center"/>
        </w:trPr>
        <w:tc>
          <w:tcPr>
            <w:tcW w:w="1857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924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7</w:t>
            </w:r>
            <w:r w:rsidRPr="00322FEC">
              <w:rPr>
                <w:sz w:val="18"/>
                <w:szCs w:val="18"/>
                <w:lang w:val="es-ES_tradnl"/>
              </w:rPr>
              <w:t xml:space="preserve"> </w:t>
            </w:r>
            <w:r w:rsidRPr="00322FEC">
              <w:rPr>
                <w:rFonts w:cs="Arial"/>
                <w:sz w:val="18"/>
                <w:szCs w:val="18"/>
                <w:lang w:val="es-ES_tradnl"/>
              </w:rPr>
              <w:t>dígitos</w:t>
            </w:r>
          </w:p>
        </w:tc>
        <w:tc>
          <w:tcPr>
            <w:tcW w:w="1176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7 dígitos</w:t>
            </w:r>
          </w:p>
        </w:tc>
        <w:tc>
          <w:tcPr>
            <w:tcW w:w="2757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Número</w:t>
            </w:r>
            <w:r>
              <w:rPr>
                <w:rFonts w:cs="Arial"/>
                <w:sz w:val="18"/>
                <w:szCs w:val="18"/>
                <w:lang w:val="es-ES_tradnl"/>
              </w:rPr>
              <w:t>s</w:t>
            </w:r>
            <w:r w:rsidRPr="00322FEC">
              <w:rPr>
                <w:rFonts w:cs="Arial"/>
                <w:sz w:val="18"/>
                <w:szCs w:val="18"/>
                <w:lang w:val="es-ES_tradnl"/>
              </w:rPr>
              <w:t xml:space="preserve"> no geográfico</w:t>
            </w:r>
            <w:r>
              <w:rPr>
                <w:rFonts w:cs="Arial"/>
                <w:sz w:val="18"/>
                <w:szCs w:val="18"/>
                <w:lang w:val="es-ES_tradnl"/>
              </w:rPr>
              <w:t>s</w:t>
            </w:r>
            <w:r w:rsidRPr="00322FEC">
              <w:rPr>
                <w:rFonts w:cs="Arial"/>
                <w:sz w:val="18"/>
                <w:szCs w:val="18"/>
                <w:lang w:val="es-ES_tradnl"/>
              </w:rPr>
              <w:t xml:space="preserve"> largo</w:t>
            </w:r>
            <w:r>
              <w:rPr>
                <w:rFonts w:cs="Arial"/>
                <w:sz w:val="18"/>
                <w:szCs w:val="18"/>
                <w:lang w:val="es-ES_tradnl"/>
              </w:rPr>
              <w:t>s</w:t>
            </w:r>
            <w:r w:rsidRPr="00322FEC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 xml:space="preserve">Servicios de telefonía móvil </w:t>
            </w:r>
          </w:p>
        </w:tc>
        <w:tc>
          <w:tcPr>
            <w:tcW w:w="2642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proofErr w:type="spellStart"/>
            <w:r w:rsidRPr="00322FEC">
              <w:rPr>
                <w:rFonts w:cs="Arial"/>
                <w:sz w:val="18"/>
                <w:szCs w:val="18"/>
                <w:lang w:val="es-ES_tradnl"/>
              </w:rPr>
              <w:t>Comores</w:t>
            </w:r>
            <w:proofErr w:type="spellEnd"/>
            <w:r w:rsidRPr="00322FEC">
              <w:rPr>
                <w:rFonts w:cs="Arial"/>
                <w:sz w:val="18"/>
                <w:szCs w:val="18"/>
                <w:lang w:val="es-ES_tradnl"/>
              </w:rPr>
              <w:t xml:space="preserve"> Telecom</w:t>
            </w:r>
          </w:p>
        </w:tc>
      </w:tr>
      <w:tr w:rsidR="00D20411" w:rsidRPr="00322FEC" w:rsidTr="00600144">
        <w:trPr>
          <w:jc w:val="center"/>
        </w:trPr>
        <w:tc>
          <w:tcPr>
            <w:tcW w:w="1857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924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7 dígitos</w:t>
            </w:r>
          </w:p>
        </w:tc>
        <w:tc>
          <w:tcPr>
            <w:tcW w:w="1176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7 dígitos</w:t>
            </w:r>
          </w:p>
        </w:tc>
        <w:tc>
          <w:tcPr>
            <w:tcW w:w="2757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Número</w:t>
            </w:r>
            <w:r>
              <w:rPr>
                <w:rFonts w:cs="Arial"/>
                <w:sz w:val="18"/>
                <w:szCs w:val="18"/>
                <w:lang w:val="es-ES_tradnl"/>
              </w:rPr>
              <w:t>s</w:t>
            </w:r>
            <w:r w:rsidRPr="00322FEC">
              <w:rPr>
                <w:rFonts w:cs="Arial"/>
                <w:sz w:val="18"/>
                <w:szCs w:val="18"/>
                <w:lang w:val="es-ES_tradnl"/>
              </w:rPr>
              <w:t xml:space="preserve"> no geográfico</w:t>
            </w:r>
            <w:r>
              <w:rPr>
                <w:rFonts w:cs="Arial"/>
                <w:sz w:val="18"/>
                <w:szCs w:val="18"/>
                <w:lang w:val="es-ES_tradnl"/>
              </w:rPr>
              <w:t>s</w:t>
            </w:r>
            <w:r w:rsidRPr="00322FEC">
              <w:rPr>
                <w:rFonts w:cs="Arial"/>
                <w:sz w:val="18"/>
                <w:szCs w:val="18"/>
                <w:lang w:val="es-ES_tradnl"/>
              </w:rPr>
              <w:t xml:space="preserve"> largo</w:t>
            </w:r>
            <w:r>
              <w:rPr>
                <w:rFonts w:cs="Arial"/>
                <w:sz w:val="18"/>
                <w:szCs w:val="18"/>
                <w:lang w:val="es-ES_tradnl"/>
              </w:rPr>
              <w:t>s</w:t>
            </w:r>
            <w:r w:rsidRPr="00322FEC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Servicios de telefonía móvil</w:t>
            </w:r>
          </w:p>
        </w:tc>
        <w:tc>
          <w:tcPr>
            <w:tcW w:w="2642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TELCO</w:t>
            </w:r>
          </w:p>
        </w:tc>
      </w:tr>
      <w:tr w:rsidR="00D20411" w:rsidRPr="00322FEC" w:rsidTr="00600144">
        <w:trPr>
          <w:jc w:val="center"/>
        </w:trPr>
        <w:tc>
          <w:tcPr>
            <w:tcW w:w="1857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924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-</w:t>
            </w:r>
          </w:p>
        </w:tc>
        <w:tc>
          <w:tcPr>
            <w:tcW w:w="1176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-</w:t>
            </w:r>
          </w:p>
        </w:tc>
        <w:tc>
          <w:tcPr>
            <w:tcW w:w="2757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2642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Reservado para utilización futura</w:t>
            </w:r>
          </w:p>
        </w:tc>
      </w:tr>
      <w:tr w:rsidR="00D20411" w:rsidRPr="00322FEC" w:rsidTr="00600144">
        <w:trPr>
          <w:jc w:val="center"/>
        </w:trPr>
        <w:tc>
          <w:tcPr>
            <w:tcW w:w="1857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74</w:t>
            </w:r>
          </w:p>
        </w:tc>
        <w:tc>
          <w:tcPr>
            <w:tcW w:w="924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7 dígitos</w:t>
            </w:r>
          </w:p>
        </w:tc>
        <w:tc>
          <w:tcPr>
            <w:tcW w:w="1176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7 dígitos</w:t>
            </w:r>
          </w:p>
        </w:tc>
        <w:tc>
          <w:tcPr>
            <w:tcW w:w="2757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Números geográficos</w:t>
            </w:r>
          </w:p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 xml:space="preserve">Red AMDC </w:t>
            </w:r>
          </w:p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Servicio de telefonía fija</w:t>
            </w:r>
          </w:p>
        </w:tc>
        <w:tc>
          <w:tcPr>
            <w:tcW w:w="2642" w:type="dxa"/>
          </w:tcPr>
          <w:p w:rsidR="00D20411" w:rsidRPr="00322FEC" w:rsidRDefault="00D20411" w:rsidP="00600144">
            <w:pPr>
              <w:spacing w:before="0" w:after="20"/>
              <w:jc w:val="left"/>
              <w:rPr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TELCO</w:t>
            </w:r>
          </w:p>
        </w:tc>
      </w:tr>
      <w:tr w:rsidR="00D20411" w:rsidRPr="00322FEC" w:rsidTr="00600144">
        <w:trPr>
          <w:jc w:val="center"/>
        </w:trPr>
        <w:tc>
          <w:tcPr>
            <w:tcW w:w="1857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75</w:t>
            </w:r>
          </w:p>
        </w:tc>
        <w:tc>
          <w:tcPr>
            <w:tcW w:w="924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7 dígitos</w:t>
            </w:r>
          </w:p>
        </w:tc>
        <w:tc>
          <w:tcPr>
            <w:tcW w:w="1176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7 dígitos</w:t>
            </w:r>
          </w:p>
        </w:tc>
        <w:tc>
          <w:tcPr>
            <w:tcW w:w="2757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Números geográficos</w:t>
            </w:r>
          </w:p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Red alámbrica</w:t>
            </w:r>
          </w:p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Servicio de telefonía fija</w:t>
            </w:r>
          </w:p>
        </w:tc>
        <w:tc>
          <w:tcPr>
            <w:tcW w:w="2642" w:type="dxa"/>
          </w:tcPr>
          <w:p w:rsidR="00D20411" w:rsidRPr="00322FEC" w:rsidRDefault="00D20411" w:rsidP="00600144">
            <w:pPr>
              <w:spacing w:before="0" w:after="20"/>
              <w:jc w:val="left"/>
              <w:rPr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TELCO</w:t>
            </w:r>
          </w:p>
        </w:tc>
      </w:tr>
      <w:tr w:rsidR="00D20411" w:rsidRPr="00322FEC" w:rsidTr="00600144">
        <w:trPr>
          <w:jc w:val="center"/>
        </w:trPr>
        <w:tc>
          <w:tcPr>
            <w:tcW w:w="1857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76</w:t>
            </w:r>
          </w:p>
        </w:tc>
        <w:tc>
          <w:tcPr>
            <w:tcW w:w="924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7 dígitos</w:t>
            </w:r>
          </w:p>
        </w:tc>
        <w:tc>
          <w:tcPr>
            <w:tcW w:w="1176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7 dígitos</w:t>
            </w:r>
          </w:p>
        </w:tc>
        <w:tc>
          <w:tcPr>
            <w:tcW w:w="2757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 xml:space="preserve">Números geográficos </w:t>
            </w:r>
          </w:p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 xml:space="preserve">Red AMDC </w:t>
            </w:r>
          </w:p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Servicio de telefonía fija</w:t>
            </w:r>
          </w:p>
        </w:tc>
        <w:tc>
          <w:tcPr>
            <w:tcW w:w="2642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proofErr w:type="spellStart"/>
            <w:r w:rsidRPr="00322FEC">
              <w:rPr>
                <w:rFonts w:cs="Arial"/>
                <w:sz w:val="18"/>
                <w:szCs w:val="18"/>
                <w:lang w:val="es-ES_tradnl"/>
              </w:rPr>
              <w:t>Comores</w:t>
            </w:r>
            <w:proofErr w:type="spellEnd"/>
            <w:r w:rsidRPr="00322FEC">
              <w:rPr>
                <w:rFonts w:cs="Arial"/>
                <w:sz w:val="18"/>
                <w:szCs w:val="18"/>
                <w:lang w:val="es-ES_tradnl"/>
              </w:rPr>
              <w:t xml:space="preserve"> Telecom</w:t>
            </w:r>
          </w:p>
        </w:tc>
      </w:tr>
      <w:tr w:rsidR="00D20411" w:rsidRPr="00322FEC" w:rsidTr="00600144">
        <w:trPr>
          <w:jc w:val="center"/>
        </w:trPr>
        <w:tc>
          <w:tcPr>
            <w:tcW w:w="1857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77</w:t>
            </w:r>
          </w:p>
        </w:tc>
        <w:tc>
          <w:tcPr>
            <w:tcW w:w="924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7 dígitos</w:t>
            </w:r>
          </w:p>
        </w:tc>
        <w:tc>
          <w:tcPr>
            <w:tcW w:w="1176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7 dígitos</w:t>
            </w:r>
          </w:p>
        </w:tc>
        <w:tc>
          <w:tcPr>
            <w:tcW w:w="2757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Números geográficos</w:t>
            </w:r>
          </w:p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Red alámbrica</w:t>
            </w:r>
          </w:p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Servicio de telefonía fija</w:t>
            </w:r>
          </w:p>
        </w:tc>
        <w:tc>
          <w:tcPr>
            <w:tcW w:w="2642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proofErr w:type="spellStart"/>
            <w:r w:rsidRPr="00322FEC">
              <w:rPr>
                <w:rFonts w:cs="Arial"/>
                <w:sz w:val="18"/>
                <w:szCs w:val="18"/>
                <w:lang w:val="es-ES_tradnl"/>
              </w:rPr>
              <w:t>Comores</w:t>
            </w:r>
            <w:proofErr w:type="spellEnd"/>
            <w:r w:rsidRPr="00322FEC">
              <w:rPr>
                <w:rFonts w:cs="Arial"/>
                <w:sz w:val="18"/>
                <w:szCs w:val="18"/>
                <w:lang w:val="es-ES_tradnl"/>
              </w:rPr>
              <w:t xml:space="preserve"> Telecom</w:t>
            </w:r>
          </w:p>
        </w:tc>
      </w:tr>
      <w:tr w:rsidR="00D20411" w:rsidRPr="00322FEC" w:rsidTr="00600144">
        <w:trPr>
          <w:jc w:val="center"/>
        </w:trPr>
        <w:tc>
          <w:tcPr>
            <w:tcW w:w="1857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924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7 dígitos</w:t>
            </w:r>
          </w:p>
        </w:tc>
        <w:tc>
          <w:tcPr>
            <w:tcW w:w="1176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7 dígitos</w:t>
            </w:r>
          </w:p>
        </w:tc>
        <w:tc>
          <w:tcPr>
            <w:tcW w:w="2757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Números largos</w:t>
            </w:r>
          </w:p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color w:val="000000"/>
                <w:sz w:val="18"/>
                <w:szCs w:val="18"/>
                <w:lang w:val="es-ES_tradnl"/>
              </w:rPr>
              <w:t>Servicios de valor agregado (VAS)</w:t>
            </w:r>
          </w:p>
        </w:tc>
        <w:tc>
          <w:tcPr>
            <w:tcW w:w="2642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Varios operadores</w:t>
            </w:r>
          </w:p>
        </w:tc>
      </w:tr>
      <w:tr w:rsidR="00D20411" w:rsidRPr="00322FEC" w:rsidTr="00600144">
        <w:trPr>
          <w:jc w:val="center"/>
        </w:trPr>
        <w:tc>
          <w:tcPr>
            <w:tcW w:w="1857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924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-</w:t>
            </w:r>
          </w:p>
        </w:tc>
        <w:tc>
          <w:tcPr>
            <w:tcW w:w="1176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-</w:t>
            </w:r>
          </w:p>
        </w:tc>
        <w:tc>
          <w:tcPr>
            <w:tcW w:w="2757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Reservado</w:t>
            </w:r>
          </w:p>
        </w:tc>
        <w:tc>
          <w:tcPr>
            <w:tcW w:w="2642" w:type="dxa"/>
          </w:tcPr>
          <w:p w:rsidR="00D20411" w:rsidRPr="00322FEC" w:rsidRDefault="00D20411" w:rsidP="00600144">
            <w:pPr>
              <w:tabs>
                <w:tab w:val="left" w:pos="284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 w:after="2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322FEC">
              <w:rPr>
                <w:rFonts w:cs="Arial"/>
                <w:sz w:val="18"/>
                <w:szCs w:val="18"/>
                <w:lang w:val="es-ES_tradnl"/>
              </w:rPr>
              <w:t>Reservado para utilización futura</w:t>
            </w:r>
          </w:p>
        </w:tc>
      </w:tr>
    </w:tbl>
    <w:p w:rsidR="00D20411" w:rsidRPr="00322FEC" w:rsidRDefault="00D20411" w:rsidP="00D20411">
      <w:pPr>
        <w:rPr>
          <w:lang w:val="es-ES_tradnl"/>
        </w:rPr>
      </w:pPr>
      <w:r w:rsidRPr="00322FEC">
        <w:rPr>
          <w:lang w:val="es-ES_tradnl"/>
        </w:rPr>
        <w:t>Contacto:</w:t>
      </w:r>
    </w:p>
    <w:p w:rsidR="00D20411" w:rsidRPr="00451181" w:rsidRDefault="00D20411" w:rsidP="00D20411">
      <w:pPr>
        <w:ind w:left="567" w:hanging="567"/>
        <w:jc w:val="left"/>
        <w:rPr>
          <w:rFonts w:cs="Arial"/>
          <w:b/>
          <w:lang w:val="fr-CH"/>
        </w:rPr>
      </w:pPr>
      <w:r>
        <w:rPr>
          <w:lang w:val="fr-CH"/>
        </w:rPr>
        <w:tab/>
      </w:r>
      <w:r w:rsidRPr="0039693E">
        <w:rPr>
          <w:lang w:val="fr-CH"/>
        </w:rPr>
        <w:t xml:space="preserve">Autorité Nationale de Régulation des Technologies de l'Information et de la Communication (ANRTIC) </w:t>
      </w:r>
      <w:r>
        <w:rPr>
          <w:lang w:val="fr-CH"/>
        </w:rPr>
        <w:br/>
      </w:r>
      <w:r w:rsidRPr="00451181">
        <w:rPr>
          <w:rFonts w:cs="Arial"/>
          <w:lang w:val="fr-CH"/>
        </w:rPr>
        <w:t>Moroni</w:t>
      </w:r>
      <w:r w:rsidR="006871A2">
        <w:rPr>
          <w:rFonts w:cs="Arial"/>
          <w:lang w:val="fr-CH"/>
        </w:rPr>
        <w:t xml:space="preserve"> Oasis </w:t>
      </w:r>
      <w:r w:rsidR="006871A2">
        <w:rPr>
          <w:rFonts w:cs="Arial"/>
          <w:lang w:val="fr-CH"/>
        </w:rPr>
        <w:br/>
        <w:t>B.P. 6540</w:t>
      </w:r>
      <w:r w:rsidR="006871A2">
        <w:rPr>
          <w:rFonts w:cs="Arial"/>
          <w:lang w:val="fr-CH"/>
        </w:rPr>
        <w:br/>
        <w:t xml:space="preserve">MORONI </w:t>
      </w:r>
      <w:r w:rsidR="006871A2">
        <w:rPr>
          <w:rFonts w:cs="Arial"/>
          <w:lang w:val="fr-CH"/>
        </w:rPr>
        <w:br/>
        <w:t>Comora</w:t>
      </w:r>
      <w:bookmarkStart w:id="0" w:name="_GoBack"/>
      <w:bookmarkEnd w:id="0"/>
      <w:r w:rsidRPr="00451181">
        <w:rPr>
          <w:rFonts w:cs="Arial"/>
          <w:lang w:val="fr-CH"/>
        </w:rPr>
        <w:t>s</w:t>
      </w:r>
      <w:r w:rsidRPr="00451181">
        <w:rPr>
          <w:rFonts w:cs="Arial"/>
          <w:lang w:val="fr-CH"/>
        </w:rPr>
        <w:br/>
      </w:r>
      <w:proofErr w:type="gramStart"/>
      <w:r w:rsidRPr="00451181">
        <w:rPr>
          <w:rFonts w:cs="Arial"/>
          <w:lang w:val="fr-CH"/>
        </w:rPr>
        <w:t>Tel:</w:t>
      </w:r>
      <w:proofErr w:type="gramEnd"/>
      <w:r w:rsidRPr="00451181">
        <w:rPr>
          <w:rFonts w:cs="Arial"/>
          <w:lang w:val="fr-CH"/>
        </w:rPr>
        <w:tab/>
        <w:t>+269 773 87 61</w:t>
      </w:r>
      <w:r>
        <w:rPr>
          <w:rFonts w:cs="Arial"/>
          <w:lang w:val="fr-CH"/>
        </w:rPr>
        <w:br/>
      </w:r>
      <w:r w:rsidRPr="00451181">
        <w:rPr>
          <w:rFonts w:cs="Arial"/>
          <w:lang w:val="fr-CH"/>
        </w:rPr>
        <w:t>Fax:</w:t>
      </w:r>
      <w:r w:rsidRPr="00451181">
        <w:rPr>
          <w:rFonts w:cs="Arial"/>
          <w:lang w:val="fr-CH"/>
        </w:rPr>
        <w:tab/>
        <w:t>+269 773 87 62</w:t>
      </w:r>
      <w:r>
        <w:rPr>
          <w:rFonts w:cs="Arial"/>
          <w:lang w:val="fr-CH"/>
        </w:rPr>
        <w:br/>
      </w:r>
      <w:r w:rsidRPr="00451181">
        <w:rPr>
          <w:rFonts w:cs="Arial"/>
          <w:lang w:val="fr-CH"/>
        </w:rPr>
        <w:t>URL:</w:t>
      </w:r>
      <w:r w:rsidRPr="00451181">
        <w:rPr>
          <w:rFonts w:cs="Arial"/>
          <w:lang w:val="fr-CH"/>
        </w:rPr>
        <w:tab/>
        <w:t>www.anrtic.km</w:t>
      </w:r>
    </w:p>
    <w:p w:rsidR="0052793E" w:rsidRPr="00D20411" w:rsidRDefault="006871A2">
      <w:pPr>
        <w:rPr>
          <w:lang w:val="fr-CH"/>
        </w:rPr>
      </w:pPr>
    </w:p>
    <w:sectPr w:rsidR="0052793E" w:rsidRPr="00D20411" w:rsidSect="00B34B6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411"/>
    <w:rsid w:val="000D6954"/>
    <w:rsid w:val="006871A2"/>
    <w:rsid w:val="008508CF"/>
    <w:rsid w:val="00915DFB"/>
    <w:rsid w:val="00B34B65"/>
    <w:rsid w:val="00CB787C"/>
    <w:rsid w:val="00D20411"/>
    <w:rsid w:val="00D8232B"/>
    <w:rsid w:val="00E95B0A"/>
    <w:rsid w:val="00ED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91FEE-B0D4-4D26-B4E3-41A9763E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41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2016-10-10T13:38:00Z</dcterms:created>
  <dcterms:modified xsi:type="dcterms:W3CDTF">2016-10-11T09:02:00Z</dcterms:modified>
</cp:coreProperties>
</file>