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48" w:type="dxa"/>
        <w:tblLayout w:type="fixed"/>
        <w:tblLook w:val="0000" w:firstRow="0" w:lastRow="0" w:firstColumn="0" w:lastColumn="0" w:noHBand="0" w:noVBand="0"/>
      </w:tblPr>
      <w:tblGrid>
        <w:gridCol w:w="1418"/>
        <w:gridCol w:w="10"/>
        <w:gridCol w:w="2520"/>
        <w:gridCol w:w="2029"/>
        <w:gridCol w:w="3971"/>
      </w:tblGrid>
      <w:tr w:rsidR="008968B6" w:rsidRPr="008968B6" w:rsidTr="005569CA">
        <w:trPr>
          <w:trHeight w:hRule="exact" w:val="1418"/>
        </w:trPr>
        <w:tc>
          <w:tcPr>
            <w:tcW w:w="1428" w:type="dxa"/>
            <w:gridSpan w:val="2"/>
          </w:tcPr>
          <w:p w:rsidR="008968B6" w:rsidRPr="008968B6" w:rsidRDefault="00720F3C" w:rsidP="008968B6">
            <w:pPr>
              <w:spacing w:before="120" w:line="240" w:lineRule="auto"/>
              <w:rPr>
                <w:sz w:val="24"/>
                <w:lang w:val="en-GB"/>
              </w:rPr>
            </w:pPr>
            <w:bookmarkStart w:id="0" w:name="dstart"/>
            <w:bookmarkStart w:id="1" w:name="dbreak"/>
            <w:bookmarkStart w:id="2" w:name="InsertLogo"/>
            <w:bookmarkEnd w:id="0"/>
            <w:bookmarkEnd w:id="1"/>
            <w:bookmarkEnd w:id="2"/>
            <w:r>
              <w:rPr>
                <w:noProof/>
                <w:sz w:val="20"/>
                <w:lang w:val="en-GB" w:eastAsia="zh-CN"/>
              </w:rPr>
              <w:drawing>
                <wp:anchor distT="0" distB="0" distL="114300" distR="114300" simplePos="0" relativeHeight="251656704" behindDoc="0" locked="0" layoutInCell="0" allowOverlap="1">
                  <wp:simplePos x="0" y="0"/>
                  <wp:positionH relativeFrom="column">
                    <wp:posOffset>-962025</wp:posOffset>
                  </wp:positionH>
                  <wp:positionV relativeFrom="paragraph">
                    <wp:posOffset>-695960</wp:posOffset>
                  </wp:positionV>
                  <wp:extent cx="1569720" cy="10771505"/>
                  <wp:effectExtent l="0" t="0" r="0" b="0"/>
                  <wp:wrapNone/>
                  <wp:docPr id="164" name="Picture 164" descr="Fond-Rec_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Fond-Rec_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9720" cy="107715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8968B6" w:rsidRPr="008968B6" w:rsidRDefault="008968B6" w:rsidP="008968B6">
            <w:pPr>
              <w:spacing w:before="0" w:line="240" w:lineRule="auto"/>
              <w:rPr>
                <w:b/>
                <w:sz w:val="16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8968B6" w:rsidRPr="008968B6" w:rsidRDefault="008968B6" w:rsidP="008968B6">
            <w:pPr>
              <w:spacing w:before="0" w:line="240" w:lineRule="auto"/>
              <w:rPr>
                <w:rFonts w:ascii="Arial" w:hAnsi="Arial" w:cs="Arial"/>
                <w:sz w:val="24"/>
                <w:lang w:val="en-US"/>
              </w:rPr>
            </w:pPr>
          </w:p>
          <w:p w:rsidR="008968B6" w:rsidRPr="008968B6" w:rsidRDefault="008968B6" w:rsidP="008968B6">
            <w:pPr>
              <w:spacing w:before="284" w:line="240" w:lineRule="auto"/>
              <w:rPr>
                <w:rFonts w:ascii="Arial" w:hAnsi="Arial" w:cs="Arial"/>
                <w:b/>
                <w:bCs/>
                <w:sz w:val="18"/>
                <w:lang w:val="en-US"/>
              </w:rPr>
            </w:pPr>
            <w:r w:rsidRPr="008968B6">
              <w:rPr>
                <w:rFonts w:ascii="Arial" w:hAnsi="Arial" w:cs="Arial"/>
                <w:b/>
                <w:bCs/>
                <w:color w:val="808080"/>
                <w:spacing w:val="100"/>
                <w:sz w:val="24"/>
                <w:lang w:val="en-GB"/>
              </w:rPr>
              <w:t>International Telecommunication Union</w:t>
            </w:r>
          </w:p>
        </w:tc>
      </w:tr>
      <w:tr w:rsidR="008968B6" w:rsidRPr="008968B6" w:rsidTr="005569CA">
        <w:trPr>
          <w:trHeight w:hRule="exact" w:val="992"/>
        </w:trPr>
        <w:tc>
          <w:tcPr>
            <w:tcW w:w="1428" w:type="dxa"/>
            <w:gridSpan w:val="2"/>
          </w:tcPr>
          <w:p w:rsidR="008968B6" w:rsidRPr="008968B6" w:rsidRDefault="008968B6" w:rsidP="008968B6">
            <w:pPr>
              <w:spacing w:before="0" w:line="240" w:lineRule="auto"/>
              <w:rPr>
                <w:sz w:val="24"/>
                <w:lang w:val="en-US"/>
              </w:rPr>
            </w:pPr>
          </w:p>
        </w:tc>
        <w:tc>
          <w:tcPr>
            <w:tcW w:w="8520" w:type="dxa"/>
            <w:gridSpan w:val="3"/>
          </w:tcPr>
          <w:p w:rsidR="008968B6" w:rsidRPr="008968B6" w:rsidRDefault="008968B6" w:rsidP="008968B6">
            <w:pPr>
              <w:spacing w:before="120" w:line="240" w:lineRule="auto"/>
              <w:rPr>
                <w:sz w:val="24"/>
                <w:lang w:val="en-US"/>
              </w:rPr>
            </w:pPr>
          </w:p>
        </w:tc>
      </w:tr>
      <w:tr w:rsidR="008968B6" w:rsidRPr="008968B6" w:rsidTr="005569CA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</w:trPr>
        <w:tc>
          <w:tcPr>
            <w:tcW w:w="2520" w:type="dxa"/>
          </w:tcPr>
          <w:p w:rsidR="008968B6" w:rsidRPr="008968B6" w:rsidRDefault="008968B6" w:rsidP="008968B6">
            <w:pPr>
              <w:spacing w:before="120" w:line="240" w:lineRule="auto"/>
              <w:rPr>
                <w:b/>
                <w:sz w:val="18"/>
                <w:lang w:val="en-US"/>
              </w:rPr>
            </w:pPr>
            <w:bookmarkStart w:id="3" w:name="dnume" w:colFirst="1" w:colLast="1"/>
            <w:r w:rsidRPr="008968B6">
              <w:rPr>
                <w:rFonts w:ascii="Arial" w:hAnsi="Arial"/>
                <w:b/>
                <w:spacing w:val="40"/>
                <w:sz w:val="72"/>
                <w:lang w:val="en-US"/>
              </w:rPr>
              <w:t>ITU-T</w:t>
            </w:r>
          </w:p>
        </w:tc>
        <w:tc>
          <w:tcPr>
            <w:tcW w:w="6000" w:type="dxa"/>
            <w:gridSpan w:val="2"/>
          </w:tcPr>
          <w:p w:rsidR="008968B6" w:rsidRPr="008968B6" w:rsidRDefault="008968B6" w:rsidP="008968B6">
            <w:pPr>
              <w:spacing w:before="240" w:line="240" w:lineRule="auto"/>
              <w:jc w:val="right"/>
              <w:rPr>
                <w:b/>
                <w:sz w:val="18"/>
                <w:lang w:val="en-US"/>
              </w:rPr>
            </w:pPr>
          </w:p>
        </w:tc>
      </w:tr>
      <w:tr w:rsidR="008968B6" w:rsidRPr="000554D4" w:rsidTr="005569CA">
        <w:tblPrEx>
          <w:tblCellMar>
            <w:left w:w="85" w:type="dxa"/>
            <w:right w:w="85" w:type="dxa"/>
          </w:tblCellMar>
        </w:tblPrEx>
        <w:trPr>
          <w:gridBefore w:val="2"/>
          <w:wBefore w:w="1428" w:type="dxa"/>
          <w:trHeight w:val="974"/>
        </w:trPr>
        <w:tc>
          <w:tcPr>
            <w:tcW w:w="4549" w:type="dxa"/>
            <w:gridSpan w:val="2"/>
          </w:tcPr>
          <w:p w:rsidR="008968B6" w:rsidRPr="008968B6" w:rsidRDefault="008968B6" w:rsidP="008968B6">
            <w:pPr>
              <w:spacing w:before="120" w:line="240" w:lineRule="auto"/>
              <w:jc w:val="left"/>
              <w:rPr>
                <w:b/>
                <w:sz w:val="20"/>
                <w:lang w:val="en-US"/>
              </w:rPr>
            </w:pPr>
            <w:bookmarkStart w:id="4" w:name="ddatee" w:colFirst="1" w:colLast="1"/>
            <w:bookmarkEnd w:id="3"/>
            <w:r w:rsidRPr="008968B6">
              <w:rPr>
                <w:rFonts w:ascii="Arial" w:hAnsi="Arial"/>
                <w:sz w:val="20"/>
                <w:lang w:val="en-US"/>
              </w:rPr>
              <w:t>TELECOMMUNICATION</w:t>
            </w:r>
            <w:r w:rsidRPr="008968B6">
              <w:rPr>
                <w:rFonts w:ascii="Arial" w:hAnsi="Arial" w:cs="Arial"/>
                <w:sz w:val="20"/>
                <w:lang w:val="en-US"/>
              </w:rPr>
              <w:br/>
            </w:r>
            <w:r w:rsidRPr="008968B6">
              <w:rPr>
                <w:rFonts w:ascii="Arial" w:hAnsi="Arial"/>
                <w:sz w:val="20"/>
                <w:lang w:val="en-US"/>
              </w:rPr>
              <w:t>STANDARDIZATION  SECTOR</w:t>
            </w:r>
            <w:r w:rsidRPr="008968B6">
              <w:rPr>
                <w:rFonts w:ascii="Arial" w:hAnsi="Arial"/>
                <w:sz w:val="20"/>
                <w:lang w:val="en-US"/>
              </w:rPr>
              <w:br/>
              <w:t>OF  ITU</w:t>
            </w:r>
          </w:p>
        </w:tc>
        <w:tc>
          <w:tcPr>
            <w:tcW w:w="3971" w:type="dxa"/>
          </w:tcPr>
          <w:p w:rsidR="008968B6" w:rsidRPr="008968B6" w:rsidRDefault="008968B6" w:rsidP="008968B6">
            <w:pPr>
              <w:spacing w:before="0" w:line="240" w:lineRule="auto"/>
              <w:jc w:val="right"/>
              <w:rPr>
                <w:b/>
                <w:sz w:val="18"/>
                <w:lang w:val="en-US"/>
              </w:rPr>
            </w:pPr>
          </w:p>
        </w:tc>
      </w:tr>
      <w:tr w:rsidR="008968B6" w:rsidRPr="000554D4" w:rsidTr="005569CA">
        <w:trPr>
          <w:cantSplit/>
          <w:trHeight w:hRule="exact" w:val="3402"/>
        </w:trPr>
        <w:tc>
          <w:tcPr>
            <w:tcW w:w="1418" w:type="dxa"/>
          </w:tcPr>
          <w:p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rPr>
                <w:rFonts w:ascii="Arial" w:hAnsi="Arial"/>
                <w:sz w:val="18"/>
                <w:lang w:val="en-US"/>
              </w:rPr>
            </w:pPr>
            <w:bookmarkStart w:id="5" w:name="dsece" w:colFirst="1" w:colLast="1"/>
            <w:bookmarkEnd w:id="4"/>
          </w:p>
        </w:tc>
        <w:tc>
          <w:tcPr>
            <w:tcW w:w="8530" w:type="dxa"/>
            <w:gridSpan w:val="4"/>
            <w:tcBorders>
              <w:bottom w:val="single" w:sz="12" w:space="0" w:color="auto"/>
            </w:tcBorders>
            <w:vAlign w:val="bottom"/>
          </w:tcPr>
          <w:p w:rsidR="008968B6" w:rsidRPr="008968B6" w:rsidRDefault="008968B6" w:rsidP="001F043B">
            <w:pPr>
              <w:tabs>
                <w:tab w:val="right" w:pos="9639"/>
              </w:tabs>
              <w:spacing w:before="120" w:line="240" w:lineRule="auto"/>
              <w:jc w:val="left"/>
              <w:rPr>
                <w:rFonts w:ascii="Arial" w:hAnsi="Arial"/>
                <w:sz w:val="32"/>
                <w:lang w:val="en-US"/>
              </w:rPr>
            </w:pPr>
            <w:r w:rsidRPr="008968B6">
              <w:rPr>
                <w:rFonts w:ascii="Arial" w:hAnsi="Arial"/>
                <w:sz w:val="32"/>
                <w:lang w:val="en-US"/>
              </w:rPr>
              <w:t xml:space="preserve">WORLD TELECOMMUNICATION STANDARDIZATION ASSEMBLY </w:t>
            </w:r>
            <w:r w:rsidRPr="008968B6">
              <w:rPr>
                <w:rFonts w:ascii="Arial" w:hAnsi="Arial"/>
                <w:sz w:val="32"/>
                <w:lang w:val="en-US"/>
              </w:rPr>
              <w:br/>
            </w:r>
            <w:proofErr w:type="spellStart"/>
            <w:r w:rsidR="00F4281C">
              <w:rPr>
                <w:rFonts w:ascii="Arial" w:hAnsi="Arial"/>
                <w:sz w:val="32"/>
                <w:lang w:val="en-GB"/>
              </w:rPr>
              <w:t>Hammamet</w:t>
            </w:r>
            <w:proofErr w:type="spellEnd"/>
            <w:r w:rsidR="000E4393" w:rsidRPr="00F81B8E">
              <w:rPr>
                <w:rFonts w:ascii="Arial" w:hAnsi="Arial"/>
                <w:sz w:val="32"/>
                <w:lang w:val="en-GB"/>
              </w:rPr>
              <w:t>, 2</w:t>
            </w:r>
            <w:r w:rsidR="00F4281C">
              <w:rPr>
                <w:rFonts w:ascii="Arial" w:hAnsi="Arial"/>
                <w:sz w:val="32"/>
                <w:lang w:val="en-GB"/>
              </w:rPr>
              <w:t xml:space="preserve">5 October </w:t>
            </w:r>
            <w:r w:rsidR="001F043B">
              <w:rPr>
                <w:rFonts w:ascii="Arial" w:hAnsi="Arial"/>
                <w:sz w:val="36"/>
                <w:lang w:val="en-US"/>
              </w:rPr>
              <w:sym w:font="Symbol" w:char="F02D"/>
            </w:r>
            <w:r w:rsidR="00F4281C">
              <w:rPr>
                <w:rFonts w:ascii="Arial" w:hAnsi="Arial"/>
                <w:sz w:val="32"/>
                <w:lang w:val="en-GB"/>
              </w:rPr>
              <w:t xml:space="preserve"> 3</w:t>
            </w:r>
            <w:r w:rsidR="000E4393" w:rsidRPr="00F81B8E">
              <w:rPr>
                <w:rFonts w:ascii="Arial" w:hAnsi="Arial"/>
                <w:sz w:val="32"/>
                <w:lang w:val="en-GB"/>
              </w:rPr>
              <w:t xml:space="preserve"> November 201</w:t>
            </w:r>
            <w:r w:rsidR="00F4281C">
              <w:rPr>
                <w:rFonts w:ascii="Arial" w:hAnsi="Arial"/>
                <w:sz w:val="32"/>
                <w:lang w:val="en-GB"/>
              </w:rPr>
              <w:t>6</w:t>
            </w:r>
          </w:p>
          <w:p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jc w:val="left"/>
              <w:rPr>
                <w:rFonts w:ascii="Arial" w:hAnsi="Arial"/>
                <w:sz w:val="32"/>
                <w:lang w:val="en-US"/>
              </w:rPr>
            </w:pPr>
          </w:p>
        </w:tc>
      </w:tr>
      <w:tr w:rsidR="008968B6" w:rsidRPr="000554D4" w:rsidTr="005569CA">
        <w:trPr>
          <w:cantSplit/>
          <w:trHeight w:hRule="exact" w:val="4536"/>
        </w:trPr>
        <w:tc>
          <w:tcPr>
            <w:tcW w:w="1418" w:type="dxa"/>
          </w:tcPr>
          <w:p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rPr>
                <w:rFonts w:ascii="Arial" w:hAnsi="Arial"/>
                <w:sz w:val="18"/>
                <w:lang w:val="en-US"/>
              </w:rPr>
            </w:pPr>
            <w:bookmarkStart w:id="6" w:name="c1tite" w:colFirst="1" w:colLast="1"/>
            <w:bookmarkEnd w:id="5"/>
          </w:p>
        </w:tc>
        <w:tc>
          <w:tcPr>
            <w:tcW w:w="8530" w:type="dxa"/>
            <w:gridSpan w:val="4"/>
          </w:tcPr>
          <w:p w:rsidR="008968B6" w:rsidRPr="008968B6" w:rsidRDefault="008968B6" w:rsidP="001F043B">
            <w:pPr>
              <w:tabs>
                <w:tab w:val="right" w:pos="9639"/>
              </w:tabs>
              <w:spacing w:before="120" w:line="240" w:lineRule="auto"/>
              <w:jc w:val="left"/>
              <w:rPr>
                <w:rFonts w:ascii="Arial" w:hAnsi="Arial"/>
                <w:b/>
                <w:bCs/>
                <w:sz w:val="36"/>
                <w:lang w:val="en-US"/>
              </w:rPr>
            </w:pPr>
            <w:r w:rsidRPr="008968B6">
              <w:rPr>
                <w:rFonts w:ascii="Arial" w:hAnsi="Arial"/>
                <w:b/>
                <w:bCs/>
                <w:sz w:val="36"/>
                <w:lang w:val="en-US"/>
              </w:rPr>
              <w:t xml:space="preserve">Resolution </w:t>
            </w:r>
            <w:r w:rsidR="001F043B">
              <w:rPr>
                <w:rFonts w:ascii="Arial" w:hAnsi="Arial"/>
                <w:b/>
                <w:bCs/>
                <w:sz w:val="36"/>
                <w:lang w:val="en-US"/>
              </w:rPr>
              <w:t xml:space="preserve">87 </w:t>
            </w:r>
            <w:r w:rsidR="001F043B" w:rsidRPr="000554D4">
              <w:rPr>
                <w:rFonts w:ascii="Arial" w:hAnsi="Arial"/>
                <w:b/>
                <w:bCs/>
                <w:sz w:val="36"/>
                <w:lang w:val="en-GB"/>
              </w:rPr>
              <w:sym w:font="Symbol" w:char="F02D"/>
            </w:r>
            <w:r w:rsidR="001F043B" w:rsidRPr="000554D4">
              <w:rPr>
                <w:rFonts w:ascii="Arial" w:hAnsi="Arial"/>
                <w:b/>
                <w:bCs/>
                <w:sz w:val="36"/>
                <w:lang w:val="en-GB"/>
              </w:rPr>
              <w:t xml:space="preserve"> </w:t>
            </w:r>
            <w:r w:rsidR="001F043B" w:rsidRPr="001F043B">
              <w:rPr>
                <w:rFonts w:ascii="Arial" w:hAnsi="Arial"/>
                <w:b/>
                <w:bCs/>
                <w:sz w:val="36"/>
                <w:lang w:val="en-GB"/>
              </w:rPr>
              <w:t>Participation of the ITU Telecommunication Sta</w:t>
            </w:r>
            <w:bookmarkStart w:id="7" w:name="_GoBack"/>
            <w:bookmarkEnd w:id="7"/>
            <w:r w:rsidR="001F043B" w:rsidRPr="001F043B">
              <w:rPr>
                <w:rFonts w:ascii="Arial" w:hAnsi="Arial"/>
                <w:b/>
                <w:bCs/>
                <w:sz w:val="36"/>
                <w:lang w:val="en-GB"/>
              </w:rPr>
              <w:t xml:space="preserve">ndardization Sector </w:t>
            </w:r>
            <w:r w:rsidR="001F043B" w:rsidRPr="001F043B">
              <w:rPr>
                <w:rFonts w:ascii="Arial" w:hAnsi="Arial"/>
                <w:b/>
                <w:bCs/>
                <w:sz w:val="36"/>
                <w:lang w:val="en-GB"/>
              </w:rPr>
              <w:br/>
              <w:t>in the periodic review and revision of the International Telecommunication Regulations</w:t>
            </w:r>
            <w:r w:rsidR="001F043B">
              <w:rPr>
                <w:rFonts w:ascii="Arial" w:hAnsi="Arial"/>
                <w:b/>
                <w:bCs/>
                <w:sz w:val="36"/>
                <w:lang w:val="en-US"/>
              </w:rPr>
              <w:t xml:space="preserve"> </w:t>
            </w:r>
          </w:p>
        </w:tc>
      </w:tr>
      <w:bookmarkEnd w:id="6"/>
      <w:tr w:rsidR="008968B6" w:rsidRPr="000554D4" w:rsidTr="005569CA">
        <w:trPr>
          <w:cantSplit/>
          <w:trHeight w:hRule="exact" w:val="1418"/>
        </w:trPr>
        <w:tc>
          <w:tcPr>
            <w:tcW w:w="1418" w:type="dxa"/>
          </w:tcPr>
          <w:p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rPr>
                <w:rFonts w:ascii="Arial" w:hAnsi="Arial"/>
                <w:sz w:val="18"/>
                <w:lang w:val="en-US"/>
              </w:rPr>
            </w:pPr>
          </w:p>
        </w:tc>
        <w:tc>
          <w:tcPr>
            <w:tcW w:w="8530" w:type="dxa"/>
            <w:gridSpan w:val="4"/>
            <w:vAlign w:val="bottom"/>
          </w:tcPr>
          <w:p w:rsidR="008968B6" w:rsidRPr="008968B6" w:rsidRDefault="008968B6" w:rsidP="008968B6">
            <w:pPr>
              <w:tabs>
                <w:tab w:val="right" w:pos="9639"/>
              </w:tabs>
              <w:spacing w:before="120" w:line="240" w:lineRule="auto"/>
              <w:jc w:val="left"/>
              <w:rPr>
                <w:rFonts w:ascii="Arial" w:hAnsi="Arial"/>
                <w:sz w:val="18"/>
                <w:lang w:val="en-US"/>
              </w:rPr>
            </w:pPr>
            <w:bookmarkStart w:id="8" w:name="dnum2e"/>
            <w:bookmarkEnd w:id="8"/>
          </w:p>
        </w:tc>
      </w:tr>
    </w:tbl>
    <w:p w:rsidR="008968B6" w:rsidRPr="008968B6" w:rsidRDefault="00720F3C" w:rsidP="008968B6">
      <w:pPr>
        <w:tabs>
          <w:tab w:val="right" w:pos="9639"/>
        </w:tabs>
        <w:spacing w:before="240" w:line="240" w:lineRule="auto"/>
        <w:jc w:val="right"/>
        <w:rPr>
          <w:sz w:val="20"/>
          <w:lang w:val="en-US"/>
        </w:rPr>
      </w:pPr>
      <w:bookmarkStart w:id="9" w:name="c2tope"/>
      <w:bookmarkEnd w:id="9"/>
      <w:r>
        <w:rPr>
          <w:noProof/>
          <w:lang w:val="en-GB" w:eastAsia="zh-CN"/>
        </w:rPr>
        <w:drawing>
          <wp:inline distT="0" distB="0" distL="0" distR="0">
            <wp:extent cx="666750" cy="752475"/>
            <wp:effectExtent l="0" t="0" r="0" b="9525"/>
            <wp:docPr id="5" name="Picture 24" descr="sigleITU_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sigleITU_larg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68B6" w:rsidRPr="008968B6" w:rsidRDefault="008968B6" w:rsidP="008968B6">
      <w:pPr>
        <w:spacing w:before="80" w:line="240" w:lineRule="auto"/>
        <w:jc w:val="left"/>
        <w:rPr>
          <w:i/>
          <w:sz w:val="20"/>
          <w:lang w:val="en-US"/>
        </w:rPr>
      </w:pPr>
    </w:p>
    <w:p w:rsidR="008968B6" w:rsidRPr="008968B6" w:rsidRDefault="008968B6" w:rsidP="008968B6">
      <w:pPr>
        <w:spacing w:before="120" w:line="240" w:lineRule="auto"/>
        <w:jc w:val="left"/>
        <w:rPr>
          <w:sz w:val="24"/>
          <w:lang w:val="en-US"/>
        </w:rPr>
        <w:sectPr w:rsidR="008968B6" w:rsidRPr="008968B6" w:rsidSect="008968B6">
          <w:headerReference w:type="even" r:id="rId9"/>
          <w:headerReference w:type="default" r:id="rId10"/>
          <w:type w:val="oddPage"/>
          <w:pgSz w:w="11907" w:h="16840" w:code="9"/>
          <w:pgMar w:top="1089" w:right="1089" w:bottom="284" w:left="1089" w:header="567" w:footer="284" w:gutter="0"/>
          <w:pgNumType w:start="1"/>
          <w:cols w:space="720"/>
        </w:sectPr>
      </w:pPr>
    </w:p>
    <w:p w:rsidR="008968B6" w:rsidRPr="008968B6" w:rsidRDefault="008968B6" w:rsidP="008968B6">
      <w:pPr>
        <w:spacing w:before="480" w:line="240" w:lineRule="auto"/>
        <w:jc w:val="center"/>
        <w:rPr>
          <w:lang w:val="en-US"/>
        </w:rPr>
      </w:pPr>
      <w:bookmarkStart w:id="10" w:name="irecnoe"/>
      <w:bookmarkEnd w:id="10"/>
      <w:r w:rsidRPr="008968B6">
        <w:rPr>
          <w:lang w:val="en-US"/>
        </w:rPr>
        <w:lastRenderedPageBreak/>
        <w:t>FOREWORD</w:t>
      </w:r>
    </w:p>
    <w:p w:rsidR="0088751E" w:rsidRPr="0088751E" w:rsidRDefault="0088751E" w:rsidP="0088751E">
      <w:pPr>
        <w:spacing w:line="240" w:lineRule="exact"/>
        <w:rPr>
          <w:sz w:val="20"/>
          <w:lang w:val="en-US"/>
        </w:rPr>
      </w:pPr>
      <w:r w:rsidRPr="0088751E">
        <w:rPr>
          <w:sz w:val="20"/>
          <w:lang w:val="en-US"/>
        </w:rPr>
        <w:t>The International Telecommunication Union (ITU) is the United Nations specialized agency in the field of tele</w:t>
      </w:r>
      <w:r w:rsidRPr="0088751E">
        <w:rPr>
          <w:sz w:val="20"/>
          <w:lang w:val="en-US"/>
        </w:rPr>
        <w:softHyphen/>
        <w:t>com</w:t>
      </w:r>
      <w:r w:rsidRPr="0088751E">
        <w:rPr>
          <w:sz w:val="20"/>
          <w:lang w:val="en-US"/>
        </w:rPr>
        <w:softHyphen/>
        <w:t>mu</w:t>
      </w:r>
      <w:r w:rsidRPr="0088751E">
        <w:rPr>
          <w:sz w:val="20"/>
          <w:lang w:val="en-US"/>
        </w:rPr>
        <w:softHyphen/>
        <w:t>ni</w:t>
      </w:r>
      <w:r w:rsidRPr="0088751E">
        <w:rPr>
          <w:sz w:val="20"/>
          <w:lang w:val="en-US"/>
        </w:rPr>
        <w:softHyphen/>
        <w:t>ca</w:t>
      </w:r>
      <w:r w:rsidRPr="0088751E">
        <w:rPr>
          <w:sz w:val="20"/>
          <w:lang w:val="en-US"/>
        </w:rPr>
        <w:softHyphen/>
        <w:t>tions, information and communication technologies (ICTs). The ITU Telecommunication Standardization Sector (ITU-T) is a permanent organ of ITU. ITU-T is responsible for studying technical, operating and tariff questions and issuing Recommendations on them with a view to standardizing telecommunications on a worldwide basis.</w:t>
      </w:r>
    </w:p>
    <w:p w:rsidR="0088751E" w:rsidRPr="0088751E" w:rsidRDefault="0088751E" w:rsidP="0088751E">
      <w:pPr>
        <w:spacing w:line="240" w:lineRule="exact"/>
        <w:rPr>
          <w:sz w:val="20"/>
          <w:lang w:val="en-US"/>
        </w:rPr>
      </w:pPr>
      <w:r w:rsidRPr="0088751E">
        <w:rPr>
          <w:sz w:val="20"/>
          <w:lang w:val="en-US"/>
        </w:rPr>
        <w:t xml:space="preserve">The </w:t>
      </w:r>
      <w:bookmarkStart w:id="11" w:name="iitexte"/>
      <w:r w:rsidRPr="0088751E">
        <w:rPr>
          <w:sz w:val="20"/>
          <w:lang w:val="en-US"/>
        </w:rPr>
        <w:t>World Telecommunication Standardization Assembly (WTSA), which meets every four years, establishes the topics for study by the ITU</w:t>
      </w:r>
      <w:r w:rsidRPr="0088751E">
        <w:rPr>
          <w:sz w:val="20"/>
          <w:lang w:val="en-US"/>
        </w:rPr>
        <w:noBreakHyphen/>
        <w:t>T study groups which, in turn, produce Recommendations on these topics.</w:t>
      </w:r>
    </w:p>
    <w:p w:rsidR="0088751E" w:rsidRPr="0088751E" w:rsidRDefault="0088751E" w:rsidP="0088751E">
      <w:pPr>
        <w:spacing w:line="240" w:lineRule="exact"/>
        <w:rPr>
          <w:sz w:val="20"/>
          <w:lang w:val="en-US"/>
        </w:rPr>
      </w:pPr>
      <w:r w:rsidRPr="0088751E">
        <w:rPr>
          <w:sz w:val="20"/>
          <w:lang w:val="en-US"/>
        </w:rPr>
        <w:t>The approval of ITU-T Recommendations is covered by the procedure laid down in WTSA Resolution 1</w:t>
      </w:r>
      <w:bookmarkEnd w:id="11"/>
      <w:r w:rsidRPr="0088751E">
        <w:rPr>
          <w:sz w:val="20"/>
          <w:lang w:val="en-US"/>
        </w:rPr>
        <w:t>.</w:t>
      </w:r>
    </w:p>
    <w:p w:rsidR="000E4393" w:rsidRPr="00F81B8E" w:rsidRDefault="0088751E" w:rsidP="0088751E">
      <w:pPr>
        <w:spacing w:line="240" w:lineRule="exact"/>
        <w:rPr>
          <w:sz w:val="20"/>
          <w:lang w:val="en-GB"/>
        </w:rPr>
      </w:pPr>
      <w:r w:rsidRPr="0088751E">
        <w:rPr>
          <w:sz w:val="20"/>
          <w:lang w:val="en-US"/>
        </w:rPr>
        <w:t>In some areas of information technology which fall within ITU-T's purview, the necessary standards are prepared on a collaborative basis with ISO and IEC.</w:t>
      </w: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0E4393">
      <w:pPr>
        <w:spacing w:line="240" w:lineRule="exact"/>
        <w:jc w:val="center"/>
        <w:rPr>
          <w:sz w:val="20"/>
          <w:lang w:val="en-GB"/>
        </w:rPr>
      </w:pPr>
    </w:p>
    <w:p w:rsidR="000E4393" w:rsidRPr="00F81B8E" w:rsidRDefault="000E4393" w:rsidP="00A4766C">
      <w:pPr>
        <w:spacing w:line="240" w:lineRule="exact"/>
        <w:jc w:val="center"/>
        <w:rPr>
          <w:sz w:val="20"/>
          <w:lang w:val="en-GB"/>
        </w:rPr>
      </w:pPr>
      <w:r w:rsidRPr="00F81B8E">
        <w:rPr>
          <w:sz w:val="20"/>
          <w:lang w:val="en-GB"/>
        </w:rPr>
        <w:sym w:font="Symbol" w:char="F0E3"/>
      </w:r>
      <w:r w:rsidRPr="00F81B8E">
        <w:rPr>
          <w:sz w:val="20"/>
          <w:lang w:val="en-GB"/>
        </w:rPr>
        <w:t xml:space="preserve"> ITU</w:t>
      </w:r>
      <w:bookmarkStart w:id="12" w:name="iiannee"/>
      <w:bookmarkEnd w:id="12"/>
      <w:r w:rsidR="0088751E">
        <w:rPr>
          <w:sz w:val="20"/>
          <w:lang w:val="en-GB"/>
        </w:rPr>
        <w:t> </w:t>
      </w:r>
      <w:r w:rsidRPr="00F81B8E">
        <w:rPr>
          <w:sz w:val="20"/>
          <w:lang w:val="en-GB"/>
        </w:rPr>
        <w:t>201</w:t>
      </w:r>
      <w:r w:rsidR="00A4766C">
        <w:rPr>
          <w:sz w:val="20"/>
          <w:lang w:val="en-GB"/>
        </w:rPr>
        <w:t>6</w:t>
      </w:r>
    </w:p>
    <w:p w:rsidR="008968B6" w:rsidRPr="008968B6" w:rsidRDefault="000E4393" w:rsidP="000E4393">
      <w:pPr>
        <w:spacing w:before="120" w:line="240" w:lineRule="auto"/>
        <w:rPr>
          <w:lang w:val="en-US"/>
        </w:rPr>
      </w:pPr>
      <w:r w:rsidRPr="00F81B8E">
        <w:rPr>
          <w:sz w:val="20"/>
          <w:lang w:val="en-GB"/>
        </w:rPr>
        <w:t>All rights reserved. No part of this publication may be reproduced, by any means whatsoever, without the prior written permission of ITU.</w:t>
      </w:r>
    </w:p>
    <w:p w:rsidR="00B73379" w:rsidRPr="000E4393" w:rsidRDefault="00B73379" w:rsidP="003374BB">
      <w:pPr>
        <w:pStyle w:val="ResNo"/>
        <w:rPr>
          <w:lang w:val="en-US"/>
        </w:rPr>
        <w:sectPr w:rsidR="00B73379" w:rsidRPr="000E4393" w:rsidSect="00DE48B4">
          <w:footerReference w:type="even" r:id="rId11"/>
          <w:footerReference w:type="default" r:id="rId12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:rsidR="001F043B" w:rsidRPr="001F043B" w:rsidRDefault="003374BB" w:rsidP="001F043B">
      <w:pPr>
        <w:pStyle w:val="ResNo"/>
        <w:rPr>
          <w:lang w:val="en-US"/>
        </w:rPr>
      </w:pPr>
      <w:r w:rsidRPr="000E4393">
        <w:rPr>
          <w:lang w:val="en-US"/>
        </w:rPr>
        <w:lastRenderedPageBreak/>
        <w:t xml:space="preserve">resolution </w:t>
      </w:r>
      <w:r w:rsidR="001F043B">
        <w:rPr>
          <w:rStyle w:val="href"/>
          <w:lang w:val="en-US"/>
        </w:rPr>
        <w:t>87</w:t>
      </w:r>
      <w:r w:rsidR="00D26ECC">
        <w:rPr>
          <w:rStyle w:val="href"/>
          <w:lang w:val="en-US"/>
        </w:rPr>
        <w:t xml:space="preserve"> </w:t>
      </w:r>
      <w:r w:rsidR="001F043B" w:rsidRPr="000554D4">
        <w:rPr>
          <w:lang w:val="en-GB"/>
        </w:rPr>
        <w:t>(</w:t>
      </w:r>
      <w:r w:rsidR="001F043B" w:rsidRPr="000554D4">
        <w:rPr>
          <w:caps w:val="0"/>
          <w:lang w:val="en-GB"/>
        </w:rPr>
        <w:t>Hammamet</w:t>
      </w:r>
      <w:r w:rsidR="001F043B" w:rsidRPr="000554D4">
        <w:rPr>
          <w:lang w:val="en-GB"/>
        </w:rPr>
        <w:t>, 2016)</w:t>
      </w:r>
    </w:p>
    <w:p w:rsidR="001F043B" w:rsidRDefault="001F043B" w:rsidP="001F043B">
      <w:pPr>
        <w:pStyle w:val="Restitle"/>
        <w:rPr>
          <w:lang w:val="en-GB"/>
        </w:rPr>
      </w:pPr>
      <w:r w:rsidRPr="001F043B">
        <w:rPr>
          <w:lang w:val="en-GB"/>
        </w:rPr>
        <w:t xml:space="preserve">Participation of the ITU Telecommunication Standardization Sector </w:t>
      </w:r>
      <w:r w:rsidRPr="001F043B">
        <w:rPr>
          <w:lang w:val="en-GB"/>
        </w:rPr>
        <w:br/>
        <w:t xml:space="preserve">in the periodic review and revision of the International </w:t>
      </w:r>
      <w:r w:rsidRPr="001F043B">
        <w:rPr>
          <w:lang w:val="en-GB"/>
        </w:rPr>
        <w:br/>
        <w:t>Telecommunication Regulations</w:t>
      </w:r>
    </w:p>
    <w:p w:rsidR="001F043B" w:rsidRPr="001F043B" w:rsidRDefault="001F043B" w:rsidP="001F043B">
      <w:pPr>
        <w:pStyle w:val="Resref"/>
        <w:rPr>
          <w:lang w:val="en-GB"/>
        </w:rPr>
      </w:pPr>
      <w:r w:rsidRPr="001F043B">
        <w:rPr>
          <w:lang w:val="en-GB"/>
        </w:rPr>
        <w:t>(</w:t>
      </w:r>
      <w:proofErr w:type="spellStart"/>
      <w:r w:rsidRPr="001F043B">
        <w:rPr>
          <w:lang w:val="en-GB"/>
        </w:rPr>
        <w:t>Hammamet</w:t>
      </w:r>
      <w:proofErr w:type="spellEnd"/>
      <w:r w:rsidRPr="001F043B">
        <w:rPr>
          <w:lang w:val="en-GB"/>
        </w:rPr>
        <w:t>, 2016)</w:t>
      </w:r>
    </w:p>
    <w:p w:rsidR="0047550E" w:rsidRPr="001902C7" w:rsidRDefault="0047550E" w:rsidP="0047550E">
      <w:pPr>
        <w:pStyle w:val="Normalaftertitle0"/>
      </w:pPr>
      <w:r w:rsidRPr="001902C7">
        <w:t>The World Telecommunication Standardization Assembly (</w:t>
      </w:r>
      <w:proofErr w:type="spellStart"/>
      <w:r w:rsidRPr="001902C7">
        <w:t>Hammamet</w:t>
      </w:r>
      <w:proofErr w:type="spellEnd"/>
      <w:r w:rsidRPr="001902C7">
        <w:t>, 2016),</w:t>
      </w:r>
    </w:p>
    <w:p w:rsidR="0047550E" w:rsidRPr="0047550E" w:rsidRDefault="0047550E" w:rsidP="0047550E">
      <w:pPr>
        <w:pStyle w:val="Call"/>
        <w:rPr>
          <w:lang w:val="en-US" w:eastAsia="zh-CN"/>
        </w:rPr>
      </w:pPr>
      <w:r w:rsidRPr="0047550E">
        <w:rPr>
          <w:lang w:val="en-US"/>
        </w:rPr>
        <w:t>recalling</w:t>
      </w:r>
    </w:p>
    <w:p w:rsidR="0047550E" w:rsidRPr="0047550E" w:rsidRDefault="0047550E" w:rsidP="0047550E">
      <w:pPr>
        <w:rPr>
          <w:lang w:val="en-US"/>
        </w:rPr>
      </w:pPr>
      <w:r w:rsidRPr="0047550E">
        <w:rPr>
          <w:i/>
          <w:iCs/>
          <w:lang w:val="en-US"/>
        </w:rPr>
        <w:t>a)</w:t>
      </w:r>
      <w:r w:rsidRPr="0047550E">
        <w:rPr>
          <w:lang w:val="en-US"/>
        </w:rPr>
        <w:tab/>
        <w:t>Article 25 of the ITU Constitution, on world conferences on international telecommunications (WCIT);</w:t>
      </w:r>
    </w:p>
    <w:p w:rsidR="0047550E" w:rsidRPr="0047550E" w:rsidRDefault="0047550E" w:rsidP="0047550E">
      <w:pPr>
        <w:rPr>
          <w:lang w:val="en-US"/>
        </w:rPr>
      </w:pPr>
      <w:r w:rsidRPr="0047550E">
        <w:rPr>
          <w:i/>
          <w:iCs/>
          <w:lang w:val="en-US"/>
        </w:rPr>
        <w:t>b)</w:t>
      </w:r>
      <w:r w:rsidRPr="0047550E">
        <w:rPr>
          <w:lang w:val="en-US"/>
        </w:rPr>
        <w:tab/>
        <w:t>No. 48 in Article 3 of the ITU Convention, on other conferences and assemblies;</w:t>
      </w:r>
    </w:p>
    <w:p w:rsidR="0047550E" w:rsidRPr="0047550E" w:rsidRDefault="0047550E" w:rsidP="0047550E">
      <w:pPr>
        <w:rPr>
          <w:lang w:val="en-US"/>
        </w:rPr>
      </w:pPr>
      <w:r w:rsidRPr="0047550E">
        <w:rPr>
          <w:i/>
          <w:iCs/>
          <w:lang w:val="en-US"/>
        </w:rPr>
        <w:t>c)</w:t>
      </w:r>
      <w:r w:rsidRPr="0047550E">
        <w:rPr>
          <w:lang w:val="en-US"/>
        </w:rPr>
        <w:tab/>
        <w:t>Resolution 4 (Dubai, 2012) of WCIT, on periodic review of the International Telecommunication Regulations (ITR);</w:t>
      </w:r>
    </w:p>
    <w:p w:rsidR="0047550E" w:rsidRPr="0047550E" w:rsidRDefault="0047550E" w:rsidP="0047550E">
      <w:pPr>
        <w:rPr>
          <w:lang w:val="en-US"/>
        </w:rPr>
      </w:pPr>
      <w:r w:rsidRPr="0047550E">
        <w:rPr>
          <w:i/>
          <w:iCs/>
          <w:lang w:val="en-US"/>
        </w:rPr>
        <w:t>d)</w:t>
      </w:r>
      <w:r w:rsidRPr="0047550E">
        <w:rPr>
          <w:lang w:val="en-US"/>
        </w:rPr>
        <w:tab/>
        <w:t>Resolution 146 (Rev. Busan, 2014) of the Plenipotentiary Conference, on periodic review and revision of the ITR;</w:t>
      </w:r>
    </w:p>
    <w:p w:rsidR="0047550E" w:rsidRPr="0047550E" w:rsidRDefault="0047550E" w:rsidP="0047550E">
      <w:pPr>
        <w:rPr>
          <w:lang w:val="en-US"/>
        </w:rPr>
      </w:pPr>
      <w:r w:rsidRPr="0047550E">
        <w:rPr>
          <w:i/>
          <w:iCs/>
          <w:lang w:val="en-US"/>
        </w:rPr>
        <w:t>e)</w:t>
      </w:r>
      <w:r w:rsidRPr="0047550E">
        <w:rPr>
          <w:lang w:val="en-US"/>
        </w:rPr>
        <w:tab/>
        <w:t>Resolution 1379 of the ITU Council, on the Expert Group on the International Telecommunication Regulations (EG-ITR),</w:t>
      </w:r>
    </w:p>
    <w:p w:rsidR="0047550E" w:rsidRPr="0047550E" w:rsidRDefault="0047550E" w:rsidP="0047550E">
      <w:pPr>
        <w:pStyle w:val="Call"/>
        <w:rPr>
          <w:lang w:val="en-US"/>
        </w:rPr>
      </w:pPr>
      <w:r w:rsidRPr="0047550E">
        <w:rPr>
          <w:lang w:val="en-US"/>
        </w:rPr>
        <w:t>recognizing</w:t>
      </w:r>
    </w:p>
    <w:p w:rsidR="0047550E" w:rsidRPr="0047550E" w:rsidRDefault="0047550E" w:rsidP="0047550E">
      <w:pPr>
        <w:rPr>
          <w:lang w:val="en-US"/>
        </w:rPr>
      </w:pPr>
      <w:r w:rsidRPr="0047550E">
        <w:rPr>
          <w:i/>
          <w:iCs/>
          <w:lang w:val="en-US"/>
        </w:rPr>
        <w:t>a)</w:t>
      </w:r>
      <w:r w:rsidRPr="0047550E">
        <w:rPr>
          <w:i/>
          <w:iCs/>
          <w:lang w:val="en-US"/>
        </w:rPr>
        <w:tab/>
      </w:r>
      <w:r w:rsidRPr="0047550E">
        <w:rPr>
          <w:lang w:val="en-US"/>
        </w:rPr>
        <w:t>that, as stated in Resolution 146 (Rev. Busan, 2014), the ITU Telecommunication Standardization Sector (ITU</w:t>
      </w:r>
      <w:r w:rsidRPr="0047550E">
        <w:rPr>
          <w:lang w:val="en-US"/>
        </w:rPr>
        <w:noBreakHyphen/>
        <w:t>T) has most of the work relevant to the ITR,</w:t>
      </w:r>
    </w:p>
    <w:p w:rsidR="0047550E" w:rsidRPr="0047550E" w:rsidRDefault="0047550E" w:rsidP="0047550E">
      <w:pPr>
        <w:rPr>
          <w:lang w:val="en-US"/>
        </w:rPr>
      </w:pPr>
      <w:r w:rsidRPr="0047550E">
        <w:rPr>
          <w:i/>
          <w:iCs/>
          <w:lang w:val="en-US"/>
        </w:rPr>
        <w:t>b)</w:t>
      </w:r>
      <w:r w:rsidRPr="0047550E">
        <w:rPr>
          <w:lang w:val="en-US"/>
        </w:rPr>
        <w:tab/>
        <w:t>the importance of ITU</w:t>
      </w:r>
      <w:r w:rsidRPr="0047550E">
        <w:rPr>
          <w:lang w:val="en-US"/>
        </w:rPr>
        <w:noBreakHyphen/>
        <w:t>T study groups' input to the ITU</w:t>
      </w:r>
      <w:r w:rsidRPr="0047550E">
        <w:rPr>
          <w:lang w:val="en-US"/>
        </w:rPr>
        <w:noBreakHyphen/>
        <w:t>T contributory process to EG</w:t>
      </w:r>
      <w:r w:rsidRPr="0047550E">
        <w:rPr>
          <w:lang w:val="en-US"/>
        </w:rPr>
        <w:noBreakHyphen/>
        <w:t>ITR, as appropriate and where necessary,</w:t>
      </w:r>
    </w:p>
    <w:p w:rsidR="0047550E" w:rsidRPr="0047550E" w:rsidRDefault="0047550E" w:rsidP="0047550E">
      <w:pPr>
        <w:pStyle w:val="Call"/>
        <w:rPr>
          <w:lang w:val="en-US"/>
        </w:rPr>
      </w:pPr>
      <w:r w:rsidRPr="0047550E">
        <w:rPr>
          <w:lang w:val="en-US"/>
        </w:rPr>
        <w:t>considering</w:t>
      </w:r>
    </w:p>
    <w:p w:rsidR="0047550E" w:rsidRPr="0047550E" w:rsidRDefault="0047550E" w:rsidP="0047550E">
      <w:pPr>
        <w:rPr>
          <w:lang w:val="en-US"/>
        </w:rPr>
      </w:pPr>
      <w:r w:rsidRPr="0047550E">
        <w:rPr>
          <w:i/>
          <w:iCs/>
          <w:lang w:val="en-US"/>
        </w:rPr>
        <w:t>a)</w:t>
      </w:r>
      <w:r w:rsidRPr="0047550E">
        <w:rPr>
          <w:lang w:val="en-US"/>
        </w:rPr>
        <w:tab/>
        <w:t>that ITU</w:t>
      </w:r>
      <w:r w:rsidRPr="0047550E">
        <w:rPr>
          <w:lang w:val="en-US"/>
        </w:rPr>
        <w:noBreakHyphen/>
        <w:t>T is playing an important role in resolving new and emerging issues arising from the changing global international telecommunication/information communication technology environment;</w:t>
      </w:r>
    </w:p>
    <w:p w:rsidR="0047550E" w:rsidRPr="0047550E" w:rsidRDefault="0047550E" w:rsidP="0047550E">
      <w:pPr>
        <w:rPr>
          <w:lang w:val="en-US"/>
        </w:rPr>
      </w:pPr>
      <w:r w:rsidRPr="0047550E">
        <w:rPr>
          <w:i/>
          <w:iCs/>
          <w:lang w:val="en-US"/>
        </w:rPr>
        <w:t>b)</w:t>
      </w:r>
      <w:r w:rsidRPr="0047550E">
        <w:rPr>
          <w:lang w:val="en-US"/>
        </w:rPr>
        <w:tab/>
        <w:t>that all Member States as well as ITU</w:t>
      </w:r>
      <w:r w:rsidRPr="0047550E">
        <w:rPr>
          <w:lang w:val="en-US"/>
        </w:rPr>
        <w:noBreakHyphen/>
        <w:t>T Sector Members should have the opportunity to contribute to further work on the ITR,</w:t>
      </w:r>
    </w:p>
    <w:p w:rsidR="0047550E" w:rsidRPr="0047550E" w:rsidRDefault="0047550E" w:rsidP="0047550E">
      <w:pPr>
        <w:pStyle w:val="Call"/>
        <w:rPr>
          <w:lang w:val="en-US"/>
        </w:rPr>
      </w:pPr>
      <w:r w:rsidRPr="0047550E">
        <w:rPr>
          <w:lang w:val="en-US"/>
        </w:rPr>
        <w:t xml:space="preserve">resolves to instruct the Director of the Telecommunication Standardization Bureau </w:t>
      </w:r>
    </w:p>
    <w:p w:rsidR="0047550E" w:rsidRPr="0047550E" w:rsidRDefault="0047550E" w:rsidP="0047550E">
      <w:pPr>
        <w:rPr>
          <w:lang w:val="en-US"/>
        </w:rPr>
      </w:pPr>
      <w:r w:rsidRPr="0047550E">
        <w:rPr>
          <w:lang w:val="en-US"/>
        </w:rPr>
        <w:t>1</w:t>
      </w:r>
      <w:r w:rsidRPr="0047550E">
        <w:rPr>
          <w:lang w:val="en-US"/>
        </w:rPr>
        <w:tab/>
        <w:t xml:space="preserve">to undertake the necessary activities within the Director's field of competence in order to fully implement Resolution 146 (Rev. Busan, 2014) and Council Resolution 1379; </w:t>
      </w:r>
    </w:p>
    <w:p w:rsidR="0047550E" w:rsidRPr="0047550E" w:rsidRDefault="0047550E" w:rsidP="0047550E">
      <w:pPr>
        <w:rPr>
          <w:i/>
          <w:lang w:val="en-US"/>
        </w:rPr>
      </w:pPr>
      <w:r w:rsidRPr="0047550E">
        <w:rPr>
          <w:lang w:val="en-US"/>
        </w:rPr>
        <w:t>2</w:t>
      </w:r>
      <w:r w:rsidRPr="0047550E">
        <w:rPr>
          <w:lang w:val="en-US"/>
        </w:rPr>
        <w:tab/>
        <w:t>to submit the result of these activities to EG-ITR,</w:t>
      </w:r>
    </w:p>
    <w:p w:rsidR="0047550E" w:rsidRPr="0047550E" w:rsidRDefault="0047550E" w:rsidP="0047550E">
      <w:pPr>
        <w:pStyle w:val="Call"/>
        <w:rPr>
          <w:lang w:val="en-US"/>
        </w:rPr>
      </w:pPr>
      <w:r w:rsidRPr="0047550E">
        <w:rPr>
          <w:lang w:val="en-US"/>
        </w:rPr>
        <w:t>instructs the Telecommunication Standardization Advisory Group</w:t>
      </w:r>
    </w:p>
    <w:p w:rsidR="0047550E" w:rsidRPr="0047550E" w:rsidRDefault="0047550E" w:rsidP="0047550E">
      <w:pPr>
        <w:rPr>
          <w:lang w:val="en-US"/>
        </w:rPr>
      </w:pPr>
      <w:r w:rsidRPr="0047550E">
        <w:rPr>
          <w:lang w:val="en-US"/>
        </w:rPr>
        <w:t>to provide advice to the Director of the Telecommunication Standardization Bureau consistent with Resolution 146 (Rev. Busan, 2014) and Council Resolution 1379,</w:t>
      </w:r>
    </w:p>
    <w:p w:rsidR="0047550E" w:rsidRPr="0047550E" w:rsidRDefault="0047550E" w:rsidP="0047550E">
      <w:pPr>
        <w:pStyle w:val="Call"/>
        <w:rPr>
          <w:lang w:val="en-US"/>
        </w:rPr>
      </w:pPr>
      <w:r w:rsidRPr="0047550E">
        <w:rPr>
          <w:lang w:val="en-US"/>
        </w:rPr>
        <w:lastRenderedPageBreak/>
        <w:t>invites Member States and Sector Members</w:t>
      </w:r>
    </w:p>
    <w:p w:rsidR="0047550E" w:rsidRPr="0047550E" w:rsidRDefault="0047550E" w:rsidP="0047550E">
      <w:pPr>
        <w:keepNext/>
        <w:keepLines/>
        <w:rPr>
          <w:color w:val="000000" w:themeColor="text1"/>
          <w:lang w:val="en-US"/>
        </w:rPr>
      </w:pPr>
      <w:r w:rsidRPr="0047550E">
        <w:rPr>
          <w:lang w:val="en-US"/>
        </w:rPr>
        <w:t>to participate in and contribute to the implementation of this resolution</w:t>
      </w:r>
      <w:r w:rsidRPr="0047550E">
        <w:rPr>
          <w:color w:val="000000" w:themeColor="text1"/>
          <w:lang w:val="en-US"/>
        </w:rPr>
        <w:t>.</w:t>
      </w:r>
    </w:p>
    <w:p w:rsidR="00A4766C" w:rsidRDefault="00A4766C" w:rsidP="000E4393">
      <w:pPr>
        <w:rPr>
          <w:lang w:val="en-US"/>
        </w:rPr>
      </w:pPr>
    </w:p>
    <w:p w:rsidR="0047550E" w:rsidRDefault="0047550E" w:rsidP="000E4393">
      <w:pPr>
        <w:rPr>
          <w:lang w:val="en-US"/>
        </w:rPr>
      </w:pPr>
    </w:p>
    <w:p w:rsidR="0047550E" w:rsidRDefault="0047550E" w:rsidP="000E4393">
      <w:pPr>
        <w:rPr>
          <w:lang w:val="en-US"/>
        </w:rPr>
      </w:pPr>
    </w:p>
    <w:p w:rsidR="0047550E" w:rsidRDefault="0047550E" w:rsidP="000E4393">
      <w:pPr>
        <w:rPr>
          <w:lang w:val="en-US"/>
        </w:rPr>
      </w:pPr>
    </w:p>
    <w:p w:rsidR="0047550E" w:rsidRDefault="0047550E" w:rsidP="000E4393">
      <w:pPr>
        <w:rPr>
          <w:lang w:val="en-US"/>
        </w:rPr>
      </w:pPr>
    </w:p>
    <w:p w:rsidR="0047550E" w:rsidRDefault="0047550E" w:rsidP="000E4393">
      <w:pPr>
        <w:rPr>
          <w:lang w:val="en-US"/>
        </w:rPr>
      </w:pPr>
    </w:p>
    <w:p w:rsidR="0047550E" w:rsidRDefault="0047550E" w:rsidP="000E4393">
      <w:pPr>
        <w:rPr>
          <w:lang w:val="en-US"/>
        </w:rPr>
      </w:pPr>
    </w:p>
    <w:p w:rsidR="0047550E" w:rsidRDefault="0047550E" w:rsidP="000E4393">
      <w:pPr>
        <w:rPr>
          <w:lang w:val="en-US"/>
        </w:rPr>
      </w:pPr>
    </w:p>
    <w:p w:rsidR="0047550E" w:rsidRDefault="0047550E" w:rsidP="000E4393">
      <w:pPr>
        <w:rPr>
          <w:lang w:val="en-US"/>
        </w:rPr>
      </w:pPr>
    </w:p>
    <w:p w:rsidR="0047550E" w:rsidRDefault="0047550E" w:rsidP="000E4393">
      <w:pPr>
        <w:rPr>
          <w:lang w:val="en-US"/>
        </w:rPr>
      </w:pPr>
    </w:p>
    <w:p w:rsidR="0047550E" w:rsidRDefault="0047550E" w:rsidP="000E4393">
      <w:pPr>
        <w:rPr>
          <w:lang w:val="en-US"/>
        </w:rPr>
      </w:pPr>
    </w:p>
    <w:p w:rsidR="0047550E" w:rsidRDefault="0047550E" w:rsidP="000E4393">
      <w:pPr>
        <w:rPr>
          <w:lang w:val="en-US"/>
        </w:rPr>
      </w:pPr>
    </w:p>
    <w:p w:rsidR="0047550E" w:rsidRDefault="0047550E" w:rsidP="000E4393">
      <w:pPr>
        <w:rPr>
          <w:lang w:val="en-US"/>
        </w:rPr>
      </w:pPr>
    </w:p>
    <w:p w:rsidR="0047550E" w:rsidRDefault="0047550E" w:rsidP="000E4393">
      <w:pPr>
        <w:rPr>
          <w:lang w:val="en-US"/>
        </w:rPr>
      </w:pPr>
    </w:p>
    <w:p w:rsidR="0047550E" w:rsidRPr="0047550E" w:rsidRDefault="0047550E" w:rsidP="000E4393">
      <w:pPr>
        <w:rPr>
          <w:lang w:val="en-US"/>
        </w:rPr>
      </w:pPr>
    </w:p>
    <w:p w:rsidR="00A4766C" w:rsidRDefault="00A4766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n-GB"/>
        </w:rPr>
      </w:pPr>
    </w:p>
    <w:p w:rsidR="00234CAC" w:rsidRDefault="00234CA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n-GB"/>
        </w:rPr>
      </w:pPr>
    </w:p>
    <w:p w:rsidR="00234CAC" w:rsidRDefault="00234CA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n-GB"/>
        </w:rPr>
      </w:pPr>
    </w:p>
    <w:p w:rsidR="00234CAC" w:rsidRDefault="00234CA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n-GB"/>
        </w:rPr>
      </w:pPr>
    </w:p>
    <w:p w:rsidR="00234CAC" w:rsidRDefault="00234CAC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lang w:val="en-GB"/>
        </w:rPr>
      </w:pPr>
    </w:p>
    <w:p w:rsidR="00E03ABC" w:rsidRPr="000E4393" w:rsidRDefault="00E03ABC" w:rsidP="000E4393">
      <w:pPr>
        <w:rPr>
          <w:lang w:val="en-US"/>
        </w:rPr>
      </w:pPr>
    </w:p>
    <w:sectPr w:rsidR="00E03ABC" w:rsidRPr="000E4393" w:rsidSect="00A4766C">
      <w:headerReference w:type="even" r:id="rId13"/>
      <w:footerReference w:type="even" r:id="rId14"/>
      <w:headerReference w:type="first" r:id="rId15"/>
      <w:footerReference w:type="first" r:id="rId16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5CD" w:rsidRDefault="008075CD">
      <w:r>
        <w:separator/>
      </w:r>
    </w:p>
  </w:endnote>
  <w:endnote w:type="continuationSeparator" w:id="0">
    <w:p w:rsidR="008075CD" w:rsidRDefault="00807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CE4" w:rsidRPr="00DE48B4" w:rsidRDefault="000D3CE4" w:rsidP="00DE48B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3CE4" w:rsidRPr="008968B6" w:rsidRDefault="000D3CE4" w:rsidP="008968B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AF4" w:rsidRPr="00234CAC" w:rsidRDefault="00234CAC" w:rsidP="00234CAC">
    <w:pPr>
      <w:pStyle w:val="FooterQP"/>
      <w:rPr>
        <w:lang w:val="en-US"/>
      </w:rPr>
    </w:pP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0554D4">
      <w:rPr>
        <w:b w:val="0"/>
        <w:bCs/>
        <w:noProof/>
        <w:lang w:val="en-US"/>
      </w:rPr>
      <w:t>2</w:t>
    </w:r>
    <w:r w:rsidRPr="00B73379">
      <w:rPr>
        <w:b w:val="0"/>
        <w:bCs/>
      </w:rPr>
      <w:fldChar w:fldCharType="end"/>
    </w:r>
    <w:r>
      <w:rPr>
        <w:lang w:val="en-US"/>
      </w:rPr>
      <w:tab/>
      <w:t xml:space="preserve">WTSA-16 – Resolution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0554D4">
      <w:rPr>
        <w:noProof/>
      </w:rPr>
      <w:t>87</w:t>
    </w:r>
    <w: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66C" w:rsidRPr="00A4766C" w:rsidRDefault="00A4766C" w:rsidP="00706D3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  <w:t>WTSA-1</w:t>
    </w:r>
    <w:r w:rsidR="00706D36">
      <w:rPr>
        <w:lang w:val="en-US"/>
      </w:rPr>
      <w:t>6</w:t>
    </w:r>
    <w:r>
      <w:rPr>
        <w:lang w:val="en-US"/>
      </w:rPr>
      <w:t xml:space="preserve"> – Resolution </w:t>
    </w:r>
    <w:r>
      <w:fldChar w:fldCharType="begin"/>
    </w:r>
    <w:r>
      <w:rPr>
        <w:lang w:val="en-US"/>
      </w:rPr>
      <w:instrText>styleref href</w:instrText>
    </w:r>
    <w:r>
      <w:fldChar w:fldCharType="separate"/>
    </w:r>
    <w:r w:rsidR="000554D4">
      <w:rPr>
        <w:noProof/>
      </w:rPr>
      <w:t>87</w:t>
    </w:r>
    <w: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0554D4">
      <w:rPr>
        <w:b w:val="0"/>
        <w:bCs/>
        <w:noProof/>
        <w:lang w:val="en-US"/>
      </w:rPr>
      <w:t>1</w:t>
    </w:r>
    <w:r w:rsidRPr="00B73379">
      <w:rPr>
        <w:b w:val="0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5CD" w:rsidRDefault="008075CD">
      <w:r>
        <w:t>____________________</w:t>
      </w:r>
    </w:p>
  </w:footnote>
  <w:footnote w:type="continuationSeparator" w:id="0">
    <w:p w:rsidR="008075CD" w:rsidRDefault="008075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8B6" w:rsidRDefault="008968B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68B6" w:rsidRDefault="008968B6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2AF4" w:rsidRDefault="00C72AF4">
    <w:pPr>
      <w:pStyle w:val="Header"/>
      <w:ind w:right="360"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>
    <w:abstractNumId w:val="28"/>
  </w:num>
  <w:num w:numId="2">
    <w:abstractNumId w:val="13"/>
  </w:num>
  <w:num w:numId="3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20"/>
  </w:num>
  <w:num w:numId="6">
    <w:abstractNumId w:val="8"/>
  </w:num>
  <w:num w:numId="7">
    <w:abstractNumId w:val="6"/>
  </w:num>
  <w:num w:numId="8">
    <w:abstractNumId w:val="26"/>
  </w:num>
  <w:num w:numId="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</w:num>
  <w:num w:numId="11">
    <w:abstractNumId w:val="4"/>
  </w:num>
  <w:num w:numId="12">
    <w:abstractNumId w:val="14"/>
  </w:num>
  <w:num w:numId="13">
    <w:abstractNumId w:val="15"/>
  </w:num>
  <w:num w:numId="14">
    <w:abstractNumId w:val="23"/>
  </w:num>
  <w:num w:numId="15">
    <w:abstractNumId w:val="12"/>
  </w:num>
  <w:num w:numId="16">
    <w:abstractNumId w:val="27"/>
  </w:num>
  <w:num w:numId="17">
    <w:abstractNumId w:val="24"/>
  </w:num>
  <w:num w:numId="18">
    <w:abstractNumId w:val="19"/>
  </w:num>
  <w:num w:numId="19">
    <w:abstractNumId w:val="9"/>
  </w:num>
  <w:num w:numId="20">
    <w:abstractNumId w:val="16"/>
  </w:num>
  <w:num w:numId="21">
    <w:abstractNumId w:val="10"/>
  </w:num>
  <w:num w:numId="22">
    <w:abstractNumId w:val="22"/>
  </w:num>
  <w:num w:numId="23">
    <w:abstractNumId w:val="7"/>
  </w:num>
  <w:num w:numId="24">
    <w:abstractNumId w:val="2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C26"/>
    <w:rsid w:val="00001053"/>
    <w:rsid w:val="00011D78"/>
    <w:rsid w:val="00017B45"/>
    <w:rsid w:val="0003503D"/>
    <w:rsid w:val="000554D4"/>
    <w:rsid w:val="000B01F8"/>
    <w:rsid w:val="000B071B"/>
    <w:rsid w:val="000B47CD"/>
    <w:rsid w:val="000B5A36"/>
    <w:rsid w:val="000C22AE"/>
    <w:rsid w:val="000D378F"/>
    <w:rsid w:val="000D3CE4"/>
    <w:rsid w:val="000D5219"/>
    <w:rsid w:val="000D6DAE"/>
    <w:rsid w:val="000E4393"/>
    <w:rsid w:val="001309FB"/>
    <w:rsid w:val="001B4A76"/>
    <w:rsid w:val="001C5240"/>
    <w:rsid w:val="001C604C"/>
    <w:rsid w:val="001F043B"/>
    <w:rsid w:val="002204D5"/>
    <w:rsid w:val="002210D5"/>
    <w:rsid w:val="00227040"/>
    <w:rsid w:val="00234CAC"/>
    <w:rsid w:val="00237B40"/>
    <w:rsid w:val="00246C17"/>
    <w:rsid w:val="002742C3"/>
    <w:rsid w:val="002C182C"/>
    <w:rsid w:val="002D5607"/>
    <w:rsid w:val="00331B2F"/>
    <w:rsid w:val="003374BB"/>
    <w:rsid w:val="0038237B"/>
    <w:rsid w:val="003C3FD9"/>
    <w:rsid w:val="003D116F"/>
    <w:rsid w:val="003D7A8C"/>
    <w:rsid w:val="003F293E"/>
    <w:rsid w:val="004568D2"/>
    <w:rsid w:val="004612A7"/>
    <w:rsid w:val="00462F6A"/>
    <w:rsid w:val="00467305"/>
    <w:rsid w:val="0047550E"/>
    <w:rsid w:val="0048772A"/>
    <w:rsid w:val="004F2E56"/>
    <w:rsid w:val="00501F47"/>
    <w:rsid w:val="00504D1F"/>
    <w:rsid w:val="00524FB2"/>
    <w:rsid w:val="005569CA"/>
    <w:rsid w:val="00562EF2"/>
    <w:rsid w:val="00574CFF"/>
    <w:rsid w:val="005D1D45"/>
    <w:rsid w:val="00601999"/>
    <w:rsid w:val="00611CD0"/>
    <w:rsid w:val="00631549"/>
    <w:rsid w:val="006425B4"/>
    <w:rsid w:val="00653C1B"/>
    <w:rsid w:val="00665F6E"/>
    <w:rsid w:val="006678D7"/>
    <w:rsid w:val="00693D4F"/>
    <w:rsid w:val="00697D23"/>
    <w:rsid w:val="006B0459"/>
    <w:rsid w:val="006B5987"/>
    <w:rsid w:val="006E13C5"/>
    <w:rsid w:val="00706D36"/>
    <w:rsid w:val="00707551"/>
    <w:rsid w:val="007116DC"/>
    <w:rsid w:val="0071403C"/>
    <w:rsid w:val="00720F3C"/>
    <w:rsid w:val="0074102F"/>
    <w:rsid w:val="007550BF"/>
    <w:rsid w:val="00780423"/>
    <w:rsid w:val="00783EB8"/>
    <w:rsid w:val="007958DD"/>
    <w:rsid w:val="007D7906"/>
    <w:rsid w:val="007E0240"/>
    <w:rsid w:val="008075CD"/>
    <w:rsid w:val="00851E30"/>
    <w:rsid w:val="0088751E"/>
    <w:rsid w:val="008968B6"/>
    <w:rsid w:val="008B4CF6"/>
    <w:rsid w:val="008C7FC3"/>
    <w:rsid w:val="008D6D8D"/>
    <w:rsid w:val="009055E3"/>
    <w:rsid w:val="00905B41"/>
    <w:rsid w:val="00916468"/>
    <w:rsid w:val="0092650E"/>
    <w:rsid w:val="00931EE1"/>
    <w:rsid w:val="009330E7"/>
    <w:rsid w:val="00934946"/>
    <w:rsid w:val="0095090C"/>
    <w:rsid w:val="00974C0C"/>
    <w:rsid w:val="009755D7"/>
    <w:rsid w:val="009C2357"/>
    <w:rsid w:val="009D10A5"/>
    <w:rsid w:val="009D26AE"/>
    <w:rsid w:val="009F7009"/>
    <w:rsid w:val="00A01A91"/>
    <w:rsid w:val="00A24E9A"/>
    <w:rsid w:val="00A26B1A"/>
    <w:rsid w:val="00A365F3"/>
    <w:rsid w:val="00A4766C"/>
    <w:rsid w:val="00A83D3D"/>
    <w:rsid w:val="00AA2D89"/>
    <w:rsid w:val="00AE4C26"/>
    <w:rsid w:val="00B23929"/>
    <w:rsid w:val="00B3059C"/>
    <w:rsid w:val="00B33CAA"/>
    <w:rsid w:val="00B50CB4"/>
    <w:rsid w:val="00B50D4E"/>
    <w:rsid w:val="00B50F17"/>
    <w:rsid w:val="00B56BC0"/>
    <w:rsid w:val="00B67290"/>
    <w:rsid w:val="00B73379"/>
    <w:rsid w:val="00B73B62"/>
    <w:rsid w:val="00B92804"/>
    <w:rsid w:val="00BB34EA"/>
    <w:rsid w:val="00BE58E6"/>
    <w:rsid w:val="00BF610E"/>
    <w:rsid w:val="00C12E70"/>
    <w:rsid w:val="00C32F69"/>
    <w:rsid w:val="00C42785"/>
    <w:rsid w:val="00C64078"/>
    <w:rsid w:val="00C72AF4"/>
    <w:rsid w:val="00CB24B0"/>
    <w:rsid w:val="00CD10C2"/>
    <w:rsid w:val="00CD3865"/>
    <w:rsid w:val="00CE767E"/>
    <w:rsid w:val="00CF024D"/>
    <w:rsid w:val="00D26ECC"/>
    <w:rsid w:val="00D4292A"/>
    <w:rsid w:val="00D457B6"/>
    <w:rsid w:val="00D66950"/>
    <w:rsid w:val="00D8497D"/>
    <w:rsid w:val="00D94D9E"/>
    <w:rsid w:val="00DA7D60"/>
    <w:rsid w:val="00DB2AF8"/>
    <w:rsid w:val="00DB5592"/>
    <w:rsid w:val="00DE48B4"/>
    <w:rsid w:val="00E03ABC"/>
    <w:rsid w:val="00E154E2"/>
    <w:rsid w:val="00E300EC"/>
    <w:rsid w:val="00E51820"/>
    <w:rsid w:val="00E56BAB"/>
    <w:rsid w:val="00E67297"/>
    <w:rsid w:val="00E758D6"/>
    <w:rsid w:val="00E82452"/>
    <w:rsid w:val="00E83C1C"/>
    <w:rsid w:val="00E96B11"/>
    <w:rsid w:val="00E96C27"/>
    <w:rsid w:val="00EE1126"/>
    <w:rsid w:val="00EE2FE2"/>
    <w:rsid w:val="00F0099E"/>
    <w:rsid w:val="00F12607"/>
    <w:rsid w:val="00F15F98"/>
    <w:rsid w:val="00F34748"/>
    <w:rsid w:val="00F4281C"/>
    <w:rsid w:val="00F67E96"/>
    <w:rsid w:val="00FA70B7"/>
    <w:rsid w:val="00FD23A9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aliases w:val="Appel note de bas de p,Footnote Reference/"/>
    <w:uiPriority w:val="99"/>
    <w:rsid w:val="00B3059C"/>
    <w:rPr>
      <w:position w:val="6"/>
      <w:sz w:val="16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"/>
    <w:basedOn w:val="Note"/>
    <w:link w:val="FootnoteTextChar"/>
    <w:uiPriority w:val="99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link w:val="FootnoteText"/>
    <w:uiPriority w:val="99"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character" w:customStyle="1" w:styleId="enumlev1Char">
    <w:name w:val="enumlev1 Char"/>
    <w:link w:val="enumlev1"/>
    <w:uiPriority w:val="99"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uiPriority w:val="99"/>
    <w:pPr>
      <w:ind w:left="1191" w:hanging="397"/>
    </w:pPr>
  </w:style>
  <w:style w:type="paragraph" w:customStyle="1" w:styleId="enumlev3">
    <w:name w:val="enumlev3"/>
    <w:basedOn w:val="enumlev2"/>
    <w:uiPriority w:val="99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uiPriority w:val="99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uiPriority w:val="99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 w:line="240" w:lineRule="auto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uiPriority w:val="99"/>
  </w:style>
  <w:style w:type="paragraph" w:customStyle="1" w:styleId="Resref">
    <w:name w:val="Res_ref"/>
    <w:basedOn w:val="Recref"/>
    <w:next w:val="Resdate"/>
    <w:qFormat/>
  </w:style>
  <w:style w:type="character" w:customStyle="1" w:styleId="RestitleChar">
    <w:name w:val="Res_title Char"/>
    <w:link w:val="Restitle"/>
    <w:rsid w:val="003374BB"/>
    <w:rPr>
      <w:b/>
      <w:sz w:val="28"/>
      <w:lang w:val="fr-FR" w:eastAsia="en-US" w:bidi="ar-SA"/>
    </w:rPr>
  </w:style>
  <w:style w:type="character" w:customStyle="1" w:styleId="ResNoChar">
    <w:name w:val="Res_No Char"/>
    <w:link w:val="ResNo"/>
    <w:rsid w:val="00D8497D"/>
    <w:rPr>
      <w:caps/>
      <w:sz w:val="28"/>
      <w:lang w:val="fr-FR" w:eastAsia="en-US" w:bidi="ar-SA"/>
    </w:rPr>
  </w:style>
  <w:style w:type="paragraph" w:customStyle="1" w:styleId="SectionNo">
    <w:name w:val="Section_No"/>
    <w:basedOn w:val="Normal"/>
    <w:next w:val="Sectiontitle"/>
    <w:uiPriority w:val="99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uiPriority w:val="99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Index5">
    <w:name w:val="index 5"/>
    <w:basedOn w:val="Normal"/>
    <w:next w:val="Normal"/>
    <w:semiHidden/>
    <w:pPr>
      <w:spacing w:before="120" w:line="240" w:lineRule="auto"/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spacing w:before="120" w:line="240" w:lineRule="auto"/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 w:line="240" w:lineRule="auto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 w:line="240" w:lineRule="auto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 w:line="240" w:lineRule="auto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0E4393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 w:line="240" w:lineRule="auto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headingb0">
    <w:name w:val="heading_b"/>
    <w:basedOn w:val="Heading3"/>
    <w:next w:val="Normal"/>
    <w:rsid w:val="00697D23"/>
    <w:pPr>
      <w:tabs>
        <w:tab w:val="left" w:pos="2127"/>
        <w:tab w:val="left" w:pos="2410"/>
        <w:tab w:val="left" w:pos="2921"/>
        <w:tab w:val="left" w:pos="3261"/>
      </w:tabs>
      <w:spacing w:before="160" w:line="240" w:lineRule="auto"/>
      <w:jc w:val="left"/>
      <w:outlineLvl w:val="9"/>
    </w:pPr>
    <w:rPr>
      <w:rFonts w:eastAsia="SimSun"/>
      <w:bCs/>
      <w:lang w:val="en-GB"/>
    </w:rPr>
  </w:style>
  <w:style w:type="paragraph" w:customStyle="1" w:styleId="AnnexNo">
    <w:name w:val="Annex_No"/>
    <w:basedOn w:val="Normal"/>
    <w:next w:val="Normal"/>
    <w:rsid w:val="00DB2AF8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0E4393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character" w:customStyle="1" w:styleId="Smbolodenotaalpie">
    <w:name w:val="Símbolo de nota al pie"/>
    <w:rsid w:val="002C182C"/>
    <w:rPr>
      <w:position w:val="5"/>
      <w:sz w:val="18"/>
    </w:rPr>
  </w:style>
  <w:style w:type="paragraph" w:styleId="List2">
    <w:name w:val="List 2"/>
    <w:basedOn w:val="Normal"/>
    <w:rsid w:val="00EE1126"/>
    <w:pPr>
      <w:spacing w:before="120" w:line="240" w:lineRule="auto"/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TableNotitle0">
    <w:name w:val="Table_No &amp; title"/>
    <w:basedOn w:val="Normal"/>
    <w:next w:val="Tablehead"/>
    <w:rsid w:val="008B4CF6"/>
    <w:pPr>
      <w:keepNext/>
      <w:keepLines/>
      <w:spacing w:before="360" w:after="120" w:line="240" w:lineRule="auto"/>
      <w:jc w:val="center"/>
    </w:pPr>
    <w:rPr>
      <w:b/>
      <w:sz w:val="24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 w:line="240" w:lineRule="auto"/>
      <w:jc w:val="center"/>
    </w:pPr>
    <w:rPr>
      <w:caps/>
      <w:sz w:val="24"/>
      <w:lang w:val="en-GB"/>
    </w:rPr>
  </w:style>
  <w:style w:type="paragraph" w:customStyle="1" w:styleId="Rec">
    <w:name w:val="Rec_#"/>
    <w:basedOn w:val="Normal"/>
    <w:next w:val="Normal"/>
    <w:rsid w:val="00CF024D"/>
    <w:pPr>
      <w:keepNext/>
      <w:keepLines/>
      <w:spacing w:before="480" w:line="240" w:lineRule="auto"/>
      <w:jc w:val="left"/>
    </w:pPr>
    <w:rPr>
      <w:b/>
      <w:sz w:val="24"/>
      <w:lang w:val="en-GB"/>
    </w:rPr>
  </w:style>
  <w:style w:type="paragraph" w:customStyle="1" w:styleId="Figuretitle">
    <w:name w:val="Figure_title"/>
    <w:basedOn w:val="Normal"/>
    <w:next w:val="Normal"/>
    <w:uiPriority w:val="99"/>
    <w:rsid w:val="000E4393"/>
    <w:pPr>
      <w:keepLines/>
      <w:spacing w:before="0" w:after="480" w:line="240" w:lineRule="auto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0E4393"/>
    <w:pPr>
      <w:keepNext/>
      <w:keepLines/>
      <w:spacing w:before="480" w:after="80" w:line="240" w:lineRule="auto"/>
      <w:jc w:val="center"/>
    </w:pPr>
    <w:rPr>
      <w:caps/>
      <w:sz w:val="28"/>
      <w:lang w:val="en-GB"/>
    </w:rPr>
  </w:style>
  <w:style w:type="paragraph" w:customStyle="1" w:styleId="Appendixtitle">
    <w:name w:val="Appendix_title"/>
    <w:basedOn w:val="Normal"/>
    <w:next w:val="Normal"/>
    <w:uiPriority w:val="99"/>
    <w:rsid w:val="000E4393"/>
    <w:pPr>
      <w:keepNext/>
      <w:keepLines/>
      <w:spacing w:before="240" w:after="280" w:line="240" w:lineRule="auto"/>
      <w:jc w:val="center"/>
    </w:pPr>
    <w:rPr>
      <w:rFonts w:ascii="Times New Roman Bold" w:hAnsi="Times New Roman Bold"/>
      <w:b/>
      <w:sz w:val="2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mmouni\AppData\Roaming\Microsoft\Templates\Livre_jaun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Livre_jaune.dot</Template>
  <TotalTime>5</TotalTime>
  <Pages>4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ITU-T Rec. Book 1 Resolutions ITU-T Series A Recommendations:</vt:lpstr>
    </vt:vector>
  </TitlesOfParts>
  <Company>ITU</Company>
  <LinksUpToDate>false</LinksUpToDate>
  <CharactersWithSpaces>3588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ITU-T Rec. Book 1 Resolutions ITU-T Series A Recommendations:</dc:title>
  <dc:subject>WORLD TELECOMMUNICATION STANDARDIZATION ASSEMBLY - Florianópolis, 5-14 October 2004</dc:subject>
  <dc:creator>ITU-T</dc:creator>
  <cp:keywords>.Book 1,,Book 1</cp:keywords>
  <dc:description>ASM                                 1.12.04      SP_x000d_
Corr. BAT                         8.12.04      SP</dc:description>
  <cp:lastModifiedBy>Berdyeva, Elena</cp:lastModifiedBy>
  <cp:revision>7</cp:revision>
  <cp:lastPrinted>2016-12-14T13:56:00Z</cp:lastPrinted>
  <dcterms:created xsi:type="dcterms:W3CDTF">2016-12-14T13:51:00Z</dcterms:created>
  <dcterms:modified xsi:type="dcterms:W3CDTF">2016-12-15T08:22:00Z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