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08"/>
        <w:gridCol w:w="2041"/>
        <w:gridCol w:w="3971"/>
      </w:tblGrid>
      <w:tr w:rsidR="00FB6D55" w:rsidRPr="003518D5">
        <w:trPr>
          <w:trHeight w:hRule="exact" w:val="1418"/>
        </w:trPr>
        <w:tc>
          <w:tcPr>
            <w:tcW w:w="1428" w:type="dxa"/>
            <w:gridSpan w:val="2"/>
          </w:tcPr>
          <w:p w:rsidR="00FB6D55" w:rsidRPr="003518D5" w:rsidRDefault="00B33224" w:rsidP="00223031">
            <w:pPr>
              <w:pStyle w:val="Note"/>
            </w:pPr>
            <w:r>
              <w:rPr>
                <w:noProof/>
                <w:lang w:val="en-GB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-1009650</wp:posOffset>
                  </wp:positionH>
                  <wp:positionV relativeFrom="paragraph">
                    <wp:posOffset>-681355</wp:posOffset>
                  </wp:positionV>
                  <wp:extent cx="1612900" cy="10828655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082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6D55" w:rsidRPr="003518D5" w:rsidRDefault="00FB6D55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:rsidR="00FB6D55" w:rsidRPr="003518D5" w:rsidRDefault="00FB6D55">
            <w:pPr>
              <w:spacing w:before="0"/>
            </w:pPr>
          </w:p>
          <w:p w:rsidR="00FB6D55" w:rsidRPr="003518D5" w:rsidRDefault="00FB6D55">
            <w:pPr>
              <w:spacing w:before="284"/>
              <w:rPr>
                <w:rFonts w:ascii="Arial" w:hAnsi="Arial" w:cs="Arial"/>
                <w:b/>
                <w:bCs/>
                <w:spacing w:val="80"/>
                <w:sz w:val="18"/>
              </w:rPr>
            </w:pPr>
            <w:r w:rsidRPr="003518D5">
              <w:rPr>
                <w:rFonts w:ascii="Arial" w:hAnsi="Arial" w:cs="Arial"/>
                <w:b/>
                <w:bCs/>
                <w:color w:val="808080"/>
                <w:spacing w:val="80"/>
              </w:rPr>
              <w:t>Unión Internacional de Telecomunicaciones</w:t>
            </w:r>
          </w:p>
        </w:tc>
      </w:tr>
      <w:tr w:rsidR="00FB6D55" w:rsidRPr="003518D5">
        <w:trPr>
          <w:trHeight w:hRule="exact" w:val="992"/>
        </w:trPr>
        <w:tc>
          <w:tcPr>
            <w:tcW w:w="1428" w:type="dxa"/>
            <w:gridSpan w:val="2"/>
          </w:tcPr>
          <w:p w:rsidR="00FB6D55" w:rsidRPr="003518D5" w:rsidRDefault="00FB6D55">
            <w:pPr>
              <w:spacing w:before="0"/>
            </w:pPr>
          </w:p>
        </w:tc>
        <w:tc>
          <w:tcPr>
            <w:tcW w:w="8520" w:type="dxa"/>
            <w:gridSpan w:val="3"/>
          </w:tcPr>
          <w:p w:rsidR="00FB6D55" w:rsidRPr="003518D5" w:rsidRDefault="00FB6D55"/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:rsidR="00FB6D55" w:rsidRPr="003518D5" w:rsidRDefault="00FB6D55">
            <w:pPr>
              <w:rPr>
                <w:b/>
                <w:sz w:val="18"/>
              </w:rPr>
            </w:pPr>
            <w:bookmarkStart w:id="0" w:name="dnums" w:colFirst="1" w:colLast="1"/>
            <w:r w:rsidRPr="003518D5"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:rsidR="00FB6D55" w:rsidRPr="003518D5" w:rsidRDefault="00FB6D55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FB6D55" w:rsidRPr="003518D5" w:rsidRDefault="00FB6D55">
            <w:pPr>
              <w:jc w:val="left"/>
              <w:rPr>
                <w:b/>
                <w:sz w:val="18"/>
              </w:rPr>
            </w:pPr>
            <w:bookmarkStart w:id="1" w:name="ddates" w:colFirst="1" w:colLast="1"/>
            <w:bookmarkEnd w:id="0"/>
            <w:r w:rsidRPr="003518D5">
              <w:rPr>
                <w:rFonts w:ascii="Arial" w:hAnsi="Arial"/>
                <w:sz w:val="20"/>
              </w:rPr>
              <w:t>SECTOR  DE  NORMALIZACIÓN</w:t>
            </w:r>
            <w:r w:rsidRPr="003518D5">
              <w:rPr>
                <w:rFonts w:ascii="Arial" w:hAnsi="Arial" w:cs="Arial"/>
                <w:sz w:val="20"/>
              </w:rPr>
              <w:br/>
            </w:r>
            <w:r w:rsidRPr="003518D5">
              <w:rPr>
                <w:rFonts w:ascii="Arial" w:hAnsi="Arial"/>
                <w:sz w:val="20"/>
              </w:rPr>
              <w:t>DE  LAS  TELECOMUNICACIONES</w:t>
            </w:r>
            <w:r w:rsidRPr="003518D5">
              <w:rPr>
                <w:rFonts w:ascii="Arial" w:hAnsi="Arial"/>
                <w:sz w:val="20"/>
              </w:rPr>
              <w:br/>
              <w:t>DE  LA  UIT</w:t>
            </w:r>
          </w:p>
        </w:tc>
        <w:tc>
          <w:tcPr>
            <w:tcW w:w="3971" w:type="dxa"/>
          </w:tcPr>
          <w:p w:rsidR="00FB6D55" w:rsidRPr="003518D5" w:rsidRDefault="00FB6D55" w:rsidP="00FB6D55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3518D5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B6D55" w:rsidRPr="003518D5">
        <w:trPr>
          <w:cantSplit/>
          <w:trHeight w:hRule="exact" w:val="3402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s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FB6D55" w:rsidRPr="003518D5" w:rsidRDefault="004F1EA7" w:rsidP="004F1EA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4F1EA7">
              <w:rPr>
                <w:rFonts w:ascii="Arial" w:hAnsi="Arial" w:cs="Arial"/>
                <w:sz w:val="32"/>
              </w:rPr>
              <w:t>ASAMBLEA MUNDIAL DE NORMALIZACIÓN DE LAS TELECOMUNICACIONES</w:t>
            </w:r>
          </w:p>
          <w:p w:rsidR="00FB6D55" w:rsidRPr="003518D5" w:rsidRDefault="00A922AD" w:rsidP="00D5161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proofErr w:type="spellStart"/>
            <w:r w:rsidRPr="00A922AD">
              <w:rPr>
                <w:rFonts w:ascii="Arial" w:hAnsi="Arial" w:cs="Arial"/>
                <w:sz w:val="32"/>
                <w:lang w:val="es-ES"/>
              </w:rPr>
              <w:t>Hammamet</w:t>
            </w:r>
            <w:proofErr w:type="spellEnd"/>
            <w:r w:rsidR="004F1EA7" w:rsidRPr="006C62D4">
              <w:rPr>
                <w:rFonts w:ascii="Arial" w:hAnsi="Arial" w:cs="Arial"/>
                <w:sz w:val="32"/>
                <w:lang w:val="es-ES"/>
              </w:rPr>
              <w:t>, 2</w:t>
            </w:r>
            <w:r>
              <w:rPr>
                <w:rFonts w:ascii="Arial" w:hAnsi="Arial" w:cs="Arial"/>
                <w:sz w:val="32"/>
                <w:lang w:val="es-ES"/>
              </w:rPr>
              <w:t xml:space="preserve">5 de octubre </w:t>
            </w:r>
            <w:r w:rsidR="00D5161F">
              <w:rPr>
                <w:rFonts w:ascii="Arial" w:hAnsi="Arial" w:cs="Arial"/>
                <w:sz w:val="32"/>
                <w:lang w:val="es-ES"/>
              </w:rPr>
              <w:t>–</w:t>
            </w:r>
            <w:r>
              <w:rPr>
                <w:rFonts w:ascii="Arial" w:hAnsi="Arial" w:cs="Arial"/>
                <w:sz w:val="32"/>
                <w:lang w:val="es-ES"/>
              </w:rPr>
              <w:t xml:space="preserve"> 3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 xml:space="preserve"> de </w:t>
            </w:r>
            <w:r w:rsidR="006C62D4">
              <w:rPr>
                <w:rFonts w:ascii="Arial" w:hAnsi="Arial" w:cs="Arial"/>
                <w:sz w:val="32"/>
                <w:lang w:val="es-ES"/>
              </w:rPr>
              <w:t>noviembre de 201</w:t>
            </w:r>
            <w:r>
              <w:rPr>
                <w:rFonts w:ascii="Arial" w:hAnsi="Arial" w:cs="Arial"/>
                <w:sz w:val="32"/>
                <w:lang w:val="es-ES"/>
              </w:rPr>
              <w:t>6</w:t>
            </w:r>
          </w:p>
          <w:p w:rsidR="00FB6D55" w:rsidRPr="003518D5" w:rsidRDefault="00FB6D55" w:rsidP="00FB6D55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FB6D55" w:rsidRPr="003518D5">
        <w:trPr>
          <w:cantSplit/>
          <w:trHeight w:hRule="exact" w:val="4536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s" w:colFirst="1" w:colLast="1"/>
            <w:bookmarkEnd w:id="2"/>
          </w:p>
        </w:tc>
        <w:tc>
          <w:tcPr>
            <w:tcW w:w="8530" w:type="dxa"/>
            <w:gridSpan w:val="4"/>
          </w:tcPr>
          <w:p w:rsidR="00FB6D55" w:rsidRPr="003518D5" w:rsidRDefault="004F1EA7" w:rsidP="00836A35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F1EA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Resolución </w:t>
            </w:r>
            <w:r w:rsidR="00836A3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85 – </w:t>
            </w:r>
            <w:r w:rsidR="00836A35" w:rsidRPr="00836A35">
              <w:rPr>
                <w:rFonts w:ascii="Arial" w:hAnsi="Arial" w:cs="Arial"/>
                <w:b/>
                <w:bCs/>
                <w:sz w:val="36"/>
                <w:szCs w:val="36"/>
              </w:rPr>
              <w:t>Fortalecimiento y diversificación de los recursos del Sector de Normalización de las Telecomunicaciones de la</w:t>
            </w:r>
            <w:r w:rsidR="00836A35">
              <w:rPr>
                <w:rFonts w:ascii="Arial" w:hAnsi="Arial" w:cs="Arial"/>
                <w:b/>
                <w:bCs/>
                <w:sz w:val="36"/>
                <w:szCs w:val="36"/>
              </w:rPr>
              <w:t> </w:t>
            </w:r>
            <w:r w:rsidR="00836A35" w:rsidRPr="00836A35">
              <w:rPr>
                <w:rFonts w:ascii="Arial" w:hAnsi="Arial" w:cs="Arial"/>
                <w:b/>
                <w:bCs/>
                <w:sz w:val="36"/>
                <w:szCs w:val="36"/>
              </w:rPr>
              <w:t>UIT</w:t>
            </w:r>
          </w:p>
        </w:tc>
      </w:tr>
      <w:bookmarkEnd w:id="3"/>
      <w:tr w:rsidR="008028AE" w:rsidRPr="00F4281C" w:rsidTr="00F431E4">
        <w:trPr>
          <w:cantSplit/>
          <w:trHeight w:hRule="exact" w:val="1418"/>
        </w:trPr>
        <w:tc>
          <w:tcPr>
            <w:tcW w:w="1418" w:type="dxa"/>
          </w:tcPr>
          <w:p w:rsidR="008028AE" w:rsidRPr="00836A35" w:rsidRDefault="008028AE" w:rsidP="00F431E4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FD6CCF" w:rsidRPr="00836A35" w:rsidRDefault="00FD6CCF" w:rsidP="00F431E4">
            <w:pPr>
              <w:tabs>
                <w:tab w:val="right" w:pos="9639"/>
              </w:tabs>
              <w:jc w:val="left"/>
              <w:rPr>
                <w:rFonts w:ascii="Arial" w:hAnsi="Arial"/>
                <w:sz w:val="18"/>
              </w:rPr>
            </w:pPr>
            <w:bookmarkStart w:id="4" w:name="dnum2e"/>
            <w:bookmarkEnd w:id="4"/>
          </w:p>
        </w:tc>
      </w:tr>
    </w:tbl>
    <w:p w:rsidR="00FD6CCF" w:rsidRPr="00836A35" w:rsidRDefault="00B33224" w:rsidP="008028AE">
      <w:pPr>
        <w:tabs>
          <w:tab w:val="right" w:pos="9639"/>
        </w:tabs>
        <w:spacing w:before="240"/>
        <w:jc w:val="right"/>
        <w:rPr>
          <w:noProof/>
          <w:lang w:eastAsia="zh-CN"/>
        </w:rPr>
      </w:pPr>
      <w:bookmarkStart w:id="5" w:name="c2tope"/>
      <w:bookmarkEnd w:id="5"/>
      <w:r>
        <w:rPr>
          <w:noProof/>
          <w:lang w:val="en-GB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5490210</wp:posOffset>
            </wp:positionH>
            <wp:positionV relativeFrom="paragraph">
              <wp:posOffset>20320</wp:posOffset>
            </wp:positionV>
            <wp:extent cx="666750" cy="755650"/>
            <wp:effectExtent l="0" t="0" r="0" b="6350"/>
            <wp:wrapSquare wrapText="bothSides"/>
            <wp:docPr id="422" name="Picture 422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8AE" w:rsidRPr="00836A35" w:rsidRDefault="008028AE" w:rsidP="008028AE">
      <w:pPr>
        <w:tabs>
          <w:tab w:val="right" w:pos="9639"/>
        </w:tabs>
        <w:spacing w:before="240"/>
        <w:jc w:val="right"/>
        <w:rPr>
          <w:sz w:val="20"/>
        </w:rPr>
      </w:pPr>
    </w:p>
    <w:p w:rsidR="008028AE" w:rsidRDefault="008028AE" w:rsidP="006C62D4">
      <w:pPr>
        <w:spacing w:before="480" w:line="240" w:lineRule="exact"/>
        <w:jc w:val="center"/>
        <w:rPr>
          <w:szCs w:val="22"/>
        </w:rPr>
        <w:sectPr w:rsidR="008028AE" w:rsidSect="00A1158B">
          <w:pgSz w:w="11907" w:h="16840" w:code="9"/>
          <w:pgMar w:top="1089" w:right="1089" w:bottom="284" w:left="1089" w:header="284" w:footer="567" w:gutter="0"/>
          <w:paperSrc w:first="15" w:other="15"/>
          <w:pgNumType w:start="1"/>
          <w:cols w:space="720"/>
        </w:sectPr>
      </w:pPr>
      <w:bookmarkStart w:id="6" w:name="c2tops"/>
      <w:bookmarkEnd w:id="6"/>
    </w:p>
    <w:p w:rsidR="006C62D4" w:rsidRPr="00AC4414" w:rsidRDefault="006C62D4" w:rsidP="00812CE2">
      <w:pPr>
        <w:spacing w:before="0" w:line="240" w:lineRule="exact"/>
        <w:jc w:val="center"/>
        <w:rPr>
          <w:szCs w:val="22"/>
        </w:rPr>
      </w:pPr>
      <w:r w:rsidRPr="00AC4414">
        <w:rPr>
          <w:szCs w:val="22"/>
        </w:rPr>
        <w:lastRenderedPageBreak/>
        <w:t>PREFACIO</w:t>
      </w:r>
    </w:p>
    <w:p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:rsidR="00D976F2" w:rsidRPr="00D976F2" w:rsidRDefault="00D976F2" w:rsidP="00D976F2">
      <w:pPr>
        <w:spacing w:line="240" w:lineRule="exact"/>
        <w:rPr>
          <w:sz w:val="20"/>
        </w:rPr>
      </w:pPr>
      <w:bookmarkStart w:id="7" w:name="iitexts"/>
      <w:r w:rsidRPr="00D976F2">
        <w:rPr>
          <w:sz w:val="20"/>
        </w:rPr>
        <w:t>La Asamblea Mundial de Normalización de las Telecomunicaciones (AMNT), que se celebra cada cuatro años, establece los temas que han de estudiar las Comisiones de Estudio del UIT</w:t>
      </w:r>
      <w:r w:rsidRPr="00D976F2">
        <w:rPr>
          <w:sz w:val="20"/>
        </w:rPr>
        <w:noBreakHyphen/>
        <w:t>T, que a su vez producen Recomendaciones sobre dichos temas.</w:t>
      </w:r>
    </w:p>
    <w:p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aprobación de Recomendaciones por los Miembros del UIT</w:t>
      </w:r>
      <w:r w:rsidRPr="00D976F2">
        <w:rPr>
          <w:sz w:val="20"/>
        </w:rPr>
        <w:noBreakHyphen/>
        <w:t>T es el objeto del procedimiento establecido en la Resolución 1 de la AMNT</w:t>
      </w:r>
      <w:bookmarkEnd w:id="7"/>
      <w:r w:rsidRPr="00D976F2">
        <w:rPr>
          <w:sz w:val="20"/>
        </w:rPr>
        <w:t>.</w:t>
      </w:r>
    </w:p>
    <w:p w:rsidR="006C62D4" w:rsidRPr="00143DCC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En ciertos sectores de la tecnología de la información que corresponden a la esfera de competencia del UIT</w:t>
      </w:r>
      <w:r w:rsidRPr="00D976F2">
        <w:rPr>
          <w:sz w:val="20"/>
        </w:rPr>
        <w:noBreakHyphen/>
        <w:t>T, se preparan las normas necesarias en colaboración con la ISO y la CEI.</w:t>
      </w:r>
    </w:p>
    <w:p w:rsidR="006C62D4" w:rsidRPr="00143DCC" w:rsidRDefault="006C62D4" w:rsidP="006C62D4">
      <w:pPr>
        <w:spacing w:line="240" w:lineRule="exact"/>
        <w:jc w:val="center"/>
        <w:rPr>
          <w:sz w:val="20"/>
        </w:rPr>
      </w:pPr>
    </w:p>
    <w:p w:rsidR="00A5430F" w:rsidRDefault="00A5430F" w:rsidP="006C62D4">
      <w:pPr>
        <w:spacing w:before="480"/>
        <w:jc w:val="center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812CE2" w:rsidRDefault="00812CE2" w:rsidP="00FB6D55">
      <w:pPr>
        <w:spacing w:before="80" w:after="80"/>
        <w:jc w:val="left"/>
        <w:rPr>
          <w:sz w:val="18"/>
        </w:rPr>
      </w:pPr>
    </w:p>
    <w:p w:rsidR="00812CE2" w:rsidRDefault="00812CE2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885482" w:rsidRDefault="00885482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Pr="008028AE" w:rsidRDefault="00C2286E" w:rsidP="00A922AD">
      <w:pPr>
        <w:jc w:val="center"/>
        <w:rPr>
          <w:sz w:val="20"/>
        </w:rPr>
      </w:pPr>
      <w:r w:rsidRPr="008028AE">
        <w:rPr>
          <w:rFonts w:ascii="Symbol" w:hAnsi="Symbol"/>
          <w:sz w:val="20"/>
        </w:rPr>
        <w:t></w:t>
      </w:r>
      <w:r w:rsidRPr="008028AE">
        <w:rPr>
          <w:sz w:val="20"/>
        </w:rPr>
        <w:t>  UIT  </w:t>
      </w:r>
      <w:bookmarkStart w:id="8" w:name="iiannes"/>
      <w:bookmarkEnd w:id="8"/>
      <w:r w:rsidR="006C62D4" w:rsidRPr="008028AE">
        <w:rPr>
          <w:sz w:val="20"/>
        </w:rPr>
        <w:t>201</w:t>
      </w:r>
      <w:r w:rsidR="00A922AD" w:rsidRPr="008028AE">
        <w:rPr>
          <w:sz w:val="20"/>
        </w:rPr>
        <w:t>6</w:t>
      </w:r>
    </w:p>
    <w:p w:rsidR="00C2286E" w:rsidRPr="008028AE" w:rsidRDefault="00C2286E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sz w:val="20"/>
        </w:rPr>
      </w:pPr>
      <w:r w:rsidRPr="008028AE">
        <w:rPr>
          <w:sz w:val="20"/>
        </w:rPr>
        <w:t>Reservados todos los derechos. Ninguna parte de esta publicación puede reproducirse por ningún procedimiento sin previa autorización escrita por parte de la UIT.</w:t>
      </w:r>
    </w:p>
    <w:p w:rsidR="00FB6D55" w:rsidRPr="003518D5" w:rsidRDefault="00FB6D55">
      <w:pPr>
        <w:spacing w:before="80"/>
        <w:jc w:val="left"/>
        <w:rPr>
          <w:i/>
          <w:sz w:val="20"/>
        </w:rPr>
      </w:pPr>
    </w:p>
    <w:p w:rsidR="00FB6D55" w:rsidRPr="003518D5" w:rsidRDefault="00FB6D55">
      <w:pPr>
        <w:sectPr w:rsidR="00FB6D55" w:rsidRPr="003518D5" w:rsidSect="008028AE">
          <w:type w:val="evenPage"/>
          <w:pgSz w:w="11907" w:h="16840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:rsidR="006F5455" w:rsidRPr="00A922AD" w:rsidRDefault="006F5455" w:rsidP="00812CE2">
      <w:pPr>
        <w:pStyle w:val="ResNo"/>
        <w:tabs>
          <w:tab w:val="clear" w:pos="794"/>
          <w:tab w:val="clear" w:pos="1191"/>
          <w:tab w:val="clear" w:pos="1588"/>
          <w:tab w:val="clear" w:pos="1985"/>
        </w:tabs>
        <w:spacing w:line="280" w:lineRule="exact"/>
        <w:jc w:val="center"/>
        <w:rPr>
          <w:b w:val="0"/>
          <w:caps/>
        </w:rPr>
      </w:pPr>
      <w:bookmarkStart w:id="9" w:name="irecnos"/>
      <w:bookmarkEnd w:id="9"/>
      <w:r w:rsidRPr="00A922AD">
        <w:rPr>
          <w:b w:val="0"/>
          <w:caps/>
        </w:rPr>
        <w:lastRenderedPageBreak/>
        <w:t xml:space="preserve">RESOLUCIÓN </w:t>
      </w:r>
      <w:r w:rsidR="00836A35">
        <w:rPr>
          <w:b w:val="0"/>
          <w:caps/>
        </w:rPr>
        <w:t xml:space="preserve">85 </w:t>
      </w:r>
      <w:r w:rsidR="00836A35" w:rsidRPr="00836A35">
        <w:rPr>
          <w:b w:val="0"/>
          <w:bCs/>
        </w:rPr>
        <w:t>(</w:t>
      </w:r>
      <w:proofErr w:type="spellStart"/>
      <w:r w:rsidR="00836A35" w:rsidRPr="00836A35">
        <w:rPr>
          <w:b w:val="0"/>
          <w:bCs/>
        </w:rPr>
        <w:t>H</w:t>
      </w:r>
      <w:r w:rsidR="00836A35" w:rsidRPr="00836A35">
        <w:rPr>
          <w:b w:val="0"/>
          <w:bCs/>
        </w:rPr>
        <w:t>ammamet</w:t>
      </w:r>
      <w:proofErr w:type="spellEnd"/>
      <w:r w:rsidR="00836A35" w:rsidRPr="00836A35">
        <w:rPr>
          <w:b w:val="0"/>
          <w:bCs/>
        </w:rPr>
        <w:t>, 2016)</w:t>
      </w:r>
    </w:p>
    <w:p w:rsidR="00836A35" w:rsidRPr="008A6389" w:rsidRDefault="00836A35" w:rsidP="00836A35">
      <w:pPr>
        <w:pStyle w:val="Restitle"/>
      </w:pPr>
      <w:r w:rsidRPr="008A6389">
        <w:t xml:space="preserve">Fortalecimiento y diversificación de los recursos del Sector de </w:t>
      </w:r>
      <w:r w:rsidRPr="008A6389">
        <w:br/>
        <w:t>Normalización de las Telecomunicaciones de la UIT</w:t>
      </w:r>
    </w:p>
    <w:p w:rsidR="00836A35" w:rsidRPr="008A6389" w:rsidRDefault="00836A35" w:rsidP="00836A35">
      <w:pPr>
        <w:pStyle w:val="Resref"/>
      </w:pPr>
      <w:r w:rsidRPr="008A6389">
        <w:t>(</w:t>
      </w:r>
      <w:proofErr w:type="spellStart"/>
      <w:r w:rsidRPr="008A6389">
        <w:t>Hammamet</w:t>
      </w:r>
      <w:proofErr w:type="spellEnd"/>
      <w:r w:rsidRPr="008A6389">
        <w:t>, 2016)</w:t>
      </w:r>
    </w:p>
    <w:p w:rsidR="00836A35" w:rsidRPr="00836A35" w:rsidRDefault="00836A35" w:rsidP="00836A35">
      <w:pPr>
        <w:pStyle w:val="Normalaftertitle0"/>
        <w:rPr>
          <w:lang w:val="es-ES_tradnl"/>
        </w:rPr>
      </w:pPr>
      <w:r w:rsidRPr="00836A35">
        <w:rPr>
          <w:lang w:val="es-ES_tradnl"/>
        </w:rPr>
        <w:t>La Asamblea Mundial de Normalización de las Telecomunicaciones (</w:t>
      </w:r>
      <w:proofErr w:type="spellStart"/>
      <w:r w:rsidRPr="00836A35">
        <w:rPr>
          <w:lang w:val="es-ES_tradnl"/>
        </w:rPr>
        <w:t>Hammamet</w:t>
      </w:r>
      <w:proofErr w:type="spellEnd"/>
      <w:r w:rsidRPr="00836A35">
        <w:rPr>
          <w:lang w:val="es-ES_tradnl"/>
        </w:rPr>
        <w:t>, 2016),</w:t>
      </w:r>
    </w:p>
    <w:p w:rsidR="00836A35" w:rsidRPr="008A6389" w:rsidRDefault="00836A35" w:rsidP="00836A35">
      <w:pPr>
        <w:pStyle w:val="Call"/>
      </w:pPr>
      <w:r w:rsidRPr="008A6389">
        <w:t>considerando</w:t>
      </w:r>
    </w:p>
    <w:p w:rsidR="00836A35" w:rsidRPr="008A6389" w:rsidRDefault="00836A35" w:rsidP="00836A35">
      <w:r w:rsidRPr="008A6389">
        <w:rPr>
          <w:i/>
          <w:iCs/>
        </w:rPr>
        <w:t>a)</w:t>
      </w:r>
      <w:r w:rsidRPr="008A6389">
        <w:tab/>
        <w:t>el Artículo 28 de la Constitución de la UIT y el Artículo 33 del Convenio de la UIT, relativos a las finanzas de la Unión;</w:t>
      </w:r>
    </w:p>
    <w:p w:rsidR="00836A35" w:rsidRPr="008A6389" w:rsidRDefault="00836A35" w:rsidP="00836A35">
      <w:r w:rsidRPr="008A6389">
        <w:rPr>
          <w:i/>
          <w:iCs/>
        </w:rPr>
        <w:t>b)</w:t>
      </w:r>
      <w:r w:rsidRPr="008A6389">
        <w:tab/>
        <w:t xml:space="preserve">la Resolución 158 (Rev. </w:t>
      </w:r>
      <w:proofErr w:type="spellStart"/>
      <w:r w:rsidRPr="008A6389">
        <w:t>Busán</w:t>
      </w:r>
      <w:proofErr w:type="spellEnd"/>
      <w:r w:rsidRPr="008A6389">
        <w:t>, 2014) de la Conferencia de Plenipotenciarios, en la que se encarga al Secretario General que estudie posibles nuevas medidas para generar ingresos adicionales para la UIT;</w:t>
      </w:r>
    </w:p>
    <w:p w:rsidR="00836A35" w:rsidRPr="008A6389" w:rsidRDefault="00836A35" w:rsidP="00836A35">
      <w:r w:rsidRPr="008A6389">
        <w:rPr>
          <w:i/>
          <w:iCs/>
        </w:rPr>
        <w:t>c)</w:t>
      </w:r>
      <w:r w:rsidRPr="008A6389">
        <w:tab/>
        <w:t>la Resolución 34 (Rev. Dubái, 2012) de la Asamblea Mundial de Normalización de las Telecomunicaciones (AMNT), sobre las contribuciones voluntarias;</w:t>
      </w:r>
    </w:p>
    <w:p w:rsidR="00836A35" w:rsidRPr="008A6389" w:rsidRDefault="00836A35" w:rsidP="00836A35">
      <w:r w:rsidRPr="008A6389">
        <w:rPr>
          <w:i/>
          <w:iCs/>
        </w:rPr>
        <w:t>d)</w:t>
      </w:r>
      <w:r w:rsidRPr="008A6389">
        <w:tab/>
        <w:t xml:space="preserve">la Resolución 44 (Rev. </w:t>
      </w:r>
      <w:proofErr w:type="spellStart"/>
      <w:r w:rsidRPr="008A6389">
        <w:t>Hammamet</w:t>
      </w:r>
      <w:proofErr w:type="spellEnd"/>
      <w:r w:rsidRPr="008A6389">
        <w:t xml:space="preserve">, 2016) de la presente Asamblea, </w:t>
      </w:r>
      <w:r w:rsidRPr="008A6389">
        <w:rPr>
          <w:lang w:eastAsia="ja-JP"/>
        </w:rPr>
        <w:t>relativa a la reducción de la brecha de normalización entre los países desarrollados y en desarrollo</w:t>
      </w:r>
      <w:r w:rsidRPr="008A6389">
        <w:rPr>
          <w:rStyle w:val="FootnoteReference"/>
        </w:rPr>
        <w:footnoteReference w:customMarkFollows="1" w:id="1"/>
        <w:t>1</w:t>
      </w:r>
      <w:r w:rsidRPr="008A6389">
        <w:t>, en la que se describen las fuentes de las que se recaudarán fondos para</w:t>
      </w:r>
      <w:r w:rsidRPr="008A6389">
        <w:rPr>
          <w:lang w:eastAsia="ja-JP"/>
        </w:rPr>
        <w:t xml:space="preserve"> reducir la brecha de normalización</w:t>
      </w:r>
      <w:r w:rsidRPr="008A6389">
        <w:t>,</w:t>
      </w:r>
    </w:p>
    <w:p w:rsidR="00836A35" w:rsidRPr="008A6389" w:rsidRDefault="00836A35" w:rsidP="00836A35">
      <w:pPr>
        <w:pStyle w:val="Call"/>
      </w:pPr>
      <w:r w:rsidRPr="008A6389">
        <w:t>tomando nota</w:t>
      </w:r>
    </w:p>
    <w:p w:rsidR="00836A35" w:rsidRPr="008A6389" w:rsidRDefault="00836A35" w:rsidP="00836A35">
      <w:r w:rsidRPr="008A6389">
        <w:rPr>
          <w:i/>
          <w:iCs/>
        </w:rPr>
        <w:t>a)</w:t>
      </w:r>
      <w:r w:rsidRPr="008A6389">
        <w:tab/>
        <w:t xml:space="preserve">de las deliberaciones celebradas en la reunión de 2016 del Consejo de la UIT sobre los recursos de numeración </w:t>
      </w:r>
      <w:r w:rsidRPr="008A6389">
        <w:rPr>
          <w:cs/>
        </w:rPr>
        <w:t>‎</w:t>
      </w:r>
      <w:r w:rsidRPr="008A6389">
        <w:t>internacional (RNI) y la identificación de otras posibles fuentes de ingresos para el Sector de Normalización de las Telecomunicaciones de la UIT (UIT-T), durante la cual la Secretaría señaló que sería difícil presentar un presupuesto equilibrado para 2018-2019 sin la identificación de nuevas fuentes de ingresos;</w:t>
      </w:r>
    </w:p>
    <w:p w:rsidR="00836A35" w:rsidRPr="008A6389" w:rsidRDefault="00836A35" w:rsidP="00836A35">
      <w:r w:rsidRPr="008A6389">
        <w:rPr>
          <w:i/>
          <w:iCs/>
        </w:rPr>
        <w:t>b)</w:t>
      </w:r>
      <w:r w:rsidRPr="008A6389">
        <w:tab/>
        <w:t>de la recomendación formulada en la reunión de 2016 por el Consejo de la UIT para que se presente a la reunión de 2017 del Consejo un estudio en el que se identifiquen todas las posibles fuentes de ingresos de la Unión sin limitarse a los RNI,</w:t>
      </w:r>
    </w:p>
    <w:p w:rsidR="00836A35" w:rsidRPr="008A6389" w:rsidRDefault="00836A35" w:rsidP="00836A35">
      <w:pPr>
        <w:pStyle w:val="Call"/>
      </w:pPr>
      <w:r w:rsidRPr="008A6389">
        <w:t>observando</w:t>
      </w:r>
    </w:p>
    <w:p w:rsidR="00836A35" w:rsidRPr="008A6389" w:rsidRDefault="00836A35" w:rsidP="00836A35">
      <w:r w:rsidRPr="008A6389">
        <w:rPr>
          <w:i/>
          <w:iCs/>
        </w:rPr>
        <w:t>a)</w:t>
      </w:r>
      <w:r w:rsidRPr="008A6389">
        <w:tab/>
        <w:t>que, mientras que aumentan constantemente el trabajo y las actividades del UIT-T, los recursos asignados al Sector tal vez sean insuficientes para abarcar todos los trabajos, las actividades y los estudios que realiza;</w:t>
      </w:r>
    </w:p>
    <w:p w:rsidR="00836A35" w:rsidRPr="008A6389" w:rsidRDefault="00836A35" w:rsidP="00836A35">
      <w:r w:rsidRPr="008A6389">
        <w:rPr>
          <w:i/>
          <w:iCs/>
        </w:rPr>
        <w:t>b)</w:t>
      </w:r>
      <w:r w:rsidRPr="008A6389">
        <w:tab/>
        <w:t>que los ingresos financieros de la Unión, que se basan en las contribuciones de los Estados Miembros y Miembros de Sector, han seguido disminuyendo;</w:t>
      </w:r>
    </w:p>
    <w:p w:rsidR="00836A35" w:rsidRPr="008A6389" w:rsidRDefault="00836A35" w:rsidP="00836A35">
      <w:r w:rsidRPr="008A6389">
        <w:rPr>
          <w:i/>
          <w:iCs/>
        </w:rPr>
        <w:t>c)</w:t>
      </w:r>
      <w:r w:rsidRPr="008A6389">
        <w:tab/>
        <w:t>que los ingresos del UIT-T deben aumentar mediante el incremento y diversificación de las fuentes de ingresos,</w:t>
      </w:r>
    </w:p>
    <w:p w:rsidR="00836A35" w:rsidRPr="008A6389" w:rsidRDefault="00836A35" w:rsidP="00836A35">
      <w:pPr>
        <w:pStyle w:val="Call"/>
      </w:pPr>
      <w:r w:rsidRPr="008A6389">
        <w:t>resuelve encargar al Director de la Oficina de Normalización de las Telecomunicaciones</w:t>
      </w:r>
    </w:p>
    <w:p w:rsidR="006F5455" w:rsidRPr="006F5DC8" w:rsidRDefault="00836A35" w:rsidP="00836A35">
      <w:r w:rsidRPr="008A6389">
        <w:t xml:space="preserve">que participe en el estudio indicado en el </w:t>
      </w:r>
      <w:r w:rsidRPr="008A6389">
        <w:rPr>
          <w:i/>
          <w:iCs/>
        </w:rPr>
        <w:t>to</w:t>
      </w:r>
      <w:bookmarkStart w:id="10" w:name="_GoBack"/>
      <w:bookmarkEnd w:id="10"/>
      <w:r w:rsidRPr="008A6389">
        <w:rPr>
          <w:i/>
          <w:iCs/>
        </w:rPr>
        <w:t>mando nota b)</w:t>
      </w:r>
      <w:r w:rsidRPr="008A6389">
        <w:t xml:space="preserve"> </w:t>
      </w:r>
      <w:r>
        <w:t xml:space="preserve">anterior </w:t>
      </w:r>
      <w:r w:rsidRPr="008A6389">
        <w:t>sobre posibles medidas nuevas para generar ingresos adicionales para el UIT-T, incluidos ingresos procedentes de los RNI, y pruebas de conformidad e interoperabilidad.</w:t>
      </w:r>
    </w:p>
    <w:sectPr w:rsidR="006F5455" w:rsidRPr="006F5DC8" w:rsidSect="00A922A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footnotePr>
        <w:pos w:val="beneathText"/>
      </w:footnotePr>
      <w:pgSz w:w="11907" w:h="16834" w:code="9"/>
      <w:pgMar w:top="1134" w:right="1134" w:bottom="1134" w:left="1134" w:header="567" w:footer="567" w:gutter="0"/>
      <w:pgNumType w:start="1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51F" w:rsidRDefault="0052251F">
      <w:r>
        <w:separator/>
      </w:r>
    </w:p>
  </w:endnote>
  <w:endnote w:type="continuationSeparator" w:id="0">
    <w:p w:rsidR="0052251F" w:rsidRDefault="0052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7D" w:rsidRDefault="00877E7D" w:rsidP="00885482">
    <w:pPr>
      <w:pStyle w:val="FooterQP"/>
      <w:rPr>
        <w:lang w:val="en-US"/>
      </w:rPr>
    </w:pPr>
    <w:r w:rsidRPr="002D6EB1">
      <w:rPr>
        <w:b w:val="0"/>
      </w:rPr>
      <w:fldChar w:fldCharType="begin"/>
    </w:r>
    <w:r w:rsidRPr="00877E7D">
      <w:rPr>
        <w:b w:val="0"/>
        <w:lang w:val="es-ES"/>
      </w:rPr>
      <w:instrText xml:space="preserve"> PAGE  \* MERGEFORMAT </w:instrText>
    </w:r>
    <w:r w:rsidRPr="002D6EB1">
      <w:rPr>
        <w:b w:val="0"/>
      </w:rPr>
      <w:fldChar w:fldCharType="separate"/>
    </w:r>
    <w:r w:rsidR="008C6A89">
      <w:rPr>
        <w:b w:val="0"/>
        <w:noProof/>
        <w:lang w:val="es-ES"/>
      </w:rPr>
      <w:t>2</w:t>
    </w:r>
    <w:r w:rsidRPr="002D6EB1">
      <w:rPr>
        <w:b w:val="0"/>
      </w:rPr>
      <w:fldChar w:fldCharType="end"/>
    </w:r>
    <w:r w:rsidRPr="00877E7D">
      <w:rPr>
        <w:lang w:val="es-ES"/>
      </w:rPr>
      <w:tab/>
    </w:r>
    <w:r>
      <w:t>AMNT</w:t>
    </w:r>
    <w:r w:rsidRPr="00877E7D">
      <w:rPr>
        <w:lang w:val="es-ES"/>
      </w:rPr>
      <w:t>-1</w:t>
    </w:r>
    <w:r w:rsidR="00885482">
      <w:rPr>
        <w:lang w:val="es-ES"/>
      </w:rPr>
      <w:t>6</w:t>
    </w:r>
    <w:r w:rsidRPr="00877E7D">
      <w:rPr>
        <w:lang w:val="es-ES"/>
      </w:rPr>
      <w:t xml:space="preserve"> –</w:t>
    </w:r>
    <w:r>
      <w:rPr>
        <w:lang w:val="es-ES"/>
      </w:rPr>
      <w:t xml:space="preserve"> </w:t>
    </w:r>
    <w:r w:rsidRPr="00877E7D">
      <w:rPr>
        <w:lang w:val="es-ES"/>
      </w:rPr>
      <w:t xml:space="preserve">Resolución </w:t>
    </w:r>
    <w:r>
      <w:rPr>
        <w:lang w:val="en-US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7D" w:rsidRPr="00877E7D" w:rsidRDefault="00877E7D" w:rsidP="00877E7D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 xml:space="preserve">-12 – </w:t>
    </w:r>
    <w:proofErr w:type="spellStart"/>
    <w:r>
      <w:rPr>
        <w:lang w:val="en-US"/>
      </w:rPr>
      <w:t>Resolución</w:t>
    </w:r>
    <w:proofErr w:type="spellEnd"/>
    <w:r>
      <w:rPr>
        <w:lang w:val="en-US"/>
      </w:rPr>
      <w:t xml:space="preserve"> 1</w:t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836A35">
      <w:rPr>
        <w:b w:val="0"/>
        <w:noProof/>
        <w:lang w:val="en-US"/>
      </w:rPr>
      <w:t>3</w:t>
    </w:r>
    <w:r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AD" w:rsidRPr="00A922AD" w:rsidRDefault="00A922AD" w:rsidP="00A922AD">
    <w:pPr>
      <w:pStyle w:val="FooterQP"/>
      <w:rPr>
        <w:b w:val="0"/>
        <w:lang w:val="en-US"/>
      </w:rPr>
    </w:pPr>
    <w:r>
      <w:tab/>
    </w:r>
    <w:r>
      <w:tab/>
      <w:t>AMNT</w:t>
    </w:r>
    <w:r w:rsidR="008C6A89">
      <w:rPr>
        <w:lang w:val="en-US"/>
      </w:rPr>
      <w:t xml:space="preserve">-16 – </w:t>
    </w:r>
    <w:proofErr w:type="spellStart"/>
    <w:r w:rsidR="008C6A89">
      <w:rPr>
        <w:lang w:val="en-US"/>
      </w:rPr>
      <w:t>Resolución</w:t>
    </w:r>
    <w:proofErr w:type="spellEnd"/>
    <w:r w:rsidR="008C6A89">
      <w:rPr>
        <w:lang w:val="en-US"/>
      </w:rPr>
      <w:t xml:space="preserve"> 85</w:t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8C6A89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51F" w:rsidRDefault="0052251F">
      <w:r>
        <w:t>____________________</w:t>
      </w:r>
    </w:p>
  </w:footnote>
  <w:footnote w:type="continuationSeparator" w:id="0">
    <w:p w:rsidR="0052251F" w:rsidRDefault="0052251F">
      <w:r>
        <w:continuationSeparator/>
      </w:r>
    </w:p>
  </w:footnote>
  <w:footnote w:id="1">
    <w:p w:rsidR="00836A35" w:rsidRPr="00B21DFA" w:rsidRDefault="00836A35" w:rsidP="00836A35">
      <w:pPr>
        <w:pStyle w:val="FootnoteText"/>
        <w:rPr>
          <w:color w:val="000000" w:themeColor="text1"/>
        </w:rPr>
      </w:pPr>
      <w:r>
        <w:rPr>
          <w:rStyle w:val="FootnoteReference"/>
        </w:rPr>
        <w:t>1</w:t>
      </w:r>
      <w:r>
        <w:tab/>
      </w:r>
      <w:r w:rsidRPr="00A6222D">
        <w:t xml:space="preserve">Este término </w:t>
      </w:r>
      <w:r>
        <w:t>comprende</w:t>
      </w:r>
      <w:r w:rsidRPr="00A6222D">
        <w:t xml:space="preserve"> los países menos adelantados, los pequeños Estados insulares en desarrollo, los países en desarrollo sin litoral y los paí</w:t>
      </w:r>
      <w:r>
        <w:t>ses con economías en transición</w:t>
      </w:r>
      <w:r w:rsidRPr="00B21DFA">
        <w:rPr>
          <w:color w:val="000000" w:themeColor="text1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26" w:rsidRPr="00D075E1" w:rsidRDefault="006D0F26" w:rsidP="00D075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55"/>
    <w:rsid w:val="00011D16"/>
    <w:rsid w:val="00021556"/>
    <w:rsid w:val="00044B4D"/>
    <w:rsid w:val="00065BE4"/>
    <w:rsid w:val="00082EA6"/>
    <w:rsid w:val="00096419"/>
    <w:rsid w:val="000B08A1"/>
    <w:rsid w:val="000B3B7D"/>
    <w:rsid w:val="000E0592"/>
    <w:rsid w:val="000E0C3D"/>
    <w:rsid w:val="000E6A10"/>
    <w:rsid w:val="00104176"/>
    <w:rsid w:val="00104723"/>
    <w:rsid w:val="00115F55"/>
    <w:rsid w:val="001166BD"/>
    <w:rsid w:val="00153A2F"/>
    <w:rsid w:val="00160F88"/>
    <w:rsid w:val="00164FB0"/>
    <w:rsid w:val="001958EC"/>
    <w:rsid w:val="001C4D78"/>
    <w:rsid w:val="001E3C05"/>
    <w:rsid w:val="001E47B2"/>
    <w:rsid w:val="001F5708"/>
    <w:rsid w:val="001F7101"/>
    <w:rsid w:val="0021547F"/>
    <w:rsid w:val="00217CDB"/>
    <w:rsid w:val="00223031"/>
    <w:rsid w:val="00241D6F"/>
    <w:rsid w:val="00245661"/>
    <w:rsid w:val="00256525"/>
    <w:rsid w:val="00256F54"/>
    <w:rsid w:val="0029052C"/>
    <w:rsid w:val="00295585"/>
    <w:rsid w:val="00315C1E"/>
    <w:rsid w:val="003518D5"/>
    <w:rsid w:val="00372B66"/>
    <w:rsid w:val="00377687"/>
    <w:rsid w:val="003C2D00"/>
    <w:rsid w:val="003E33A8"/>
    <w:rsid w:val="003F0680"/>
    <w:rsid w:val="00400600"/>
    <w:rsid w:val="004442F6"/>
    <w:rsid w:val="00466E41"/>
    <w:rsid w:val="004F1EA7"/>
    <w:rsid w:val="0052251F"/>
    <w:rsid w:val="005330B1"/>
    <w:rsid w:val="005428C5"/>
    <w:rsid w:val="005435AA"/>
    <w:rsid w:val="0055021E"/>
    <w:rsid w:val="00585ED1"/>
    <w:rsid w:val="005A4F08"/>
    <w:rsid w:val="006349BE"/>
    <w:rsid w:val="00642735"/>
    <w:rsid w:val="00643BC7"/>
    <w:rsid w:val="00671751"/>
    <w:rsid w:val="006A2304"/>
    <w:rsid w:val="006C1E98"/>
    <w:rsid w:val="006C5ED6"/>
    <w:rsid w:val="006C62D4"/>
    <w:rsid w:val="006D0F26"/>
    <w:rsid w:val="006F5455"/>
    <w:rsid w:val="007057EE"/>
    <w:rsid w:val="00712378"/>
    <w:rsid w:val="00743611"/>
    <w:rsid w:val="0079215F"/>
    <w:rsid w:val="007A0BE3"/>
    <w:rsid w:val="007B0D90"/>
    <w:rsid w:val="007C64E7"/>
    <w:rsid w:val="007C7F35"/>
    <w:rsid w:val="008028AE"/>
    <w:rsid w:val="00812CE2"/>
    <w:rsid w:val="008222EF"/>
    <w:rsid w:val="00831A21"/>
    <w:rsid w:val="00836A35"/>
    <w:rsid w:val="00841271"/>
    <w:rsid w:val="00862C3A"/>
    <w:rsid w:val="00877E7D"/>
    <w:rsid w:val="00885482"/>
    <w:rsid w:val="00892A35"/>
    <w:rsid w:val="008B2002"/>
    <w:rsid w:val="008C6A89"/>
    <w:rsid w:val="008C6F85"/>
    <w:rsid w:val="008D5D1B"/>
    <w:rsid w:val="008D6B1E"/>
    <w:rsid w:val="008F7079"/>
    <w:rsid w:val="00906FCA"/>
    <w:rsid w:val="00917AD8"/>
    <w:rsid w:val="009215A0"/>
    <w:rsid w:val="009242C6"/>
    <w:rsid w:val="00946DF2"/>
    <w:rsid w:val="009560C3"/>
    <w:rsid w:val="009B4B48"/>
    <w:rsid w:val="009C06D6"/>
    <w:rsid w:val="009E4ACC"/>
    <w:rsid w:val="00A048CE"/>
    <w:rsid w:val="00A054FD"/>
    <w:rsid w:val="00A1158B"/>
    <w:rsid w:val="00A16E12"/>
    <w:rsid w:val="00A23640"/>
    <w:rsid w:val="00A300F8"/>
    <w:rsid w:val="00A31A3C"/>
    <w:rsid w:val="00A428C4"/>
    <w:rsid w:val="00A5029E"/>
    <w:rsid w:val="00A5430F"/>
    <w:rsid w:val="00A64176"/>
    <w:rsid w:val="00A762C1"/>
    <w:rsid w:val="00A7749A"/>
    <w:rsid w:val="00A922AD"/>
    <w:rsid w:val="00AD62D4"/>
    <w:rsid w:val="00B122C8"/>
    <w:rsid w:val="00B24C2D"/>
    <w:rsid w:val="00B31246"/>
    <w:rsid w:val="00B33224"/>
    <w:rsid w:val="00B450BE"/>
    <w:rsid w:val="00B57627"/>
    <w:rsid w:val="00B96F52"/>
    <w:rsid w:val="00BD5BF5"/>
    <w:rsid w:val="00BE0A5C"/>
    <w:rsid w:val="00C028FA"/>
    <w:rsid w:val="00C10AF4"/>
    <w:rsid w:val="00C2286E"/>
    <w:rsid w:val="00C307BC"/>
    <w:rsid w:val="00C3111E"/>
    <w:rsid w:val="00C37FA4"/>
    <w:rsid w:val="00C87C51"/>
    <w:rsid w:val="00C92632"/>
    <w:rsid w:val="00C97C18"/>
    <w:rsid w:val="00CC2761"/>
    <w:rsid w:val="00CD1B1B"/>
    <w:rsid w:val="00CF15EA"/>
    <w:rsid w:val="00D075E1"/>
    <w:rsid w:val="00D13CDA"/>
    <w:rsid w:val="00D23B4C"/>
    <w:rsid w:val="00D460E6"/>
    <w:rsid w:val="00D5161F"/>
    <w:rsid w:val="00D74EFE"/>
    <w:rsid w:val="00D9465C"/>
    <w:rsid w:val="00D962F2"/>
    <w:rsid w:val="00D976F2"/>
    <w:rsid w:val="00DC4B81"/>
    <w:rsid w:val="00DD71D5"/>
    <w:rsid w:val="00DE4D43"/>
    <w:rsid w:val="00E16169"/>
    <w:rsid w:val="00E26A91"/>
    <w:rsid w:val="00E461D8"/>
    <w:rsid w:val="00E654F0"/>
    <w:rsid w:val="00E72AD0"/>
    <w:rsid w:val="00ED48FA"/>
    <w:rsid w:val="00EE233D"/>
    <w:rsid w:val="00F40D91"/>
    <w:rsid w:val="00F46759"/>
    <w:rsid w:val="00F517A1"/>
    <w:rsid w:val="00F56432"/>
    <w:rsid w:val="00F64291"/>
    <w:rsid w:val="00F72501"/>
    <w:rsid w:val="00F816C3"/>
    <w:rsid w:val="00F968E6"/>
    <w:rsid w:val="00FB6D55"/>
    <w:rsid w:val="00FD0876"/>
    <w:rsid w:val="00FD4011"/>
    <w:rsid w:val="00FD6CCF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4553B84-8405-4C30-BD3A-4BFE1A0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rsid w:val="00082EA6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223031"/>
    <w:pPr>
      <w:spacing w:before="80"/>
    </w:pPr>
    <w:rPr>
      <w:sz w:val="20"/>
    </w:r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uiPriority w:val="99"/>
    <w:rsid w:val="00082EA6"/>
    <w:pPr>
      <w:spacing w:before="80"/>
      <w:ind w:left="794" w:hanging="794"/>
    </w:p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 w:eastAsia="en-US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082EA6"/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uiPriority w:val="99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uiPriority w:val="99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r\Application%20Data\Microsoft\Templates\QuickPub%20-%20ITU\QP-Piano\QP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QPUBS.dot</Template>
  <TotalTime>6</TotalTime>
  <Pages>3</Pages>
  <Words>640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Marco y metodología para la determinación y la aplicación de parámetros de calidad de servicio</vt:lpstr>
    </vt:vector>
  </TitlesOfParts>
  <Company>ITU</Company>
  <LinksUpToDate>false</LinksUpToDate>
  <CharactersWithSpaces>4163</CharactersWithSpaces>
  <SharedDoc>false</SharedDoc>
  <HLinks>
    <vt:vector size="6" baseType="variant"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 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UIT-T Rec. E.802 (02/2007) Marco y metodología para la determinación y la aplicación de parámetros de calidad de servicio</dc:title>
  <dc:subject>SERIE E: EXPLOTACIÓN GENERAL DE LA RED, SERVICIO TELEFÓNICO, EXPLOTACIÓN DEL SERVICIO Y FACTORES HUMANOS - Calidad de los servicios de telecomunicación: conceptos, modelos, objetivos, planificación de la seguridad de funcionamiento – Términos y definicion</dc:subject>
  <dc:creator>ITU-T</dc:creator>
  <cp:keywords>E.802,E,802</cp:keywords>
  <dc:description>Saved by MRG106308 at 10:22:31 on 06.12.2007</dc:description>
  <cp:lastModifiedBy>Catalano Moreira, Rossana</cp:lastModifiedBy>
  <cp:revision>4</cp:revision>
  <cp:lastPrinted>2016-12-13T15:23:00Z</cp:lastPrinted>
  <dcterms:created xsi:type="dcterms:W3CDTF">2016-12-14T13:15:00Z</dcterms:created>
  <dcterms:modified xsi:type="dcterms:W3CDTF">2016-12-14T13:21:00Z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