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CA2662"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CA2662"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D5FB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D5FB9">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C588A">
              <w:rPr>
                <w:rFonts w:ascii="Arial" w:hAnsi="Arial"/>
                <w:b/>
                <w:bCs/>
                <w:sz w:val="36"/>
                <w:lang w:val="en-US"/>
              </w:rPr>
              <w:t>8</w:t>
            </w:r>
            <w:r w:rsidR="00AD5FB9">
              <w:rPr>
                <w:rFonts w:ascii="Arial" w:hAnsi="Arial"/>
                <w:b/>
                <w:bCs/>
                <w:sz w:val="36"/>
                <w:lang w:val="en-US"/>
              </w:rPr>
              <w:t>1</w:t>
            </w:r>
            <w:r w:rsidRPr="008968B6">
              <w:rPr>
                <w:rFonts w:ascii="Arial" w:hAnsi="Arial"/>
                <w:b/>
                <w:bCs/>
                <w:sz w:val="36"/>
                <w:lang w:val="en-US"/>
              </w:rPr>
              <w:t xml:space="preserve"> – </w:t>
            </w:r>
            <w:r w:rsidR="00AD5FB9" w:rsidRPr="00AD5FB9">
              <w:rPr>
                <w:rFonts w:ascii="Arial" w:hAnsi="Arial"/>
                <w:b/>
                <w:bCs/>
                <w:sz w:val="36"/>
                <w:lang w:val="en-US"/>
              </w:rPr>
              <w:t>Strengthening collaboration</w:t>
            </w:r>
          </w:p>
        </w:tc>
      </w:tr>
      <w:bookmarkEnd w:id="6"/>
      <w:tr w:rsidR="008968B6" w:rsidRPr="00AD5FB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AD5FB9">
      <w:pPr>
        <w:pStyle w:val="ResNo"/>
        <w:rPr>
          <w:lang w:val="en-US"/>
        </w:rPr>
      </w:pPr>
      <w:r w:rsidRPr="000E4393">
        <w:rPr>
          <w:lang w:val="en-US"/>
        </w:rPr>
        <w:lastRenderedPageBreak/>
        <w:t xml:space="preserve">resolution </w:t>
      </w:r>
      <w:r w:rsidR="00C65BC6">
        <w:rPr>
          <w:rStyle w:val="href"/>
          <w:lang w:val="en-US"/>
        </w:rPr>
        <w:t>8</w:t>
      </w:r>
      <w:r w:rsidR="00AD5FB9">
        <w:rPr>
          <w:rStyle w:val="href"/>
          <w:lang w:val="en-US"/>
        </w:rPr>
        <w:t>1</w:t>
      </w:r>
      <w:r w:rsidR="00CA2662">
        <w:rPr>
          <w:rStyle w:val="href"/>
          <w:lang w:val="en-US"/>
        </w:rPr>
        <w:t xml:space="preserve"> </w:t>
      </w:r>
      <w:r w:rsidR="00CA2662" w:rsidRPr="00F81B8E">
        <w:rPr>
          <w:lang w:val="en-GB"/>
        </w:rPr>
        <w:t>(</w:t>
      </w:r>
      <w:r w:rsidR="00CA2662" w:rsidRPr="00F81B8E">
        <w:rPr>
          <w:caps w:val="0"/>
          <w:lang w:val="en-GB"/>
        </w:rPr>
        <w:t>Dubai, 2012</w:t>
      </w:r>
      <w:r w:rsidR="00CA2662" w:rsidRPr="00F81B8E">
        <w:rPr>
          <w:lang w:val="en-GB"/>
        </w:rPr>
        <w:t>)</w:t>
      </w:r>
      <w:bookmarkStart w:id="12" w:name="_GoBack"/>
      <w:bookmarkEnd w:id="12"/>
    </w:p>
    <w:p w:rsidR="00AD5FB9" w:rsidRPr="00F81B8E" w:rsidRDefault="00AD5FB9" w:rsidP="00AD5FB9">
      <w:pPr>
        <w:pStyle w:val="Restitle"/>
        <w:rPr>
          <w:lang w:val="en-GB"/>
        </w:rPr>
      </w:pPr>
      <w:r w:rsidRPr="00F81B8E">
        <w:rPr>
          <w:lang w:val="en-GB"/>
        </w:rPr>
        <w:t>Strengthening collaboration</w:t>
      </w:r>
    </w:p>
    <w:p w:rsidR="00AD5FB9" w:rsidRPr="00F81B8E" w:rsidRDefault="00AD5FB9" w:rsidP="00AD5FB9">
      <w:pPr>
        <w:pStyle w:val="Resref"/>
        <w:rPr>
          <w:lang w:val="en-GB"/>
        </w:rPr>
      </w:pPr>
      <w:r w:rsidRPr="00F81B8E">
        <w:rPr>
          <w:lang w:val="en-GB"/>
        </w:rPr>
        <w:t>(Dubai, 2012)</w:t>
      </w:r>
    </w:p>
    <w:p w:rsidR="00AD5FB9" w:rsidRPr="00F81B8E" w:rsidRDefault="00AD5FB9" w:rsidP="00AD5FB9">
      <w:pPr>
        <w:pStyle w:val="Normalaftertitle"/>
        <w:tabs>
          <w:tab w:val="left" w:pos="8385"/>
        </w:tabs>
        <w:rPr>
          <w:sz w:val="24"/>
          <w:szCs w:val="24"/>
          <w:lang w:val="en-GB"/>
        </w:rPr>
      </w:pPr>
      <w:r w:rsidRPr="00F81B8E">
        <w:rPr>
          <w:sz w:val="24"/>
          <w:szCs w:val="24"/>
          <w:lang w:val="en-GB"/>
        </w:rPr>
        <w:t>The World Telecommunication Standardization Assembly (Dubai, 2012),</w:t>
      </w:r>
    </w:p>
    <w:p w:rsidR="00AD5FB9" w:rsidRPr="00F81B8E" w:rsidRDefault="00AD5FB9" w:rsidP="00AD5FB9">
      <w:pPr>
        <w:pStyle w:val="Call"/>
        <w:rPr>
          <w:lang w:val="en-GB"/>
        </w:rPr>
      </w:pPr>
      <w:r w:rsidRPr="00F81B8E">
        <w:rPr>
          <w:lang w:val="en-GB"/>
        </w:rPr>
        <w:t>considering</w:t>
      </w:r>
    </w:p>
    <w:p w:rsidR="00AD5FB9" w:rsidRPr="00F81B8E" w:rsidRDefault="00AD5FB9" w:rsidP="00AD5FB9">
      <w:pPr>
        <w:rPr>
          <w:i/>
          <w:iCs/>
          <w:lang w:val="en-GB"/>
        </w:rPr>
      </w:pPr>
      <w:r w:rsidRPr="00F81B8E">
        <w:rPr>
          <w:i/>
          <w:iCs/>
          <w:lang w:val="en-GB"/>
        </w:rPr>
        <w:t>a)</w:t>
      </w:r>
      <w:r w:rsidRPr="00F81B8E">
        <w:rPr>
          <w:i/>
          <w:iCs/>
          <w:lang w:val="en-GB"/>
        </w:rPr>
        <w:tab/>
      </w:r>
      <w:r w:rsidRPr="00F81B8E">
        <w:rPr>
          <w:lang w:val="en-GB"/>
        </w:rPr>
        <w:t>the responsibilities of the Telecommunication Standardization Advisory Group (TSAG), as outlined in Article 14A of the ITU Convention, which include, pursuant to No. 197F thereof, recommending measures</w:t>
      </w:r>
      <w:r w:rsidRPr="00F81B8E">
        <w:rPr>
          <w:i/>
          <w:iCs/>
          <w:lang w:val="en-GB"/>
        </w:rPr>
        <w:t>, inter alia</w:t>
      </w:r>
      <w:r w:rsidRPr="00F81B8E">
        <w:rPr>
          <w:lang w:val="en-GB"/>
        </w:rPr>
        <w:t>, to foster cooperation and coordination with other relevant bodies, with the Radiocommunication Sector, the Telecommunication Development Sector and the General Secretariat;</w:t>
      </w:r>
    </w:p>
    <w:p w:rsidR="00AD5FB9" w:rsidRPr="00F81B8E" w:rsidRDefault="00AD5FB9" w:rsidP="00AD5FB9">
      <w:pPr>
        <w:rPr>
          <w:i/>
          <w:iCs/>
          <w:lang w:val="en-GB"/>
        </w:rPr>
      </w:pPr>
      <w:r w:rsidRPr="00F81B8E">
        <w:rPr>
          <w:i/>
          <w:iCs/>
          <w:lang w:val="en-GB"/>
        </w:rPr>
        <w:t>b)</w:t>
      </w:r>
      <w:r w:rsidRPr="00F81B8E">
        <w:rPr>
          <w:i/>
          <w:iCs/>
          <w:lang w:val="en-GB"/>
        </w:rPr>
        <w:tab/>
      </w:r>
      <w:r w:rsidRPr="00F81B8E">
        <w:rPr>
          <w:lang w:val="en-GB"/>
        </w:rPr>
        <w:t>Resolution 22 (Rev. Dubai, 2012) of this assembly, on authorization for TSAG to act between world telecommunication standardization assemblies (WTSAs), which sets out the mandate and duties of TSAG consistent with the responsibilities outlined in Article 14A of the Convention;</w:t>
      </w:r>
      <w:r w:rsidRPr="00F81B8E">
        <w:rPr>
          <w:i/>
          <w:iCs/>
          <w:lang w:val="en-GB"/>
        </w:rPr>
        <w:t xml:space="preserve"> </w:t>
      </w:r>
    </w:p>
    <w:p w:rsidR="00AD5FB9" w:rsidRPr="00F81B8E" w:rsidRDefault="00AD5FB9" w:rsidP="00AD5FB9">
      <w:pPr>
        <w:rPr>
          <w:lang w:val="en-GB"/>
        </w:rPr>
      </w:pPr>
      <w:r w:rsidRPr="00F81B8E">
        <w:rPr>
          <w:i/>
          <w:iCs/>
          <w:lang w:val="en-GB"/>
        </w:rPr>
        <w:t>c)</w:t>
      </w:r>
      <w:r w:rsidRPr="00F81B8E">
        <w:rPr>
          <w:lang w:val="en-GB"/>
        </w:rPr>
        <w:tab/>
        <w:t>that ITU Telecommunication Standardization Sector (ITU-T) external cooperation is guided by relevant WTSA resolutions, ITU-T A-series Recommendations and Supplements;</w:t>
      </w:r>
    </w:p>
    <w:p w:rsidR="00AD5FB9" w:rsidRPr="00F81B8E" w:rsidRDefault="00AD5FB9" w:rsidP="00AD5FB9">
      <w:pPr>
        <w:rPr>
          <w:lang w:val="en-GB"/>
        </w:rPr>
      </w:pPr>
      <w:r w:rsidRPr="00F81B8E">
        <w:rPr>
          <w:i/>
          <w:iCs/>
          <w:lang w:val="en-GB"/>
        </w:rPr>
        <w:t>d)</w:t>
      </w:r>
      <w:r w:rsidRPr="00F81B8E">
        <w:rPr>
          <w:i/>
          <w:iCs/>
          <w:lang w:val="en-GB"/>
        </w:rPr>
        <w:tab/>
      </w:r>
      <w:r w:rsidRPr="00F81B8E">
        <w:rPr>
          <w:lang w:val="en-GB"/>
        </w:rPr>
        <w:t>that there are current models for collaboration between standards bodies such as the World Standards Cooperation (WSC), involving ITU and ISO/IEC, and the Global Standards Collaboration (GSC), involving a number of participating standards organizations, including ITU, as well as the collaborative activities involving ITU associated with the development of a globally harmonized set of intelligent transportation system (ITS) communication standards;</w:t>
      </w:r>
    </w:p>
    <w:p w:rsidR="00AD5FB9" w:rsidRPr="00F81B8E" w:rsidRDefault="00AD5FB9" w:rsidP="00AD5FB9">
      <w:pPr>
        <w:rPr>
          <w:lang w:val="en-GB"/>
        </w:rPr>
      </w:pPr>
      <w:r w:rsidRPr="00F81B8E">
        <w:rPr>
          <w:i/>
          <w:iCs/>
          <w:lang w:val="en-GB"/>
        </w:rPr>
        <w:t>e)</w:t>
      </w:r>
      <w:r w:rsidRPr="00F81B8E">
        <w:rPr>
          <w:lang w:val="en-GB"/>
        </w:rPr>
        <w:tab/>
        <w:t xml:space="preserve">that Resolution 1 (Rev. Dubai, 2012) of this assembly, on </w:t>
      </w:r>
      <w:r w:rsidRPr="00F81B8E">
        <w:rPr>
          <w:bCs/>
          <w:lang w:val="en-GB"/>
        </w:rPr>
        <w:t>rules of procedure of ITU-T,</w:t>
      </w:r>
      <w:r w:rsidRPr="00F81B8E">
        <w:rPr>
          <w:lang w:val="en-GB"/>
        </w:rPr>
        <w:t xml:space="preserve"> makes it very clear that cooperation with other relevant standards bodies is desirable;</w:t>
      </w:r>
    </w:p>
    <w:p w:rsidR="00AD5FB9" w:rsidRPr="00F81B8E" w:rsidRDefault="00AD5FB9" w:rsidP="00AD5FB9">
      <w:pPr>
        <w:rPr>
          <w:lang w:val="en-GB"/>
        </w:rPr>
      </w:pPr>
      <w:r w:rsidRPr="00F81B8E">
        <w:rPr>
          <w:i/>
          <w:iCs/>
          <w:lang w:val="en-GB"/>
        </w:rPr>
        <w:t>f)</w:t>
      </w:r>
      <w:r w:rsidRPr="00F81B8E">
        <w:rPr>
          <w:i/>
          <w:iCs/>
          <w:lang w:val="en-GB"/>
        </w:rPr>
        <w:tab/>
      </w:r>
      <w:r w:rsidRPr="00F81B8E">
        <w:rPr>
          <w:lang w:val="en-GB"/>
        </w:rPr>
        <w:t>that ITU has established a number of memoranda of understanding with relevant major standards bodies, the key objective being to improve collaboration;</w:t>
      </w:r>
    </w:p>
    <w:p w:rsidR="00AD5FB9" w:rsidRPr="00F81B8E" w:rsidRDefault="00AD5FB9" w:rsidP="00AD5FB9">
      <w:pPr>
        <w:rPr>
          <w:lang w:val="en-GB"/>
        </w:rPr>
      </w:pPr>
      <w:r w:rsidRPr="00F81B8E">
        <w:rPr>
          <w:i/>
          <w:iCs/>
          <w:lang w:val="en-GB"/>
        </w:rPr>
        <w:t>g)</w:t>
      </w:r>
      <w:r w:rsidRPr="00F81B8E">
        <w:rPr>
          <w:i/>
          <w:iCs/>
          <w:lang w:val="en-GB"/>
        </w:rPr>
        <w:tab/>
      </w:r>
      <w:r w:rsidRPr="00F81B8E">
        <w:rPr>
          <w:lang w:val="en-GB"/>
        </w:rPr>
        <w:t>that the chief technology officers</w:t>
      </w:r>
      <w:r w:rsidRPr="00F81B8E">
        <w:rPr>
          <w:rFonts w:ascii="Calibri" w:hAnsi="Calibri"/>
          <w:lang w:val="en-GB"/>
        </w:rPr>
        <w:t xml:space="preserve"> </w:t>
      </w:r>
      <w:r w:rsidRPr="00F81B8E">
        <w:rPr>
          <w:lang w:val="en-GB"/>
        </w:rPr>
        <w:t>(CTO) meeting in 2012 continued to work towards a new approach to international standardization based on improved collaboration, cooperation and coordination with other organizations, and that ITU-T is asked to continue to promote an industry-led, consensus-based approach to standardization;</w:t>
      </w:r>
    </w:p>
    <w:p w:rsidR="00AD5FB9" w:rsidRPr="00F81B8E" w:rsidRDefault="00AD5FB9" w:rsidP="00AD5FB9">
      <w:pPr>
        <w:rPr>
          <w:lang w:val="en-GB"/>
        </w:rPr>
      </w:pPr>
      <w:r w:rsidRPr="00F81B8E">
        <w:rPr>
          <w:i/>
          <w:iCs/>
          <w:lang w:val="en-GB"/>
        </w:rPr>
        <w:t>h)</w:t>
      </w:r>
      <w:r w:rsidRPr="00F81B8E">
        <w:rPr>
          <w:lang w:val="en-GB"/>
        </w:rPr>
        <w:tab/>
        <w:t>that the Global Standards Symposium (GSS) in 2012 recognized that a collaborative mechanism should be developed between related standards bodies to identify new work areas at an early stage, and agree on a common approach in order to bring the respective skills of the different bodies together in a cooperative manner for the purpose of developing common global standards,</w:t>
      </w:r>
    </w:p>
    <w:p w:rsidR="00AD5FB9" w:rsidRDefault="00AD5FB9" w:rsidP="00AD5FB9">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AD5FB9" w:rsidRPr="00F81B8E" w:rsidRDefault="00AD5FB9" w:rsidP="00AD5FB9">
      <w:pPr>
        <w:pStyle w:val="Call"/>
        <w:rPr>
          <w:lang w:val="en-GB"/>
        </w:rPr>
      </w:pPr>
      <w:r w:rsidRPr="00F81B8E">
        <w:rPr>
          <w:lang w:val="en-GB"/>
        </w:rPr>
        <w:lastRenderedPageBreak/>
        <w:t>resolves</w:t>
      </w:r>
    </w:p>
    <w:p w:rsidR="00AD5FB9" w:rsidRPr="00F81B8E" w:rsidRDefault="00AD5FB9" w:rsidP="00AD5FB9">
      <w:pPr>
        <w:rPr>
          <w:lang w:val="en-GB"/>
        </w:rPr>
      </w:pPr>
      <w:r w:rsidRPr="00F81B8E">
        <w:rPr>
          <w:lang w:val="en-GB"/>
        </w:rPr>
        <w:t>1</w:t>
      </w:r>
      <w:r w:rsidRPr="00F81B8E">
        <w:rPr>
          <w:lang w:val="en-GB"/>
        </w:rPr>
        <w:tab/>
        <w:t>that an action plan be developed by TSAG, which will result in:</w:t>
      </w:r>
    </w:p>
    <w:p w:rsidR="00AD5FB9" w:rsidRPr="00F81B8E" w:rsidRDefault="00AD5FB9" w:rsidP="00AD5FB9">
      <w:pPr>
        <w:pStyle w:val="enumlev1"/>
        <w:rPr>
          <w:b/>
          <w:lang w:val="en-GB"/>
        </w:rPr>
      </w:pPr>
      <w:r w:rsidRPr="00F81B8E">
        <w:rPr>
          <w:lang w:val="en-GB"/>
        </w:rPr>
        <w:t>•</w:t>
      </w:r>
      <w:r w:rsidRPr="00F81B8E">
        <w:rPr>
          <w:lang w:val="en-GB"/>
        </w:rPr>
        <w:tab/>
        <w:t>the identification of areas where improvement is required, taking into account CTO meeting outcomes and the results of GSS;</w:t>
      </w:r>
    </w:p>
    <w:p w:rsidR="00AD5FB9" w:rsidRPr="00F81B8E" w:rsidRDefault="00AD5FB9" w:rsidP="00AD5FB9">
      <w:pPr>
        <w:pStyle w:val="enumlev1"/>
        <w:rPr>
          <w:b/>
          <w:lang w:val="en-GB"/>
        </w:rPr>
      </w:pPr>
      <w:r w:rsidRPr="00F81B8E">
        <w:rPr>
          <w:lang w:val="en-GB"/>
        </w:rPr>
        <w:t>•</w:t>
      </w:r>
      <w:r w:rsidRPr="00F81B8E">
        <w:rPr>
          <w:lang w:val="en-GB"/>
        </w:rPr>
        <w:tab/>
        <w:t>the development of a mechanism within ITU-T to achieve this objective; and</w:t>
      </w:r>
    </w:p>
    <w:p w:rsidR="00AD5FB9" w:rsidRPr="00F81B8E" w:rsidRDefault="00AD5FB9" w:rsidP="00AD5FB9">
      <w:pPr>
        <w:pStyle w:val="enumlev1"/>
        <w:rPr>
          <w:b/>
          <w:lang w:val="en-GB"/>
        </w:rPr>
      </w:pPr>
      <w:r w:rsidRPr="00F81B8E">
        <w:rPr>
          <w:lang w:val="en-GB"/>
        </w:rPr>
        <w:t>•</w:t>
      </w:r>
      <w:r w:rsidRPr="00F81B8E">
        <w:rPr>
          <w:lang w:val="en-GB"/>
        </w:rPr>
        <w:tab/>
        <w:t>documentation of the mechanism developed, defining specific steps on how to improve coordination with other relevant standards bodies regarding the development of new Questions that are intended to address new domains and new work items under such Questions;</w:t>
      </w:r>
    </w:p>
    <w:p w:rsidR="00AD5FB9" w:rsidRPr="00F81B8E" w:rsidRDefault="00AD5FB9" w:rsidP="00AD5FB9">
      <w:pPr>
        <w:rPr>
          <w:lang w:val="en-GB"/>
        </w:rPr>
      </w:pPr>
      <w:r w:rsidRPr="00F81B8E">
        <w:rPr>
          <w:lang w:val="en-GB"/>
        </w:rPr>
        <w:t>2</w:t>
      </w:r>
      <w:r w:rsidRPr="00F81B8E">
        <w:rPr>
          <w:b/>
          <w:lang w:val="en-GB"/>
        </w:rPr>
        <w:tab/>
      </w:r>
      <w:r w:rsidRPr="00F81B8E">
        <w:rPr>
          <w:lang w:val="en-GB"/>
        </w:rPr>
        <w:t>that</w:t>
      </w:r>
      <w:r w:rsidRPr="00F81B8E">
        <w:rPr>
          <w:b/>
          <w:lang w:val="en-GB"/>
        </w:rPr>
        <w:t xml:space="preserve"> </w:t>
      </w:r>
      <w:r w:rsidRPr="00F81B8E">
        <w:rPr>
          <w:lang w:val="en-GB"/>
        </w:rPr>
        <w:t>this mechanism, which could take the form of a working party or group of TSAG, and which may work additionally between TSAG meetings in order to ensure continuity of the discussions on this topic, should:</w:t>
      </w:r>
    </w:p>
    <w:p w:rsidR="00AD5FB9" w:rsidRPr="00F81B8E" w:rsidRDefault="00AD5FB9" w:rsidP="00AD5FB9">
      <w:pPr>
        <w:pStyle w:val="enumlev1"/>
        <w:rPr>
          <w:b/>
          <w:lang w:val="en-GB"/>
        </w:rPr>
      </w:pPr>
      <w:r w:rsidRPr="00F81B8E">
        <w:rPr>
          <w:lang w:val="en-GB"/>
        </w:rPr>
        <w:t>•</w:t>
      </w:r>
      <w:r w:rsidRPr="00F81B8E">
        <w:rPr>
          <w:lang w:val="en-GB"/>
        </w:rPr>
        <w:tab/>
        <w:t>work, as required, including the socialization of ITU-T's desire to work cooperatively with the relevant standards bodies to improve cooperation; and</w:t>
      </w:r>
    </w:p>
    <w:p w:rsidR="00AD5FB9" w:rsidRPr="00F81B8E" w:rsidRDefault="00AD5FB9" w:rsidP="00AD5FB9">
      <w:pPr>
        <w:pStyle w:val="enumlev1"/>
        <w:rPr>
          <w:lang w:val="en-GB"/>
        </w:rPr>
      </w:pPr>
      <w:r w:rsidRPr="00F81B8E">
        <w:rPr>
          <w:lang w:val="en-GB"/>
        </w:rPr>
        <w:t>•</w:t>
      </w:r>
      <w:r w:rsidRPr="00F81B8E">
        <w:rPr>
          <w:lang w:val="en-GB"/>
        </w:rPr>
        <w:tab/>
        <w:t>provide a report to TSAG, containing the outcome of the actions taken, which will be subsequently submitted to WTSA-16,</w:t>
      </w:r>
    </w:p>
    <w:p w:rsidR="00AD5FB9" w:rsidRPr="00F81B8E" w:rsidRDefault="00AD5FB9" w:rsidP="00AD5FB9">
      <w:pPr>
        <w:pStyle w:val="Call"/>
        <w:rPr>
          <w:lang w:val="en-GB"/>
        </w:rPr>
      </w:pPr>
      <w:r w:rsidRPr="00F81B8E">
        <w:rPr>
          <w:lang w:val="en-GB"/>
        </w:rPr>
        <w:t>invites the Telecommunication Standardization Advisory Group</w:t>
      </w:r>
    </w:p>
    <w:p w:rsidR="00AD5FB9" w:rsidRPr="00F81B8E" w:rsidRDefault="00AD5FB9" w:rsidP="00AD5FB9">
      <w:pPr>
        <w:rPr>
          <w:lang w:val="en-GB"/>
        </w:rPr>
      </w:pPr>
      <w:r w:rsidRPr="00F81B8E">
        <w:rPr>
          <w:lang w:val="en-GB"/>
        </w:rPr>
        <w:t>to establish and maintain a close relationship with the Review Committee in order to develop synergies for the development of Recommendations addressing the objective of strengthening collaboration between ITU-T and other standards bodies.</w:t>
      </w: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AD5FB9" w:rsidRDefault="00AD5FB9" w:rsidP="00AD5FB9">
      <w:pPr>
        <w:rPr>
          <w:lang w:val="en-GB"/>
        </w:rPr>
      </w:pPr>
    </w:p>
    <w:p w:rsidR="00B06757" w:rsidRPr="00B06757" w:rsidRDefault="00B06757" w:rsidP="00AD5FB9">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A2662">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CA2662">
      <w:rPr>
        <w:noProof/>
      </w:rPr>
      <w:t>81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CA2662">
      <w:rPr>
        <w:noProof/>
      </w:rPr>
      <w:t>81</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CA2662">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524EB"/>
    <w:rsid w:val="0026429C"/>
    <w:rsid w:val="002742C3"/>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0B4F"/>
    <w:rsid w:val="004612A7"/>
    <w:rsid w:val="00462F6A"/>
    <w:rsid w:val="00467305"/>
    <w:rsid w:val="00471930"/>
    <w:rsid w:val="0048772A"/>
    <w:rsid w:val="004947A6"/>
    <w:rsid w:val="004A1E15"/>
    <w:rsid w:val="004B693A"/>
    <w:rsid w:val="004F2E56"/>
    <w:rsid w:val="00501F47"/>
    <w:rsid w:val="00504D1F"/>
    <w:rsid w:val="00522B42"/>
    <w:rsid w:val="00524FB2"/>
    <w:rsid w:val="00555B84"/>
    <w:rsid w:val="005569CA"/>
    <w:rsid w:val="00562EF2"/>
    <w:rsid w:val="005722AD"/>
    <w:rsid w:val="00574CFF"/>
    <w:rsid w:val="005B4298"/>
    <w:rsid w:val="005C5595"/>
    <w:rsid w:val="005C588A"/>
    <w:rsid w:val="005D1D45"/>
    <w:rsid w:val="005D45C9"/>
    <w:rsid w:val="00601999"/>
    <w:rsid w:val="006019A1"/>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3548"/>
    <w:rsid w:val="00985CBA"/>
    <w:rsid w:val="009B33F4"/>
    <w:rsid w:val="009B4C66"/>
    <w:rsid w:val="009C2357"/>
    <w:rsid w:val="009D10A5"/>
    <w:rsid w:val="009D26AE"/>
    <w:rsid w:val="009F7009"/>
    <w:rsid w:val="00A01A91"/>
    <w:rsid w:val="00A24E9A"/>
    <w:rsid w:val="00A26B1A"/>
    <w:rsid w:val="00A83D3D"/>
    <w:rsid w:val="00A976AC"/>
    <w:rsid w:val="00AA2D89"/>
    <w:rsid w:val="00AB27A0"/>
    <w:rsid w:val="00AC7876"/>
    <w:rsid w:val="00AD1DE8"/>
    <w:rsid w:val="00AD5FB9"/>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65BC6"/>
    <w:rsid w:val="00C72AF4"/>
    <w:rsid w:val="00CA2662"/>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197</TotalTime>
  <Pages>4</Pages>
  <Words>714</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5097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94</cp:revision>
  <cp:lastPrinted>2008-12-10T09:03:00Z</cp:lastPrinted>
  <dcterms:created xsi:type="dcterms:W3CDTF">2013-04-17T14:43:00Z</dcterms:created>
  <dcterms:modified xsi:type="dcterms:W3CDTF">2013-04-23T14:23:00Z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