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BA6224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BA6224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BA6224" w:rsidRPr="00BA6224">
              <w:rPr>
                <w:rFonts w:ascii="Arial" w:hAnsi="Arial"/>
                <w:b/>
                <w:bCs/>
                <w:sz w:val="36"/>
                <w:lang w:val="ru-RU"/>
              </w:rPr>
              <w:t>Наблюдение за развитием технологий в Бюро стандартизации электросвязи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BA6224" w:rsidRPr="00A524B6" w:rsidRDefault="00BA6224" w:rsidP="00BA6224">
      <w:pPr>
        <w:pStyle w:val="ResNo"/>
        <w:keepNext w:val="0"/>
        <w:keepLines w:val="0"/>
        <w:pageBreakBefore/>
        <w:spacing w:before="0"/>
      </w:pPr>
      <w:r w:rsidRPr="00A524B6">
        <w:lastRenderedPageBreak/>
        <w:t xml:space="preserve">Резолюция </w:t>
      </w:r>
      <w:r w:rsidRPr="00CD4A04">
        <w:rPr>
          <w:rStyle w:val="href"/>
        </w:rPr>
        <w:t>66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BA6224" w:rsidRPr="00A524B6" w:rsidRDefault="00BA6224" w:rsidP="00BA6224">
      <w:pPr>
        <w:pStyle w:val="Restitle"/>
      </w:pPr>
      <w:bookmarkStart w:id="10" w:name="_Toc349120798"/>
      <w:r w:rsidRPr="00A524B6">
        <w:t>Наблюдени</w:t>
      </w:r>
      <w:r w:rsidRPr="004E4597">
        <w:t>е</w:t>
      </w:r>
      <w:r w:rsidRPr="00A524B6">
        <w:t xml:space="preserve"> за развитием технологий</w:t>
      </w:r>
      <w:r w:rsidRPr="00A524B6">
        <w:rPr>
          <w:rFonts w:asciiTheme="minorHAnsi" w:hAnsiTheme="minorHAnsi"/>
        </w:rPr>
        <w:t xml:space="preserve"> </w:t>
      </w:r>
      <w:r w:rsidRPr="00A524B6">
        <w:t>в Бюро стандартизации электросвязи</w:t>
      </w:r>
      <w:bookmarkEnd w:id="10"/>
    </w:p>
    <w:p w:rsidR="00BA6224" w:rsidRPr="00A524B6" w:rsidRDefault="00BA6224" w:rsidP="00BA6224">
      <w:pPr>
        <w:pStyle w:val="Resref"/>
      </w:pPr>
      <w:r w:rsidRPr="00A524B6">
        <w:t>(Йоханнесбург, 2008 г.; Дубай, 2012 г.)</w:t>
      </w:r>
    </w:p>
    <w:p w:rsidR="00BA6224" w:rsidRPr="00A524B6" w:rsidRDefault="00BA6224" w:rsidP="00BA6224">
      <w:pPr>
        <w:pStyle w:val="Normalaftertitle"/>
      </w:pPr>
      <w:r w:rsidRPr="00A524B6">
        <w:t>Всемирная ассамблея по стандартизации электросвязи (Дубай, 2012 г.),</w:t>
      </w:r>
    </w:p>
    <w:p w:rsidR="00BA6224" w:rsidRPr="00A524B6" w:rsidRDefault="00BA6224" w:rsidP="00BA6224">
      <w:pPr>
        <w:pStyle w:val="Call"/>
      </w:pPr>
      <w:r w:rsidRPr="00A524B6">
        <w:t>учитывая</w:t>
      </w:r>
      <w:r w:rsidRPr="00A524B6">
        <w:rPr>
          <w:i w:val="0"/>
          <w:iCs/>
        </w:rPr>
        <w:t>,</w:t>
      </w:r>
    </w:p>
    <w:p w:rsidR="00BA6224" w:rsidRPr="00A524B6" w:rsidRDefault="00BA6224" w:rsidP="00BA6224">
      <w:r w:rsidRPr="00A524B6">
        <w:rPr>
          <w:i/>
          <w:iCs/>
        </w:rPr>
        <w:t>а)</w:t>
      </w:r>
      <w:r w:rsidRPr="00A524B6">
        <w:tab/>
        <w:t>что желательно, чтобы Бюро стандартизации электросвязи (БСЭ) выполнило обзор новых технологий, которые можно было бы включить в новую деятельность по стандартизации в МСЭ, и определило способы включения этих новых технологий в программу работы Сектора стандартизации электросвязи МСЭ (МСЭ-Т);</w:t>
      </w:r>
    </w:p>
    <w:p w:rsidR="00BA6224" w:rsidRPr="00A524B6" w:rsidRDefault="00BA6224" w:rsidP="00BA6224">
      <w:r w:rsidRPr="00A524B6">
        <w:rPr>
          <w:i/>
          <w:iCs/>
        </w:rPr>
        <w:t>b)</w:t>
      </w:r>
      <w:r w:rsidRPr="00A524B6">
        <w:tab/>
        <w:t>что такое наблюдение за развитием технологий определ</w:t>
      </w:r>
      <w:r>
        <w:t>яет</w:t>
      </w:r>
      <w:r w:rsidRPr="00A524B6">
        <w:t xml:space="preserve"> появляющи</w:t>
      </w:r>
      <w:r>
        <w:t>е</w:t>
      </w:r>
      <w:r w:rsidRPr="00A524B6">
        <w:t>ся технологи</w:t>
      </w:r>
      <w:r>
        <w:t>и</w:t>
      </w:r>
      <w:r w:rsidRPr="00A524B6">
        <w:t>, а также их возможно</w:t>
      </w:r>
      <w:r>
        <w:t>е</w:t>
      </w:r>
      <w:r w:rsidRPr="00A524B6">
        <w:t xml:space="preserve"> воздействи</w:t>
      </w:r>
      <w:r>
        <w:t>е</w:t>
      </w:r>
      <w:r w:rsidRPr="00A524B6">
        <w:t xml:space="preserve"> </w:t>
      </w:r>
      <w:bookmarkStart w:id="11" w:name="_GoBack"/>
      <w:bookmarkEnd w:id="11"/>
      <w:r w:rsidRPr="00A524B6">
        <w:t>на будущую работу по стандартизации как в развитых, так и в развивающихся странах</w:t>
      </w:r>
      <w:r w:rsidRPr="00A524B6">
        <w:rPr>
          <w:rStyle w:val="FootnoteReference"/>
        </w:rPr>
        <w:footnoteReference w:customMarkFollows="1" w:id="1"/>
        <w:t>1</w:t>
      </w:r>
      <w:r w:rsidRPr="00A524B6">
        <w:t>, с целью определения рабочих вопросов для возможных новых Рекомендаций МСЭ-Т;</w:t>
      </w:r>
    </w:p>
    <w:p w:rsidR="00BA6224" w:rsidRPr="00A524B6" w:rsidRDefault="00BA6224" w:rsidP="00BA6224">
      <w:r w:rsidRPr="00A524B6">
        <w:rPr>
          <w:i/>
          <w:iCs/>
        </w:rPr>
        <w:t>c)</w:t>
      </w:r>
      <w:r w:rsidRPr="00A524B6">
        <w:tab/>
        <w:t>что быстрое изменение среды электросвязи/информационно-коммуникационных технологий</w:t>
      </w:r>
      <w:r>
        <w:t xml:space="preserve"> (ИКТ)</w:t>
      </w:r>
      <w:r w:rsidRPr="00A524B6">
        <w:t xml:space="preserve"> требует наблюдения за соответствующими технологиями и незамедлительных действий, с тем чтобы как можно скорее предложить возможные виды деятельности по стандартизации в МСЭ</w:t>
      </w:r>
      <w:r w:rsidRPr="00A524B6">
        <w:noBreakHyphen/>
        <w:t>Т;</w:t>
      </w:r>
    </w:p>
    <w:p w:rsidR="00BA6224" w:rsidRPr="00A524B6" w:rsidRDefault="00BA6224" w:rsidP="00BA6224">
      <w:r w:rsidRPr="004E4597">
        <w:rPr>
          <w:i/>
          <w:iCs/>
        </w:rPr>
        <w:t>d</w:t>
      </w:r>
      <w:r w:rsidRPr="00A524B6">
        <w:t>)</w:t>
      </w:r>
      <w:r w:rsidRPr="00A524B6">
        <w:tab/>
        <w:t>что электросвяз</w:t>
      </w:r>
      <w:r>
        <w:t>ь</w:t>
      </w:r>
      <w:r w:rsidRPr="00A524B6">
        <w:t>/</w:t>
      </w:r>
      <w:r>
        <w:t>ИКТ</w:t>
      </w:r>
      <w:r w:rsidRPr="00A524B6">
        <w:t xml:space="preserve"> позволяют внедрять приложения и услуги в других секторах экономики;</w:t>
      </w:r>
    </w:p>
    <w:p w:rsidR="00BA6224" w:rsidRPr="00A524B6" w:rsidRDefault="00BA6224" w:rsidP="00BA6224">
      <w:r w:rsidRPr="004E4597">
        <w:rPr>
          <w:i/>
          <w:iCs/>
        </w:rPr>
        <w:t>e</w:t>
      </w:r>
      <w:r w:rsidRPr="00A524B6">
        <w:t>)</w:t>
      </w:r>
      <w:r w:rsidRPr="00A524B6">
        <w:tab/>
        <w:t>что эти обстоятельства и то, как они связаны с программой работы МСЭ-Т, нуждаются в проведении обзора и оценке;</w:t>
      </w:r>
    </w:p>
    <w:p w:rsidR="00BA6224" w:rsidRPr="00A524B6" w:rsidRDefault="00BA6224" w:rsidP="00BA6224">
      <w:r w:rsidRPr="00A524B6">
        <w:rPr>
          <w:i/>
          <w:iCs/>
        </w:rPr>
        <w:t>f)</w:t>
      </w:r>
      <w:r w:rsidRPr="00A524B6">
        <w:tab/>
        <w:t>что наблюдение за развитием технологий осуществля</w:t>
      </w:r>
      <w:r>
        <w:t>е</w:t>
      </w:r>
      <w:r w:rsidRPr="00A524B6">
        <w:t>тся совместно с Членами МСЭ-Т, организациями по разработке стандартов, которые признаны МСЭ, а также с университетами, научными кругами и другими организациями, имеющими отношение к этой деятельности,</w:t>
      </w:r>
    </w:p>
    <w:p w:rsidR="00BA6224" w:rsidRPr="00A524B6" w:rsidRDefault="00BA6224" w:rsidP="00BA6224">
      <w:pPr>
        <w:pStyle w:val="Call"/>
      </w:pPr>
      <w:r w:rsidRPr="00A524B6">
        <w:t>признавая</w:t>
      </w:r>
    </w:p>
    <w:p w:rsidR="00BA6224" w:rsidRPr="00A524B6" w:rsidRDefault="00BA6224" w:rsidP="00BA6224">
      <w:r w:rsidRPr="00A524B6">
        <w:t>обнадеживающие результаты выполнения наблюдения за развитием технологий в течение последних исследовательских циклов,</w:t>
      </w:r>
    </w:p>
    <w:p w:rsidR="00BA6224" w:rsidRPr="00A524B6" w:rsidRDefault="00BA6224" w:rsidP="00BA6224">
      <w:pPr>
        <w:pStyle w:val="Call"/>
      </w:pPr>
      <w:r w:rsidRPr="00A524B6">
        <w:t>решает поручить Директору Бюро стандартизации электросвязи</w:t>
      </w:r>
    </w:p>
    <w:p w:rsidR="00BA6224" w:rsidRPr="00A524B6" w:rsidRDefault="00BA6224" w:rsidP="00BA6224">
      <w:r w:rsidRPr="00A524B6">
        <w:t>1</w:t>
      </w:r>
      <w:r w:rsidRPr="00A524B6">
        <w:tab/>
      </w:r>
      <w:r>
        <w:t xml:space="preserve">обеспечивать </w:t>
      </w:r>
      <w:r w:rsidRPr="00A524B6">
        <w:t>осуществл</w:t>
      </w:r>
      <w:r>
        <w:t>ение</w:t>
      </w:r>
      <w:r w:rsidRPr="00A524B6">
        <w:t xml:space="preserve"> деятельност</w:t>
      </w:r>
      <w:r>
        <w:t>и</w:t>
      </w:r>
      <w:r w:rsidRPr="00A524B6">
        <w:t xml:space="preserve"> по наблюдению за развитием технологий в рамках Бюро и представлять </w:t>
      </w:r>
      <w:r>
        <w:t>выводы</w:t>
      </w:r>
      <w:r w:rsidRPr="00A524B6">
        <w:t xml:space="preserve"> в качестве вкладов в разработку с</w:t>
      </w:r>
      <w:r>
        <w:t>оответствующих Рекомендаций МСЭ</w:t>
      </w:r>
      <w:r>
        <w:noBreakHyphen/>
      </w:r>
      <w:r w:rsidRPr="00A524B6">
        <w:t>Т;</w:t>
      </w:r>
    </w:p>
    <w:p w:rsidR="00BA6224" w:rsidRPr="00A524B6" w:rsidRDefault="00BA6224" w:rsidP="00BA6224">
      <w:r w:rsidRPr="00A524B6">
        <w:t>2</w:t>
      </w:r>
      <w:r w:rsidRPr="00A524B6">
        <w:tab/>
        <w:t xml:space="preserve">продолжать как можно скорее представлять соответствующим исследовательским комиссиям и </w:t>
      </w:r>
      <w:r>
        <w:t>Консультативной группе по стандартизации электросвязи</w:t>
      </w:r>
      <w:r w:rsidRPr="00A524B6">
        <w:t xml:space="preserve"> результаты работы, полученные в рамках наблюдения за развитием технологий, с соответствующими выводами и анализом для рассмотрения и принятия мер в соответствии с их мандатами; </w:t>
      </w:r>
    </w:p>
    <w:p w:rsidR="00BA6224" w:rsidRPr="00A524B6" w:rsidRDefault="00BA6224" w:rsidP="00BA6224">
      <w:r w:rsidRPr="00A524B6">
        <w:t>3</w:t>
      </w:r>
      <w:r w:rsidRPr="00A524B6">
        <w:tab/>
        <w:t>продолжать публиковать основные результаты наблюдения за развитием технологий в качестве кратких обзоров,</w:t>
      </w:r>
    </w:p>
    <w:p w:rsidR="00BA6224" w:rsidRPr="00A524B6" w:rsidRDefault="00BA6224" w:rsidP="00BA6224">
      <w:pPr>
        <w:pStyle w:val="Call"/>
        <w:keepNext w:val="0"/>
        <w:keepLines w:val="0"/>
      </w:pPr>
      <w:r w:rsidRPr="004E4597">
        <w:t>п</w:t>
      </w:r>
      <w:r w:rsidRPr="00A524B6">
        <w:t>ризывает</w:t>
      </w:r>
      <w:r w:rsidRPr="004E4597">
        <w:t xml:space="preserve"> Государства-Члены и Членов Сектора</w:t>
      </w:r>
    </w:p>
    <w:p w:rsidR="00BA6224" w:rsidRDefault="00BA6224" w:rsidP="00BA6224">
      <w:r w:rsidRPr="004E4597">
        <w:t xml:space="preserve">вносить активный вклад в </w:t>
      </w:r>
      <w:r w:rsidRPr="00A524B6">
        <w:t xml:space="preserve">наблюдение за развитием технологий путем </w:t>
      </w:r>
      <w:r w:rsidRPr="004E4597">
        <w:t>представл</w:t>
      </w:r>
      <w:r w:rsidRPr="00A524B6">
        <w:t>ения</w:t>
      </w:r>
      <w:r w:rsidRPr="004E4597">
        <w:t xml:space="preserve"> предложени</w:t>
      </w:r>
      <w:r w:rsidRPr="00A524B6">
        <w:t>й</w:t>
      </w:r>
      <w:r w:rsidRPr="004E4597">
        <w:t xml:space="preserve"> по темам и тезис</w:t>
      </w:r>
      <w:r w:rsidRPr="00A524B6">
        <w:t>ов</w:t>
      </w:r>
      <w:r w:rsidRPr="004E4597">
        <w:t xml:space="preserve"> будущ</w:t>
      </w:r>
      <w:r w:rsidRPr="00A524B6">
        <w:t>ей</w:t>
      </w:r>
      <w:r w:rsidRPr="004E4597">
        <w:t xml:space="preserve"> </w:t>
      </w:r>
      <w:r w:rsidRPr="00A524B6">
        <w:t xml:space="preserve">деятельности, а также путем рассмотрения и обсуждения </w:t>
      </w:r>
      <w:r>
        <w:t>выводов</w:t>
      </w:r>
      <w:r w:rsidRPr="00A524B6">
        <w:t xml:space="preserve"> по результатам работы в области наблюдения за развитием технологий.</w:t>
      </w:r>
    </w:p>
    <w:sectPr w:rsidR="00BA6224" w:rsidSect="0079387B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60038B">
    <w:pPr>
      <w:pStyle w:val="Footer"/>
      <w:tabs>
        <w:tab w:val="left" w:pos="851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BA6224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BA6224">
      <w:rPr>
        <w:b/>
        <w:sz w:val="22"/>
        <w:szCs w:val="22"/>
      </w:rPr>
      <w:t>66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79387B">
      <w:rPr>
        <w:b/>
        <w:bCs/>
        <w:sz w:val="22"/>
        <w:szCs w:val="22"/>
      </w:rPr>
      <w:t>66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79387B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BA6224" w:rsidRPr="00F91AED" w:rsidRDefault="00BA6224" w:rsidP="00BA6224">
      <w:pPr>
        <w:pStyle w:val="FootnoteText"/>
        <w:rPr>
          <w:lang w:val="ru-RU"/>
        </w:rPr>
      </w:pPr>
      <w:r w:rsidRPr="00A24061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 xml:space="preserve">К таковым относятся наименее развитые страны, малые островные развивающиеся государства, </w:t>
      </w:r>
      <w:r w:rsidRPr="00E2373F">
        <w:rPr>
          <w:lang w:val="ru-RU"/>
        </w:rPr>
        <w:t>развивающиеся страны, не имеющие выхода к морю,</w:t>
      </w:r>
      <w:r>
        <w:rPr>
          <w:lang w:val="ru-RU"/>
        </w:rPr>
        <w:t xml:space="preserve">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9387B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1911"/>
    <w:rsid w:val="00CD6B2D"/>
    <w:rsid w:val="00CE61EA"/>
    <w:rsid w:val="00CF45EF"/>
    <w:rsid w:val="00CF58A8"/>
    <w:rsid w:val="00D011E9"/>
    <w:rsid w:val="00D02B02"/>
    <w:rsid w:val="00D047CA"/>
    <w:rsid w:val="00D04C03"/>
    <w:rsid w:val="00D128F2"/>
    <w:rsid w:val="00D13A2C"/>
    <w:rsid w:val="00D260B1"/>
    <w:rsid w:val="00D27508"/>
    <w:rsid w:val="00D32902"/>
    <w:rsid w:val="00D32E0E"/>
    <w:rsid w:val="00D34E80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3710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2013-04-23T13:56:00Z</dcterms:created>
  <dcterms:modified xsi:type="dcterms:W3CDTF">2013-04-24T13:00:00Z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