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:rsidTr="005569CA">
        <w:trPr>
          <w:trHeight w:hRule="exact" w:val="1418"/>
        </w:trPr>
        <w:tc>
          <w:tcPr>
            <w:tcW w:w="1428" w:type="dxa"/>
            <w:gridSpan w:val="2"/>
          </w:tcPr>
          <w:p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:rsidTr="005569CA">
        <w:trPr>
          <w:trHeight w:hRule="exact" w:val="992"/>
        </w:trPr>
        <w:tc>
          <w:tcPr>
            <w:tcW w:w="1428" w:type="dxa"/>
            <w:gridSpan w:val="2"/>
          </w:tcPr>
          <w:p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812DA3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812DA3" w:rsidTr="005569CA">
        <w:trPr>
          <w:cantSplit/>
          <w:trHeight w:hRule="exact" w:val="3402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0E4393" w:rsidRPr="00F81B8E">
              <w:rPr>
                <w:rFonts w:ascii="Arial" w:hAnsi="Arial"/>
                <w:sz w:val="32"/>
                <w:lang w:val="en-GB"/>
              </w:rPr>
              <w:t>Dubai, 20-29 November 2012</w:t>
            </w:r>
          </w:p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812DA3" w:rsidTr="005569CA">
        <w:trPr>
          <w:cantSplit/>
          <w:trHeight w:hRule="exact" w:val="4536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:rsidR="008968B6" w:rsidRPr="008968B6" w:rsidRDefault="008968B6" w:rsidP="00727B22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US"/>
              </w:rPr>
            </w:pP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Resolution </w:t>
            </w:r>
            <w:r w:rsidR="00727B22">
              <w:rPr>
                <w:rFonts w:ascii="Arial" w:hAnsi="Arial"/>
                <w:b/>
                <w:bCs/>
                <w:sz w:val="36"/>
                <w:lang w:val="en-US"/>
              </w:rPr>
              <w:t>60</w:t>
            </w: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 – </w:t>
            </w:r>
            <w:r w:rsidR="00727B22" w:rsidRPr="00727B22">
              <w:rPr>
                <w:rFonts w:ascii="Arial" w:hAnsi="Arial"/>
                <w:b/>
                <w:bCs/>
                <w:sz w:val="36"/>
                <w:lang w:val="en-US"/>
              </w:rPr>
              <w:t>Responding to the challenges of the evolution of the identification/numbering system and its convergence with IP-based systems/networks</w:t>
            </w:r>
          </w:p>
        </w:tc>
      </w:tr>
      <w:bookmarkEnd w:id="6"/>
      <w:tr w:rsidR="008968B6" w:rsidRPr="00812DA3" w:rsidTr="005569CA">
        <w:trPr>
          <w:cantSplit/>
          <w:trHeight w:hRule="exact" w:val="1418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7" w:name="dnum2e"/>
            <w:bookmarkEnd w:id="7"/>
          </w:p>
        </w:tc>
      </w:tr>
    </w:tbl>
    <w:p w:rsidR="008968B6" w:rsidRPr="008968B6" w:rsidRDefault="00720F3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8" w:name="c2tope"/>
      <w:bookmarkEnd w:id="8"/>
      <w:r>
        <w:rPr>
          <w:noProof/>
          <w:lang w:val="en-US" w:eastAsia="zh-CN"/>
        </w:rPr>
        <w:drawing>
          <wp:inline distT="0" distB="0" distL="0" distR="0">
            <wp:extent cx="666750" cy="752475"/>
            <wp:effectExtent l="0" t="0" r="0" b="9525"/>
            <wp:docPr id="5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8968B6">
          <w:headerReference w:type="even" r:id="rId10"/>
          <w:headerReference w:type="default" r:id="rId11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:rsidR="008968B6" w:rsidRPr="008968B6" w:rsidRDefault="008968B6" w:rsidP="008968B6">
      <w:pPr>
        <w:spacing w:before="480" w:line="240" w:lineRule="auto"/>
        <w:jc w:val="center"/>
        <w:rPr>
          <w:lang w:val="en-US"/>
        </w:rPr>
      </w:pPr>
      <w:bookmarkStart w:id="9" w:name="irecnoe"/>
      <w:bookmarkEnd w:id="9"/>
      <w:r w:rsidRPr="008968B6">
        <w:rPr>
          <w:lang w:val="en-US"/>
        </w:rPr>
        <w:lastRenderedPageBreak/>
        <w:t>FOREWORD</w:t>
      </w:r>
    </w:p>
    <w:p w:rsidR="000E4393" w:rsidRPr="00F81B8E" w:rsidRDefault="000E4393" w:rsidP="000E4393">
      <w:pPr>
        <w:pStyle w:val="Normalaftertitle"/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International Telecommunication Union (ITU) is the United Nations specialized agency in the field of tele</w:t>
      </w:r>
      <w:r w:rsidRPr="00F81B8E">
        <w:rPr>
          <w:sz w:val="20"/>
          <w:lang w:val="en-GB"/>
        </w:rPr>
        <w:softHyphen/>
        <w:t>com</w:t>
      </w:r>
      <w:r w:rsidRPr="00F81B8E">
        <w:rPr>
          <w:sz w:val="20"/>
          <w:lang w:val="en-GB"/>
        </w:rPr>
        <w:softHyphen/>
        <w:t>mu</w:t>
      </w:r>
      <w:r w:rsidRPr="00F81B8E">
        <w:rPr>
          <w:sz w:val="20"/>
          <w:lang w:val="en-GB"/>
        </w:rPr>
        <w:softHyphen/>
        <w:t>ni</w:t>
      </w:r>
      <w:r w:rsidRPr="00F81B8E">
        <w:rPr>
          <w:sz w:val="20"/>
          <w:lang w:val="en-GB"/>
        </w:rPr>
        <w:softHyphen/>
        <w:t>ca</w:t>
      </w:r>
      <w:r w:rsidRPr="00F81B8E">
        <w:rPr>
          <w:sz w:val="20"/>
          <w:lang w:val="en-GB"/>
        </w:rPr>
        <w:softHyphen/>
        <w:t>tions.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 xml:space="preserve">The </w:t>
      </w:r>
      <w:bookmarkStart w:id="10" w:name="iitexte"/>
      <w:r w:rsidRPr="00F81B8E">
        <w:rPr>
          <w:sz w:val="20"/>
          <w:lang w:val="en-GB"/>
        </w:rPr>
        <w:t>World Telecommunication Standardization Assembly (WTSA), which meets every four years, establishes the topics for study by the ITU</w:t>
      </w:r>
      <w:r w:rsidRPr="00F81B8E">
        <w:rPr>
          <w:sz w:val="20"/>
          <w:lang w:val="en-GB"/>
        </w:rPr>
        <w:noBreakHyphen/>
        <w:t>T study groups which, in turn, produce Recommendations on these topics.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approval of ITU-T Recommendations is covered by the procedure laid down in WTSA Resolution 1</w:t>
      </w:r>
      <w:bookmarkEnd w:id="10"/>
      <w:r w:rsidRPr="00F81B8E">
        <w:rPr>
          <w:sz w:val="20"/>
          <w:lang w:val="en-GB"/>
        </w:rPr>
        <w:t>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In some areas of information technology which fall within ITU-T's purview, the necessary standards are prepared on a collaborative basis with ISO and IEC.</w:t>
      </w: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471930" w:rsidRPr="00F81B8E" w:rsidRDefault="00471930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 </w:t>
      </w:r>
      <w:bookmarkStart w:id="11" w:name="iiannee"/>
      <w:bookmarkEnd w:id="11"/>
      <w:r w:rsidRPr="00F81B8E">
        <w:rPr>
          <w:sz w:val="20"/>
          <w:lang w:val="en-GB"/>
        </w:rPr>
        <w:t>2013</w:t>
      </w:r>
    </w:p>
    <w:p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3374BB" w:rsidRPr="000E4393" w:rsidRDefault="003374BB" w:rsidP="00140FDA">
      <w:pPr>
        <w:pStyle w:val="ResNo"/>
        <w:rPr>
          <w:lang w:val="en-US"/>
        </w:rPr>
      </w:pPr>
      <w:r w:rsidRPr="000E4393">
        <w:rPr>
          <w:lang w:val="en-US"/>
        </w:rPr>
        <w:lastRenderedPageBreak/>
        <w:t xml:space="preserve">resolution </w:t>
      </w:r>
      <w:r w:rsidR="00140FDA">
        <w:rPr>
          <w:rStyle w:val="href"/>
          <w:lang w:val="en-US"/>
        </w:rPr>
        <w:t>60</w:t>
      </w:r>
      <w:r w:rsidR="00812DA3">
        <w:rPr>
          <w:rStyle w:val="href"/>
          <w:lang w:val="en-US"/>
        </w:rPr>
        <w:t xml:space="preserve"> </w:t>
      </w:r>
      <w:r w:rsidR="00812DA3" w:rsidRPr="00F81B8E">
        <w:rPr>
          <w:lang w:val="en-GB"/>
        </w:rPr>
        <w:t>(R</w:t>
      </w:r>
      <w:r w:rsidR="00812DA3" w:rsidRPr="00F81B8E">
        <w:rPr>
          <w:caps w:val="0"/>
          <w:lang w:val="en-GB"/>
        </w:rPr>
        <w:t>ev.</w:t>
      </w:r>
      <w:r w:rsidR="00812DA3" w:rsidRPr="00F81B8E">
        <w:rPr>
          <w:lang w:val="en-GB"/>
        </w:rPr>
        <w:t xml:space="preserve"> </w:t>
      </w:r>
      <w:r w:rsidR="00812DA3" w:rsidRPr="00F81B8E">
        <w:rPr>
          <w:caps w:val="0"/>
          <w:lang w:val="en-GB"/>
        </w:rPr>
        <w:t>Dubai, 2012)</w:t>
      </w:r>
      <w:bookmarkStart w:id="12" w:name="_GoBack"/>
      <w:bookmarkEnd w:id="12"/>
    </w:p>
    <w:p w:rsidR="00140FDA" w:rsidRPr="00F81B8E" w:rsidRDefault="00140FDA" w:rsidP="00140FDA">
      <w:pPr>
        <w:pStyle w:val="Restitle"/>
        <w:rPr>
          <w:lang w:val="en-GB"/>
        </w:rPr>
      </w:pPr>
      <w:r w:rsidRPr="00F81B8E">
        <w:rPr>
          <w:lang w:val="en-GB"/>
        </w:rPr>
        <w:t>Responding to the challenges of the evolution of the identification/numbering system and its convergence with IP-based systems/networks</w:t>
      </w:r>
    </w:p>
    <w:p w:rsidR="00140FDA" w:rsidRPr="00F81B8E" w:rsidRDefault="00140FDA" w:rsidP="00140FDA">
      <w:pPr>
        <w:pStyle w:val="Resref"/>
        <w:rPr>
          <w:lang w:val="en-GB"/>
        </w:rPr>
      </w:pPr>
      <w:r w:rsidRPr="00F81B8E">
        <w:rPr>
          <w:lang w:val="en-GB"/>
        </w:rPr>
        <w:t>(Johannesburg, 2008; Dubai, 2012)</w:t>
      </w:r>
    </w:p>
    <w:p w:rsidR="00140FDA" w:rsidRPr="00F81B8E" w:rsidRDefault="00140FDA" w:rsidP="00140FDA">
      <w:pPr>
        <w:pStyle w:val="Normalaftertitle0"/>
      </w:pPr>
      <w:r w:rsidRPr="00F81B8E">
        <w:t>The World Telecommunication Standardization Assembly (Dubai, 2012),</w:t>
      </w:r>
    </w:p>
    <w:p w:rsidR="00140FDA" w:rsidRPr="00F81B8E" w:rsidRDefault="00140FDA" w:rsidP="00140FDA">
      <w:pPr>
        <w:pStyle w:val="Call"/>
        <w:rPr>
          <w:lang w:val="en-GB"/>
        </w:rPr>
      </w:pPr>
      <w:r w:rsidRPr="00F81B8E">
        <w:rPr>
          <w:lang w:val="en-GB"/>
        </w:rPr>
        <w:t xml:space="preserve">recognizing 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Resolution 133 (Rev. Guadalajara, 2010) of the Plenipotentiary Conference, with regard to the continuing progress towards integration of telecommunications and the Internet;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Resolutions 101 and 102 (Rev. Guadalajara, 2010) of the Plenipotentiary Conference;</w:t>
      </w:r>
    </w:p>
    <w:p w:rsidR="00140FDA" w:rsidRPr="00F81B8E" w:rsidRDefault="00140FDA" w:rsidP="00140FDA">
      <w:pPr>
        <w:pStyle w:val="enumlev1"/>
        <w:tabs>
          <w:tab w:val="left" w:pos="0"/>
        </w:tabs>
        <w:ind w:left="0" w:firstLine="0"/>
        <w:rPr>
          <w:lang w:val="en-GB"/>
        </w:rPr>
      </w:pPr>
      <w:r w:rsidRPr="00F81B8E">
        <w:rPr>
          <w:i/>
          <w:iCs/>
          <w:lang w:val="en-GB"/>
        </w:rPr>
        <w:t>c)</w:t>
      </w:r>
      <w:r w:rsidRPr="00F81B8E">
        <w:rPr>
          <w:lang w:val="en-GB"/>
        </w:rPr>
        <w:tab/>
        <w:t>the evolving role of the World Telecommunication Standardization Assembly, as reflected in Resolution 122 (Rev. Guadalajara, 2010) of the Plenipotentiary Conference,</w:t>
      </w:r>
    </w:p>
    <w:p w:rsidR="00140FDA" w:rsidRPr="00F81B8E" w:rsidRDefault="00140FDA" w:rsidP="00140FDA">
      <w:pPr>
        <w:pStyle w:val="Call"/>
        <w:rPr>
          <w:lang w:val="en-GB"/>
        </w:rPr>
      </w:pPr>
      <w:r w:rsidRPr="00F81B8E">
        <w:rPr>
          <w:lang w:val="en-GB"/>
        </w:rPr>
        <w:t>noting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the work in Study Group 2 of the ITU Telecommunication Standardization Sector (ITU</w:t>
      </w:r>
      <w:r w:rsidRPr="00F81B8E">
        <w:rPr>
          <w:lang w:val="en-GB"/>
        </w:rPr>
        <w:noBreakHyphen/>
        <w:t xml:space="preserve">T), on investigating the evolutionary aspect of the numbering system, including the "future of numbering", considering next-generation networks (NGN) </w:t>
      </w:r>
      <w:r w:rsidRPr="00F81B8E">
        <w:rPr>
          <w:szCs w:val="24"/>
          <w:lang w:val="en-GB"/>
        </w:rPr>
        <w:t xml:space="preserve">and future networks (FN) </w:t>
      </w:r>
      <w:r w:rsidRPr="00F81B8E">
        <w:rPr>
          <w:lang w:val="en-GB"/>
        </w:rPr>
        <w:t>as the working environment of the numbering system in the future;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that the transition from traditional networks to IP-based networks is taking place at a fast pace, whilst there is a transition to NGN and FN;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i/>
          <w:iCs/>
          <w:lang w:val="en-GB"/>
        </w:rPr>
        <w:t>c)</w:t>
      </w:r>
      <w:r w:rsidRPr="00F81B8E">
        <w:rPr>
          <w:lang w:val="en-GB"/>
        </w:rPr>
        <w:tab/>
        <w:t>the emerging issues concerning administrative control for international telecommunication service-based numbers;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i/>
          <w:iCs/>
          <w:lang w:val="en-GB"/>
        </w:rPr>
        <w:t>d)</w:t>
      </w:r>
      <w:r w:rsidRPr="00F81B8E">
        <w:rPr>
          <w:lang w:val="en-GB"/>
        </w:rPr>
        <w:tab/>
        <w:t>the forthcoming issues concerning the convergence of numbering, naming, addressing and identification systems along with the development of NGN</w:t>
      </w:r>
      <w:r w:rsidRPr="00F81B8E">
        <w:rPr>
          <w:szCs w:val="24"/>
          <w:lang w:val="en-GB"/>
        </w:rPr>
        <w:t xml:space="preserve"> and FNs</w:t>
      </w:r>
      <w:r w:rsidRPr="00F81B8E">
        <w:rPr>
          <w:lang w:val="en-GB"/>
        </w:rPr>
        <w:t>, and associated issues concerning security, signalling, portability and migration;</w:t>
      </w:r>
    </w:p>
    <w:p w:rsidR="00140FDA" w:rsidRPr="00F81B8E" w:rsidRDefault="00140FDA" w:rsidP="00140FDA">
      <w:pPr>
        <w:rPr>
          <w:szCs w:val="24"/>
          <w:lang w:val="en-GB"/>
        </w:rPr>
      </w:pPr>
      <w:r w:rsidRPr="00F81B8E">
        <w:rPr>
          <w:i/>
          <w:iCs/>
          <w:szCs w:val="24"/>
          <w:lang w:val="en-GB"/>
        </w:rPr>
        <w:t>e)</w:t>
      </w:r>
      <w:r w:rsidRPr="00F81B8E">
        <w:rPr>
          <w:szCs w:val="24"/>
          <w:lang w:val="en-GB"/>
        </w:rPr>
        <w:tab/>
      </w:r>
      <w:r w:rsidRPr="00F81B8E">
        <w:rPr>
          <w:lang w:val="en-GB"/>
        </w:rPr>
        <w:t>the growing demand for numbering/identification resources for communications referred to as machine-to-machine (M2M);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i/>
          <w:iCs/>
          <w:lang w:val="en-GB"/>
        </w:rPr>
        <w:t>f)</w:t>
      </w:r>
      <w:r w:rsidRPr="00F81B8E">
        <w:rPr>
          <w:lang w:val="en-GB"/>
        </w:rPr>
        <w:tab/>
        <w:t>the need for principles and a roadmap for the evolution of international telecommunication resources, which would be expected to help the timely, predictable deployment of advanced identification technologies,</w:t>
      </w:r>
    </w:p>
    <w:p w:rsidR="00140FDA" w:rsidRPr="00F81B8E" w:rsidRDefault="00140FDA" w:rsidP="00140FDA">
      <w:pPr>
        <w:pStyle w:val="Call"/>
        <w:rPr>
          <w:lang w:val="en-GB"/>
        </w:rPr>
      </w:pPr>
      <w:r w:rsidRPr="00F81B8E">
        <w:rPr>
          <w:lang w:val="en-GB"/>
        </w:rPr>
        <w:t>resolves to instruct ITU-T Study Group 2, within the mandate of ITU</w:t>
      </w:r>
      <w:r w:rsidRPr="00F81B8E">
        <w:rPr>
          <w:lang w:val="en-GB"/>
        </w:rPr>
        <w:noBreakHyphen/>
        <w:t>T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lang w:val="en-GB"/>
        </w:rPr>
        <w:t>1</w:t>
      </w:r>
      <w:r w:rsidRPr="00F81B8E">
        <w:rPr>
          <w:lang w:val="en-GB"/>
        </w:rPr>
        <w:tab/>
        <w:t>to continue studying, in liaison with the other relevant study groups, the necessary requirements for the structure and maintenance of telecommunication identification/numbering resources in relation to the deployment of IP-based networks and the transition to NGN and FN;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lang w:val="en-GB"/>
        </w:rPr>
        <w:t>2</w:t>
      </w:r>
      <w:r w:rsidRPr="00F81B8E">
        <w:rPr>
          <w:lang w:val="en-GB"/>
        </w:rPr>
        <w:tab/>
        <w:t>to ensure the development of the administrative requirements for identification/numbering resource management systems in NGN and FN;</w:t>
      </w:r>
    </w:p>
    <w:p w:rsidR="00140FDA" w:rsidRDefault="00140FDA" w:rsidP="00140F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  <w:r>
        <w:rPr>
          <w:lang w:val="en-GB"/>
        </w:rPr>
        <w:br w:type="page"/>
      </w:r>
    </w:p>
    <w:p w:rsidR="00140FDA" w:rsidRPr="00F81B8E" w:rsidRDefault="00140FDA" w:rsidP="00140FDA">
      <w:pPr>
        <w:rPr>
          <w:lang w:val="en-GB"/>
        </w:rPr>
      </w:pPr>
      <w:r w:rsidRPr="00F81B8E">
        <w:rPr>
          <w:lang w:val="en-GB"/>
        </w:rPr>
        <w:lastRenderedPageBreak/>
        <w:t>3</w:t>
      </w:r>
      <w:r w:rsidRPr="00F81B8E">
        <w:rPr>
          <w:lang w:val="en-GB"/>
        </w:rPr>
        <w:tab/>
        <w:t>to continue developing guidelines, as well as a framework, for the evolution of the international telecommunication numbering system and its convergence with IP-based systems, in coordination with related study groups and associated regional groups, so that a basis for any new application can be provided,</w:t>
      </w:r>
    </w:p>
    <w:p w:rsidR="00140FDA" w:rsidRPr="00F81B8E" w:rsidRDefault="00140FDA" w:rsidP="00140FDA">
      <w:pPr>
        <w:pStyle w:val="Call"/>
        <w:rPr>
          <w:lang w:val="en-GB"/>
        </w:rPr>
      </w:pPr>
      <w:r w:rsidRPr="00F81B8E">
        <w:rPr>
          <w:lang w:val="en-GB"/>
        </w:rPr>
        <w:t>instructs relevant study groups</w:t>
      </w:r>
      <w:r w:rsidRPr="00F81B8E">
        <w:rPr>
          <w:szCs w:val="24"/>
          <w:lang w:val="en-GB"/>
        </w:rPr>
        <w:t>, and in particular ITU-T Study Group 13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lang w:val="en-GB"/>
        </w:rPr>
        <w:t>to support the work of Study Group 2, to ensure that such applications are based on appropriate guidelines, as well as a framework, for the evolution of the international telecommunication numbering</w:t>
      </w:r>
      <w:r w:rsidRPr="00F81B8E">
        <w:rPr>
          <w:szCs w:val="24"/>
          <w:lang w:val="en-GB"/>
        </w:rPr>
        <w:t>/identification</w:t>
      </w:r>
      <w:r w:rsidRPr="00F81B8E">
        <w:rPr>
          <w:lang w:val="en-GB"/>
        </w:rPr>
        <w:t xml:space="preserve"> system, and to help investigate their impact on the numbering</w:t>
      </w:r>
      <w:r w:rsidRPr="00F81B8E">
        <w:rPr>
          <w:szCs w:val="24"/>
          <w:lang w:val="en-GB"/>
        </w:rPr>
        <w:t>/identification</w:t>
      </w:r>
      <w:r w:rsidRPr="00F81B8E">
        <w:rPr>
          <w:lang w:val="en-GB"/>
        </w:rPr>
        <w:t xml:space="preserve"> system, </w:t>
      </w:r>
    </w:p>
    <w:p w:rsidR="00140FDA" w:rsidRPr="00F81B8E" w:rsidRDefault="00140FDA" w:rsidP="00140FDA">
      <w:pPr>
        <w:pStyle w:val="Call"/>
        <w:rPr>
          <w:lang w:val="en-GB"/>
        </w:rPr>
      </w:pPr>
      <w:r w:rsidRPr="00F81B8E">
        <w:rPr>
          <w:lang w:val="en-GB"/>
        </w:rPr>
        <w:t>instructs the Director of the Telecommunication Standardization Bureau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lang w:val="en-GB"/>
        </w:rPr>
        <w:t>to take appropriate action to facilitate the foregoing work regarding the evolution of the numbering</w:t>
      </w:r>
      <w:r w:rsidRPr="00F81B8E">
        <w:rPr>
          <w:szCs w:val="24"/>
          <w:lang w:val="en-GB"/>
        </w:rPr>
        <w:t>/identification</w:t>
      </w:r>
      <w:r w:rsidRPr="00F81B8E">
        <w:rPr>
          <w:lang w:val="en-GB"/>
        </w:rPr>
        <w:t xml:space="preserve"> system or its converged applications,</w:t>
      </w:r>
    </w:p>
    <w:p w:rsidR="00140FDA" w:rsidRPr="00F81B8E" w:rsidRDefault="00140FDA" w:rsidP="00140FDA">
      <w:pPr>
        <w:pStyle w:val="Call"/>
        <w:rPr>
          <w:lang w:val="en-GB"/>
        </w:rPr>
      </w:pPr>
      <w:r w:rsidRPr="00F81B8E">
        <w:rPr>
          <w:lang w:val="en-GB"/>
        </w:rPr>
        <w:t>invites Member States and Sector Members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lang w:val="en-GB"/>
        </w:rPr>
        <w:t>1</w:t>
      </w:r>
      <w:r w:rsidRPr="00F81B8E">
        <w:rPr>
          <w:lang w:val="en-GB"/>
        </w:rPr>
        <w:tab/>
        <w:t>to contribute to these activities, taking into consideration their national concerns and experiences;</w:t>
      </w:r>
    </w:p>
    <w:p w:rsidR="00140FDA" w:rsidRPr="00F81B8E" w:rsidRDefault="00140FDA" w:rsidP="00140FDA">
      <w:pPr>
        <w:rPr>
          <w:lang w:val="en-GB"/>
        </w:rPr>
      </w:pPr>
      <w:r w:rsidRPr="00F81B8E">
        <w:rPr>
          <w:lang w:val="en-GB"/>
        </w:rPr>
        <w:t>2</w:t>
      </w:r>
      <w:r w:rsidRPr="00F81B8E">
        <w:rPr>
          <w:lang w:val="en-GB"/>
        </w:rPr>
        <w:tab/>
        <w:t>to participate in and to contribute to regional groups discussing the issue and to promote the participation of developing countries in those discussions.</w:t>
      </w:r>
    </w:p>
    <w:p w:rsidR="00140FDA" w:rsidRDefault="00140FDA" w:rsidP="00140FDA">
      <w:pPr>
        <w:rPr>
          <w:lang w:val="en-GB"/>
        </w:rPr>
      </w:pPr>
    </w:p>
    <w:p w:rsidR="00140FDA" w:rsidRDefault="00140FDA" w:rsidP="00140FDA">
      <w:pPr>
        <w:rPr>
          <w:lang w:val="en-GB"/>
        </w:rPr>
      </w:pPr>
    </w:p>
    <w:p w:rsidR="00140FDA" w:rsidRDefault="00140FDA" w:rsidP="00140FDA">
      <w:pPr>
        <w:rPr>
          <w:lang w:val="en-GB"/>
        </w:rPr>
      </w:pPr>
    </w:p>
    <w:p w:rsidR="00140FDA" w:rsidRDefault="00140FDA" w:rsidP="00140FDA">
      <w:pPr>
        <w:rPr>
          <w:lang w:val="en-GB"/>
        </w:rPr>
      </w:pPr>
    </w:p>
    <w:p w:rsidR="00140FDA" w:rsidRDefault="00140FDA" w:rsidP="00140FDA">
      <w:pPr>
        <w:rPr>
          <w:lang w:val="en-GB"/>
        </w:rPr>
      </w:pPr>
    </w:p>
    <w:p w:rsidR="00140FDA" w:rsidRDefault="00140FDA" w:rsidP="00140FDA">
      <w:pPr>
        <w:rPr>
          <w:lang w:val="en-GB"/>
        </w:rPr>
      </w:pPr>
    </w:p>
    <w:p w:rsidR="00140FDA" w:rsidRDefault="00140FDA" w:rsidP="00140FDA">
      <w:pPr>
        <w:rPr>
          <w:lang w:val="en-GB"/>
        </w:rPr>
      </w:pPr>
    </w:p>
    <w:p w:rsidR="00140FDA" w:rsidRDefault="00140FDA" w:rsidP="00140FDA">
      <w:pPr>
        <w:rPr>
          <w:lang w:val="en-GB"/>
        </w:rPr>
      </w:pPr>
    </w:p>
    <w:p w:rsidR="00140FDA" w:rsidRDefault="00140FDA" w:rsidP="00140FDA">
      <w:pPr>
        <w:rPr>
          <w:lang w:val="en-GB"/>
        </w:rPr>
      </w:pPr>
    </w:p>
    <w:p w:rsidR="00140FDA" w:rsidRDefault="00140FDA" w:rsidP="00140FDA">
      <w:pPr>
        <w:rPr>
          <w:lang w:val="en-GB"/>
        </w:rPr>
      </w:pPr>
    </w:p>
    <w:p w:rsidR="00140FDA" w:rsidRDefault="00140FDA" w:rsidP="00140FDA">
      <w:pPr>
        <w:rPr>
          <w:lang w:val="en-GB"/>
        </w:rPr>
      </w:pPr>
    </w:p>
    <w:p w:rsidR="005B4298" w:rsidRPr="006D724B" w:rsidRDefault="005B4298" w:rsidP="00797473">
      <w:pPr>
        <w:pStyle w:val="Restitle"/>
        <w:rPr>
          <w:lang w:val="en-GB"/>
        </w:rPr>
      </w:pPr>
    </w:p>
    <w:sectPr w:rsidR="005B4298" w:rsidRPr="006D724B" w:rsidSect="00FC6F33">
      <w:headerReference w:type="even" r:id="rId14"/>
      <w:footerReference w:type="even" r:id="rId15"/>
      <w:footerReference w:type="default" r:id="rId16"/>
      <w:footnotePr>
        <w:pos w:val="beneathText"/>
        <w:numRestart w:val="eachSect"/>
      </w:footnotePr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CD" w:rsidRDefault="008075CD">
      <w:r>
        <w:separator/>
      </w:r>
    </w:p>
  </w:endnote>
  <w:endnote w:type="continuationSeparator" w:id="0">
    <w:p w:rsidR="008075CD" w:rsidRDefault="0080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FC6F33" w:rsidRDefault="00FC6F33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05DF4">
      <w:rPr>
        <w:noProof/>
      </w:rPr>
      <w:t>2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605DF4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Pr="00B73379" w:rsidRDefault="00C72AF4" w:rsidP="00C72AF4">
    <w:pPr>
      <w:pStyle w:val="FooterQP"/>
      <w:rPr>
        <w:lang w:val="en-US"/>
      </w:rPr>
    </w:pP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812DA3">
      <w:rPr>
        <w:b w:val="0"/>
        <w:bCs/>
        <w:noProof/>
        <w:lang w:val="en-US"/>
      </w:rPr>
      <w:t>2</w:t>
    </w:r>
    <w:r w:rsidRPr="00B73379">
      <w:rPr>
        <w:b w:val="0"/>
        <w:bCs/>
      </w:rPr>
      <w:fldChar w:fldCharType="end"/>
    </w:r>
    <w:r>
      <w:rPr>
        <w:lang w:val="en-US"/>
      </w:rPr>
      <w:tab/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812DA3">
      <w:rPr>
        <w:noProof/>
      </w:rPr>
      <w:t>60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F4" w:rsidRPr="00FC6F33" w:rsidRDefault="00605DF4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812DA3">
      <w:rPr>
        <w:noProof/>
      </w:rPr>
      <w:t>60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812DA3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CD" w:rsidRDefault="008075CD">
      <w:r>
        <w:t>____________________</w:t>
      </w:r>
    </w:p>
  </w:footnote>
  <w:footnote w:type="continuationSeparator" w:id="0">
    <w:p w:rsidR="008075CD" w:rsidRDefault="0080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Default="00C72AF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8"/>
  </w:num>
  <w:num w:numId="2">
    <w:abstractNumId w:val="13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8"/>
  </w:num>
  <w:num w:numId="7">
    <w:abstractNumId w:val="6"/>
  </w:num>
  <w:num w:numId="8">
    <w:abstractNumId w:val="2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14"/>
  </w:num>
  <w:num w:numId="13">
    <w:abstractNumId w:val="15"/>
  </w:num>
  <w:num w:numId="14">
    <w:abstractNumId w:val="23"/>
  </w:num>
  <w:num w:numId="15">
    <w:abstractNumId w:val="12"/>
  </w:num>
  <w:num w:numId="16">
    <w:abstractNumId w:val="27"/>
  </w:num>
  <w:num w:numId="17">
    <w:abstractNumId w:val="24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22"/>
  </w:num>
  <w:num w:numId="23">
    <w:abstractNumId w:val="7"/>
  </w:num>
  <w:num w:numId="24">
    <w:abstractNumId w:val="2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26"/>
    <w:rsid w:val="00001053"/>
    <w:rsid w:val="00011D78"/>
    <w:rsid w:val="00017B45"/>
    <w:rsid w:val="0003503D"/>
    <w:rsid w:val="000362C1"/>
    <w:rsid w:val="00066EDE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0E77C5"/>
    <w:rsid w:val="00113415"/>
    <w:rsid w:val="001309FB"/>
    <w:rsid w:val="00140FDA"/>
    <w:rsid w:val="0016708A"/>
    <w:rsid w:val="001A0696"/>
    <w:rsid w:val="001A31C9"/>
    <w:rsid w:val="001B4A76"/>
    <w:rsid w:val="001C5240"/>
    <w:rsid w:val="001C604C"/>
    <w:rsid w:val="002204D5"/>
    <w:rsid w:val="002210D5"/>
    <w:rsid w:val="0022202A"/>
    <w:rsid w:val="00227040"/>
    <w:rsid w:val="00246C17"/>
    <w:rsid w:val="0026429C"/>
    <w:rsid w:val="002742C3"/>
    <w:rsid w:val="002C182C"/>
    <w:rsid w:val="002D5607"/>
    <w:rsid w:val="00331B2F"/>
    <w:rsid w:val="00331B48"/>
    <w:rsid w:val="003374BB"/>
    <w:rsid w:val="0038237B"/>
    <w:rsid w:val="003C3FD9"/>
    <w:rsid w:val="003C4586"/>
    <w:rsid w:val="003D116F"/>
    <w:rsid w:val="003D7A8C"/>
    <w:rsid w:val="003F293E"/>
    <w:rsid w:val="003F3EE0"/>
    <w:rsid w:val="004568D2"/>
    <w:rsid w:val="004612A7"/>
    <w:rsid w:val="00462F6A"/>
    <w:rsid w:val="00467305"/>
    <w:rsid w:val="00471930"/>
    <w:rsid w:val="0048772A"/>
    <w:rsid w:val="004947A6"/>
    <w:rsid w:val="004A1E15"/>
    <w:rsid w:val="004F2E56"/>
    <w:rsid w:val="00501F47"/>
    <w:rsid w:val="00504D1F"/>
    <w:rsid w:val="00524FB2"/>
    <w:rsid w:val="005569CA"/>
    <w:rsid w:val="00562EF2"/>
    <w:rsid w:val="005722AD"/>
    <w:rsid w:val="00574CFF"/>
    <w:rsid w:val="005B4298"/>
    <w:rsid w:val="005C5595"/>
    <w:rsid w:val="005D1D45"/>
    <w:rsid w:val="005D45C9"/>
    <w:rsid w:val="00601999"/>
    <w:rsid w:val="00605DF4"/>
    <w:rsid w:val="00611CD0"/>
    <w:rsid w:val="00631549"/>
    <w:rsid w:val="006425B4"/>
    <w:rsid w:val="00653C1B"/>
    <w:rsid w:val="00664462"/>
    <w:rsid w:val="00665F6E"/>
    <w:rsid w:val="006678D7"/>
    <w:rsid w:val="00693D4F"/>
    <w:rsid w:val="00697D23"/>
    <w:rsid w:val="006B0459"/>
    <w:rsid w:val="006B21A6"/>
    <w:rsid w:val="006B5987"/>
    <w:rsid w:val="006D724B"/>
    <w:rsid w:val="006E13C5"/>
    <w:rsid w:val="00707551"/>
    <w:rsid w:val="007116DC"/>
    <w:rsid w:val="0071403C"/>
    <w:rsid w:val="00720F3C"/>
    <w:rsid w:val="00727B22"/>
    <w:rsid w:val="007352F1"/>
    <w:rsid w:val="0074102F"/>
    <w:rsid w:val="007550BF"/>
    <w:rsid w:val="00780423"/>
    <w:rsid w:val="00783EB8"/>
    <w:rsid w:val="007958DD"/>
    <w:rsid w:val="00797473"/>
    <w:rsid w:val="007B42DA"/>
    <w:rsid w:val="007E0240"/>
    <w:rsid w:val="008075CD"/>
    <w:rsid w:val="00812DA3"/>
    <w:rsid w:val="00825222"/>
    <w:rsid w:val="00851E30"/>
    <w:rsid w:val="008968B6"/>
    <w:rsid w:val="008B4CF6"/>
    <w:rsid w:val="008C7FC3"/>
    <w:rsid w:val="008D2DB4"/>
    <w:rsid w:val="008D6D8D"/>
    <w:rsid w:val="009055E3"/>
    <w:rsid w:val="00905B41"/>
    <w:rsid w:val="00914267"/>
    <w:rsid w:val="00916468"/>
    <w:rsid w:val="00916DDD"/>
    <w:rsid w:val="0092650E"/>
    <w:rsid w:val="00931EE1"/>
    <w:rsid w:val="009330E7"/>
    <w:rsid w:val="0093423B"/>
    <w:rsid w:val="00934946"/>
    <w:rsid w:val="0095090C"/>
    <w:rsid w:val="00974C0C"/>
    <w:rsid w:val="009755D7"/>
    <w:rsid w:val="00982620"/>
    <w:rsid w:val="00985CBA"/>
    <w:rsid w:val="009B33F4"/>
    <w:rsid w:val="009B4C66"/>
    <w:rsid w:val="009C2357"/>
    <w:rsid w:val="009D10A5"/>
    <w:rsid w:val="009D26AE"/>
    <w:rsid w:val="009F7009"/>
    <w:rsid w:val="00A01A91"/>
    <w:rsid w:val="00A24E9A"/>
    <w:rsid w:val="00A26B1A"/>
    <w:rsid w:val="00A83D3D"/>
    <w:rsid w:val="00A976AC"/>
    <w:rsid w:val="00AA2D89"/>
    <w:rsid w:val="00AE4C26"/>
    <w:rsid w:val="00B130BD"/>
    <w:rsid w:val="00B2392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75029"/>
    <w:rsid w:val="00B92804"/>
    <w:rsid w:val="00BB34EA"/>
    <w:rsid w:val="00BE0ACB"/>
    <w:rsid w:val="00BE58E6"/>
    <w:rsid w:val="00BF610E"/>
    <w:rsid w:val="00C12E70"/>
    <w:rsid w:val="00C32F69"/>
    <w:rsid w:val="00C42785"/>
    <w:rsid w:val="00C64078"/>
    <w:rsid w:val="00C72AF4"/>
    <w:rsid w:val="00CD10C2"/>
    <w:rsid w:val="00CD3865"/>
    <w:rsid w:val="00CE29CC"/>
    <w:rsid w:val="00CE6C93"/>
    <w:rsid w:val="00CE767E"/>
    <w:rsid w:val="00CF024D"/>
    <w:rsid w:val="00D32C23"/>
    <w:rsid w:val="00D422A1"/>
    <w:rsid w:val="00D4292A"/>
    <w:rsid w:val="00D457B6"/>
    <w:rsid w:val="00D66950"/>
    <w:rsid w:val="00D8497D"/>
    <w:rsid w:val="00D94D9E"/>
    <w:rsid w:val="00DA7D60"/>
    <w:rsid w:val="00DB2AF8"/>
    <w:rsid w:val="00DB5592"/>
    <w:rsid w:val="00DE48B4"/>
    <w:rsid w:val="00DF31C3"/>
    <w:rsid w:val="00E03ABC"/>
    <w:rsid w:val="00E154E2"/>
    <w:rsid w:val="00E300EC"/>
    <w:rsid w:val="00E40876"/>
    <w:rsid w:val="00E5070F"/>
    <w:rsid w:val="00E51820"/>
    <w:rsid w:val="00E56BAB"/>
    <w:rsid w:val="00E67297"/>
    <w:rsid w:val="00E758D6"/>
    <w:rsid w:val="00E82452"/>
    <w:rsid w:val="00E83C1C"/>
    <w:rsid w:val="00E87FFB"/>
    <w:rsid w:val="00E96B11"/>
    <w:rsid w:val="00E96C27"/>
    <w:rsid w:val="00EE1126"/>
    <w:rsid w:val="00EE2FE2"/>
    <w:rsid w:val="00F0099E"/>
    <w:rsid w:val="00F12607"/>
    <w:rsid w:val="00F15F98"/>
    <w:rsid w:val="00F34748"/>
    <w:rsid w:val="00F67E96"/>
    <w:rsid w:val="00FA70B7"/>
    <w:rsid w:val="00FC6F33"/>
    <w:rsid w:val="00FD23A9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53</TotalTime>
  <Pages>4</Pages>
  <Words>675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Book 1 Resolutions ITU-T Series A Recommendations:</vt:lpstr>
    </vt:vector>
  </TitlesOfParts>
  <Company>ITU</Company>
  <LinksUpToDate>false</LinksUpToDate>
  <CharactersWithSpaces>4966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ITU-T study group re</dc:creator>
  <cp:keywords>.Book 1,,Book 1</cp:keywords>
  <dc:description>ASM                                 1.12.04      SP_x000d_
Corr. BAT                         8.12.04      SP</dc:description>
  <cp:lastModifiedBy>Al-Yammouni, Hala</cp:lastModifiedBy>
  <cp:revision>57</cp:revision>
  <cp:lastPrinted>2008-12-10T09:03:00Z</cp:lastPrinted>
  <dcterms:created xsi:type="dcterms:W3CDTF">2013-04-17T14:43:00Z</dcterms:created>
  <dcterms:modified xsi:type="dcterms:W3CDTF">2013-04-23T14:14:00Z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