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US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B74D37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B74D37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r w:rsidR="000E4393" w:rsidRPr="00F81B8E">
              <w:rPr>
                <w:rFonts w:ascii="Arial" w:hAnsi="Arial"/>
                <w:sz w:val="32"/>
                <w:lang w:val="en-GB"/>
              </w:rPr>
              <w:t>Dubai, 20-29 November 2012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B74D37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B130BD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BE0ACB">
              <w:rPr>
                <w:rFonts w:ascii="Arial" w:hAnsi="Arial"/>
                <w:b/>
                <w:bCs/>
                <w:sz w:val="36"/>
                <w:lang w:val="en-US"/>
              </w:rPr>
              <w:t>5</w:t>
            </w:r>
            <w:r w:rsidR="00B130BD">
              <w:rPr>
                <w:rFonts w:ascii="Arial" w:hAnsi="Arial"/>
                <w:b/>
                <w:bCs/>
                <w:sz w:val="36"/>
                <w:lang w:val="en-US"/>
              </w:rPr>
              <w:t>8</w:t>
            </w: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 – </w:t>
            </w:r>
            <w:r w:rsidR="00B130BD" w:rsidRPr="00B130BD">
              <w:rPr>
                <w:rFonts w:ascii="Arial" w:hAnsi="Arial"/>
                <w:b/>
                <w:bCs/>
                <w:sz w:val="36"/>
                <w:lang w:val="en-US"/>
              </w:rPr>
              <w:t>Encouraging the creation of national computer incident response teams, particularly for developing countries</w:t>
            </w:r>
          </w:p>
        </w:tc>
      </w:tr>
      <w:bookmarkEnd w:id="6"/>
      <w:tr w:rsidR="008968B6" w:rsidRPr="00B74D37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7" w:name="dnum2e"/>
            <w:bookmarkEnd w:id="7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8" w:name="c2tope"/>
      <w:bookmarkEnd w:id="8"/>
      <w:r>
        <w:rPr>
          <w:noProof/>
          <w:lang w:val="en-US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10"/>
          <w:headerReference w:type="default" r:id="rId11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9" w:name="irecnoe"/>
      <w:bookmarkEnd w:id="9"/>
      <w:r w:rsidRPr="008968B6">
        <w:rPr>
          <w:lang w:val="en-US"/>
        </w:rPr>
        <w:lastRenderedPageBreak/>
        <w:t>FOREWORD</w:t>
      </w:r>
    </w:p>
    <w:p w:rsidR="000E4393" w:rsidRPr="00F81B8E" w:rsidRDefault="000E4393" w:rsidP="000E4393">
      <w:pPr>
        <w:pStyle w:val="Normalaftertitle"/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International Telecommunication Union (ITU) is the United Nations specialized agency in the field of tele</w:t>
      </w:r>
      <w:r w:rsidRPr="00F81B8E">
        <w:rPr>
          <w:sz w:val="20"/>
          <w:lang w:val="en-GB"/>
        </w:rPr>
        <w:softHyphen/>
        <w:t>com</w:t>
      </w:r>
      <w:r w:rsidRPr="00F81B8E">
        <w:rPr>
          <w:sz w:val="20"/>
          <w:lang w:val="en-GB"/>
        </w:rPr>
        <w:softHyphen/>
        <w:t>mu</w:t>
      </w:r>
      <w:r w:rsidRPr="00F81B8E">
        <w:rPr>
          <w:sz w:val="20"/>
          <w:lang w:val="en-GB"/>
        </w:rPr>
        <w:softHyphen/>
        <w:t>ni</w:t>
      </w:r>
      <w:r w:rsidRPr="00F81B8E">
        <w:rPr>
          <w:sz w:val="20"/>
          <w:lang w:val="en-GB"/>
        </w:rPr>
        <w:softHyphen/>
        <w:t>ca</w:t>
      </w:r>
      <w:r w:rsidRPr="00F81B8E">
        <w:rPr>
          <w:sz w:val="20"/>
          <w:lang w:val="en-GB"/>
        </w:rPr>
        <w:softHyphen/>
        <w:t>tions.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 xml:space="preserve">The </w:t>
      </w:r>
      <w:bookmarkStart w:id="10" w:name="iitexte"/>
      <w:r w:rsidRPr="00F81B8E">
        <w:rPr>
          <w:sz w:val="20"/>
          <w:lang w:val="en-GB"/>
        </w:rPr>
        <w:t>World Telecommunication Standardization Assembly (WTSA), which meets every four years, establishes the topics for study by the ITU</w:t>
      </w:r>
      <w:r w:rsidRPr="00F81B8E">
        <w:rPr>
          <w:sz w:val="20"/>
          <w:lang w:val="en-GB"/>
        </w:rPr>
        <w:noBreakHyphen/>
        <w:t>T study groups which, in turn, produce Recommendations on these topics.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The approval of ITU-T Recommendations is covered by the procedure laid down in WTSA Resolution 1</w:t>
      </w:r>
      <w:bookmarkEnd w:id="10"/>
      <w:r w:rsidRPr="00F81B8E">
        <w:rPr>
          <w:sz w:val="20"/>
          <w:lang w:val="en-GB"/>
        </w:rPr>
        <w:t>.</w:t>
      </w:r>
    </w:p>
    <w:p w:rsidR="000E4393" w:rsidRPr="00F81B8E" w:rsidRDefault="000E4393" w:rsidP="000E4393">
      <w:pPr>
        <w:spacing w:line="240" w:lineRule="exact"/>
        <w:rPr>
          <w:sz w:val="20"/>
          <w:lang w:val="en-GB"/>
        </w:rPr>
      </w:pPr>
      <w:r w:rsidRPr="00F81B8E">
        <w:rPr>
          <w:sz w:val="20"/>
          <w:lang w:val="en-GB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471930" w:rsidRPr="00F81B8E" w:rsidRDefault="00471930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 </w:t>
      </w:r>
      <w:bookmarkStart w:id="11" w:name="iiannee"/>
      <w:bookmarkEnd w:id="11"/>
      <w:r w:rsidRPr="00F81B8E">
        <w:rPr>
          <w:sz w:val="20"/>
          <w:lang w:val="en-GB"/>
        </w:rPr>
        <w:t>2013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2"/>
          <w:footerReference w:type="default" r:id="rId13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3374BB" w:rsidRPr="000E4393" w:rsidRDefault="003374BB" w:rsidP="00E87FFB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E87FFB">
        <w:rPr>
          <w:rStyle w:val="href"/>
          <w:lang w:val="en-US"/>
        </w:rPr>
        <w:t>58</w:t>
      </w:r>
      <w:r w:rsidR="00B74D37">
        <w:rPr>
          <w:rStyle w:val="href"/>
          <w:lang w:val="en-US"/>
        </w:rPr>
        <w:t xml:space="preserve"> </w:t>
      </w:r>
      <w:r w:rsidR="00B74D37" w:rsidRPr="00F81B8E">
        <w:rPr>
          <w:lang w:val="en-GB"/>
        </w:rPr>
        <w:t>(R</w:t>
      </w:r>
      <w:r w:rsidR="00B74D37" w:rsidRPr="00F81B8E">
        <w:rPr>
          <w:caps w:val="0"/>
          <w:lang w:val="en-GB"/>
        </w:rPr>
        <w:t>ev.</w:t>
      </w:r>
      <w:r w:rsidR="00B74D37" w:rsidRPr="00F81B8E">
        <w:rPr>
          <w:lang w:val="en-GB"/>
        </w:rPr>
        <w:t xml:space="preserve"> </w:t>
      </w:r>
      <w:r w:rsidR="00B74D37" w:rsidRPr="00F81B8E">
        <w:rPr>
          <w:caps w:val="0"/>
          <w:lang w:val="en-GB"/>
        </w:rPr>
        <w:t>Dubai, 2012)</w:t>
      </w:r>
      <w:bookmarkStart w:id="12" w:name="_GoBack"/>
      <w:bookmarkEnd w:id="12"/>
    </w:p>
    <w:p w:rsidR="00E87FFB" w:rsidRPr="00F81B8E" w:rsidRDefault="00E87FFB" w:rsidP="00E87FFB">
      <w:pPr>
        <w:pStyle w:val="Restitle"/>
        <w:rPr>
          <w:lang w:val="en-GB"/>
        </w:rPr>
      </w:pPr>
      <w:r w:rsidRPr="00F81B8E">
        <w:rPr>
          <w:lang w:val="en-GB"/>
        </w:rPr>
        <w:t>Encouraging the creation of national computer incident response teams, particularly for developing countries</w:t>
      </w:r>
      <w:r w:rsidRPr="00F81B8E">
        <w:rPr>
          <w:rStyle w:val="FootnoteReference"/>
          <w:lang w:val="en-GB"/>
        </w:rPr>
        <w:footnoteReference w:customMarkFollows="1" w:id="1"/>
        <w:t>1</w:t>
      </w:r>
    </w:p>
    <w:p w:rsidR="00E87FFB" w:rsidRPr="00F81B8E" w:rsidRDefault="00E87FFB" w:rsidP="00E87FFB">
      <w:pPr>
        <w:pStyle w:val="Resref"/>
        <w:rPr>
          <w:lang w:val="en-GB"/>
        </w:rPr>
      </w:pPr>
      <w:r w:rsidRPr="00F81B8E">
        <w:rPr>
          <w:lang w:val="en-GB"/>
        </w:rPr>
        <w:t>(Johannesburg, 2008; Dubai, 2012)</w:t>
      </w:r>
    </w:p>
    <w:p w:rsidR="00E87FFB" w:rsidRPr="00F81B8E" w:rsidRDefault="00E87FFB" w:rsidP="00E87FFB">
      <w:pPr>
        <w:pStyle w:val="Normalaftertitle0"/>
      </w:pPr>
      <w:r w:rsidRPr="00F81B8E">
        <w:t>The World Telecommunication Standardization Assembly (Dubai, 2012),</w:t>
      </w:r>
    </w:p>
    <w:p w:rsidR="00E87FFB" w:rsidRPr="00F81B8E" w:rsidRDefault="00E87FFB" w:rsidP="00E87FFB">
      <w:pPr>
        <w:pStyle w:val="Call"/>
        <w:rPr>
          <w:lang w:val="en-GB"/>
        </w:rPr>
      </w:pPr>
      <w:r w:rsidRPr="00F81B8E">
        <w:rPr>
          <w:lang w:val="en-GB"/>
        </w:rPr>
        <w:t>considering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that Resolution 123 (Rev. Guadalajara, 2010) of the Plenipotentiary Conference instructs the Secretary-General and the Directors of the three Bureaux to work closely with each other in pursuing initiatives that assist in bridging the standardization gap between developing and developed countries,</w:t>
      </w:r>
    </w:p>
    <w:p w:rsidR="00E87FFB" w:rsidRPr="00F81B8E" w:rsidRDefault="00E87FFB" w:rsidP="00E87FFB">
      <w:pPr>
        <w:pStyle w:val="Call"/>
        <w:rPr>
          <w:lang w:val="en-GB"/>
        </w:rPr>
      </w:pPr>
      <w:r w:rsidRPr="00F81B8E">
        <w:rPr>
          <w:lang w:val="en-GB"/>
        </w:rPr>
        <w:t>recognizing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the highly satisfactory results obtained by the regional approach within the framework of Resolution 54 (Rev. Dubai, 2012) of this assembly;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the increasing level of computer use and computer dependency in information and communication technologies (ICT) within developing countries;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 xml:space="preserve"> </w:t>
      </w:r>
      <w:r w:rsidRPr="00F81B8E">
        <w:rPr>
          <w:lang w:val="en-GB"/>
        </w:rPr>
        <w:tab/>
        <w:t>the increasing attacks and threat on ICT networks through computers;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d)</w:t>
      </w:r>
      <w:r w:rsidRPr="00F81B8E">
        <w:rPr>
          <w:lang w:val="en-GB"/>
        </w:rPr>
        <w:tab/>
        <w:t>the work carried out by the ITU Telecommunication Development Sector (ITU</w:t>
      </w:r>
      <w:r w:rsidRPr="00F81B8E">
        <w:rPr>
          <w:lang w:val="en-GB"/>
        </w:rPr>
        <w:noBreakHyphen/>
        <w:t>D) under Question 22/1 of ITU</w:t>
      </w:r>
      <w:r w:rsidRPr="00F81B8E">
        <w:rPr>
          <w:lang w:val="en-GB"/>
        </w:rPr>
        <w:noBreakHyphen/>
        <w:t>D Study Group 1 on this subject,</w:t>
      </w:r>
    </w:p>
    <w:p w:rsidR="00E87FFB" w:rsidRPr="00F81B8E" w:rsidRDefault="00E87FFB" w:rsidP="00E87FFB">
      <w:pPr>
        <w:pStyle w:val="Call"/>
        <w:rPr>
          <w:lang w:val="en-GB"/>
        </w:rPr>
      </w:pPr>
      <w:r w:rsidRPr="00F81B8E">
        <w:rPr>
          <w:lang w:val="en-GB"/>
        </w:rPr>
        <w:t>noting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a)</w:t>
      </w:r>
      <w:r w:rsidRPr="00F81B8E">
        <w:rPr>
          <w:lang w:val="en-GB"/>
        </w:rPr>
        <w:tab/>
        <w:t>that there is still a low level of computer emergency preparedness within many countries, particularly developing countries;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b)</w:t>
      </w:r>
      <w:r w:rsidRPr="00F81B8E">
        <w:rPr>
          <w:lang w:val="en-GB"/>
        </w:rPr>
        <w:tab/>
        <w:t>that the high level of interconnectivity of ICT networks could be affected by the launch of an attack from networks of the less-prepared nations, which are mostly the developing countries;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c)</w:t>
      </w:r>
      <w:r w:rsidRPr="00F81B8E">
        <w:rPr>
          <w:lang w:val="en-GB"/>
        </w:rPr>
        <w:tab/>
        <w:t>the importance of having an appropriate level of computer emergency preparedness in all countries;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d)</w:t>
      </w:r>
      <w:r w:rsidRPr="00F81B8E">
        <w:rPr>
          <w:lang w:val="en-GB"/>
        </w:rPr>
        <w:tab/>
        <w:t>the need for establishment of computer incident response teams</w:t>
      </w:r>
      <w:r w:rsidRPr="00F81B8E" w:rsidDel="00E53C3C">
        <w:rPr>
          <w:lang w:val="en-GB"/>
        </w:rPr>
        <w:t xml:space="preserve"> </w:t>
      </w:r>
      <w:r w:rsidRPr="00F81B8E">
        <w:rPr>
          <w:lang w:val="en-GB"/>
        </w:rPr>
        <w:t>(CIRTs) on a national basis and the importance of coordination within and among the regions,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i/>
          <w:iCs/>
          <w:lang w:val="en-GB"/>
        </w:rPr>
        <w:t>e)</w:t>
      </w:r>
      <w:r w:rsidRPr="00F81B8E">
        <w:rPr>
          <w:i/>
          <w:iCs/>
          <w:lang w:val="en-GB"/>
        </w:rPr>
        <w:tab/>
      </w:r>
      <w:r w:rsidRPr="00F81B8E">
        <w:rPr>
          <w:lang w:val="en-GB"/>
        </w:rPr>
        <w:t>the work of Study Group 17 of the ITU Telecommunication Standardization Sector (ITU-T) in the area of national CIRTs, particularly for developing countries, and cooperation between them, as contained in the outputs of the study group,</w:t>
      </w:r>
    </w:p>
    <w:p w:rsidR="00E87FFB" w:rsidRDefault="00E87FFB" w:rsidP="00E87FF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i/>
          <w:lang w:val="en-GB"/>
        </w:rPr>
      </w:pPr>
      <w:r>
        <w:rPr>
          <w:lang w:val="en-GB"/>
        </w:rPr>
        <w:br w:type="page"/>
      </w:r>
    </w:p>
    <w:p w:rsidR="00E87FFB" w:rsidRPr="00F81B8E" w:rsidRDefault="00E87FFB" w:rsidP="00E87FFB">
      <w:pPr>
        <w:pStyle w:val="Call"/>
        <w:rPr>
          <w:lang w:val="en-GB"/>
        </w:rPr>
      </w:pPr>
      <w:r w:rsidRPr="00F81B8E">
        <w:rPr>
          <w:lang w:val="en-GB"/>
        </w:rPr>
        <w:lastRenderedPageBreak/>
        <w:t>bearing in mind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that well</w:t>
      </w:r>
      <w:r w:rsidRPr="00F81B8E">
        <w:rPr>
          <w:lang w:val="en-GB"/>
        </w:rPr>
        <w:noBreakHyphen/>
        <w:t xml:space="preserve">functioning CIRTs in developing countries will serve to improve the level of developing countries' participation in world computer emergency response activities and contribute to achieving an effective global ICT infrastructure, </w:t>
      </w:r>
    </w:p>
    <w:p w:rsidR="00E87FFB" w:rsidRPr="00F81B8E" w:rsidRDefault="00E87FFB" w:rsidP="00E87FFB">
      <w:pPr>
        <w:pStyle w:val="Call"/>
        <w:rPr>
          <w:lang w:val="en-GB"/>
        </w:rPr>
      </w:pPr>
      <w:r w:rsidRPr="00F81B8E">
        <w:rPr>
          <w:lang w:val="en-GB"/>
        </w:rPr>
        <w:t>resolves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to support the creation of national CIRTs in Member States where CIRTs are needed and are currently absent,</w:t>
      </w:r>
    </w:p>
    <w:p w:rsidR="00E87FFB" w:rsidRPr="00F81B8E" w:rsidRDefault="00E87FFB" w:rsidP="00E87FFB">
      <w:pPr>
        <w:pStyle w:val="Call"/>
        <w:rPr>
          <w:lang w:val="en-GB"/>
        </w:rPr>
      </w:pPr>
      <w:r w:rsidRPr="00F81B8E">
        <w:rPr>
          <w:lang w:val="en-GB"/>
        </w:rPr>
        <w:t xml:space="preserve">instructs the Director of the Telecommunication Standardization Bureau, in collaboration with the Director of the Telecommunication Development Bureau 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1</w:t>
      </w:r>
      <w:r w:rsidRPr="00F81B8E">
        <w:rPr>
          <w:lang w:val="en-GB"/>
        </w:rPr>
        <w:tab/>
        <w:t xml:space="preserve">to identify best practices to establish CIRTs; 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2</w:t>
      </w:r>
      <w:r w:rsidRPr="00F81B8E">
        <w:rPr>
          <w:lang w:val="en-GB"/>
        </w:rPr>
        <w:tab/>
        <w:t xml:space="preserve">to identify where CIRTs are needed; 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3</w:t>
      </w:r>
      <w:r w:rsidRPr="00F81B8E">
        <w:rPr>
          <w:lang w:val="en-GB"/>
        </w:rPr>
        <w:tab/>
        <w:t xml:space="preserve">to collaborate with international experts and bodies to establish national CIRTs; 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4</w:t>
      </w:r>
      <w:r w:rsidRPr="00F81B8E">
        <w:rPr>
          <w:lang w:val="en-GB"/>
        </w:rPr>
        <w:tab/>
        <w:t>to provide support, as appropriate, within existing budgetary resources;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5</w:t>
      </w:r>
      <w:r w:rsidRPr="00F81B8E">
        <w:rPr>
          <w:lang w:val="en-GB"/>
        </w:rPr>
        <w:tab/>
        <w:t>to facilitate collaboration between national CIRTs, such as capacity building and exchange of information, within an appropriate framework,</w:t>
      </w:r>
    </w:p>
    <w:p w:rsidR="00E87FFB" w:rsidRPr="00F81B8E" w:rsidRDefault="00E87FFB" w:rsidP="00E87FFB">
      <w:pPr>
        <w:pStyle w:val="Call"/>
        <w:rPr>
          <w:lang w:val="en-GB"/>
        </w:rPr>
      </w:pPr>
      <w:r w:rsidRPr="00F81B8E">
        <w:rPr>
          <w:lang w:val="en-GB"/>
        </w:rPr>
        <w:t xml:space="preserve">invites the Member States 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1</w:t>
      </w:r>
      <w:r w:rsidRPr="00F81B8E">
        <w:rPr>
          <w:lang w:val="en-GB"/>
        </w:rPr>
        <w:tab/>
        <w:t>to consider the creation of a national CIRT as a high priority;</w:t>
      </w:r>
    </w:p>
    <w:p w:rsidR="00E87FFB" w:rsidRPr="00F81B8E" w:rsidRDefault="00E87FFB" w:rsidP="00E87FFB">
      <w:pPr>
        <w:rPr>
          <w:lang w:val="en-GB"/>
        </w:rPr>
      </w:pPr>
      <w:r w:rsidRPr="00F81B8E">
        <w:rPr>
          <w:lang w:val="en-GB"/>
        </w:rPr>
        <w:t>2</w:t>
      </w:r>
      <w:r w:rsidRPr="00F81B8E">
        <w:rPr>
          <w:lang w:val="en-GB"/>
        </w:rPr>
        <w:tab/>
        <w:t>to collaborate with other Member States and with Sector Members,</w:t>
      </w:r>
    </w:p>
    <w:p w:rsidR="00E87FFB" w:rsidRPr="00F81B8E" w:rsidRDefault="00E87FFB" w:rsidP="00E87FFB">
      <w:pPr>
        <w:pStyle w:val="Call"/>
        <w:rPr>
          <w:lang w:val="en-GB"/>
        </w:rPr>
      </w:pPr>
      <w:r w:rsidRPr="00F81B8E">
        <w:rPr>
          <w:lang w:val="en-GB"/>
        </w:rPr>
        <w:t>invites Member States and Sector Members</w:t>
      </w:r>
    </w:p>
    <w:p w:rsidR="00D32C23" w:rsidRDefault="00E87FFB" w:rsidP="00E87FFB">
      <w:pPr>
        <w:rPr>
          <w:lang w:val="en-GB"/>
        </w:rPr>
      </w:pPr>
      <w:r w:rsidRPr="00F81B8E">
        <w:rPr>
          <w:lang w:val="en-GB"/>
        </w:rPr>
        <w:t>to cooperate closely with ITU-T and ITU</w:t>
      </w:r>
      <w:r w:rsidRPr="00F81B8E">
        <w:rPr>
          <w:lang w:val="en-GB"/>
        </w:rPr>
        <w:noBreakHyphen/>
        <w:t>D in this regard.</w:t>
      </w:r>
    </w:p>
    <w:p w:rsidR="00E87FFB" w:rsidRDefault="00E87FFB" w:rsidP="00E87FFB">
      <w:pPr>
        <w:rPr>
          <w:lang w:val="en-GB"/>
        </w:rPr>
      </w:pPr>
    </w:p>
    <w:p w:rsidR="00E87FFB" w:rsidRDefault="00E87FFB" w:rsidP="00E87FFB">
      <w:pPr>
        <w:rPr>
          <w:lang w:val="en-GB"/>
        </w:rPr>
      </w:pPr>
    </w:p>
    <w:p w:rsidR="00E87FFB" w:rsidRDefault="00E87FFB" w:rsidP="00E87FFB">
      <w:pPr>
        <w:rPr>
          <w:lang w:val="en-GB"/>
        </w:rPr>
      </w:pPr>
    </w:p>
    <w:p w:rsidR="00E87FFB" w:rsidRDefault="00E87FFB" w:rsidP="00E87FFB">
      <w:pPr>
        <w:rPr>
          <w:lang w:val="en-GB"/>
        </w:rPr>
      </w:pPr>
    </w:p>
    <w:p w:rsidR="00E87FFB" w:rsidRDefault="00E87FFB" w:rsidP="00E87FFB">
      <w:pPr>
        <w:rPr>
          <w:lang w:val="en-GB"/>
        </w:rPr>
      </w:pPr>
    </w:p>
    <w:p w:rsidR="005B4298" w:rsidRDefault="005B4298" w:rsidP="00E87FFB">
      <w:pPr>
        <w:rPr>
          <w:lang w:val="en-GB"/>
        </w:rPr>
      </w:pPr>
    </w:p>
    <w:p w:rsidR="005B4298" w:rsidRDefault="005B4298" w:rsidP="00E87FFB">
      <w:pPr>
        <w:rPr>
          <w:lang w:val="en-GB"/>
        </w:rPr>
      </w:pPr>
    </w:p>
    <w:p w:rsidR="005B4298" w:rsidRDefault="005B4298" w:rsidP="00E87FFB">
      <w:pPr>
        <w:rPr>
          <w:lang w:val="en-GB"/>
        </w:rPr>
      </w:pPr>
    </w:p>
    <w:p w:rsidR="005B4298" w:rsidRDefault="005B4298" w:rsidP="00E87FFB">
      <w:pPr>
        <w:rPr>
          <w:lang w:val="en-GB"/>
        </w:rPr>
      </w:pPr>
    </w:p>
    <w:p w:rsidR="005B4298" w:rsidRPr="006D724B" w:rsidRDefault="005B4298" w:rsidP="00E87FFB">
      <w:pPr>
        <w:rPr>
          <w:lang w:val="en-GB"/>
        </w:rPr>
      </w:pPr>
    </w:p>
    <w:sectPr w:rsidR="005B4298" w:rsidRPr="006D724B" w:rsidSect="00FC6F33">
      <w:headerReference w:type="even" r:id="rId14"/>
      <w:footerReference w:type="even" r:id="rId15"/>
      <w:footerReference w:type="default" r:id="rId16"/>
      <w:footnotePr>
        <w:pos w:val="beneathText"/>
        <w:numRestart w:val="eachSect"/>
      </w:footnotePr>
      <w:type w:val="oddPage"/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E4" w:rsidRPr="00FC6F33" w:rsidRDefault="00FC6F33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605DF4">
      <w:rPr>
        <w:noProof/>
      </w:rPr>
      <w:t>2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605DF4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Pr="00B73379" w:rsidRDefault="00C72AF4" w:rsidP="00C72AF4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B74D37">
      <w:rPr>
        <w:b w:val="0"/>
        <w:bCs/>
        <w:noProof/>
        <w:lang w:val="en-US"/>
      </w:rPr>
      <w:t>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B74D37">
      <w:rPr>
        <w:noProof/>
      </w:rPr>
      <w:t>58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DF4" w:rsidRPr="00FC6F33" w:rsidRDefault="00605DF4" w:rsidP="00FC6F33">
    <w:pPr>
      <w:pStyle w:val="FooterQP"/>
      <w:rPr>
        <w:b w:val="0"/>
        <w:lang w:val="en-US"/>
      </w:rPr>
    </w:pPr>
    <w:r>
      <w:tab/>
    </w:r>
    <w:r>
      <w:tab/>
    </w:r>
    <w:r>
      <w:rPr>
        <w:lang w:val="en-US"/>
      </w:rPr>
      <w:t xml:space="preserve">WTSA-12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B74D37">
      <w:rPr>
        <w:noProof/>
      </w:rPr>
      <w:t>58</w:t>
    </w:r>
    <w:r>
      <w:fldChar w:fldCharType="end"/>
    </w:r>
    <w:r>
      <w:rPr>
        <w:lang w:val="en-US"/>
      </w:rPr>
      <w:tab/>
    </w: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B74D37">
      <w:rPr>
        <w:b w:val="0"/>
        <w:noProof/>
        <w:lang w:val="en-US"/>
      </w:rPr>
      <w:t>1</w:t>
    </w:r>
    <w:r>
      <w:rPr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  <w:footnote w:id="1">
    <w:p w:rsidR="00E87FFB" w:rsidRPr="008122EA" w:rsidRDefault="00E87FFB" w:rsidP="00E87FFB">
      <w:pPr>
        <w:pStyle w:val="FootnoteText"/>
        <w:rPr>
          <w:lang w:val="en-US"/>
        </w:rPr>
      </w:pPr>
      <w:r w:rsidRPr="007F2AAE">
        <w:rPr>
          <w:rStyle w:val="FootnoteReference"/>
          <w:lang w:val="en-US"/>
        </w:rPr>
        <w:t>1</w:t>
      </w:r>
      <w:r w:rsidRPr="008122EA">
        <w:rPr>
          <w:lang w:val="en-US"/>
        </w:rPr>
        <w:t xml:space="preserve"> </w:t>
      </w:r>
      <w:r w:rsidRPr="008122EA">
        <w:rPr>
          <w:lang w:val="en-US"/>
        </w:rPr>
        <w:tab/>
      </w:r>
      <w:r w:rsidRPr="008122EA">
        <w:rPr>
          <w:rFonts w:eastAsia="SimSun"/>
          <w:lang w:val="en-US" w:eastAsia="zh-CN"/>
        </w:rPr>
        <w:t>These include the least developed countries, small island developing states</w:t>
      </w:r>
      <w:r>
        <w:rPr>
          <w:rFonts w:eastAsia="SimSun"/>
          <w:lang w:val="en-US" w:eastAsia="zh-CN"/>
        </w:rPr>
        <w:t>, landlocked developing countries</w:t>
      </w:r>
      <w:r w:rsidRPr="008122EA">
        <w:rPr>
          <w:rFonts w:eastAsia="SimSun"/>
          <w:lang w:val="en-US" w:eastAsia="zh-CN"/>
        </w:rPr>
        <w:t xml:space="preserve"> and countries with economies </w:t>
      </w:r>
      <w:r w:rsidRPr="007F007A">
        <w:rPr>
          <w:lang w:val="en-US"/>
        </w:rPr>
        <w:t>in</w:t>
      </w:r>
      <w:r w:rsidRPr="008122EA">
        <w:rPr>
          <w:rFonts w:eastAsia="SimSun"/>
          <w:lang w:val="en-US" w:eastAsia="zh-CN"/>
        </w:rPr>
        <w:t xml:space="preserve"> transition.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F4" w:rsidRDefault="00C72AF4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362C1"/>
    <w:rsid w:val="00066EDE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0E77C5"/>
    <w:rsid w:val="00113415"/>
    <w:rsid w:val="001309FB"/>
    <w:rsid w:val="0016708A"/>
    <w:rsid w:val="001A0696"/>
    <w:rsid w:val="001A31C9"/>
    <w:rsid w:val="001B4A76"/>
    <w:rsid w:val="001C5240"/>
    <w:rsid w:val="001C604C"/>
    <w:rsid w:val="002204D5"/>
    <w:rsid w:val="002210D5"/>
    <w:rsid w:val="0022202A"/>
    <w:rsid w:val="00227040"/>
    <w:rsid w:val="00246C17"/>
    <w:rsid w:val="0026429C"/>
    <w:rsid w:val="002742C3"/>
    <w:rsid w:val="002C182C"/>
    <w:rsid w:val="002D5607"/>
    <w:rsid w:val="00331B2F"/>
    <w:rsid w:val="00331B48"/>
    <w:rsid w:val="003374BB"/>
    <w:rsid w:val="0038237B"/>
    <w:rsid w:val="003C3FD9"/>
    <w:rsid w:val="003C4586"/>
    <w:rsid w:val="003D116F"/>
    <w:rsid w:val="003D7A8C"/>
    <w:rsid w:val="003F293E"/>
    <w:rsid w:val="003F3EE0"/>
    <w:rsid w:val="004568D2"/>
    <w:rsid w:val="004612A7"/>
    <w:rsid w:val="00462F6A"/>
    <w:rsid w:val="00467305"/>
    <w:rsid w:val="00471930"/>
    <w:rsid w:val="0048772A"/>
    <w:rsid w:val="004947A6"/>
    <w:rsid w:val="004A1E15"/>
    <w:rsid w:val="004F2E56"/>
    <w:rsid w:val="00501F47"/>
    <w:rsid w:val="00504D1F"/>
    <w:rsid w:val="00524FB2"/>
    <w:rsid w:val="005569CA"/>
    <w:rsid w:val="00562EF2"/>
    <w:rsid w:val="005722AD"/>
    <w:rsid w:val="00574CFF"/>
    <w:rsid w:val="005B4298"/>
    <w:rsid w:val="005C5595"/>
    <w:rsid w:val="005D1D45"/>
    <w:rsid w:val="005D45C9"/>
    <w:rsid w:val="00601999"/>
    <w:rsid w:val="00605DF4"/>
    <w:rsid w:val="00611CD0"/>
    <w:rsid w:val="00631549"/>
    <w:rsid w:val="006425B4"/>
    <w:rsid w:val="00653C1B"/>
    <w:rsid w:val="00664462"/>
    <w:rsid w:val="00665F6E"/>
    <w:rsid w:val="006678D7"/>
    <w:rsid w:val="00693D4F"/>
    <w:rsid w:val="00697D23"/>
    <w:rsid w:val="006B0459"/>
    <w:rsid w:val="006B21A6"/>
    <w:rsid w:val="006B5987"/>
    <w:rsid w:val="006D724B"/>
    <w:rsid w:val="006E13C5"/>
    <w:rsid w:val="00707551"/>
    <w:rsid w:val="007116DC"/>
    <w:rsid w:val="0071403C"/>
    <w:rsid w:val="00720F3C"/>
    <w:rsid w:val="007352F1"/>
    <w:rsid w:val="0074102F"/>
    <w:rsid w:val="007550BF"/>
    <w:rsid w:val="00780423"/>
    <w:rsid w:val="00783EB8"/>
    <w:rsid w:val="007958DD"/>
    <w:rsid w:val="007B42DA"/>
    <w:rsid w:val="007E0240"/>
    <w:rsid w:val="008075CD"/>
    <w:rsid w:val="00825222"/>
    <w:rsid w:val="00851E30"/>
    <w:rsid w:val="008968B6"/>
    <w:rsid w:val="008B4CF6"/>
    <w:rsid w:val="008C7FC3"/>
    <w:rsid w:val="008D2DB4"/>
    <w:rsid w:val="008D6D8D"/>
    <w:rsid w:val="009055E3"/>
    <w:rsid w:val="00905B41"/>
    <w:rsid w:val="00914267"/>
    <w:rsid w:val="00916468"/>
    <w:rsid w:val="00916DDD"/>
    <w:rsid w:val="0092650E"/>
    <w:rsid w:val="00931EE1"/>
    <w:rsid w:val="009330E7"/>
    <w:rsid w:val="0093423B"/>
    <w:rsid w:val="00934946"/>
    <w:rsid w:val="0095090C"/>
    <w:rsid w:val="00974C0C"/>
    <w:rsid w:val="009755D7"/>
    <w:rsid w:val="00982620"/>
    <w:rsid w:val="00985CBA"/>
    <w:rsid w:val="009B33F4"/>
    <w:rsid w:val="009B4C66"/>
    <w:rsid w:val="009C2357"/>
    <w:rsid w:val="009D10A5"/>
    <w:rsid w:val="009D26AE"/>
    <w:rsid w:val="009F7009"/>
    <w:rsid w:val="00A01A91"/>
    <w:rsid w:val="00A24E9A"/>
    <w:rsid w:val="00A26B1A"/>
    <w:rsid w:val="00A83D3D"/>
    <w:rsid w:val="00A976AC"/>
    <w:rsid w:val="00AA2D89"/>
    <w:rsid w:val="00AE4C26"/>
    <w:rsid w:val="00B130BD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74D37"/>
    <w:rsid w:val="00B75029"/>
    <w:rsid w:val="00B92804"/>
    <w:rsid w:val="00BB34EA"/>
    <w:rsid w:val="00BE0ACB"/>
    <w:rsid w:val="00BE58E6"/>
    <w:rsid w:val="00BF610E"/>
    <w:rsid w:val="00C12E70"/>
    <w:rsid w:val="00C32F69"/>
    <w:rsid w:val="00C42785"/>
    <w:rsid w:val="00C64078"/>
    <w:rsid w:val="00C72AF4"/>
    <w:rsid w:val="00CD10C2"/>
    <w:rsid w:val="00CD3865"/>
    <w:rsid w:val="00CE29CC"/>
    <w:rsid w:val="00CE6C93"/>
    <w:rsid w:val="00CE767E"/>
    <w:rsid w:val="00CF024D"/>
    <w:rsid w:val="00D32C23"/>
    <w:rsid w:val="00D422A1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DF31C3"/>
    <w:rsid w:val="00E03ABC"/>
    <w:rsid w:val="00E154E2"/>
    <w:rsid w:val="00E300EC"/>
    <w:rsid w:val="00E40876"/>
    <w:rsid w:val="00E51820"/>
    <w:rsid w:val="00E56BAB"/>
    <w:rsid w:val="00E67297"/>
    <w:rsid w:val="00E758D6"/>
    <w:rsid w:val="00E82452"/>
    <w:rsid w:val="00E83C1C"/>
    <w:rsid w:val="00E87FFB"/>
    <w:rsid w:val="00E96B11"/>
    <w:rsid w:val="00E96C27"/>
    <w:rsid w:val="00EE1126"/>
    <w:rsid w:val="00EE2FE2"/>
    <w:rsid w:val="00F0099E"/>
    <w:rsid w:val="00F12607"/>
    <w:rsid w:val="00F15F98"/>
    <w:rsid w:val="00F34748"/>
    <w:rsid w:val="00F67E96"/>
    <w:rsid w:val="00FA70B7"/>
    <w:rsid w:val="00FC6F33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uiPriority w:val="9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uiPriority w:val="99"/>
    <w:qFormat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uiPriority w:val="99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uiPriority w:val="9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uiPriority w:val="9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uiPriority w:val="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paragraph" w:customStyle="1" w:styleId="Annextitle">
    <w:name w:val="Annex_title"/>
    <w:basedOn w:val="Normal"/>
    <w:next w:val="Normal"/>
    <w:uiPriority w:val="99"/>
    <w:rsid w:val="00FC6F3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hps">
    <w:name w:val="hps"/>
    <w:rsid w:val="00066EDE"/>
  </w:style>
  <w:style w:type="character" w:customStyle="1" w:styleId="Heading1Char">
    <w:name w:val="Heading 1 Char"/>
    <w:link w:val="Heading1"/>
    <w:uiPriority w:val="99"/>
    <w:locked/>
    <w:rsid w:val="0026429C"/>
    <w:rPr>
      <w:rFonts w:ascii="Times New Roman" w:hAnsi="Times New Roman"/>
      <w:b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50</TotalTime>
  <Pages>4</Pages>
  <Words>625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4435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 study group re</dc:creator>
  <cp:keywords>.Book 1,,Book 1</cp:keywords>
  <dc:description>ASM                                 1.12.04      SP_x000d_
Corr. BAT                         8.12.04      SP</dc:description>
  <cp:lastModifiedBy>Al-Yammouni, Hala</cp:lastModifiedBy>
  <cp:revision>53</cp:revision>
  <cp:lastPrinted>2008-12-10T09:03:00Z</cp:lastPrinted>
  <dcterms:created xsi:type="dcterms:W3CDTF">2013-04-17T14:43:00Z</dcterms:created>
  <dcterms:modified xsi:type="dcterms:W3CDTF">2013-04-23T14:12:00Z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