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253FC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253FC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53FC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253FC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53FC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253FC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53FC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253FC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53FC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253FCF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253FCF">
              <w:rPr>
                <w:rFonts w:ascii="Arial" w:eastAsia="SimHei" w:hAnsi="Arial" w:cs="Arial"/>
                <w:spacing w:val="28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Pr="00CA2405" w:rsidRDefault="00CA2405" w:rsidP="00EA4F4A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lang w:val="en-US" w:eastAsia="zh-CN"/>
              </w:rPr>
            </w:pPr>
            <w:r w:rsidRPr="00CA2405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第</w:t>
            </w:r>
            <w:r w:rsidRPr="00CA2405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49 </w:t>
            </w:r>
            <w:r w:rsidRPr="00CA2405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号决议</w:t>
            </w:r>
            <w:r w:rsidRPr="00CA2405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– ENUM</w:t>
            </w:r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CA2405">
      <w:pPr>
        <w:pStyle w:val="PartNo"/>
        <w:spacing w:before="0"/>
        <w:rPr>
          <w:szCs w:val="28"/>
          <w:lang w:eastAsia="zh-CN"/>
        </w:rPr>
      </w:pPr>
      <w:bookmarkStart w:id="1" w:name="c2tope"/>
      <w:bookmarkEnd w:id="1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2A7FC1" w:rsidRDefault="002A7FC1" w:rsidP="00EA4F4A">
      <w:pPr>
        <w:rPr>
          <w:lang w:eastAsia="zh-CN"/>
        </w:rPr>
      </w:pPr>
    </w:p>
    <w:p w:rsidR="00657F25" w:rsidRDefault="00657F25" w:rsidP="00EA4F4A">
      <w:pPr>
        <w:rPr>
          <w:lang w:eastAsia="zh-CN"/>
        </w:rPr>
      </w:pPr>
    </w:p>
    <w:p w:rsidR="00CA2405" w:rsidRDefault="00CA2405" w:rsidP="00EA4F4A">
      <w:pPr>
        <w:rPr>
          <w:lang w:eastAsia="zh-CN"/>
        </w:rPr>
      </w:pPr>
    </w:p>
    <w:p w:rsidR="00CA2405" w:rsidRDefault="00CA2405" w:rsidP="00EA4F4A">
      <w:pPr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  <w:bookmarkStart w:id="2" w:name="_GoBack"/>
      <w:bookmarkEnd w:id="2"/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886653" w:rsidRPr="00CE1691" w:rsidRDefault="00886653" w:rsidP="00CA2405">
      <w:pPr>
        <w:pStyle w:val="ResNo"/>
        <w:spacing w:before="0"/>
        <w:rPr>
          <w:lang w:eastAsia="zh-CN"/>
        </w:rPr>
      </w:pPr>
      <w:bookmarkStart w:id="3" w:name="_Toc219521728"/>
      <w:bookmarkStart w:id="4" w:name="_Toc348252462"/>
      <w:r w:rsidRPr="00886653">
        <w:rPr>
          <w:rStyle w:val="href"/>
          <w:rFonts w:hint="eastAsia"/>
        </w:rPr>
        <w:lastRenderedPageBreak/>
        <w:t>第</w:t>
      </w:r>
      <w:r w:rsidRPr="00886653">
        <w:rPr>
          <w:rStyle w:val="href"/>
          <w:rFonts w:hint="eastAsia"/>
        </w:rPr>
        <w:t>49</w:t>
      </w:r>
      <w:r w:rsidRPr="00886653">
        <w:rPr>
          <w:rStyle w:val="href"/>
          <w:rFonts w:hint="eastAsia"/>
        </w:rPr>
        <w:t>号决议</w:t>
      </w:r>
      <w:bookmarkEnd w:id="3"/>
      <w:r w:rsidRPr="00CE1691">
        <w:rPr>
          <w:rFonts w:hint="eastAsia"/>
          <w:lang w:eastAsia="zh-CN"/>
        </w:rPr>
        <w:t>（</w:t>
      </w:r>
      <w:r w:rsidRPr="00CE1691">
        <w:rPr>
          <w:rFonts w:hint="eastAsia"/>
          <w:lang w:eastAsia="zh-CN"/>
        </w:rPr>
        <w:t>2016</w:t>
      </w:r>
      <w:r w:rsidRPr="00CE1691">
        <w:rPr>
          <w:rFonts w:hint="eastAsia"/>
          <w:lang w:eastAsia="zh-CN"/>
        </w:rPr>
        <w:t>年</w:t>
      </w:r>
      <w:r w:rsidRPr="00CE1691">
        <w:rPr>
          <w:lang w:eastAsia="zh-CN"/>
        </w:rPr>
        <w:t>，哈马马特</w:t>
      </w:r>
      <w:r w:rsidRPr="00CE1691">
        <w:rPr>
          <w:rFonts w:hint="eastAsia"/>
          <w:lang w:eastAsia="zh-CN"/>
        </w:rPr>
        <w:t>，修订版）</w:t>
      </w:r>
      <w:bookmarkEnd w:id="4"/>
    </w:p>
    <w:p w:rsidR="00886653" w:rsidRDefault="00886653" w:rsidP="002A4DE0">
      <w:pPr>
        <w:pStyle w:val="Restitle"/>
        <w:spacing w:before="0"/>
        <w:rPr>
          <w:lang w:eastAsia="zh-CN"/>
        </w:rPr>
      </w:pPr>
      <w:bookmarkStart w:id="5" w:name="_Toc219521729"/>
      <w:bookmarkStart w:id="6" w:name="_Toc348252463"/>
      <w:r>
        <w:rPr>
          <w:rFonts w:hint="eastAsia"/>
          <w:lang w:eastAsia="zh-CN"/>
        </w:rPr>
        <w:t>ENUM</w:t>
      </w:r>
      <w:bookmarkEnd w:id="5"/>
      <w:bookmarkEnd w:id="6"/>
    </w:p>
    <w:p w:rsidR="00886653" w:rsidRPr="009623F5" w:rsidRDefault="00886653" w:rsidP="00886653">
      <w:pPr>
        <w:pStyle w:val="Resref"/>
        <w:rPr>
          <w:iCs/>
          <w:sz w:val="24"/>
          <w:szCs w:val="24"/>
          <w:lang w:eastAsia="zh-CN"/>
        </w:rPr>
      </w:pPr>
      <w:r w:rsidRPr="009623F5">
        <w:rPr>
          <w:rFonts w:hint="eastAsia"/>
          <w:iCs/>
          <w:sz w:val="24"/>
          <w:szCs w:val="24"/>
          <w:lang w:eastAsia="zh-CN"/>
        </w:rPr>
        <w:t>（</w:t>
      </w:r>
      <w:r w:rsidRPr="009623F5">
        <w:rPr>
          <w:iCs/>
          <w:sz w:val="24"/>
          <w:szCs w:val="24"/>
          <w:lang w:eastAsia="zh-CN"/>
        </w:rPr>
        <w:t>2004</w:t>
      </w:r>
      <w:r w:rsidRPr="009623F5">
        <w:rPr>
          <w:rFonts w:hint="eastAsia"/>
          <w:iCs/>
          <w:sz w:val="24"/>
          <w:szCs w:val="24"/>
          <w:lang w:eastAsia="zh-CN"/>
        </w:rPr>
        <w:t>年，弗洛里亚诺波利斯；</w:t>
      </w:r>
      <w:r w:rsidRPr="009623F5">
        <w:rPr>
          <w:rFonts w:hint="eastAsia"/>
          <w:iCs/>
          <w:sz w:val="24"/>
          <w:szCs w:val="24"/>
          <w:lang w:eastAsia="zh-CN"/>
        </w:rPr>
        <w:t>2008</w:t>
      </w:r>
      <w:r w:rsidRPr="009623F5">
        <w:rPr>
          <w:rFonts w:hint="eastAsia"/>
          <w:iCs/>
          <w:sz w:val="24"/>
          <w:szCs w:val="24"/>
          <w:lang w:eastAsia="zh-CN"/>
        </w:rPr>
        <w:t>年，约翰内斯堡；</w:t>
      </w:r>
      <w:r w:rsidRPr="009623F5">
        <w:rPr>
          <w:rFonts w:hint="eastAsia"/>
          <w:iCs/>
          <w:sz w:val="24"/>
          <w:szCs w:val="24"/>
          <w:lang w:eastAsia="zh-CN"/>
        </w:rPr>
        <w:t>2012</w:t>
      </w:r>
      <w:r w:rsidRPr="009623F5">
        <w:rPr>
          <w:rFonts w:hint="eastAsia"/>
          <w:iCs/>
          <w:sz w:val="24"/>
          <w:szCs w:val="24"/>
          <w:lang w:eastAsia="zh-CN"/>
        </w:rPr>
        <w:t>年，</w:t>
      </w:r>
      <w:r w:rsidR="00CA2405">
        <w:rPr>
          <w:iCs/>
          <w:sz w:val="24"/>
          <w:szCs w:val="24"/>
          <w:lang w:eastAsia="zh-CN"/>
        </w:rPr>
        <w:br/>
      </w:r>
      <w:r w:rsidRPr="009623F5">
        <w:rPr>
          <w:rFonts w:hint="eastAsia"/>
          <w:iCs/>
          <w:sz w:val="24"/>
          <w:szCs w:val="24"/>
          <w:lang w:eastAsia="zh-CN"/>
        </w:rPr>
        <w:t>迪拜；</w:t>
      </w:r>
      <w:r w:rsidRPr="009623F5">
        <w:rPr>
          <w:rFonts w:hint="eastAsia"/>
          <w:iCs/>
          <w:sz w:val="24"/>
          <w:szCs w:val="24"/>
          <w:lang w:eastAsia="zh-CN"/>
        </w:rPr>
        <w:t>2016</w:t>
      </w:r>
      <w:r w:rsidRPr="009623F5">
        <w:rPr>
          <w:rFonts w:hint="eastAsia"/>
          <w:iCs/>
          <w:sz w:val="24"/>
          <w:szCs w:val="24"/>
          <w:lang w:eastAsia="zh-CN"/>
        </w:rPr>
        <w:t>年</w:t>
      </w:r>
      <w:r w:rsidRPr="009623F5">
        <w:rPr>
          <w:iCs/>
          <w:sz w:val="24"/>
          <w:szCs w:val="24"/>
          <w:lang w:eastAsia="zh-CN"/>
        </w:rPr>
        <w:t>，</w:t>
      </w:r>
      <w:r w:rsidRPr="009623F5">
        <w:rPr>
          <w:rFonts w:hint="eastAsia"/>
          <w:iCs/>
          <w:sz w:val="24"/>
          <w:szCs w:val="24"/>
          <w:lang w:eastAsia="zh-CN"/>
        </w:rPr>
        <w:t>哈马马特</w:t>
      </w:r>
      <w:r w:rsidRPr="009623F5">
        <w:rPr>
          <w:iCs/>
          <w:sz w:val="24"/>
          <w:szCs w:val="24"/>
          <w:lang w:eastAsia="zh-CN"/>
        </w:rPr>
        <w:t>）</w:t>
      </w:r>
    </w:p>
    <w:p w:rsidR="00886653" w:rsidRPr="00E04A5F" w:rsidRDefault="00886653" w:rsidP="00886653">
      <w:pPr>
        <w:pStyle w:val="Normalaftertitle"/>
        <w:rPr>
          <w:lang w:eastAsia="zh-CN"/>
        </w:rPr>
      </w:pPr>
      <w:r w:rsidRPr="00E04A5F">
        <w:rPr>
          <w:lang w:eastAsia="zh-CN"/>
        </w:rPr>
        <w:t>世界电信标准化全会（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 w:rsidRPr="00E04A5F">
        <w:rPr>
          <w:lang w:eastAsia="zh-CN"/>
        </w:rPr>
        <w:t>），</w:t>
      </w:r>
    </w:p>
    <w:p w:rsidR="00886653" w:rsidRPr="00E04A5F" w:rsidRDefault="00886653" w:rsidP="00886653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886653" w:rsidRPr="00E04A5F" w:rsidRDefault="00886653" w:rsidP="00886653">
      <w:pPr>
        <w:rPr>
          <w:lang w:eastAsia="zh-CN"/>
        </w:rPr>
      </w:pPr>
      <w:r w:rsidRPr="00DC19B7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全权代表大会第</w:t>
      </w:r>
      <w:r w:rsidRPr="00E04A5F">
        <w:rPr>
          <w:lang w:eastAsia="zh-CN"/>
        </w:rPr>
        <w:t>133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），</w:t>
      </w:r>
      <w:r w:rsidRPr="00E04A5F">
        <w:rPr>
          <w:rFonts w:hint="eastAsia"/>
          <w:lang w:eastAsia="zh-CN"/>
        </w:rPr>
        <w:t>尤其</w:t>
      </w:r>
      <w:r w:rsidRPr="00E04A5F">
        <w:rPr>
          <w:lang w:eastAsia="zh-CN"/>
        </w:rPr>
        <w:t>是：</w:t>
      </w:r>
    </w:p>
    <w:p w:rsidR="00886653" w:rsidRPr="00E04A5F" w:rsidRDefault="00886653" w:rsidP="00886653">
      <w:pPr>
        <w:pStyle w:val="enumlev10"/>
        <w:rPr>
          <w:lang w:eastAsia="zh-CN"/>
        </w:rPr>
      </w:pPr>
      <w:r w:rsidRPr="00E04A5F">
        <w:rPr>
          <w:lang w:eastAsia="zh-CN"/>
        </w:rPr>
        <w:t>i)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电信和互联网</w:t>
      </w:r>
      <w:r w:rsidRPr="00E04A5F">
        <w:rPr>
          <w:rFonts w:hint="eastAsia"/>
          <w:lang w:eastAsia="zh-CN"/>
        </w:rPr>
        <w:t>整合方面不断取得的进展</w:t>
      </w:r>
      <w:r w:rsidRPr="00E04A5F">
        <w:rPr>
          <w:lang w:eastAsia="zh-CN"/>
        </w:rPr>
        <w:t>；</w:t>
      </w:r>
    </w:p>
    <w:p w:rsidR="00886653" w:rsidRPr="00E04A5F" w:rsidRDefault="00886653" w:rsidP="00886653">
      <w:pPr>
        <w:pStyle w:val="enumlev10"/>
        <w:rPr>
          <w:lang w:eastAsia="zh-CN"/>
        </w:rPr>
      </w:pPr>
      <w:r w:rsidRPr="00E04A5F">
        <w:rPr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如同</w:t>
      </w:r>
      <w:r w:rsidRPr="00E04A5F">
        <w:rPr>
          <w:rFonts w:hint="eastAsia"/>
          <w:lang w:eastAsia="zh-CN"/>
        </w:rPr>
        <w:t>ITU-T E.164</w:t>
      </w:r>
      <w:r w:rsidRPr="00E04A5F">
        <w:rPr>
          <w:rFonts w:hint="eastAsia"/>
          <w:lang w:eastAsia="zh-CN"/>
        </w:rPr>
        <w:t>建议书所揭示的，</w:t>
      </w:r>
      <w:r w:rsidRPr="00E04A5F">
        <w:rPr>
          <w:lang w:eastAsia="zh-CN"/>
        </w:rPr>
        <w:t>国际电联成员国在分配和管理</w:t>
      </w:r>
      <w:r w:rsidRPr="00E04A5F">
        <w:rPr>
          <w:rFonts w:hint="eastAsia"/>
          <w:lang w:eastAsia="zh-CN"/>
        </w:rPr>
        <w:t>其</w:t>
      </w:r>
      <w:r w:rsidRPr="00E04A5F">
        <w:rPr>
          <w:lang w:eastAsia="zh-CN"/>
        </w:rPr>
        <w:t>国家代码号码资源方面所发挥的</w:t>
      </w:r>
      <w:r w:rsidRPr="00E04A5F">
        <w:rPr>
          <w:rFonts w:hint="eastAsia"/>
          <w:lang w:eastAsia="zh-CN"/>
        </w:rPr>
        <w:t>现有</w:t>
      </w:r>
      <w:r w:rsidRPr="00E04A5F">
        <w:rPr>
          <w:lang w:eastAsia="zh-CN"/>
        </w:rPr>
        <w:t>作用和享有的主权；</w:t>
      </w:r>
    </w:p>
    <w:p w:rsidR="00886653" w:rsidRDefault="00886653" w:rsidP="00886653">
      <w:pPr>
        <w:pStyle w:val="enumlev10"/>
        <w:rPr>
          <w:lang w:eastAsia="zh-CN"/>
        </w:rPr>
      </w:pPr>
      <w:r w:rsidRPr="00E04A5F">
        <w:rPr>
          <w:rFonts w:hint="eastAsia"/>
          <w:lang w:eastAsia="zh-CN"/>
        </w:rPr>
        <w:t>iii</w:t>
      </w:r>
      <w:r w:rsidRPr="00E04A5F">
        <w:rPr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有关责成国际电联秘书长</w:t>
      </w:r>
      <w:r w:rsidRPr="00E04A5F">
        <w:rPr>
          <w:rFonts w:hint="eastAsia"/>
          <w:lang w:eastAsia="zh-CN"/>
        </w:rPr>
        <w:t>和各局主任</w:t>
      </w:r>
      <w:r w:rsidRPr="00E04A5F">
        <w:rPr>
          <w:lang w:eastAsia="zh-CN"/>
        </w:rPr>
        <w:t>的</w:t>
      </w:r>
      <w:r>
        <w:rPr>
          <w:rFonts w:hint="eastAsia"/>
          <w:lang w:eastAsia="zh-CN"/>
        </w:rPr>
        <w:t>执行</w:t>
      </w:r>
      <w:r w:rsidRPr="00E04A5F">
        <w:rPr>
          <w:lang w:eastAsia="zh-CN"/>
        </w:rPr>
        <w:t>段落</w:t>
      </w:r>
      <w:r w:rsidRPr="00E04A5F">
        <w:rPr>
          <w:rFonts w:hint="eastAsia"/>
          <w:lang w:eastAsia="zh-CN"/>
        </w:rPr>
        <w:t>指出</w:t>
      </w:r>
      <w:r w:rsidRPr="00E04A5F">
        <w:rPr>
          <w:lang w:eastAsia="zh-CN"/>
        </w:rPr>
        <w:t>，</w:t>
      </w:r>
      <w:r w:rsidRPr="00E04A5F">
        <w:rPr>
          <w:rFonts w:hint="eastAsia"/>
          <w:lang w:eastAsia="zh-CN"/>
        </w:rPr>
        <w:t>需</w:t>
      </w:r>
      <w:r w:rsidRPr="00E04A5F">
        <w:rPr>
          <w:lang w:eastAsia="zh-CN"/>
        </w:rPr>
        <w:t>采取必要行动，确保无论采用何种应用，</w:t>
      </w:r>
      <w:r w:rsidRPr="00E04A5F">
        <w:rPr>
          <w:rFonts w:hint="eastAsia"/>
          <w:lang w:eastAsia="zh-CN"/>
        </w:rPr>
        <w:t>均应充分维护</w:t>
      </w:r>
      <w:r w:rsidRPr="00E04A5F">
        <w:rPr>
          <w:lang w:eastAsia="zh-CN"/>
        </w:rPr>
        <w:t>国际电联各成员国在</w:t>
      </w:r>
      <w:r w:rsidRPr="00E04A5F">
        <w:rPr>
          <w:lang w:eastAsia="zh-CN"/>
        </w:rPr>
        <w:t>ITU-T E.164</w:t>
      </w:r>
      <w:r w:rsidRPr="00E04A5F">
        <w:rPr>
          <w:lang w:eastAsia="zh-CN"/>
        </w:rPr>
        <w:t>建议书编号</w:t>
      </w:r>
      <w:r w:rsidRPr="00E04A5F">
        <w:rPr>
          <w:rFonts w:hint="eastAsia"/>
          <w:lang w:eastAsia="zh-CN"/>
        </w:rPr>
        <w:t>计划</w:t>
      </w:r>
      <w:r w:rsidRPr="00E04A5F">
        <w:rPr>
          <w:lang w:eastAsia="zh-CN"/>
        </w:rPr>
        <w:t>方面的主权；</w:t>
      </w:r>
    </w:p>
    <w:p w:rsidR="00886653" w:rsidRPr="00E04A5F" w:rsidRDefault="00886653" w:rsidP="00886653">
      <w:pPr>
        <w:rPr>
          <w:lang w:eastAsia="zh-CN"/>
        </w:rPr>
      </w:pPr>
      <w:r w:rsidRPr="00DC19B7">
        <w:rPr>
          <w:rFonts w:hint="eastAsia"/>
          <w:i/>
          <w:iCs/>
          <w:lang w:eastAsia="zh-CN"/>
        </w:rPr>
        <w:t>b</w:t>
      </w:r>
      <w:r w:rsidRPr="00DC19B7">
        <w:rPr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全权代表大会第</w:t>
      </w:r>
      <w:r w:rsidRPr="00E04A5F">
        <w:rPr>
          <w:lang w:eastAsia="zh-CN"/>
        </w:rPr>
        <w:t>122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）所</w:t>
      </w:r>
      <w:r w:rsidRPr="00E04A5F">
        <w:rPr>
          <w:rFonts w:hint="eastAsia"/>
          <w:lang w:eastAsia="zh-CN"/>
        </w:rPr>
        <w:t>反映出</w:t>
      </w:r>
      <w:r w:rsidRPr="00E04A5F">
        <w:rPr>
          <w:lang w:eastAsia="zh-CN"/>
        </w:rPr>
        <w:t>的世界电信标准化全会不断变化的作用，</w:t>
      </w:r>
    </w:p>
    <w:p w:rsidR="00886653" w:rsidRPr="00E04A5F" w:rsidRDefault="00886653" w:rsidP="00886653">
      <w:pPr>
        <w:pStyle w:val="Call"/>
        <w:rPr>
          <w:lang w:eastAsia="zh-CN"/>
        </w:rPr>
      </w:pPr>
      <w:r w:rsidRPr="00E04A5F">
        <w:rPr>
          <w:lang w:eastAsia="zh-CN"/>
        </w:rPr>
        <w:t>注意到</w:t>
      </w:r>
    </w:p>
    <w:p w:rsidR="00886653" w:rsidRPr="00E04A5F" w:rsidRDefault="00886653" w:rsidP="00886653">
      <w:pPr>
        <w:rPr>
          <w:lang w:eastAsia="zh-CN"/>
        </w:rPr>
      </w:pPr>
      <w:r w:rsidRPr="00DC19B7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lang w:eastAsia="zh-CN"/>
        </w:rPr>
        <w:t>第</w:t>
      </w:r>
      <w:r w:rsidRPr="00E04A5F">
        <w:rPr>
          <w:lang w:eastAsia="zh-CN"/>
        </w:rPr>
        <w:t>2</w:t>
      </w:r>
      <w:r w:rsidRPr="00E04A5F">
        <w:rPr>
          <w:lang w:eastAsia="zh-CN"/>
        </w:rPr>
        <w:t>研究组在</w:t>
      </w:r>
      <w:r w:rsidRPr="00E04A5F">
        <w:rPr>
          <w:lang w:eastAsia="zh-CN"/>
        </w:rPr>
        <w:t>ENUM</w:t>
      </w:r>
      <w:r w:rsidRPr="00E04A5F">
        <w:rPr>
          <w:lang w:eastAsia="zh-CN"/>
        </w:rPr>
        <w:t>方面所开展的工作；</w:t>
      </w:r>
    </w:p>
    <w:p w:rsidR="00886653" w:rsidRPr="00E04A5F" w:rsidRDefault="00886653" w:rsidP="00886653">
      <w:pPr>
        <w:rPr>
          <w:lang w:eastAsia="zh-CN"/>
        </w:rPr>
      </w:pPr>
      <w:r w:rsidRPr="00DC19B7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在</w:t>
      </w:r>
      <w:r w:rsidRPr="00E04A5F">
        <w:rPr>
          <w:lang w:eastAsia="zh-CN"/>
        </w:rPr>
        <w:t>将用于</w:t>
      </w:r>
      <w:r w:rsidRPr="00E04A5F">
        <w:rPr>
          <w:lang w:eastAsia="zh-CN"/>
        </w:rPr>
        <w:t>ENUM</w:t>
      </w:r>
      <w:r w:rsidRPr="00E04A5F">
        <w:rPr>
          <w:lang w:eastAsia="zh-CN"/>
        </w:rPr>
        <w:t>的互联网最高级域名的行政</w:t>
      </w:r>
      <w:r w:rsidRPr="00E04A5F">
        <w:rPr>
          <w:rFonts w:hint="eastAsia"/>
          <w:lang w:eastAsia="zh-CN"/>
        </w:rPr>
        <w:t>管理</w:t>
      </w:r>
      <w:r w:rsidRPr="00E04A5F">
        <w:rPr>
          <w:lang w:eastAsia="zh-CN"/>
        </w:rPr>
        <w:t>控制</w:t>
      </w:r>
      <w:r w:rsidRPr="00E04A5F">
        <w:rPr>
          <w:rFonts w:hint="eastAsia"/>
          <w:lang w:eastAsia="zh-CN"/>
        </w:rPr>
        <w:t>方面</w:t>
      </w:r>
      <w:r w:rsidRPr="00E04A5F">
        <w:rPr>
          <w:lang w:eastAsia="zh-CN"/>
        </w:rPr>
        <w:t>目前仍存在悬而未决的问题，</w:t>
      </w:r>
    </w:p>
    <w:p w:rsidR="00886653" w:rsidRPr="00E04A5F" w:rsidRDefault="00886653" w:rsidP="00886653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</w:t>
      </w:r>
      <w:r w:rsidRPr="00E04A5F">
        <w:rPr>
          <w:lang w:eastAsia="zh-CN"/>
        </w:rPr>
        <w:t>责成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电联</w:t>
      </w:r>
      <w:r>
        <w:rPr>
          <w:rFonts w:hint="eastAsia"/>
          <w:lang w:eastAsia="zh-CN"/>
        </w:rPr>
        <w:t>电信</w:t>
      </w:r>
      <w:r>
        <w:rPr>
          <w:lang w:eastAsia="zh-CN"/>
        </w:rPr>
        <w:t>标准化部门</w:t>
      </w:r>
      <w:r w:rsidRPr="00E04A5F">
        <w:rPr>
          <w:lang w:eastAsia="zh-CN"/>
        </w:rPr>
        <w:t>第</w:t>
      </w:r>
      <w:r w:rsidRPr="00E04A5F">
        <w:rPr>
          <w:lang w:eastAsia="zh-CN"/>
        </w:rPr>
        <w:t>2</w:t>
      </w:r>
      <w:r w:rsidRPr="00E04A5F">
        <w:rPr>
          <w:lang w:eastAsia="zh-CN"/>
        </w:rPr>
        <w:t>研究组</w:t>
      </w:r>
    </w:p>
    <w:p w:rsidR="00886653" w:rsidRDefault="00886653" w:rsidP="00886653">
      <w:pPr>
        <w:rPr>
          <w:lang w:eastAsia="zh-CN"/>
        </w:rPr>
      </w:pPr>
      <w:r>
        <w:rPr>
          <w:rFonts w:hint="eastAsia"/>
          <w:lang w:eastAsia="zh-CN"/>
        </w:rPr>
        <w:t>1</w:t>
      </w:r>
      <w:r w:rsidRPr="00C27816">
        <w:rPr>
          <w:i/>
          <w:iCs/>
          <w:lang w:eastAsia="zh-CN"/>
        </w:rPr>
        <w:tab/>
      </w:r>
      <w:r w:rsidRPr="00C27816">
        <w:rPr>
          <w:lang w:eastAsia="zh-CN"/>
        </w:rPr>
        <w:t>研究国际电联</w:t>
      </w:r>
      <w:r w:rsidRPr="00C27816">
        <w:rPr>
          <w:rFonts w:hint="eastAsia"/>
          <w:lang w:eastAsia="zh-CN"/>
        </w:rPr>
        <w:t>可以</w:t>
      </w:r>
      <w:r w:rsidRPr="00C27816">
        <w:rPr>
          <w:lang w:eastAsia="zh-CN"/>
        </w:rPr>
        <w:t>如何对可能用于</w:t>
      </w:r>
      <w:r w:rsidRPr="00C27816">
        <w:rPr>
          <w:lang w:eastAsia="zh-CN"/>
        </w:rPr>
        <w:t>ENUM</w:t>
      </w:r>
      <w:r w:rsidRPr="00C27816">
        <w:rPr>
          <w:lang w:eastAsia="zh-CN"/>
        </w:rPr>
        <w:t>的国际电信资源（包括</w:t>
      </w:r>
      <w:r w:rsidRPr="00C27816">
        <w:rPr>
          <w:rFonts w:hint="eastAsia"/>
          <w:lang w:eastAsia="zh-CN"/>
        </w:rPr>
        <w:t>命</w:t>
      </w:r>
      <w:r w:rsidRPr="00C27816">
        <w:rPr>
          <w:lang w:eastAsia="zh-CN"/>
        </w:rPr>
        <w:t>名</w:t>
      </w:r>
      <w:r>
        <w:rPr>
          <w:rFonts w:hint="eastAsia"/>
          <w:lang w:eastAsia="zh-CN"/>
        </w:rPr>
        <w:t>、</w:t>
      </w:r>
      <w:r w:rsidRPr="00C27816">
        <w:rPr>
          <w:rFonts w:hint="eastAsia"/>
          <w:lang w:eastAsia="zh-CN"/>
        </w:rPr>
        <w:t>编</w:t>
      </w:r>
      <w:r w:rsidRPr="00C27816">
        <w:rPr>
          <w:lang w:eastAsia="zh-CN"/>
        </w:rPr>
        <w:t>号</w:t>
      </w:r>
      <w:r>
        <w:rPr>
          <w:rFonts w:hint="eastAsia"/>
          <w:lang w:eastAsia="zh-CN"/>
        </w:rPr>
        <w:t>、</w:t>
      </w:r>
      <w:r w:rsidRPr="00C27816">
        <w:rPr>
          <w:rFonts w:hint="eastAsia"/>
          <w:lang w:eastAsia="zh-CN"/>
        </w:rPr>
        <w:t>寻</w:t>
      </w:r>
      <w:r w:rsidRPr="00C27816">
        <w:rPr>
          <w:lang w:eastAsia="zh-CN"/>
        </w:rPr>
        <w:t>址和路由）</w:t>
      </w:r>
      <w:r w:rsidRPr="00C27816">
        <w:rPr>
          <w:rFonts w:hint="eastAsia"/>
          <w:lang w:eastAsia="zh-CN"/>
        </w:rPr>
        <w:t>相关</w:t>
      </w:r>
      <w:r w:rsidRPr="00C27816">
        <w:rPr>
          <w:lang w:eastAsia="zh-CN"/>
        </w:rPr>
        <w:t>变</w:t>
      </w:r>
      <w:r w:rsidRPr="00C27816">
        <w:rPr>
          <w:rFonts w:hint="eastAsia"/>
          <w:lang w:eastAsia="zh-CN"/>
        </w:rPr>
        <w:t>更</w:t>
      </w:r>
      <w:r w:rsidRPr="00C27816">
        <w:rPr>
          <w:lang w:eastAsia="zh-CN"/>
        </w:rPr>
        <w:t>实行</w:t>
      </w:r>
      <w:r w:rsidRPr="00C27816">
        <w:rPr>
          <w:rFonts w:hint="eastAsia"/>
          <w:lang w:eastAsia="zh-CN"/>
        </w:rPr>
        <w:t>行政管理</w:t>
      </w:r>
      <w:r w:rsidRPr="00C27816">
        <w:rPr>
          <w:lang w:eastAsia="zh-CN"/>
        </w:rPr>
        <w:t>控制的问题</w:t>
      </w:r>
      <w:r>
        <w:rPr>
          <w:rFonts w:hint="eastAsia"/>
          <w:lang w:eastAsia="zh-CN"/>
        </w:rPr>
        <w:t>；</w:t>
      </w:r>
    </w:p>
    <w:p w:rsidR="00886653" w:rsidRPr="00C67833" w:rsidRDefault="00886653" w:rsidP="00886653">
      <w:pPr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 w:rsidRPr="00CC48B1">
        <w:rPr>
          <w:lang w:val="en-US" w:eastAsia="zh-CN"/>
        </w:rPr>
        <w:tab/>
      </w:r>
      <w:r>
        <w:rPr>
          <w:rFonts w:hint="eastAsia"/>
          <w:lang w:val="en-US" w:eastAsia="zh-CN"/>
        </w:rPr>
        <w:t>评估分派</w:t>
      </w:r>
      <w:r w:rsidRPr="00CC48B1">
        <w:rPr>
          <w:lang w:val="en-US" w:eastAsia="zh-CN"/>
        </w:rPr>
        <w:t>ENUM</w:t>
      </w:r>
      <w:r>
        <w:rPr>
          <w:rFonts w:hint="eastAsia"/>
          <w:lang w:val="en-US" w:eastAsia="zh-CN"/>
        </w:rPr>
        <w:t>的现行临时程序，并向电信标准化局主任汇报，</w:t>
      </w:r>
    </w:p>
    <w:p w:rsidR="00886653" w:rsidRPr="00E04A5F" w:rsidRDefault="00886653" w:rsidP="00886653">
      <w:pPr>
        <w:pStyle w:val="Call"/>
        <w:rPr>
          <w:lang w:eastAsia="zh-CN"/>
        </w:rPr>
      </w:pPr>
      <w:r w:rsidRPr="00E04A5F">
        <w:rPr>
          <w:lang w:eastAsia="zh-CN"/>
        </w:rPr>
        <w:t>责成电信标准化局主任</w:t>
      </w:r>
    </w:p>
    <w:p w:rsidR="00886653" w:rsidRPr="004020E2" w:rsidRDefault="00886653" w:rsidP="00886653">
      <w:pPr>
        <w:ind w:firstLineChars="200" w:firstLine="480"/>
        <w:rPr>
          <w:rFonts w:eastAsiaTheme="minorEastAsia"/>
          <w:lang w:eastAsia="zh-CN"/>
        </w:rPr>
      </w:pPr>
      <w:r w:rsidRPr="00E04A5F">
        <w:rPr>
          <w:lang w:eastAsia="zh-CN"/>
        </w:rPr>
        <w:t>采取</w:t>
      </w:r>
      <w:r w:rsidRPr="00E04A5F">
        <w:rPr>
          <w:rFonts w:hint="eastAsia"/>
          <w:lang w:eastAsia="zh-CN"/>
        </w:rPr>
        <w:t>适当行动，</w:t>
      </w:r>
      <w:r w:rsidRPr="00E04A5F">
        <w:rPr>
          <w:lang w:eastAsia="zh-CN"/>
        </w:rPr>
        <w:t>促进上述工作的</w:t>
      </w:r>
      <w:r w:rsidRPr="00E04A5F">
        <w:rPr>
          <w:rFonts w:hint="eastAsia"/>
          <w:lang w:eastAsia="zh-CN"/>
        </w:rPr>
        <w:t>开展</w:t>
      </w:r>
      <w:r w:rsidRPr="00E04A5F">
        <w:rPr>
          <w:lang w:eastAsia="zh-CN"/>
        </w:rPr>
        <w:t>，</w:t>
      </w:r>
      <w:r>
        <w:rPr>
          <w:rFonts w:hint="eastAsia"/>
          <w:lang w:eastAsia="zh-CN"/>
        </w:rPr>
        <w:t>包括继续进一步进行</w:t>
      </w:r>
      <w:r>
        <w:rPr>
          <w:lang w:eastAsia="zh-CN"/>
        </w:rPr>
        <w:t>ITU-T</w:t>
      </w:r>
      <w:r w:rsidRPr="00864586">
        <w:rPr>
          <w:lang w:eastAsia="zh-CN"/>
        </w:rPr>
        <w:t xml:space="preserve"> E.A-ENUM</w:t>
      </w:r>
      <w:r>
        <w:rPr>
          <w:rFonts w:hint="eastAsia"/>
          <w:lang w:eastAsia="zh-CN"/>
        </w:rPr>
        <w:t>建议书草案（新版）“</w:t>
      </w:r>
      <w:r w:rsidRPr="00CE1691">
        <w:rPr>
          <w:rFonts w:ascii="STKaiti" w:eastAsia="STKaiti" w:hAnsi="STKaiti" w:hint="eastAsia"/>
          <w:lang w:eastAsia="zh-CN"/>
        </w:rPr>
        <w:t>为进行域名系统（DNS）登记管理</w:t>
      </w:r>
      <w:r w:rsidRPr="00CE1691">
        <w:rPr>
          <w:rFonts w:ascii="STKaiti" w:eastAsia="STKaiti" w:hAnsi="STKaiti"/>
          <w:lang w:eastAsia="zh-CN"/>
        </w:rPr>
        <w:t>E.164</w:t>
      </w:r>
      <w:r w:rsidRPr="00CE1691">
        <w:rPr>
          <w:rFonts w:ascii="STKaiti" w:eastAsia="STKaiti" w:hAnsi="STKaiti" w:hint="eastAsia"/>
          <w:lang w:eastAsia="zh-CN"/>
        </w:rPr>
        <w:t>国家代码的原则和程序</w:t>
      </w:r>
      <w:r>
        <w:rPr>
          <w:rFonts w:hint="eastAsia"/>
          <w:lang w:eastAsia="zh-CN"/>
        </w:rPr>
        <w:t>”与</w:t>
      </w:r>
      <w:r>
        <w:rPr>
          <w:lang w:eastAsia="zh-CN"/>
        </w:rPr>
        <w:t xml:space="preserve">ITU-T </w:t>
      </w:r>
      <w:r w:rsidRPr="0059136D">
        <w:rPr>
          <w:lang w:eastAsia="zh-CN"/>
        </w:rPr>
        <w:t>E.A-N/GoC</w:t>
      </w:r>
      <w:r>
        <w:rPr>
          <w:rFonts w:hint="eastAsia"/>
          <w:lang w:eastAsia="zh-CN"/>
        </w:rPr>
        <w:t>建议书草案（新版）“</w:t>
      </w:r>
      <w:r w:rsidRPr="00CE1691">
        <w:rPr>
          <w:rFonts w:ascii="STKaiti" w:eastAsia="STKaiti" w:hAnsi="STKaiti"/>
          <w:lang w:eastAsia="zh-CN"/>
        </w:rPr>
        <w:t>E.164</w:t>
      </w:r>
      <w:r w:rsidRPr="00CE1691">
        <w:rPr>
          <w:rFonts w:ascii="STKaiti" w:eastAsia="STKaiti" w:hAnsi="STKaiti" w:hint="eastAsia"/>
          <w:lang w:eastAsia="zh-CN"/>
        </w:rPr>
        <w:t>国家代码ENUM行政管理程序</w:t>
      </w:r>
      <w:r>
        <w:rPr>
          <w:rFonts w:hint="eastAsia"/>
          <w:lang w:eastAsia="zh-CN"/>
        </w:rPr>
        <w:t>”以</w:t>
      </w:r>
      <w:r>
        <w:rPr>
          <w:lang w:eastAsia="zh-CN"/>
        </w:rPr>
        <w:t>及网络相关</w:t>
      </w:r>
      <w:r>
        <w:rPr>
          <w:rFonts w:hint="eastAsia"/>
          <w:lang w:eastAsia="zh-CN"/>
        </w:rPr>
        <w:t>联</w:t>
      </w:r>
      <w:r w:rsidRPr="001902C7">
        <w:rPr>
          <w:lang w:eastAsia="zh-CN"/>
        </w:rPr>
        <w:t>IC</w:t>
      </w:r>
      <w:r>
        <w:rPr>
          <w:rFonts w:hint="eastAsia"/>
          <w:lang w:eastAsia="zh-CN"/>
        </w:rPr>
        <w:t>和</w:t>
      </w:r>
      <w:r>
        <w:rPr>
          <w:lang w:eastAsia="zh-CN"/>
        </w:rPr>
        <w:t>用于各国家集团的</w:t>
      </w:r>
      <w:r>
        <w:rPr>
          <w:rFonts w:hint="eastAsia"/>
          <w:lang w:val="en-US" w:eastAsia="zh-CN"/>
        </w:rPr>
        <w:t>GIC</w:t>
      </w:r>
      <w:r>
        <w:rPr>
          <w:rFonts w:hint="eastAsia"/>
          <w:lang w:eastAsia="zh-CN"/>
        </w:rPr>
        <w:t>，</w:t>
      </w:r>
      <w:r w:rsidRPr="00E04A5F">
        <w:rPr>
          <w:lang w:eastAsia="zh-CN"/>
        </w:rPr>
        <w:t>并就</w:t>
      </w:r>
      <w:r w:rsidRPr="00E04A5F">
        <w:rPr>
          <w:rFonts w:hint="eastAsia"/>
          <w:lang w:eastAsia="zh-CN"/>
        </w:rPr>
        <w:t>此领域</w:t>
      </w:r>
      <w:r w:rsidRPr="00E04A5F">
        <w:rPr>
          <w:lang w:eastAsia="zh-CN"/>
        </w:rPr>
        <w:t>取得的进展每年向理事会提出报告，</w:t>
      </w:r>
    </w:p>
    <w:p w:rsidR="00CA2405" w:rsidRDefault="00CA240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rFonts w:eastAsia="STKaiti"/>
          <w:lang w:eastAsia="zh-CN"/>
        </w:rPr>
      </w:pPr>
      <w:r>
        <w:rPr>
          <w:lang w:eastAsia="zh-CN"/>
        </w:rPr>
        <w:br w:type="page"/>
      </w:r>
    </w:p>
    <w:p w:rsidR="00886653" w:rsidRPr="00E04A5F" w:rsidRDefault="00886653" w:rsidP="00886653">
      <w:pPr>
        <w:pStyle w:val="Call"/>
        <w:rPr>
          <w:lang w:eastAsia="zh-CN"/>
        </w:rPr>
      </w:pPr>
      <w:r w:rsidRPr="00E04A5F">
        <w:rPr>
          <w:lang w:eastAsia="zh-CN"/>
        </w:rPr>
        <w:lastRenderedPageBreak/>
        <w:t>请各</w:t>
      </w:r>
      <w:r w:rsidRPr="00E04A5F">
        <w:rPr>
          <w:rFonts w:hint="eastAsia"/>
          <w:lang w:eastAsia="zh-CN"/>
        </w:rPr>
        <w:t>成</w:t>
      </w:r>
      <w:r w:rsidRPr="00E04A5F">
        <w:rPr>
          <w:lang w:eastAsia="zh-CN"/>
        </w:rPr>
        <w:t>员国</w:t>
      </w:r>
    </w:p>
    <w:p w:rsidR="00886653" w:rsidRPr="00E04A5F" w:rsidRDefault="00886653" w:rsidP="00886653">
      <w:pPr>
        <w:ind w:firstLineChars="200" w:firstLine="480"/>
        <w:rPr>
          <w:lang w:eastAsia="zh-CN"/>
        </w:rPr>
      </w:pPr>
      <w:r w:rsidRPr="00E04A5F">
        <w:rPr>
          <w:lang w:eastAsia="zh-CN"/>
        </w:rPr>
        <w:t>为这些活动做出贡献，</w:t>
      </w:r>
    </w:p>
    <w:p w:rsidR="00886653" w:rsidRPr="00E04A5F" w:rsidRDefault="00886653" w:rsidP="00886653">
      <w:pPr>
        <w:pStyle w:val="Call"/>
        <w:rPr>
          <w:lang w:eastAsia="zh-CN"/>
        </w:rPr>
      </w:pPr>
      <w:r w:rsidRPr="00E04A5F">
        <w:rPr>
          <w:lang w:eastAsia="zh-CN"/>
        </w:rPr>
        <w:t>进一步请各</w:t>
      </w:r>
      <w:r w:rsidRPr="00E04A5F">
        <w:rPr>
          <w:rFonts w:hint="eastAsia"/>
          <w:lang w:eastAsia="zh-CN"/>
        </w:rPr>
        <w:t>成</w:t>
      </w:r>
      <w:r w:rsidRPr="00E04A5F">
        <w:rPr>
          <w:lang w:eastAsia="zh-CN"/>
        </w:rPr>
        <w:t>员国</w:t>
      </w:r>
    </w:p>
    <w:p w:rsidR="00886653" w:rsidRDefault="00886653" w:rsidP="00886653">
      <w:pPr>
        <w:keepNext/>
        <w:keepLines/>
        <w:ind w:firstLineChars="200" w:firstLine="480"/>
        <w:rPr>
          <w:lang w:eastAsia="zh-CN"/>
        </w:rPr>
      </w:pPr>
      <w:r w:rsidRPr="00E04A5F">
        <w:rPr>
          <w:lang w:eastAsia="zh-CN"/>
        </w:rPr>
        <w:t>在其国家法律框架内采取适当的步骤，确保</w:t>
      </w:r>
      <w:r w:rsidRPr="00E04A5F">
        <w:rPr>
          <w:rFonts w:hint="eastAsia"/>
          <w:lang w:eastAsia="zh-CN"/>
        </w:rPr>
        <w:t>本</w:t>
      </w:r>
      <w:r w:rsidRPr="00E04A5F">
        <w:rPr>
          <w:lang w:eastAsia="zh-CN"/>
        </w:rPr>
        <w:t>决议</w:t>
      </w:r>
      <w:r w:rsidRPr="00E04A5F">
        <w:rPr>
          <w:rFonts w:hint="eastAsia"/>
          <w:lang w:eastAsia="zh-CN"/>
        </w:rPr>
        <w:t>得到</w:t>
      </w:r>
      <w:r w:rsidRPr="00E04A5F">
        <w:rPr>
          <w:lang w:eastAsia="zh-CN"/>
        </w:rPr>
        <w:t>恰当实施。</w:t>
      </w: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Default="00CA2405" w:rsidP="00CA2405">
      <w:pPr>
        <w:rPr>
          <w:lang w:eastAsia="zh-CN"/>
        </w:rPr>
      </w:pPr>
    </w:p>
    <w:p w:rsidR="00CA2405" w:rsidRPr="00E04A5F" w:rsidRDefault="00CA2405" w:rsidP="00CA2405">
      <w:pPr>
        <w:rPr>
          <w:rFonts w:hint="eastAsia"/>
          <w:lang w:eastAsia="zh-CN"/>
        </w:rPr>
      </w:pPr>
    </w:p>
    <w:p w:rsidR="00AA4B12" w:rsidRPr="00A02F35" w:rsidRDefault="00AA4B12" w:rsidP="00CA2405">
      <w:pPr>
        <w:rPr>
          <w:lang w:eastAsia="zh-CN"/>
        </w:rPr>
      </w:pPr>
    </w:p>
    <w:sectPr w:rsidR="00AA4B12" w:rsidRPr="00A02F35" w:rsidSect="002A4DE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Start w:val="3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CF" w:rsidRDefault="00253FCF">
      <w:r>
        <w:separator/>
      </w:r>
    </w:p>
  </w:endnote>
  <w:endnote w:type="continuationSeparator" w:id="0">
    <w:p w:rsidR="00253FCF" w:rsidRDefault="0025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3B228E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3B228E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3B228E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3B228E">
      <w:rPr>
        <w:rFonts w:hint="eastAsia"/>
        <w:lang w:val="en-US" w:eastAsia="zh-CN"/>
      </w:rPr>
      <w:t>第</w:t>
    </w:r>
    <w:r w:rsidR="003B228E">
      <w:rPr>
        <w:rFonts w:hint="eastAsia"/>
        <w:lang w:val="en-US" w:eastAsia="zh-CN"/>
      </w:rPr>
      <w:t>49</w:t>
    </w:r>
    <w:r w:rsidR="003B228E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AA4B12" w:rsidRDefault="002A4DE0" w:rsidP="002A4DE0">
    <w:pPr>
      <w:pStyle w:val="FooterQP"/>
      <w:rPr>
        <w:lang w:val="en-US" w:eastAsia="zh-CN"/>
      </w:rPr>
    </w:pPr>
    <w:r w:rsidRPr="002A4DE0">
      <w:rPr>
        <w:b w:val="0"/>
        <w:lang w:eastAsia="zh-CN"/>
      </w:rPr>
      <w:fldChar w:fldCharType="begin"/>
    </w:r>
    <w:r w:rsidRPr="002A4DE0">
      <w:rPr>
        <w:b w:val="0"/>
        <w:lang w:eastAsia="zh-CN"/>
      </w:rPr>
      <w:instrText xml:space="preserve"> PAGE   \* MERGEFORMAT </w:instrText>
    </w:r>
    <w:r w:rsidRPr="002A4DE0">
      <w:rPr>
        <w:b w:val="0"/>
        <w:lang w:eastAsia="zh-CN"/>
      </w:rPr>
      <w:fldChar w:fldCharType="separate"/>
    </w:r>
    <w:r w:rsidR="003B228E">
      <w:rPr>
        <w:b w:val="0"/>
        <w:noProof/>
        <w:lang w:eastAsia="zh-CN"/>
      </w:rPr>
      <w:t>2</w:t>
    </w:r>
    <w:r w:rsidRPr="002A4DE0">
      <w:rPr>
        <w:b w:val="0"/>
        <w:lang w:eastAsia="zh-CN"/>
      </w:rPr>
      <w:fldChar w:fldCharType="end"/>
    </w:r>
    <w:r w:rsidR="00EA4F4A"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3B228E">
      <w:rPr>
        <w:lang w:eastAsia="zh-CN"/>
      </w:rPr>
      <w:t>WTSA-16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 w:rsidR="003B228E" w:rsidRPr="003B228E">
      <w:rPr>
        <w:rFonts w:hint="eastAsia"/>
        <w:bCs/>
        <w:noProof/>
        <w:lang w:val="en-US" w:eastAsia="zh-CN"/>
      </w:rPr>
      <w:t>第</w:t>
    </w:r>
    <w:r w:rsidR="003B228E" w:rsidRPr="003B228E">
      <w:rPr>
        <w:rFonts w:hint="eastAsia"/>
        <w:bCs/>
        <w:noProof/>
        <w:lang w:val="en-US" w:eastAsia="zh-CN"/>
      </w:rPr>
      <w:t>49</w:t>
    </w:r>
    <w:r w:rsidR="003B228E" w:rsidRPr="003B228E">
      <w:rPr>
        <w:rFonts w:hint="eastAsia"/>
        <w:bCs/>
        <w:noProof/>
        <w:lang w:val="en-US" w:eastAsia="zh-CN"/>
      </w:rPr>
      <w:t>号决议</w:t>
    </w:r>
    <w:r w:rsidR="0061564D">
      <w:rPr>
        <w:lang w:val="en-US" w:eastAsia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 w:rsidP="002A4DE0">
    <w:pPr>
      <w:pStyle w:val="FooterQP"/>
      <w:rPr>
        <w:lang w:eastAsia="zh-CN"/>
      </w:rPr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3B228E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3B228E" w:rsidRPr="003B228E">
      <w:rPr>
        <w:rFonts w:hint="eastAsia"/>
        <w:bCs/>
        <w:noProof/>
        <w:lang w:eastAsia="zh-CN"/>
      </w:rPr>
      <w:t>第</w:t>
    </w:r>
    <w:r w:rsidR="003B228E" w:rsidRPr="003B228E">
      <w:rPr>
        <w:rFonts w:hint="eastAsia"/>
        <w:bCs/>
        <w:noProof/>
        <w:lang w:eastAsia="zh-CN"/>
      </w:rPr>
      <w:t>49</w:t>
    </w:r>
    <w:r w:rsidR="003B228E" w:rsidRPr="003B228E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lang w:eastAsia="zh-CN"/>
      </w:rPr>
      <w:fldChar w:fldCharType="begin"/>
    </w:r>
    <w:r w:rsidRPr="00AA4B12">
      <w:rPr>
        <w:lang w:eastAsia="zh-CN"/>
      </w:rPr>
      <w:instrText xml:space="preserve"> PAGE   \* MERGEFORMAT </w:instrText>
    </w:r>
    <w:r w:rsidRPr="00AA4B12">
      <w:rPr>
        <w:lang w:eastAsia="zh-CN"/>
      </w:rPr>
      <w:fldChar w:fldCharType="separate"/>
    </w:r>
    <w:r w:rsidR="002A4DE0">
      <w:rPr>
        <w:noProof/>
        <w:lang w:eastAsia="zh-CN"/>
      </w:rPr>
      <w:t>3</w:t>
    </w:r>
    <w:r w:rsidRPr="00AA4B12">
      <w:rPr>
        <w:lang w:eastAsia="zh-CN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DE0" w:rsidRDefault="002A4DE0" w:rsidP="002A4DE0">
    <w:pPr>
      <w:pStyle w:val="FooterQP"/>
    </w:pPr>
    <w:r>
      <w:rPr>
        <w:rFonts w:hint="eastAsia"/>
        <w:lang w:eastAsia="zh-CN"/>
      </w:rPr>
      <w:tab/>
    </w:r>
    <w:r>
      <w:rPr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3B228E">
      <w:rPr>
        <w:lang w:eastAsia="zh-CN"/>
      </w:rPr>
      <w:t>WTSA-16</w:t>
    </w:r>
    <w:r>
      <w:rPr>
        <w:lang w:eastAsia="zh-CN"/>
      </w:rPr>
      <w:fldChar w:fldCharType="end"/>
    </w:r>
    <w:r>
      <w:rPr>
        <w:lang w:eastAsia="zh-CN"/>
      </w:rPr>
      <w:t xml:space="preserve"> – </w:t>
    </w:r>
    <w:r>
      <w:rPr>
        <w:lang w:eastAsia="zh-CN"/>
      </w:rPr>
      <w:fldChar w:fldCharType="begin"/>
    </w:r>
    <w:r>
      <w:rPr>
        <w:lang w:eastAsia="zh-CN"/>
      </w:rPr>
      <w:instrText xml:space="preserve"> STYLEREF  href  \* MERGEFORMAT </w:instrText>
    </w:r>
    <w:r>
      <w:rPr>
        <w:lang w:eastAsia="zh-CN"/>
      </w:rPr>
      <w:fldChar w:fldCharType="separate"/>
    </w:r>
    <w:r w:rsidR="003B228E" w:rsidRPr="003B228E">
      <w:rPr>
        <w:rFonts w:hint="eastAsia"/>
        <w:bCs/>
        <w:noProof/>
        <w:lang w:eastAsia="zh-CN"/>
      </w:rPr>
      <w:t>第</w:t>
    </w:r>
    <w:r w:rsidR="003B228E" w:rsidRPr="003B228E">
      <w:rPr>
        <w:rFonts w:hint="eastAsia"/>
        <w:bCs/>
        <w:noProof/>
        <w:lang w:eastAsia="zh-CN"/>
      </w:rPr>
      <w:t>49</w:t>
    </w:r>
    <w:r w:rsidR="003B228E" w:rsidRPr="003B228E">
      <w:rPr>
        <w:rFonts w:hint="eastAsia"/>
        <w:bCs/>
        <w:noProof/>
        <w:lang w:eastAsia="zh-CN"/>
      </w:rPr>
      <w:t>号决议</w:t>
    </w:r>
    <w:r>
      <w:rPr>
        <w:lang w:eastAsia="zh-CN"/>
      </w:rPr>
      <w:fldChar w:fldCharType="end"/>
    </w:r>
    <w:r>
      <w:rPr>
        <w:rFonts w:hint="eastAsia"/>
        <w:lang w:eastAsia="zh-CN"/>
      </w:rPr>
      <w:tab/>
    </w:r>
    <w:r w:rsidRPr="002A4DE0">
      <w:rPr>
        <w:b w:val="0"/>
        <w:bCs/>
        <w:lang w:eastAsia="zh-CN"/>
      </w:rPr>
      <w:fldChar w:fldCharType="begin"/>
    </w:r>
    <w:r w:rsidRPr="002A4DE0">
      <w:rPr>
        <w:b w:val="0"/>
        <w:bCs/>
        <w:lang w:eastAsia="zh-CN"/>
      </w:rPr>
      <w:instrText xml:space="preserve"> PAGE   \* MERGEFORMAT </w:instrText>
    </w:r>
    <w:r w:rsidRPr="002A4DE0">
      <w:rPr>
        <w:b w:val="0"/>
        <w:bCs/>
        <w:lang w:eastAsia="zh-CN"/>
      </w:rPr>
      <w:fldChar w:fldCharType="separate"/>
    </w:r>
    <w:r w:rsidR="003B228E">
      <w:rPr>
        <w:b w:val="0"/>
        <w:bCs/>
        <w:noProof/>
        <w:lang w:eastAsia="zh-CN"/>
      </w:rPr>
      <w:t>1</w:t>
    </w:r>
    <w:r w:rsidRPr="002A4DE0">
      <w:rPr>
        <w:b w:val="0"/>
        <w:bCs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CF" w:rsidRDefault="00253FCF">
      <w:r>
        <w:t>____________________</w:t>
      </w:r>
    </w:p>
  </w:footnote>
  <w:footnote w:type="continuationSeparator" w:id="0">
    <w:p w:rsidR="00253FCF" w:rsidRDefault="00253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1A69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0F5F9F"/>
    <w:rsid w:val="001012D0"/>
    <w:rsid w:val="00110100"/>
    <w:rsid w:val="00111522"/>
    <w:rsid w:val="00160CD7"/>
    <w:rsid w:val="001659E3"/>
    <w:rsid w:val="00166859"/>
    <w:rsid w:val="001702D5"/>
    <w:rsid w:val="001765EC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436B0"/>
    <w:rsid w:val="00253E75"/>
    <w:rsid w:val="00253FCF"/>
    <w:rsid w:val="00255630"/>
    <w:rsid w:val="00270364"/>
    <w:rsid w:val="00276EAA"/>
    <w:rsid w:val="00285D2D"/>
    <w:rsid w:val="00291F40"/>
    <w:rsid w:val="002A4C9C"/>
    <w:rsid w:val="002A4DE0"/>
    <w:rsid w:val="002A7FC1"/>
    <w:rsid w:val="002B509B"/>
    <w:rsid w:val="002D4D25"/>
    <w:rsid w:val="002D7C05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40F4"/>
    <w:rsid w:val="003446EA"/>
    <w:rsid w:val="003449BE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5CFA"/>
    <w:rsid w:val="003978F7"/>
    <w:rsid w:val="003A118B"/>
    <w:rsid w:val="003A125E"/>
    <w:rsid w:val="003A197B"/>
    <w:rsid w:val="003A24BF"/>
    <w:rsid w:val="003A69EA"/>
    <w:rsid w:val="003B228E"/>
    <w:rsid w:val="003B41D5"/>
    <w:rsid w:val="003B4BEF"/>
    <w:rsid w:val="003B58D5"/>
    <w:rsid w:val="003C6B45"/>
    <w:rsid w:val="003D5D9B"/>
    <w:rsid w:val="003E7872"/>
    <w:rsid w:val="003F2979"/>
    <w:rsid w:val="003F6474"/>
    <w:rsid w:val="004114A1"/>
    <w:rsid w:val="0041282E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614A2"/>
    <w:rsid w:val="004631DA"/>
    <w:rsid w:val="00465756"/>
    <w:rsid w:val="00465A34"/>
    <w:rsid w:val="00466311"/>
    <w:rsid w:val="0046713E"/>
    <w:rsid w:val="00467691"/>
    <w:rsid w:val="00471AAB"/>
    <w:rsid w:val="00490A72"/>
    <w:rsid w:val="004966A2"/>
    <w:rsid w:val="00496BA8"/>
    <w:rsid w:val="004A1BBF"/>
    <w:rsid w:val="004A3899"/>
    <w:rsid w:val="004A7F46"/>
    <w:rsid w:val="004B23EB"/>
    <w:rsid w:val="004C05E8"/>
    <w:rsid w:val="004C4554"/>
    <w:rsid w:val="004C53D0"/>
    <w:rsid w:val="004C5A53"/>
    <w:rsid w:val="004D0D1D"/>
    <w:rsid w:val="004D2DEC"/>
    <w:rsid w:val="004E2605"/>
    <w:rsid w:val="004E3B08"/>
    <w:rsid w:val="004E4468"/>
    <w:rsid w:val="004E4580"/>
    <w:rsid w:val="004F2BE6"/>
    <w:rsid w:val="00514AC1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87D65"/>
    <w:rsid w:val="005A0ACB"/>
    <w:rsid w:val="005A1496"/>
    <w:rsid w:val="005A3FF0"/>
    <w:rsid w:val="005B323B"/>
    <w:rsid w:val="005B6B3F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2984"/>
    <w:rsid w:val="00635F17"/>
    <w:rsid w:val="006423DE"/>
    <w:rsid w:val="00644391"/>
    <w:rsid w:val="00646CC0"/>
    <w:rsid w:val="00647712"/>
    <w:rsid w:val="006522E7"/>
    <w:rsid w:val="00653CCD"/>
    <w:rsid w:val="00657F25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2E0A"/>
    <w:rsid w:val="006E6182"/>
    <w:rsid w:val="006F3594"/>
    <w:rsid w:val="006F3C60"/>
    <w:rsid w:val="00710603"/>
    <w:rsid w:val="007127CE"/>
    <w:rsid w:val="00717363"/>
    <w:rsid w:val="00723A28"/>
    <w:rsid w:val="00723AD3"/>
    <w:rsid w:val="00731012"/>
    <w:rsid w:val="00734D57"/>
    <w:rsid w:val="00736415"/>
    <w:rsid w:val="00747141"/>
    <w:rsid w:val="00757153"/>
    <w:rsid w:val="00770D2A"/>
    <w:rsid w:val="00781FAE"/>
    <w:rsid w:val="007864F6"/>
    <w:rsid w:val="00791548"/>
    <w:rsid w:val="007959D1"/>
    <w:rsid w:val="007B73F5"/>
    <w:rsid w:val="007B7C4B"/>
    <w:rsid w:val="007C09F6"/>
    <w:rsid w:val="007C6A61"/>
    <w:rsid w:val="007C7BFE"/>
    <w:rsid w:val="007D4C5A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6030C"/>
    <w:rsid w:val="00865DFB"/>
    <w:rsid w:val="00865F38"/>
    <w:rsid w:val="00872F06"/>
    <w:rsid w:val="00880FD6"/>
    <w:rsid w:val="00886653"/>
    <w:rsid w:val="00887DC3"/>
    <w:rsid w:val="00892B4F"/>
    <w:rsid w:val="00893A15"/>
    <w:rsid w:val="008A2F1D"/>
    <w:rsid w:val="008A2FB7"/>
    <w:rsid w:val="008A7416"/>
    <w:rsid w:val="008B6852"/>
    <w:rsid w:val="008B7CE0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0947"/>
    <w:rsid w:val="00912959"/>
    <w:rsid w:val="00916548"/>
    <w:rsid w:val="00923A14"/>
    <w:rsid w:val="00926A8A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6781"/>
    <w:rsid w:val="009C72B7"/>
    <w:rsid w:val="009F7627"/>
    <w:rsid w:val="00A0052C"/>
    <w:rsid w:val="00A029BA"/>
    <w:rsid w:val="00A02F35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83D2F"/>
    <w:rsid w:val="00A93E6A"/>
    <w:rsid w:val="00AA4B12"/>
    <w:rsid w:val="00AA4C8A"/>
    <w:rsid w:val="00AA5DA1"/>
    <w:rsid w:val="00AB3349"/>
    <w:rsid w:val="00AB4417"/>
    <w:rsid w:val="00AD69CB"/>
    <w:rsid w:val="00AE369F"/>
    <w:rsid w:val="00B019DE"/>
    <w:rsid w:val="00B026CB"/>
    <w:rsid w:val="00B047CD"/>
    <w:rsid w:val="00B05AE8"/>
    <w:rsid w:val="00B1111A"/>
    <w:rsid w:val="00B152A4"/>
    <w:rsid w:val="00B26CC7"/>
    <w:rsid w:val="00B279CA"/>
    <w:rsid w:val="00B32E91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B43D5"/>
    <w:rsid w:val="00BC2E0B"/>
    <w:rsid w:val="00BC5842"/>
    <w:rsid w:val="00BD0505"/>
    <w:rsid w:val="00BD0BEA"/>
    <w:rsid w:val="00BD17C6"/>
    <w:rsid w:val="00BD391A"/>
    <w:rsid w:val="00BD43B0"/>
    <w:rsid w:val="00BE2601"/>
    <w:rsid w:val="00BE52C8"/>
    <w:rsid w:val="00BF099B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0BE0"/>
    <w:rsid w:val="00C627F9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A2405"/>
    <w:rsid w:val="00CB367D"/>
    <w:rsid w:val="00CB4E5A"/>
    <w:rsid w:val="00CB7927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48E4"/>
    <w:rsid w:val="00D2513C"/>
    <w:rsid w:val="00D36004"/>
    <w:rsid w:val="00D52A14"/>
    <w:rsid w:val="00D52DD4"/>
    <w:rsid w:val="00D54C6E"/>
    <w:rsid w:val="00D6147C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69B9"/>
    <w:rsid w:val="00DA734B"/>
    <w:rsid w:val="00DA7C37"/>
    <w:rsid w:val="00DC64DE"/>
    <w:rsid w:val="00DC71D5"/>
    <w:rsid w:val="00DD13B7"/>
    <w:rsid w:val="00DD2F95"/>
    <w:rsid w:val="00DD529C"/>
    <w:rsid w:val="00DE382D"/>
    <w:rsid w:val="00DE51DD"/>
    <w:rsid w:val="00DF0E75"/>
    <w:rsid w:val="00DF3B0C"/>
    <w:rsid w:val="00E05AB1"/>
    <w:rsid w:val="00E05F8D"/>
    <w:rsid w:val="00E14984"/>
    <w:rsid w:val="00E2217D"/>
    <w:rsid w:val="00E22A25"/>
    <w:rsid w:val="00E33111"/>
    <w:rsid w:val="00E413F2"/>
    <w:rsid w:val="00E464C6"/>
    <w:rsid w:val="00E560F1"/>
    <w:rsid w:val="00E63002"/>
    <w:rsid w:val="00E66739"/>
    <w:rsid w:val="00E7027E"/>
    <w:rsid w:val="00E741B4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B67AB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C6C7D06-52D2-4641-8BDD-BF6B541E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8</cp:revision>
  <cp:lastPrinted>2016-12-15T14:33:00Z</cp:lastPrinted>
  <dcterms:created xsi:type="dcterms:W3CDTF">2016-12-14T15:04:00Z</dcterms:created>
  <dcterms:modified xsi:type="dcterms:W3CDTF">2016-12-15T14:34:00Z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