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8" w:type="dxa"/>
        <w:tblLayout w:type="fixed"/>
        <w:tblLook w:val="0000"/>
      </w:tblPr>
      <w:tblGrid>
        <w:gridCol w:w="1418"/>
        <w:gridCol w:w="10"/>
        <w:gridCol w:w="2508"/>
        <w:gridCol w:w="2041"/>
        <w:gridCol w:w="3971"/>
      </w:tblGrid>
      <w:tr w:rsidR="00FB6D55" w:rsidRPr="003518D5">
        <w:tblPrEx>
          <w:tblCellMar>
            <w:top w:w="0" w:type="dxa"/>
            <w:bottom w:w="0" w:type="dxa"/>
          </w:tblCellMar>
        </w:tblPrEx>
        <w:trPr>
          <w:trHeight w:hRule="exact" w:val="1418"/>
        </w:trPr>
        <w:tc>
          <w:tcPr>
            <w:tcW w:w="1428" w:type="dxa"/>
            <w:gridSpan w:val="2"/>
          </w:tcPr>
          <w:p w:rsidR="00FB6D55" w:rsidRPr="003518D5" w:rsidRDefault="005E2967">
            <w:r>
              <w:rPr>
                <w:noProof/>
                <w:lang w:val="en-US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-1009650</wp:posOffset>
                  </wp:positionH>
                  <wp:positionV relativeFrom="paragraph">
                    <wp:posOffset>-681355</wp:posOffset>
                  </wp:positionV>
                  <wp:extent cx="1612900" cy="10828655"/>
                  <wp:effectExtent l="1905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082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6D55" w:rsidRPr="003518D5" w:rsidRDefault="00FB6D55">
            <w:pPr>
              <w:spacing w:before="0"/>
              <w:rPr>
                <w:b/>
                <w:sz w:val="16"/>
              </w:rPr>
            </w:pPr>
          </w:p>
        </w:tc>
        <w:tc>
          <w:tcPr>
            <w:tcW w:w="8520" w:type="dxa"/>
            <w:gridSpan w:val="3"/>
          </w:tcPr>
          <w:p w:rsidR="00FB6D55" w:rsidRPr="003518D5" w:rsidRDefault="00FB6D55">
            <w:pPr>
              <w:spacing w:before="0"/>
            </w:pPr>
          </w:p>
          <w:p w:rsidR="00FB6D55" w:rsidRPr="003518D5" w:rsidRDefault="00FB6D55">
            <w:pPr>
              <w:spacing w:before="284"/>
              <w:rPr>
                <w:rFonts w:ascii="Arial" w:hAnsi="Arial" w:cs="Arial"/>
                <w:b/>
                <w:bCs/>
                <w:spacing w:val="80"/>
                <w:sz w:val="18"/>
              </w:rPr>
            </w:pPr>
            <w:r w:rsidRPr="003518D5">
              <w:rPr>
                <w:rFonts w:ascii="Arial" w:hAnsi="Arial" w:cs="Arial"/>
                <w:b/>
                <w:bCs/>
                <w:color w:val="808080"/>
                <w:spacing w:val="80"/>
              </w:rPr>
              <w:t>Unión Internacional de Telecomunicaciones</w:t>
            </w:r>
          </w:p>
        </w:tc>
      </w:tr>
      <w:tr w:rsidR="00FB6D55" w:rsidRPr="003518D5">
        <w:tblPrEx>
          <w:tblCellMar>
            <w:top w:w="0" w:type="dxa"/>
            <w:bottom w:w="0" w:type="dxa"/>
          </w:tblCellMar>
        </w:tblPrEx>
        <w:trPr>
          <w:trHeight w:hRule="exact" w:val="992"/>
        </w:trPr>
        <w:tc>
          <w:tcPr>
            <w:tcW w:w="1428" w:type="dxa"/>
            <w:gridSpan w:val="2"/>
          </w:tcPr>
          <w:p w:rsidR="00FB6D55" w:rsidRPr="003518D5" w:rsidRDefault="00FB6D55">
            <w:pPr>
              <w:spacing w:before="0"/>
            </w:pPr>
          </w:p>
        </w:tc>
        <w:tc>
          <w:tcPr>
            <w:tcW w:w="8520" w:type="dxa"/>
            <w:gridSpan w:val="3"/>
          </w:tcPr>
          <w:p w:rsidR="00FB6D55" w:rsidRPr="003518D5" w:rsidRDefault="00FB6D55"/>
        </w:tc>
      </w:tr>
      <w:tr w:rsidR="00FB6D55" w:rsidRPr="003518D5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08" w:type="dxa"/>
          </w:tcPr>
          <w:p w:rsidR="00FB6D55" w:rsidRPr="003518D5" w:rsidRDefault="00FB6D55">
            <w:pPr>
              <w:rPr>
                <w:b/>
                <w:sz w:val="18"/>
              </w:rPr>
            </w:pPr>
            <w:bookmarkStart w:id="0" w:name="dnums" w:colFirst="1" w:colLast="1"/>
            <w:r w:rsidRPr="003518D5">
              <w:rPr>
                <w:rFonts w:ascii="Arial" w:hAnsi="Arial"/>
                <w:b/>
                <w:spacing w:val="40"/>
                <w:sz w:val="72"/>
              </w:rPr>
              <w:t>UIT-T</w:t>
            </w:r>
          </w:p>
        </w:tc>
        <w:tc>
          <w:tcPr>
            <w:tcW w:w="6012" w:type="dxa"/>
            <w:gridSpan w:val="2"/>
          </w:tcPr>
          <w:p w:rsidR="00FB6D55" w:rsidRPr="003518D5" w:rsidRDefault="00FB6D55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</w:p>
        </w:tc>
      </w:tr>
      <w:tr w:rsidR="00FB6D55" w:rsidRPr="003518D5"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FB6D55" w:rsidRPr="003518D5" w:rsidRDefault="00FB6D55">
            <w:pPr>
              <w:jc w:val="left"/>
              <w:rPr>
                <w:b/>
                <w:sz w:val="18"/>
              </w:rPr>
            </w:pPr>
            <w:bookmarkStart w:id="1" w:name="ddates" w:colFirst="1" w:colLast="1"/>
            <w:bookmarkEnd w:id="0"/>
            <w:r w:rsidRPr="003518D5">
              <w:rPr>
                <w:rFonts w:ascii="Arial" w:hAnsi="Arial"/>
                <w:sz w:val="20"/>
              </w:rPr>
              <w:t>SECTOR  DE  NORMALIZACIÓN</w:t>
            </w:r>
            <w:r w:rsidRPr="003518D5">
              <w:rPr>
                <w:rFonts w:ascii="Arial" w:hAnsi="Arial" w:cs="Arial"/>
                <w:sz w:val="20"/>
              </w:rPr>
              <w:br/>
            </w:r>
            <w:r w:rsidRPr="003518D5">
              <w:rPr>
                <w:rFonts w:ascii="Arial" w:hAnsi="Arial"/>
                <w:sz w:val="20"/>
              </w:rPr>
              <w:t>DE  LAS  TELECOMUNICACIONES</w:t>
            </w:r>
            <w:r w:rsidRPr="003518D5">
              <w:rPr>
                <w:rFonts w:ascii="Arial" w:hAnsi="Arial"/>
                <w:sz w:val="20"/>
              </w:rPr>
              <w:br/>
              <w:t>DE  LA  UIT</w:t>
            </w:r>
          </w:p>
        </w:tc>
        <w:tc>
          <w:tcPr>
            <w:tcW w:w="3971" w:type="dxa"/>
          </w:tcPr>
          <w:p w:rsidR="00FB6D55" w:rsidRPr="003518D5" w:rsidRDefault="00FB6D55" w:rsidP="00FB6D55">
            <w:pPr>
              <w:spacing w:before="0"/>
              <w:jc w:val="right"/>
              <w:rPr>
                <w:rFonts w:ascii="Arial" w:hAnsi="Arial" w:cs="Arial"/>
                <w:sz w:val="28"/>
              </w:rPr>
            </w:pPr>
            <w:r w:rsidRPr="003518D5">
              <w:rPr>
                <w:rFonts w:ascii="Arial" w:hAnsi="Arial" w:cs="Arial"/>
                <w:sz w:val="28"/>
              </w:rPr>
              <w:t xml:space="preserve">   </w:t>
            </w:r>
          </w:p>
        </w:tc>
      </w:tr>
      <w:tr w:rsidR="00FB6D55" w:rsidRPr="003518D5">
        <w:tblPrEx>
          <w:tblCellMar>
            <w:top w:w="0" w:type="dxa"/>
            <w:bottom w:w="0" w:type="dxa"/>
          </w:tblCellMar>
        </w:tblPrEx>
        <w:trPr>
          <w:cantSplit/>
          <w:trHeight w:hRule="exact" w:val="3402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2" w:name="dsecs" w:colFirst="1" w:colLast="1"/>
            <w:bookmarkEnd w:id="1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FB6D55" w:rsidRPr="003518D5" w:rsidRDefault="004F1EA7" w:rsidP="004F1EA7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4F1EA7">
              <w:rPr>
                <w:rFonts w:ascii="Arial" w:hAnsi="Arial" w:cs="Arial"/>
                <w:sz w:val="32"/>
              </w:rPr>
              <w:t>ASAMBLEA MUNDIAL DE NORMALIZACIÓN DE LAS TELECOMUNICACIONES</w:t>
            </w:r>
          </w:p>
          <w:p w:rsidR="00FB6D55" w:rsidRPr="003518D5" w:rsidRDefault="006C62D4" w:rsidP="006C62D4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  <w:r w:rsidRPr="006C62D4">
              <w:rPr>
                <w:rFonts w:ascii="Arial" w:hAnsi="Arial" w:cs="Arial"/>
                <w:sz w:val="32"/>
                <w:lang w:val="es-ES"/>
              </w:rPr>
              <w:t>Dubai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>, 2</w:t>
            </w:r>
            <w:r>
              <w:rPr>
                <w:rFonts w:ascii="Arial" w:hAnsi="Arial" w:cs="Arial"/>
                <w:sz w:val="32"/>
                <w:lang w:val="es-ES"/>
              </w:rPr>
              <w:t>0</w:t>
            </w:r>
            <w:r w:rsidRPr="006C62D4">
              <w:rPr>
                <w:rFonts w:ascii="Arial" w:hAnsi="Arial" w:cs="Arial"/>
                <w:sz w:val="32"/>
                <w:lang w:val="es-ES"/>
              </w:rPr>
              <w:t>-29</w:t>
            </w:r>
            <w:r w:rsidR="004F1EA7" w:rsidRPr="006C62D4">
              <w:rPr>
                <w:rFonts w:ascii="Arial" w:hAnsi="Arial" w:cs="Arial"/>
                <w:sz w:val="32"/>
                <w:lang w:val="es-ES"/>
              </w:rPr>
              <w:t xml:space="preserve"> de </w:t>
            </w:r>
            <w:r>
              <w:rPr>
                <w:rFonts w:ascii="Arial" w:hAnsi="Arial" w:cs="Arial"/>
                <w:sz w:val="32"/>
                <w:lang w:val="es-ES"/>
              </w:rPr>
              <w:t>noviembre de 2012</w:t>
            </w:r>
          </w:p>
          <w:p w:rsidR="00FB6D55" w:rsidRPr="003518D5" w:rsidRDefault="00FB6D55" w:rsidP="00FB6D55">
            <w:pPr>
              <w:tabs>
                <w:tab w:val="right" w:pos="9639"/>
              </w:tabs>
              <w:jc w:val="left"/>
              <w:rPr>
                <w:rFonts w:ascii="Arial" w:hAnsi="Arial" w:cs="Arial"/>
                <w:sz w:val="32"/>
              </w:rPr>
            </w:pPr>
          </w:p>
        </w:tc>
      </w:tr>
      <w:tr w:rsidR="00FB6D55" w:rsidRPr="003518D5">
        <w:tblPrEx>
          <w:tblCellMar>
            <w:top w:w="0" w:type="dxa"/>
            <w:bottom w:w="0" w:type="dxa"/>
          </w:tblCellMar>
        </w:tblPrEx>
        <w:trPr>
          <w:cantSplit/>
          <w:trHeight w:hRule="exact" w:val="4536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3" w:name="c1tits" w:colFirst="1" w:colLast="1"/>
            <w:bookmarkEnd w:id="2"/>
          </w:p>
        </w:tc>
        <w:tc>
          <w:tcPr>
            <w:tcW w:w="8530" w:type="dxa"/>
            <w:gridSpan w:val="4"/>
          </w:tcPr>
          <w:p w:rsidR="00FB6D55" w:rsidRPr="00427DF1" w:rsidRDefault="004F1EA7" w:rsidP="005E2967">
            <w:pPr>
              <w:tabs>
                <w:tab w:val="right" w:pos="9639"/>
              </w:tabs>
              <w:jc w:val="left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427DF1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Resolución </w:t>
            </w:r>
            <w:r w:rsidR="005E2967">
              <w:rPr>
                <w:rFonts w:ascii="Arial" w:hAnsi="Arial" w:cs="Arial"/>
                <w:b/>
                <w:bCs/>
                <w:sz w:val="36"/>
                <w:szCs w:val="36"/>
              </w:rPr>
              <w:t>49</w:t>
            </w:r>
            <w:r w:rsidRPr="00427DF1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– </w:t>
            </w:r>
            <w:r w:rsidR="005E2967" w:rsidRPr="005E2967">
              <w:rPr>
                <w:rFonts w:ascii="Arial" w:hAnsi="Arial" w:cs="Arial"/>
                <w:b/>
                <w:bCs/>
                <w:sz w:val="36"/>
                <w:szCs w:val="36"/>
              </w:rPr>
              <w:t>ENUM</w:t>
            </w:r>
          </w:p>
        </w:tc>
      </w:tr>
      <w:bookmarkEnd w:id="3"/>
      <w:tr w:rsidR="00FB6D55" w:rsidRPr="003518D5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418" w:type="dxa"/>
          </w:tcPr>
          <w:p w:rsidR="00FB6D55" w:rsidRPr="003518D5" w:rsidRDefault="00FB6D55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FB6D55" w:rsidRPr="003518D5" w:rsidRDefault="00FB6D55" w:rsidP="004F1EA7">
            <w:pPr>
              <w:tabs>
                <w:tab w:val="right" w:pos="9639"/>
              </w:tabs>
              <w:spacing w:before="60" w:after="240"/>
              <w:jc w:val="left"/>
              <w:rPr>
                <w:rFonts w:ascii="Arial" w:hAnsi="Arial" w:cs="Arial"/>
                <w:sz w:val="32"/>
              </w:rPr>
            </w:pPr>
            <w:bookmarkStart w:id="4" w:name="dnum2s"/>
            <w:bookmarkEnd w:id="4"/>
          </w:p>
        </w:tc>
      </w:tr>
    </w:tbl>
    <w:p w:rsidR="00FB6D55" w:rsidRPr="003518D5" w:rsidRDefault="005E2967">
      <w:pPr>
        <w:spacing w:before="240"/>
        <w:jc w:val="right"/>
      </w:pPr>
      <w:r>
        <w:rPr>
          <w:noProof/>
          <w:lang w:val="en-US"/>
        </w:rPr>
        <w:drawing>
          <wp:inline distT="0" distB="0" distL="0" distR="0">
            <wp:extent cx="668020" cy="747395"/>
            <wp:effectExtent l="19050" t="0" r="0" b="0"/>
            <wp:docPr id="1" name="Picture 24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2D4" w:rsidRPr="00AC4414" w:rsidRDefault="00FB6D55" w:rsidP="006C62D4">
      <w:pPr>
        <w:spacing w:before="480" w:line="240" w:lineRule="exact"/>
        <w:jc w:val="center"/>
        <w:rPr>
          <w:szCs w:val="22"/>
        </w:rPr>
      </w:pPr>
      <w:r w:rsidRPr="003518D5">
        <w:rPr>
          <w:sz w:val="20"/>
        </w:rPr>
        <w:br w:type="page"/>
      </w:r>
      <w:bookmarkStart w:id="5" w:name="c2tops"/>
      <w:bookmarkEnd w:id="5"/>
      <w:r w:rsidR="006C62D4" w:rsidRPr="00AC4414">
        <w:rPr>
          <w:szCs w:val="22"/>
        </w:rPr>
        <w:lastRenderedPageBreak/>
        <w:t>PREFACIO</w:t>
      </w:r>
    </w:p>
    <w:p w:rsidR="006C62D4" w:rsidRDefault="006C62D4" w:rsidP="006C62D4">
      <w:pPr>
        <w:pStyle w:val="Normalaftertitle"/>
        <w:spacing w:line="240" w:lineRule="exact"/>
        <w:rPr>
          <w:sz w:val="20"/>
        </w:rPr>
      </w:pPr>
      <w:r>
        <w:rPr>
          <w:sz w:val="20"/>
        </w:rPr>
        <w:t>La UIT (Unión Internacional de Telecomunicaciones) es el organismo especializado de las Naciones Unidas en el campo de las telecomunicaciones. El UIT-T (Sector de Normalización de las Telecomunicaciones de la UIT) es un órgano permanente de la UIT. Este órgano estudia los aspectos técnicos, de explotación y tarifarios y publica Recomendaciones sobre los mismos, con miras a la normalización de las telecomunicaciones en el plano mundial.</w:t>
      </w:r>
    </w:p>
    <w:p w:rsidR="006C62D4" w:rsidRDefault="006C62D4" w:rsidP="006C62D4">
      <w:pPr>
        <w:spacing w:line="240" w:lineRule="exact"/>
        <w:rPr>
          <w:sz w:val="20"/>
        </w:rPr>
      </w:pPr>
      <w:bookmarkStart w:id="6" w:name="iitexts"/>
      <w:r>
        <w:rPr>
          <w:sz w:val="20"/>
        </w:rPr>
        <w:t>La Asamblea Mundial de Normalización de las Telecomunicaciones (AMNT), que se celebra cada cuatro años, establece los temas que han de estudiar las Comisiones de Estudio del UIT</w:t>
      </w:r>
      <w:r>
        <w:rPr>
          <w:sz w:val="20"/>
        </w:rPr>
        <w:noBreakHyphen/>
        <w:t>T, que a su vez producen Recomendaciones sobre dichos temas.</w:t>
      </w:r>
    </w:p>
    <w:p w:rsidR="006C62D4" w:rsidRDefault="006C62D4" w:rsidP="006C62D4">
      <w:pPr>
        <w:spacing w:line="240" w:lineRule="exact"/>
        <w:rPr>
          <w:sz w:val="20"/>
        </w:rPr>
      </w:pPr>
      <w:r>
        <w:rPr>
          <w:sz w:val="20"/>
        </w:rPr>
        <w:t>La aprobación de Recomendaciones por los Miembros del UIT</w:t>
      </w:r>
      <w:r>
        <w:rPr>
          <w:sz w:val="20"/>
        </w:rPr>
        <w:noBreakHyphen/>
        <w:t>T es el objeto del procedimiento establecido en la Resolución 1 de la AMNT</w:t>
      </w:r>
      <w:bookmarkEnd w:id="6"/>
      <w:r>
        <w:rPr>
          <w:sz w:val="20"/>
        </w:rPr>
        <w:t>.</w:t>
      </w:r>
    </w:p>
    <w:p w:rsidR="006C62D4" w:rsidRPr="00143DCC" w:rsidRDefault="006C62D4" w:rsidP="006C62D4">
      <w:pPr>
        <w:spacing w:line="240" w:lineRule="exact"/>
        <w:rPr>
          <w:sz w:val="20"/>
        </w:rPr>
      </w:pPr>
      <w:r>
        <w:rPr>
          <w:sz w:val="20"/>
        </w:rPr>
        <w:t>En ciertos sectores de la tecnología de la información que corresponden a la esfera de competencia del UIT</w:t>
      </w:r>
      <w:r>
        <w:rPr>
          <w:sz w:val="20"/>
        </w:rPr>
        <w:noBreakHyphen/>
        <w:t>T, se preparan las normas necesarias en colaboración con la ISO y la CEI.</w:t>
      </w:r>
    </w:p>
    <w:p w:rsidR="006C62D4" w:rsidRPr="00143DCC" w:rsidRDefault="006C62D4" w:rsidP="006C62D4">
      <w:pPr>
        <w:spacing w:line="240" w:lineRule="exact"/>
        <w:jc w:val="center"/>
        <w:rPr>
          <w:sz w:val="20"/>
        </w:rPr>
      </w:pPr>
    </w:p>
    <w:p w:rsidR="00A5430F" w:rsidRDefault="00A5430F" w:rsidP="006C62D4">
      <w:pPr>
        <w:spacing w:before="480"/>
        <w:jc w:val="center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A5430F" w:rsidRDefault="00A5430F" w:rsidP="00FB6D55">
      <w:pPr>
        <w:spacing w:before="80" w:after="80"/>
        <w:jc w:val="left"/>
        <w:rPr>
          <w:sz w:val="18"/>
        </w:rPr>
      </w:pPr>
    </w:p>
    <w:p w:rsidR="00C2286E" w:rsidRDefault="00C2286E" w:rsidP="00FB6D55">
      <w:pPr>
        <w:spacing w:before="80" w:after="80"/>
        <w:jc w:val="left"/>
        <w:rPr>
          <w:sz w:val="18"/>
        </w:rPr>
      </w:pPr>
    </w:p>
    <w:p w:rsidR="00C2286E" w:rsidRPr="003518D5" w:rsidRDefault="00C2286E" w:rsidP="00C2286E">
      <w:pPr>
        <w:jc w:val="center"/>
      </w:pPr>
      <w:r w:rsidRPr="003518D5">
        <w:rPr>
          <w:rFonts w:ascii="Symbol" w:hAnsi="Symbol"/>
        </w:rPr>
        <w:t></w:t>
      </w:r>
      <w:r w:rsidRPr="003518D5">
        <w:t>  UIT  </w:t>
      </w:r>
      <w:bookmarkStart w:id="7" w:name="iiannes"/>
      <w:bookmarkEnd w:id="7"/>
      <w:r w:rsidR="006C62D4">
        <w:t>2013</w:t>
      </w:r>
    </w:p>
    <w:p w:rsidR="00C2286E" w:rsidRPr="003518D5" w:rsidRDefault="00C2286E" w:rsidP="00C2286E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</w:pPr>
      <w:r w:rsidRPr="003518D5">
        <w:t>Reservados todos los derechos. Ninguna parte de esta publicación puede reproducirse por ningún procedimiento sin previa autorización escrita por parte de la UIT.</w:t>
      </w:r>
    </w:p>
    <w:p w:rsidR="00FB6D55" w:rsidRPr="003518D5" w:rsidRDefault="00FB6D55">
      <w:pPr>
        <w:sectPr w:rsidR="00FB6D55" w:rsidRPr="003518D5" w:rsidSect="00862C3A">
          <w:pgSz w:w="11907" w:h="16840" w:code="9"/>
          <w:pgMar w:top="1077" w:right="1077" w:bottom="284" w:left="1077" w:header="284" w:footer="567" w:gutter="0"/>
          <w:paperSrc w:first="15" w:other="15"/>
          <w:pgNumType w:start="1"/>
          <w:cols w:space="720"/>
        </w:sectPr>
      </w:pPr>
    </w:p>
    <w:p w:rsidR="002A4E5E" w:rsidRDefault="002A4E5E" w:rsidP="005E2967">
      <w:pPr>
        <w:jc w:val="center"/>
      </w:pPr>
      <w:bookmarkStart w:id="8" w:name="irecnos"/>
      <w:bookmarkEnd w:id="8"/>
    </w:p>
    <w:p w:rsidR="005E2967" w:rsidRPr="005E2967" w:rsidRDefault="005E2967" w:rsidP="005E2967">
      <w:pPr>
        <w:pStyle w:val="ResNo"/>
        <w:jc w:val="center"/>
        <w:rPr>
          <w:b w:val="0"/>
          <w:lang w:val="es-ES"/>
        </w:rPr>
      </w:pPr>
      <w:r w:rsidRPr="005E2967">
        <w:rPr>
          <w:b w:val="0"/>
        </w:rPr>
        <w:t>RESOLUCIÓN</w:t>
      </w:r>
      <w:r w:rsidRPr="005E2967">
        <w:rPr>
          <w:b w:val="0"/>
          <w:lang w:val="es-ES"/>
        </w:rPr>
        <w:t xml:space="preserve"> </w:t>
      </w:r>
      <w:r w:rsidRPr="005E2967">
        <w:rPr>
          <w:rStyle w:val="href"/>
          <w:b w:val="0"/>
        </w:rPr>
        <w:t>49</w:t>
      </w:r>
      <w:r w:rsidRPr="005E2967">
        <w:rPr>
          <w:b w:val="0"/>
          <w:lang w:val="es-ES"/>
        </w:rPr>
        <w:t xml:space="preserve"> </w:t>
      </w:r>
      <w:r w:rsidRPr="005E2967">
        <w:rPr>
          <w:b w:val="0"/>
        </w:rPr>
        <w:t>(</w:t>
      </w:r>
      <w:r w:rsidRPr="005E2967">
        <w:rPr>
          <w:b w:val="0"/>
          <w:caps/>
        </w:rPr>
        <w:t>Rev</w:t>
      </w:r>
      <w:r w:rsidRPr="005E2967">
        <w:rPr>
          <w:b w:val="0"/>
        </w:rPr>
        <w:t xml:space="preserve">. </w:t>
      </w:r>
      <w:r w:rsidRPr="005E2967">
        <w:rPr>
          <w:b w:val="0"/>
          <w:caps/>
        </w:rPr>
        <w:t>Dubai</w:t>
      </w:r>
      <w:r w:rsidRPr="005E2967">
        <w:rPr>
          <w:b w:val="0"/>
        </w:rPr>
        <w:t>, 2012)</w:t>
      </w:r>
    </w:p>
    <w:p w:rsidR="005E2967" w:rsidRPr="000636E5" w:rsidRDefault="005E2967" w:rsidP="005E2967">
      <w:pPr>
        <w:pStyle w:val="Restitle"/>
        <w:rPr>
          <w:lang w:val="es-ES"/>
        </w:rPr>
      </w:pPr>
      <w:r w:rsidRPr="000636E5">
        <w:rPr>
          <w:lang w:val="es-ES"/>
        </w:rPr>
        <w:t>ENUM</w:t>
      </w:r>
    </w:p>
    <w:p w:rsidR="005E2967" w:rsidRPr="000636E5" w:rsidRDefault="005E2967" w:rsidP="005E2967">
      <w:pPr>
        <w:pStyle w:val="Resref"/>
        <w:rPr>
          <w:i w:val="0"/>
          <w:iCs/>
          <w:lang w:val="es-ES"/>
        </w:rPr>
      </w:pPr>
      <w:r w:rsidRPr="000636E5">
        <w:rPr>
          <w:iCs/>
          <w:lang w:val="es-ES"/>
        </w:rPr>
        <w:t>(Florianópolis, 2004; Johannesburgo, 2008; Dubai, 2012)</w:t>
      </w:r>
    </w:p>
    <w:p w:rsidR="005E2967" w:rsidRPr="000636E5" w:rsidRDefault="005E2967" w:rsidP="005E2967">
      <w:pPr>
        <w:pStyle w:val="Normalaftertitle0"/>
        <w:rPr>
          <w:lang w:val="es-ES"/>
        </w:rPr>
      </w:pPr>
      <w:r w:rsidRPr="000636E5">
        <w:rPr>
          <w:lang w:val="es-ES"/>
        </w:rPr>
        <w:t>La Asamblea Mundial de Normalización de las Telecomunicaciones (Dubai, 2012),</w:t>
      </w:r>
    </w:p>
    <w:p w:rsidR="005E2967" w:rsidRPr="000636E5" w:rsidRDefault="005E2967" w:rsidP="005E2967">
      <w:pPr>
        <w:pStyle w:val="Call"/>
        <w:rPr>
          <w:lang w:val="es-ES"/>
        </w:rPr>
      </w:pPr>
      <w:r>
        <w:rPr>
          <w:lang w:val="es-ES"/>
        </w:rPr>
        <w:t>reconociendo</w:t>
      </w:r>
    </w:p>
    <w:p w:rsidR="005E2967" w:rsidRPr="000636E5" w:rsidRDefault="005E2967" w:rsidP="005E2967">
      <w:pPr>
        <w:rPr>
          <w:lang w:val="es-ES"/>
        </w:rPr>
      </w:pPr>
      <w:r w:rsidRPr="000636E5">
        <w:rPr>
          <w:i/>
          <w:iCs/>
          <w:lang w:val="es-ES"/>
        </w:rPr>
        <w:t>a)</w:t>
      </w:r>
      <w:r w:rsidRPr="000636E5">
        <w:rPr>
          <w:lang w:val="es-ES"/>
        </w:rPr>
        <w:tab/>
        <w:t xml:space="preserve">la Resolución 133 (Rev. Guadalajara, 2010) de la Conferencia de Plenipotenciarios, y en particular: </w:t>
      </w:r>
    </w:p>
    <w:p w:rsidR="005E2967" w:rsidRPr="000636E5" w:rsidRDefault="005E2967" w:rsidP="005E2967">
      <w:pPr>
        <w:pStyle w:val="enumlev1"/>
        <w:rPr>
          <w:lang w:val="es-ES"/>
        </w:rPr>
      </w:pPr>
      <w:r w:rsidRPr="000636E5">
        <w:rPr>
          <w:lang w:val="es-ES"/>
        </w:rPr>
        <w:t>i)</w:t>
      </w:r>
      <w:r w:rsidRPr="000636E5">
        <w:rPr>
          <w:lang w:val="es-ES"/>
        </w:rPr>
        <w:tab/>
        <w:t>el avance continuo hacia la integración de las telecomunicaciones e Internet;</w:t>
      </w:r>
    </w:p>
    <w:p w:rsidR="005E2967" w:rsidRPr="000636E5" w:rsidRDefault="005E2967" w:rsidP="005E2967">
      <w:pPr>
        <w:pStyle w:val="enumlev1"/>
        <w:rPr>
          <w:lang w:val="es-ES"/>
        </w:rPr>
      </w:pPr>
      <w:r w:rsidRPr="000636E5">
        <w:rPr>
          <w:lang w:val="es-ES"/>
        </w:rPr>
        <w:t>ii)</w:t>
      </w:r>
      <w:r w:rsidRPr="000636E5">
        <w:rPr>
          <w:lang w:val="es-ES"/>
        </w:rPr>
        <w:tab/>
        <w:t>la función y la soberanía actuales de los Estados Miembros de la UIT en lo que atañe a la asignación y gestión de sus recursos de numeración para el código de país, tal como se recoge en la Recomendación UIT-T E.164;</w:t>
      </w:r>
    </w:p>
    <w:p w:rsidR="005E2967" w:rsidRPr="000636E5" w:rsidRDefault="005E2967" w:rsidP="005E2967">
      <w:pPr>
        <w:pStyle w:val="enumlev1"/>
        <w:rPr>
          <w:lang w:val="es-ES"/>
        </w:rPr>
      </w:pPr>
      <w:r w:rsidRPr="000636E5">
        <w:rPr>
          <w:lang w:val="es-ES"/>
        </w:rPr>
        <w:t>iii)</w:t>
      </w:r>
      <w:r w:rsidRPr="000636E5">
        <w:rPr>
          <w:lang w:val="es-ES"/>
        </w:rPr>
        <w:tab/>
        <w:t>el párrafo en el que se encarga al Secretario General y a los Directores de las Oficinas que tomen todas las medidas necesarias para garantizar la soberanía de los Estados Miembros de la UIT respecto a los planes de numeración de la Recomendación UIT-T E.164, cualquiera sea la aplicación en la que se utilicen;</w:t>
      </w:r>
    </w:p>
    <w:p w:rsidR="005E2967" w:rsidRPr="000636E5" w:rsidRDefault="005E2967" w:rsidP="005E2967">
      <w:pPr>
        <w:rPr>
          <w:lang w:val="es-ES"/>
        </w:rPr>
      </w:pPr>
      <w:r w:rsidRPr="000636E5">
        <w:rPr>
          <w:i/>
          <w:iCs/>
          <w:lang w:val="es-ES"/>
        </w:rPr>
        <w:t>b)</w:t>
      </w:r>
      <w:r w:rsidRPr="000636E5">
        <w:rPr>
          <w:lang w:val="es-ES"/>
        </w:rPr>
        <w:tab/>
        <w:t>la evolución del papel de la Asamblea Mundial de Normalización de las Telecomunicaciones a la que se refiere la Resolución 122 (Rev. Guadalajara, 2010) de la Conferencia de Plenipotenciarios,</w:t>
      </w:r>
    </w:p>
    <w:p w:rsidR="005E2967" w:rsidRPr="000636E5" w:rsidRDefault="005E2967" w:rsidP="005E2967">
      <w:pPr>
        <w:pStyle w:val="Call"/>
        <w:rPr>
          <w:lang w:val="es-ES"/>
        </w:rPr>
      </w:pPr>
      <w:r>
        <w:rPr>
          <w:lang w:val="es-ES"/>
        </w:rPr>
        <w:t>observando</w:t>
      </w:r>
    </w:p>
    <w:p w:rsidR="005E2967" w:rsidRPr="000636E5" w:rsidRDefault="005E2967" w:rsidP="005E2967">
      <w:pPr>
        <w:rPr>
          <w:lang w:val="es-ES"/>
        </w:rPr>
      </w:pPr>
      <w:r w:rsidRPr="000636E5">
        <w:rPr>
          <w:i/>
          <w:iCs/>
          <w:lang w:val="es-ES"/>
        </w:rPr>
        <w:t>a)</w:t>
      </w:r>
      <w:r w:rsidRPr="000636E5">
        <w:rPr>
          <w:lang w:val="es-ES"/>
        </w:rPr>
        <w:tab/>
        <w:t>la labor de la Comisión de Estudio 2</w:t>
      </w:r>
      <w:r>
        <w:rPr>
          <w:lang w:val="es-ES"/>
        </w:rPr>
        <w:t xml:space="preserve"> del Sector de Normalización de las Telecomunicaciones de la UIT (UIT</w:t>
      </w:r>
      <w:r>
        <w:rPr>
          <w:lang w:val="es-ES"/>
        </w:rPr>
        <w:noBreakHyphen/>
        <w:t>T)</w:t>
      </w:r>
      <w:r w:rsidRPr="000636E5">
        <w:rPr>
          <w:lang w:val="es-ES"/>
        </w:rPr>
        <w:t xml:space="preserve"> en lo que respecta a la ENUM (numeración electrónica);</w:t>
      </w:r>
    </w:p>
    <w:p w:rsidR="005E2967" w:rsidRPr="000636E5" w:rsidRDefault="005E2967" w:rsidP="005E2967">
      <w:pPr>
        <w:rPr>
          <w:lang w:val="es-ES"/>
        </w:rPr>
      </w:pPr>
      <w:r w:rsidRPr="000636E5">
        <w:rPr>
          <w:i/>
          <w:iCs/>
          <w:lang w:val="es-ES"/>
        </w:rPr>
        <w:t>b)</w:t>
      </w:r>
      <w:r w:rsidRPr="000636E5">
        <w:rPr>
          <w:lang w:val="es-ES"/>
        </w:rPr>
        <w:tab/>
        <w:t>las cuestiones que siguen pendientes en lo que respecta al control administrativo del dominio de Internet más elevado que se utilizará para la ENUM,</w:t>
      </w:r>
    </w:p>
    <w:p w:rsidR="005E2967" w:rsidRPr="000636E5" w:rsidRDefault="005E2967" w:rsidP="005E2967">
      <w:pPr>
        <w:pStyle w:val="Call"/>
        <w:rPr>
          <w:lang w:val="es-ES"/>
        </w:rPr>
      </w:pPr>
      <w:r w:rsidRPr="000636E5">
        <w:rPr>
          <w:lang w:val="es-ES"/>
        </w:rPr>
        <w:t>resuelve enca</w:t>
      </w:r>
      <w:r>
        <w:rPr>
          <w:lang w:val="es-ES"/>
        </w:rPr>
        <w:t>rgar a la Comisión de Estudio 2 del UIT-T</w:t>
      </w:r>
    </w:p>
    <w:p w:rsidR="005E2967" w:rsidRPr="000636E5" w:rsidRDefault="005E2967" w:rsidP="005E2967">
      <w:pPr>
        <w:rPr>
          <w:lang w:val="es-ES"/>
        </w:rPr>
      </w:pPr>
      <w:r>
        <w:rPr>
          <w:lang w:val="es-ES"/>
        </w:rPr>
        <w:t>1</w:t>
      </w:r>
      <w:r w:rsidRPr="000636E5">
        <w:rPr>
          <w:i/>
          <w:iCs/>
          <w:lang w:val="es-ES"/>
        </w:rPr>
        <w:tab/>
      </w:r>
      <w:r w:rsidRPr="000636E5">
        <w:rPr>
          <w:lang w:val="es-ES"/>
        </w:rPr>
        <w:t>que estudie cómo podría la UIT ejercer el control administrativo sobre los cambios relacionados con los recursos internacionales de telecomunicación (los de denominación, numeración, direccionamiento y encaminamiento) utilizados por la ENUM;</w:t>
      </w:r>
    </w:p>
    <w:p w:rsidR="005E2967" w:rsidRPr="00E2664B" w:rsidRDefault="005E2967" w:rsidP="005E2967">
      <w:pPr>
        <w:rPr>
          <w:lang w:val="es-ES"/>
        </w:rPr>
      </w:pPr>
      <w:r w:rsidRPr="00C81303">
        <w:rPr>
          <w:lang w:val="es-ES"/>
        </w:rPr>
        <w:t>2</w:t>
      </w:r>
      <w:r w:rsidRPr="000636E5">
        <w:rPr>
          <w:i/>
          <w:iCs/>
          <w:lang w:val="es-ES"/>
        </w:rPr>
        <w:tab/>
      </w:r>
      <w:r w:rsidRPr="000636E5">
        <w:rPr>
          <w:lang w:val="es-ES"/>
        </w:rPr>
        <w:t xml:space="preserve">que evalúe el actual procedimiento provisional para la delegación </w:t>
      </w:r>
      <w:r>
        <w:rPr>
          <w:lang w:val="es-ES"/>
        </w:rPr>
        <w:t xml:space="preserve">de </w:t>
      </w:r>
      <w:r w:rsidRPr="000636E5">
        <w:rPr>
          <w:lang w:val="es-ES"/>
        </w:rPr>
        <w:t xml:space="preserve">ENUM e informe al respecto al Director de la </w:t>
      </w:r>
      <w:r>
        <w:rPr>
          <w:lang w:val="es-ES"/>
        </w:rPr>
        <w:t>Oficina de Normalización de las Telecomunicaciones</w:t>
      </w:r>
      <w:r w:rsidRPr="000636E5">
        <w:rPr>
          <w:lang w:val="es-ES"/>
        </w:rPr>
        <w:t>,</w:t>
      </w:r>
    </w:p>
    <w:p w:rsidR="005E2967" w:rsidRPr="000636E5" w:rsidRDefault="005E2967" w:rsidP="005E2967">
      <w:pPr>
        <w:pStyle w:val="Call"/>
        <w:rPr>
          <w:lang w:val="es-ES"/>
        </w:rPr>
      </w:pPr>
      <w:r w:rsidRPr="000636E5">
        <w:rPr>
          <w:lang w:val="es-ES"/>
        </w:rPr>
        <w:t>encarga al Director de la Oficina de Normalización de las Telecomunicaciones</w:t>
      </w:r>
    </w:p>
    <w:p w:rsidR="005E2967" w:rsidRPr="000636E5" w:rsidRDefault="005E2967" w:rsidP="005E2967">
      <w:pPr>
        <w:rPr>
          <w:lang w:val="es-ES"/>
        </w:rPr>
      </w:pPr>
      <w:r w:rsidRPr="000636E5">
        <w:rPr>
          <w:lang w:val="es-ES"/>
        </w:rPr>
        <w:t>que tome las medidas adecuadas para facilitar lo que antecede y presente un informe anual al Consejo de la UIT sobre los progresos logrados en este ámbito,</w:t>
      </w:r>
    </w:p>
    <w:p w:rsidR="005E2967" w:rsidRPr="000636E5" w:rsidRDefault="005E2967" w:rsidP="005E2967">
      <w:pPr>
        <w:pStyle w:val="Call"/>
        <w:rPr>
          <w:lang w:val="es-ES"/>
        </w:rPr>
      </w:pPr>
      <w:r w:rsidRPr="000636E5">
        <w:rPr>
          <w:lang w:val="es-ES"/>
        </w:rPr>
        <w:t>invita a los Estados Miembros</w:t>
      </w:r>
    </w:p>
    <w:p w:rsidR="005E2967" w:rsidRPr="000636E5" w:rsidRDefault="005E2967" w:rsidP="005E2967">
      <w:pPr>
        <w:rPr>
          <w:lang w:val="es-ES"/>
        </w:rPr>
      </w:pPr>
      <w:r w:rsidRPr="000636E5">
        <w:rPr>
          <w:lang w:val="es-ES"/>
        </w:rPr>
        <w:t>a aportar su contribución a estas actividades,</w:t>
      </w:r>
    </w:p>
    <w:p w:rsidR="005E2967" w:rsidRPr="000636E5" w:rsidRDefault="005E2967" w:rsidP="005E2967">
      <w:pPr>
        <w:pStyle w:val="Call"/>
        <w:rPr>
          <w:lang w:val="es-ES"/>
        </w:rPr>
      </w:pPr>
      <w:r w:rsidRPr="000636E5">
        <w:rPr>
          <w:lang w:val="es-ES"/>
        </w:rPr>
        <w:t>invita asimismo a los Estados Miembros</w:t>
      </w:r>
    </w:p>
    <w:p w:rsidR="005E2967" w:rsidRDefault="005E2967" w:rsidP="005E2967">
      <w:pPr>
        <w:jc w:val="left"/>
        <w:rPr>
          <w:lang w:val="es-ES"/>
        </w:rPr>
      </w:pPr>
      <w:r w:rsidRPr="000636E5">
        <w:rPr>
          <w:lang w:val="es-ES"/>
        </w:rPr>
        <w:t>a tomar, en a sus marcos jurídicos nacionales, las medidas adecuadas para garantizar la debida aplicación de la presente Resolución.</w:t>
      </w:r>
      <w:r>
        <w:rPr>
          <w:lang w:val="es-ES"/>
        </w:rPr>
        <w:t xml:space="preserve"> </w:t>
      </w:r>
    </w:p>
    <w:p w:rsidR="006C62D4" w:rsidRPr="00C87C51" w:rsidRDefault="006C62D4" w:rsidP="00C87C51">
      <w:pPr>
        <w:spacing w:before="160" w:line="280" w:lineRule="exact"/>
      </w:pPr>
    </w:p>
    <w:sectPr w:rsidR="006C62D4" w:rsidRPr="00C87C51" w:rsidSect="00DB1EE7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vAlign w:val="both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827" w:rsidRDefault="00AA1827">
      <w:r>
        <w:separator/>
      </w:r>
    </w:p>
  </w:endnote>
  <w:endnote w:type="continuationSeparator" w:id="0">
    <w:p w:rsidR="00AA1827" w:rsidRDefault="00AA1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E7D" w:rsidRDefault="00877E7D" w:rsidP="00877E7D">
    <w:pPr>
      <w:pStyle w:val="FooterQP"/>
      <w:rPr>
        <w:lang w:val="en-US"/>
      </w:rPr>
    </w:pPr>
    <w:r w:rsidRPr="002D6EB1">
      <w:rPr>
        <w:b w:val="0"/>
      </w:rPr>
      <w:fldChar w:fldCharType="begin"/>
    </w:r>
    <w:r w:rsidRPr="00877E7D">
      <w:rPr>
        <w:b w:val="0"/>
        <w:lang w:val="es-ES"/>
      </w:rPr>
      <w:instrText xml:space="preserve"> PAGE  \* MERGEFORMAT </w:instrText>
    </w:r>
    <w:r w:rsidRPr="002D6EB1">
      <w:rPr>
        <w:b w:val="0"/>
      </w:rPr>
      <w:fldChar w:fldCharType="separate"/>
    </w:r>
    <w:r w:rsidR="005E2967">
      <w:rPr>
        <w:b w:val="0"/>
        <w:noProof/>
        <w:lang w:val="es-ES"/>
      </w:rPr>
      <w:t>2</w:t>
    </w:r>
    <w:r w:rsidRPr="002D6EB1">
      <w:rPr>
        <w:b w:val="0"/>
      </w:rPr>
      <w:fldChar w:fldCharType="end"/>
    </w:r>
    <w:r w:rsidRPr="00877E7D">
      <w:rPr>
        <w:lang w:val="es-ES"/>
      </w:rPr>
      <w:tab/>
    </w:r>
    <w:r>
      <w:t>AMNT</w:t>
    </w:r>
    <w:r w:rsidRPr="00877E7D">
      <w:rPr>
        <w:lang w:val="es-ES"/>
      </w:rPr>
      <w:t>-12 –</w:t>
    </w:r>
    <w:r>
      <w:rPr>
        <w:lang w:val="es-ES"/>
      </w:rPr>
      <w:t xml:space="preserve"> </w:t>
    </w:r>
    <w:r w:rsidRPr="00877E7D">
      <w:rPr>
        <w:lang w:val="es-ES"/>
      </w:rPr>
      <w:t xml:space="preserve">Resolución </w:t>
    </w:r>
    <w:r w:rsidR="00427DF1">
      <w:rPr>
        <w:lang w:val="en-US"/>
      </w:rPr>
      <w:t>31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E7D" w:rsidRPr="00877E7D" w:rsidRDefault="00877E7D" w:rsidP="00877E7D">
    <w:pPr>
      <w:pStyle w:val="FooterQP"/>
      <w:rPr>
        <w:b w:val="0"/>
        <w:lang w:val="en-US"/>
      </w:rPr>
    </w:pPr>
    <w:r>
      <w:tab/>
    </w:r>
    <w:r>
      <w:tab/>
      <w:t>AMNT</w:t>
    </w:r>
    <w:r>
      <w:rPr>
        <w:lang w:val="en-US"/>
      </w:rPr>
      <w:t xml:space="preserve">-12 – Resolución </w:t>
    </w:r>
    <w:r w:rsidR="005E2967">
      <w:rPr>
        <w:lang w:val="en-US"/>
      </w:rPr>
      <w:t>49</w:t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5E2967">
      <w:rPr>
        <w:b w:val="0"/>
        <w:noProof/>
        <w:lang w:val="en-US"/>
      </w:rPr>
      <w:t>1</w:t>
    </w:r>
    <w:r>
      <w:rPr>
        <w:b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827" w:rsidRDefault="00AA1827">
      <w:r>
        <w:t>____________________</w:t>
      </w:r>
    </w:p>
  </w:footnote>
  <w:footnote w:type="continuationSeparator" w:id="0">
    <w:p w:rsidR="00AA1827" w:rsidRDefault="00AA1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26" w:rsidRPr="00D075E1" w:rsidRDefault="006D0F26" w:rsidP="00D075E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F26" w:rsidRPr="00D075E1" w:rsidRDefault="006D0F26" w:rsidP="00D075E1">
    <w:pPr>
      <w:pStyle w:val="Header"/>
      <w:rPr>
        <w:rStyle w:val="PageNumber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7CFB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9202F9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0CE067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1262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F92A2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4A62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28D8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1A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BED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D748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attachedTemplate r:id="rId1"/>
  <w:stylePaneFormatFilter w:val="3F01"/>
  <w:defaultTabStop w:val="720"/>
  <w:hyphenationZone w:val="357"/>
  <w:doNotHyphenateCaps/>
  <w:evenAndOddHeader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B6D55"/>
    <w:rsid w:val="000040EB"/>
    <w:rsid w:val="00011D16"/>
    <w:rsid w:val="00021556"/>
    <w:rsid w:val="00044B4D"/>
    <w:rsid w:val="00065BE4"/>
    <w:rsid w:val="00082EA6"/>
    <w:rsid w:val="000B08A1"/>
    <w:rsid w:val="000B3B7D"/>
    <w:rsid w:val="000E0592"/>
    <w:rsid w:val="000E0C3D"/>
    <w:rsid w:val="000E6A10"/>
    <w:rsid w:val="00104176"/>
    <w:rsid w:val="00104723"/>
    <w:rsid w:val="00115F55"/>
    <w:rsid w:val="001166BD"/>
    <w:rsid w:val="00153A2F"/>
    <w:rsid w:val="00160F88"/>
    <w:rsid w:val="00164FB0"/>
    <w:rsid w:val="001958EC"/>
    <w:rsid w:val="001C4D78"/>
    <w:rsid w:val="001E3C05"/>
    <w:rsid w:val="001E47B2"/>
    <w:rsid w:val="001F5708"/>
    <w:rsid w:val="001F7101"/>
    <w:rsid w:val="00212260"/>
    <w:rsid w:val="0021547F"/>
    <w:rsid w:val="00217CDB"/>
    <w:rsid w:val="00241D6F"/>
    <w:rsid w:val="00245661"/>
    <w:rsid w:val="00256525"/>
    <w:rsid w:val="00256F54"/>
    <w:rsid w:val="0029052C"/>
    <w:rsid w:val="00295585"/>
    <w:rsid w:val="002A4E5E"/>
    <w:rsid w:val="00315C1E"/>
    <w:rsid w:val="003518D5"/>
    <w:rsid w:val="00372B66"/>
    <w:rsid w:val="00377687"/>
    <w:rsid w:val="003C2D00"/>
    <w:rsid w:val="003E33A8"/>
    <w:rsid w:val="003F0680"/>
    <w:rsid w:val="00400600"/>
    <w:rsid w:val="00427DF1"/>
    <w:rsid w:val="004442F6"/>
    <w:rsid w:val="00466E41"/>
    <w:rsid w:val="004F1EA7"/>
    <w:rsid w:val="0052251F"/>
    <w:rsid w:val="005330B1"/>
    <w:rsid w:val="005428C5"/>
    <w:rsid w:val="005435AA"/>
    <w:rsid w:val="0055021E"/>
    <w:rsid w:val="00585ED1"/>
    <w:rsid w:val="005A4F08"/>
    <w:rsid w:val="005E2967"/>
    <w:rsid w:val="006349BE"/>
    <w:rsid w:val="00642735"/>
    <w:rsid w:val="00643BC7"/>
    <w:rsid w:val="00671751"/>
    <w:rsid w:val="006A2304"/>
    <w:rsid w:val="006C1E98"/>
    <w:rsid w:val="006C5ED6"/>
    <w:rsid w:val="006C62D4"/>
    <w:rsid w:val="006D0F26"/>
    <w:rsid w:val="006E43AB"/>
    <w:rsid w:val="006F5455"/>
    <w:rsid w:val="007057EE"/>
    <w:rsid w:val="00712378"/>
    <w:rsid w:val="00743611"/>
    <w:rsid w:val="0079215F"/>
    <w:rsid w:val="007A0BE3"/>
    <w:rsid w:val="007B0D90"/>
    <w:rsid w:val="007C64E7"/>
    <w:rsid w:val="007C7F35"/>
    <w:rsid w:val="008222EF"/>
    <w:rsid w:val="00831A21"/>
    <w:rsid w:val="00841271"/>
    <w:rsid w:val="00862C3A"/>
    <w:rsid w:val="00877E7D"/>
    <w:rsid w:val="00892A35"/>
    <w:rsid w:val="00896AAF"/>
    <w:rsid w:val="008B2002"/>
    <w:rsid w:val="008C6F85"/>
    <w:rsid w:val="008D5D1B"/>
    <w:rsid w:val="008D6B1E"/>
    <w:rsid w:val="008F7079"/>
    <w:rsid w:val="00906FCA"/>
    <w:rsid w:val="00917AD8"/>
    <w:rsid w:val="009215A0"/>
    <w:rsid w:val="009242C6"/>
    <w:rsid w:val="00946DF2"/>
    <w:rsid w:val="009560C3"/>
    <w:rsid w:val="009B4B48"/>
    <w:rsid w:val="009C06D6"/>
    <w:rsid w:val="009E4ACC"/>
    <w:rsid w:val="00A048CE"/>
    <w:rsid w:val="00A054FD"/>
    <w:rsid w:val="00A16E12"/>
    <w:rsid w:val="00A23640"/>
    <w:rsid w:val="00A300F8"/>
    <w:rsid w:val="00A31A3C"/>
    <w:rsid w:val="00A428C4"/>
    <w:rsid w:val="00A5029E"/>
    <w:rsid w:val="00A5430F"/>
    <w:rsid w:val="00A64176"/>
    <w:rsid w:val="00A762C1"/>
    <w:rsid w:val="00A7749A"/>
    <w:rsid w:val="00AA1827"/>
    <w:rsid w:val="00AD62D4"/>
    <w:rsid w:val="00AE5D2B"/>
    <w:rsid w:val="00B122C8"/>
    <w:rsid w:val="00B24C2D"/>
    <w:rsid w:val="00B31246"/>
    <w:rsid w:val="00B450BE"/>
    <w:rsid w:val="00B57627"/>
    <w:rsid w:val="00B61661"/>
    <w:rsid w:val="00B96F52"/>
    <w:rsid w:val="00BD5BF5"/>
    <w:rsid w:val="00BE0A5C"/>
    <w:rsid w:val="00C028FA"/>
    <w:rsid w:val="00C10AF4"/>
    <w:rsid w:val="00C2286E"/>
    <w:rsid w:val="00C307BC"/>
    <w:rsid w:val="00C3111E"/>
    <w:rsid w:val="00C37FA4"/>
    <w:rsid w:val="00C87C51"/>
    <w:rsid w:val="00C92632"/>
    <w:rsid w:val="00C97C18"/>
    <w:rsid w:val="00CC2761"/>
    <w:rsid w:val="00CD1B1B"/>
    <w:rsid w:val="00CF15EA"/>
    <w:rsid w:val="00D075E1"/>
    <w:rsid w:val="00D13CDA"/>
    <w:rsid w:val="00D23B4C"/>
    <w:rsid w:val="00D460E6"/>
    <w:rsid w:val="00D74EFE"/>
    <w:rsid w:val="00D9465C"/>
    <w:rsid w:val="00D962F2"/>
    <w:rsid w:val="00DB1EE7"/>
    <w:rsid w:val="00DC4B81"/>
    <w:rsid w:val="00DD71D5"/>
    <w:rsid w:val="00E16169"/>
    <w:rsid w:val="00E26A91"/>
    <w:rsid w:val="00E654F0"/>
    <w:rsid w:val="00E72AD0"/>
    <w:rsid w:val="00ED48FA"/>
    <w:rsid w:val="00EE233D"/>
    <w:rsid w:val="00F40D91"/>
    <w:rsid w:val="00F46759"/>
    <w:rsid w:val="00F517A1"/>
    <w:rsid w:val="00F56432"/>
    <w:rsid w:val="00F64291"/>
    <w:rsid w:val="00F72501"/>
    <w:rsid w:val="00F816C3"/>
    <w:rsid w:val="00F968E6"/>
    <w:rsid w:val="00FB6D55"/>
    <w:rsid w:val="00FD0876"/>
    <w:rsid w:val="00FD4011"/>
    <w:rsid w:val="00FF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15E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s-ES_tradnl"/>
    </w:rPr>
  </w:style>
  <w:style w:type="paragraph" w:styleId="Heading1">
    <w:name w:val="heading 1"/>
    <w:basedOn w:val="Normal"/>
    <w:next w:val="Normal"/>
    <w:qFormat/>
    <w:rsid w:val="00082EA6"/>
    <w:pPr>
      <w:keepNext/>
      <w:keepLines/>
      <w:spacing w:before="360"/>
      <w:ind w:left="794" w:hanging="794"/>
      <w:jc w:val="left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082EA6"/>
    <w:pPr>
      <w:spacing w:before="240"/>
      <w:outlineLvl w:val="1"/>
    </w:pPr>
    <w:rPr>
      <w:rFonts w:ascii="CG Times" w:hAnsi="CG Times"/>
      <w:sz w:val="24"/>
    </w:rPr>
  </w:style>
  <w:style w:type="paragraph" w:styleId="Heading3">
    <w:name w:val="heading 3"/>
    <w:basedOn w:val="Heading1"/>
    <w:next w:val="Normal"/>
    <w:qFormat/>
    <w:rsid w:val="00082EA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82EA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82EA6"/>
    <w:pPr>
      <w:outlineLvl w:val="4"/>
    </w:pPr>
  </w:style>
  <w:style w:type="paragraph" w:styleId="Heading6">
    <w:name w:val="heading 6"/>
    <w:basedOn w:val="Heading4"/>
    <w:next w:val="Normal"/>
    <w:qFormat/>
    <w:rsid w:val="00082EA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82EA6"/>
    <w:pPr>
      <w:outlineLvl w:val="6"/>
    </w:pPr>
  </w:style>
  <w:style w:type="paragraph" w:styleId="Heading8">
    <w:name w:val="heading 8"/>
    <w:basedOn w:val="Heading6"/>
    <w:next w:val="Normal"/>
    <w:qFormat/>
    <w:rsid w:val="00082EA6"/>
    <w:pPr>
      <w:outlineLvl w:val="7"/>
    </w:pPr>
  </w:style>
  <w:style w:type="paragraph" w:styleId="Heading9">
    <w:name w:val="heading 9"/>
    <w:basedOn w:val="Heading6"/>
    <w:next w:val="Normal"/>
    <w:qFormat/>
    <w:rsid w:val="00082EA6"/>
    <w:pPr>
      <w:outlineLvl w:val="8"/>
    </w:pPr>
  </w:style>
  <w:style w:type="character" w:default="1" w:styleId="DefaultParagraphFont">
    <w:name w:val="Default Paragraph Font"/>
    <w:semiHidden/>
    <w:rsid w:val="00082EA6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8">
    <w:name w:val="toc 8"/>
    <w:basedOn w:val="TOC4"/>
    <w:semiHidden/>
    <w:rsid w:val="00082EA6"/>
  </w:style>
  <w:style w:type="paragraph" w:styleId="TOC4">
    <w:name w:val="toc 4"/>
    <w:basedOn w:val="TOC3"/>
    <w:semiHidden/>
    <w:rsid w:val="00082EA6"/>
  </w:style>
  <w:style w:type="paragraph" w:styleId="TOC3">
    <w:name w:val="toc 3"/>
    <w:basedOn w:val="TOC2"/>
    <w:semiHidden/>
    <w:rsid w:val="00082EA6"/>
  </w:style>
  <w:style w:type="paragraph" w:styleId="TOC2">
    <w:name w:val="toc 2"/>
    <w:basedOn w:val="TOC1"/>
    <w:semiHidden/>
    <w:rsid w:val="00082EA6"/>
    <w:pPr>
      <w:spacing w:before="80"/>
      <w:ind w:left="1531" w:hanging="851"/>
    </w:pPr>
  </w:style>
  <w:style w:type="paragraph" w:styleId="TOC1">
    <w:name w:val="toc 1"/>
    <w:basedOn w:val="Normal"/>
    <w:semiHidden/>
    <w:rsid w:val="00082EA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082EA6"/>
  </w:style>
  <w:style w:type="paragraph" w:styleId="TOC6">
    <w:name w:val="toc 6"/>
    <w:basedOn w:val="TOC4"/>
    <w:semiHidden/>
    <w:rsid w:val="00082EA6"/>
  </w:style>
  <w:style w:type="paragraph" w:styleId="TOC5">
    <w:name w:val="toc 5"/>
    <w:basedOn w:val="TOC4"/>
    <w:semiHidden/>
    <w:rsid w:val="00082EA6"/>
  </w:style>
  <w:style w:type="paragraph" w:styleId="Footer">
    <w:name w:val="footer"/>
    <w:basedOn w:val="Normal"/>
    <w:link w:val="Foot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aliases w:val="h,Header/Footer"/>
    <w:basedOn w:val="Normal"/>
    <w:link w:val="HeaderChar"/>
    <w:uiPriority w:val="99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uiPriority w:val="99"/>
    <w:rsid w:val="00082EA6"/>
    <w:rPr>
      <w:rFonts w:cs="Times New Roman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C3111E"/>
    <w:pPr>
      <w:keepLines/>
      <w:tabs>
        <w:tab w:val="left" w:pos="255"/>
      </w:tabs>
      <w:spacing w:before="80"/>
      <w:ind w:left="255" w:hanging="255"/>
    </w:pPr>
    <w:rPr>
      <w:sz w:val="20"/>
    </w:rPr>
  </w:style>
  <w:style w:type="paragraph" w:customStyle="1" w:styleId="Note">
    <w:name w:val="Note"/>
    <w:basedOn w:val="Normal"/>
    <w:rsid w:val="00082EA6"/>
    <w:pPr>
      <w:spacing w:before="80"/>
    </w:pPr>
  </w:style>
  <w:style w:type="paragraph" w:customStyle="1" w:styleId="Section1">
    <w:name w:val="Section_1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enumlev1">
    <w:name w:val="enumlev1"/>
    <w:basedOn w:val="Normal"/>
    <w:link w:val="enumlev1Char"/>
    <w:uiPriority w:val="99"/>
    <w:rsid w:val="00082EA6"/>
    <w:pPr>
      <w:spacing w:before="80"/>
      <w:ind w:left="794" w:hanging="794"/>
    </w:pPr>
    <w:rPr>
      <w:rFonts w:ascii="CG Times" w:hAnsi="CG Times"/>
      <w:sz w:val="24"/>
    </w:rPr>
  </w:style>
  <w:style w:type="paragraph" w:customStyle="1" w:styleId="enumlev2">
    <w:name w:val="enumlev2"/>
    <w:basedOn w:val="enumlev1"/>
    <w:rsid w:val="00082EA6"/>
    <w:pPr>
      <w:ind w:left="1191" w:hanging="397"/>
    </w:pPr>
  </w:style>
  <w:style w:type="paragraph" w:customStyle="1" w:styleId="enumlev3">
    <w:name w:val="enumlev3"/>
    <w:basedOn w:val="enumlev2"/>
    <w:rsid w:val="00082EA6"/>
    <w:pPr>
      <w:ind w:left="1588"/>
    </w:pPr>
  </w:style>
  <w:style w:type="paragraph" w:customStyle="1" w:styleId="Section2">
    <w:name w:val="Section_2"/>
    <w:basedOn w:val="Normal"/>
    <w:next w:val="Normal"/>
    <w:rsid w:val="00082EA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Equation">
    <w:name w:val="Equation"/>
    <w:basedOn w:val="Normal"/>
    <w:rsid w:val="00082EA6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082EA6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es-ES_tradnl"/>
    </w:rPr>
  </w:style>
  <w:style w:type="paragraph" w:styleId="TOC9">
    <w:name w:val="toc 9"/>
    <w:basedOn w:val="TOC3"/>
    <w:semiHidden/>
    <w:rsid w:val="00082EA6"/>
  </w:style>
  <w:style w:type="paragraph" w:customStyle="1" w:styleId="Chaptitle">
    <w:name w:val="Chap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styleId="Index1">
    <w:name w:val="index 1"/>
    <w:basedOn w:val="Normal"/>
    <w:next w:val="Normal"/>
    <w:semiHidden/>
    <w:rsid w:val="00082EA6"/>
    <w:pPr>
      <w:jc w:val="left"/>
    </w:pPr>
  </w:style>
  <w:style w:type="paragraph" w:customStyle="1" w:styleId="Formal">
    <w:name w:val="Formal"/>
    <w:basedOn w:val="ASN1"/>
    <w:rsid w:val="00082EA6"/>
    <w:rPr>
      <w:b w:val="0"/>
    </w:rPr>
  </w:style>
  <w:style w:type="paragraph" w:customStyle="1" w:styleId="AnnexNoTitle">
    <w:name w:val="Annex_NoTitle"/>
    <w:basedOn w:val="Normal"/>
    <w:next w:val="Normalaftertitle"/>
    <w:rsid w:val="00082EA6"/>
    <w:pPr>
      <w:keepNext/>
      <w:keepLines/>
      <w:spacing w:before="720"/>
      <w:jc w:val="center"/>
    </w:pPr>
    <w:rPr>
      <w:b/>
      <w:sz w:val="28"/>
    </w:rPr>
  </w:style>
  <w:style w:type="character" w:customStyle="1" w:styleId="Appdef">
    <w:name w:val="App_def"/>
    <w:rsid w:val="00082EA6"/>
    <w:rPr>
      <w:rFonts w:ascii="Times New Roman" w:hAnsi="Times New Roman" w:cs="Times New Roman"/>
      <w:b/>
    </w:rPr>
  </w:style>
  <w:style w:type="character" w:customStyle="1" w:styleId="Appref">
    <w:name w:val="App_ref"/>
    <w:rsid w:val="00082EA6"/>
    <w:rPr>
      <w:rFonts w:cs="Times New Roman"/>
    </w:rPr>
  </w:style>
  <w:style w:type="paragraph" w:customStyle="1" w:styleId="AppendixNoTitle">
    <w:name w:val="Appendix_NoTitle"/>
    <w:basedOn w:val="AnnexNoTitle"/>
    <w:next w:val="Normalaftertitle"/>
    <w:rsid w:val="00082EA6"/>
  </w:style>
  <w:style w:type="character" w:customStyle="1" w:styleId="Artdef">
    <w:name w:val="Art_def"/>
    <w:rsid w:val="00082EA6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rsid w:val="00082EA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82EA6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082EA6"/>
    <w:rPr>
      <w:rFonts w:cs="Times New Roman"/>
    </w:rPr>
  </w:style>
  <w:style w:type="paragraph" w:customStyle="1" w:styleId="Arttitle">
    <w:name w:val="Art_title"/>
    <w:basedOn w:val="Normal"/>
    <w:next w:val="Normalaftertitle"/>
    <w:rsid w:val="00082EA6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82EA6"/>
    <w:pPr>
      <w:keepNext/>
      <w:keepLines/>
      <w:spacing w:before="160"/>
      <w:ind w:left="794"/>
      <w:jc w:val="left"/>
    </w:pPr>
    <w:rPr>
      <w:i/>
      <w:sz w:val="24"/>
    </w:rPr>
  </w:style>
  <w:style w:type="paragraph" w:customStyle="1" w:styleId="ChapNo">
    <w:name w:val="Chap_No"/>
    <w:basedOn w:val="Normal"/>
    <w:next w:val="Chaptitle"/>
    <w:rsid w:val="00082EA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Equationlegend">
    <w:name w:val="Equation_legend"/>
    <w:basedOn w:val="Normal"/>
    <w:rsid w:val="00082EA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rsid w:val="00082EA6"/>
    <w:pPr>
      <w:keepNext/>
      <w:keepLines/>
      <w:spacing w:before="240" w:after="120"/>
      <w:jc w:val="center"/>
    </w:pPr>
    <w:rPr>
      <w:rFonts w:ascii="CG Times" w:hAnsi="CG Times"/>
      <w:sz w:val="24"/>
    </w:rPr>
  </w:style>
  <w:style w:type="paragraph" w:customStyle="1" w:styleId="FigureNoTitle">
    <w:name w:val="Figure_NoTitle"/>
    <w:basedOn w:val="Normal"/>
    <w:next w:val="Normalaftertitle"/>
    <w:rsid w:val="00082EA6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082EA6"/>
    <w:pPr>
      <w:keepLines/>
      <w:spacing w:before="240" w:after="120"/>
      <w:jc w:val="center"/>
    </w:pPr>
  </w:style>
  <w:style w:type="paragraph" w:customStyle="1" w:styleId="FirstFooter">
    <w:name w:val="FirstFooter"/>
    <w:basedOn w:val="Footer"/>
    <w:rsid w:val="00082EA6"/>
    <w:pPr>
      <w:tabs>
        <w:tab w:val="clear" w:pos="5954"/>
        <w:tab w:val="clear" w:pos="9639"/>
      </w:tabs>
      <w:overflowPunct/>
      <w:autoSpaceDE/>
      <w:autoSpaceDN/>
      <w:adjustRightInd/>
      <w:spacing w:before="40"/>
      <w:jc w:val="left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link w:val="FooterQPChar"/>
    <w:rsid w:val="00082EA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CG Times" w:hAnsi="CG Times"/>
      <w:b/>
    </w:rPr>
  </w:style>
  <w:style w:type="paragraph" w:customStyle="1" w:styleId="Headingb">
    <w:name w:val="Heading_b"/>
    <w:basedOn w:val="Normal"/>
    <w:next w:val="Normal"/>
    <w:qFormat/>
    <w:rsid w:val="00082EA6"/>
    <w:pPr>
      <w:keepNext/>
      <w:spacing w:before="160"/>
      <w:jc w:val="left"/>
    </w:pPr>
    <w:rPr>
      <w:b/>
    </w:rPr>
  </w:style>
  <w:style w:type="paragraph" w:customStyle="1" w:styleId="Headingi">
    <w:name w:val="Heading_i"/>
    <w:basedOn w:val="Normal"/>
    <w:next w:val="Normal"/>
    <w:rsid w:val="00082EA6"/>
    <w:pPr>
      <w:keepNext/>
      <w:spacing w:before="160"/>
      <w:jc w:val="left"/>
    </w:pPr>
    <w:rPr>
      <w:i/>
    </w:rPr>
  </w:style>
  <w:style w:type="paragraph" w:styleId="Index2">
    <w:name w:val="index 2"/>
    <w:basedOn w:val="Normal"/>
    <w:next w:val="Normal"/>
    <w:semiHidden/>
    <w:rsid w:val="00082EA6"/>
    <w:pPr>
      <w:ind w:left="284"/>
      <w:jc w:val="left"/>
    </w:pPr>
  </w:style>
  <w:style w:type="paragraph" w:styleId="Index3">
    <w:name w:val="index 3"/>
    <w:basedOn w:val="Normal"/>
    <w:next w:val="Normal"/>
    <w:semiHidden/>
    <w:rsid w:val="00082EA6"/>
    <w:pPr>
      <w:ind w:left="567"/>
      <w:jc w:val="left"/>
    </w:pPr>
  </w:style>
  <w:style w:type="paragraph" w:customStyle="1" w:styleId="Normalaftertitle">
    <w:name w:val="Normal_after_title"/>
    <w:basedOn w:val="Normal"/>
    <w:next w:val="Normal"/>
    <w:rsid w:val="00082EA6"/>
    <w:pPr>
      <w:spacing w:before="360"/>
    </w:pPr>
  </w:style>
  <w:style w:type="paragraph" w:customStyle="1" w:styleId="PartNo">
    <w:name w:val="Part_No"/>
    <w:basedOn w:val="Normal"/>
    <w:next w:val="Partref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82EA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82EA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082EA6"/>
  </w:style>
  <w:style w:type="paragraph" w:customStyle="1" w:styleId="RecNo">
    <w:name w:val="Rec_No"/>
    <w:basedOn w:val="Normal"/>
    <w:next w:val="Rectitle"/>
    <w:rsid w:val="00082EA6"/>
    <w:pPr>
      <w:keepNext/>
      <w:keepLines/>
      <w:spacing w:before="0"/>
      <w:jc w:val="left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082EA6"/>
  </w:style>
  <w:style w:type="paragraph" w:customStyle="1" w:styleId="Recref">
    <w:name w:val="Rec_ref"/>
    <w:basedOn w:val="Normal"/>
    <w:next w:val="Recdate"/>
    <w:rsid w:val="00082EA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082EA6"/>
  </w:style>
  <w:style w:type="paragraph" w:customStyle="1" w:styleId="Rectitle">
    <w:name w:val="Rec_title"/>
    <w:basedOn w:val="Normal"/>
    <w:next w:val="Normalaftertitle"/>
    <w:rsid w:val="00082EA6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082EA6"/>
  </w:style>
  <w:style w:type="paragraph" w:customStyle="1" w:styleId="Reftext">
    <w:name w:val="Ref_text"/>
    <w:basedOn w:val="Normal"/>
    <w:rsid w:val="00082EA6"/>
    <w:pPr>
      <w:ind w:left="794" w:hanging="794"/>
      <w:jc w:val="left"/>
    </w:pPr>
  </w:style>
  <w:style w:type="character" w:styleId="PageNumber">
    <w:name w:val="page number"/>
    <w:rsid w:val="00082EA6"/>
    <w:rPr>
      <w:rFonts w:cs="Times New Roman"/>
    </w:rPr>
  </w:style>
  <w:style w:type="paragraph" w:customStyle="1" w:styleId="Repdate">
    <w:name w:val="Rep_date"/>
    <w:basedOn w:val="Recdate"/>
    <w:next w:val="Normalaftertitle"/>
    <w:rsid w:val="00082EA6"/>
  </w:style>
  <w:style w:type="paragraph" w:customStyle="1" w:styleId="RepNo">
    <w:name w:val="Rep_No"/>
    <w:basedOn w:val="RecNo"/>
    <w:next w:val="Reptitle"/>
    <w:rsid w:val="00082EA6"/>
  </w:style>
  <w:style w:type="paragraph" w:customStyle="1" w:styleId="Repref">
    <w:name w:val="Rep_ref"/>
    <w:basedOn w:val="Recref"/>
    <w:next w:val="Repdate"/>
    <w:rsid w:val="00082EA6"/>
  </w:style>
  <w:style w:type="paragraph" w:customStyle="1" w:styleId="Reptitle">
    <w:name w:val="Rep_title"/>
    <w:basedOn w:val="Rectitle"/>
    <w:next w:val="Repref"/>
    <w:rsid w:val="00082EA6"/>
  </w:style>
  <w:style w:type="paragraph" w:customStyle="1" w:styleId="Resdate">
    <w:name w:val="Res_date"/>
    <w:basedOn w:val="Recdate"/>
    <w:next w:val="Normalaftertitle"/>
    <w:rsid w:val="00082EA6"/>
  </w:style>
  <w:style w:type="character" w:customStyle="1" w:styleId="Resdef">
    <w:name w:val="Res_def"/>
    <w:rsid w:val="00082EA6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link w:val="ResNoChar"/>
    <w:rsid w:val="00082EA6"/>
  </w:style>
  <w:style w:type="paragraph" w:customStyle="1" w:styleId="Resref">
    <w:name w:val="Res_ref"/>
    <w:basedOn w:val="Recref"/>
    <w:next w:val="Resdate"/>
    <w:qFormat/>
    <w:rsid w:val="00082EA6"/>
  </w:style>
  <w:style w:type="paragraph" w:customStyle="1" w:styleId="Restitle">
    <w:name w:val="Res_title"/>
    <w:basedOn w:val="Rectitle"/>
    <w:next w:val="Resref"/>
    <w:link w:val="RestitleChar"/>
    <w:rsid w:val="00082EA6"/>
  </w:style>
  <w:style w:type="paragraph" w:customStyle="1" w:styleId="SectionNo">
    <w:name w:val="Section_No"/>
    <w:basedOn w:val="Normal"/>
    <w:next w:val="Sectiontitle"/>
    <w:rsid w:val="00082EA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82EA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82EA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82EA6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082EA6"/>
    <w:rPr>
      <w:rFonts w:cs="Times New Roman"/>
      <w:b/>
      <w:color w:val="auto"/>
    </w:rPr>
  </w:style>
  <w:style w:type="paragraph" w:customStyle="1" w:styleId="Tablehead">
    <w:name w:val="Table_head"/>
    <w:basedOn w:val="Normal"/>
    <w:next w:val="Tabletext"/>
    <w:link w:val="TableheadChar"/>
    <w:rsid w:val="00082EA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="CG Times" w:hAnsi="CG Times"/>
      <w:b/>
    </w:rPr>
  </w:style>
  <w:style w:type="paragraph" w:customStyle="1" w:styleId="Tablelegend">
    <w:name w:val="Table_legend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character" w:styleId="Hyperlink">
    <w:name w:val="Hyperlink"/>
    <w:rsid w:val="00082EA6"/>
    <w:rPr>
      <w:rFonts w:cs="Times New Roman"/>
      <w:color w:val="0000FF"/>
      <w:u w:val="single"/>
    </w:rPr>
  </w:style>
  <w:style w:type="paragraph" w:customStyle="1" w:styleId="Tabletext">
    <w:name w:val="Table_text"/>
    <w:basedOn w:val="Normal"/>
    <w:rsid w:val="00082EA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NoTitle">
    <w:name w:val="Table_NoTitle"/>
    <w:basedOn w:val="Normal"/>
    <w:next w:val="Tablehead"/>
    <w:rsid w:val="00082EA6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082EA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82EA6"/>
  </w:style>
  <w:style w:type="paragraph" w:customStyle="1" w:styleId="Title3">
    <w:name w:val="Title 3"/>
    <w:basedOn w:val="Title2"/>
    <w:next w:val="Title4"/>
    <w:rsid w:val="00082EA6"/>
    <w:rPr>
      <w:caps w:val="0"/>
    </w:rPr>
  </w:style>
  <w:style w:type="paragraph" w:customStyle="1" w:styleId="Title4">
    <w:name w:val="Title 4"/>
    <w:basedOn w:val="Title3"/>
    <w:next w:val="Heading1"/>
    <w:rsid w:val="00082EA6"/>
    <w:rPr>
      <w:b/>
    </w:rPr>
  </w:style>
  <w:style w:type="table" w:styleId="TableGrid">
    <w:name w:val="Table Grid"/>
    <w:basedOn w:val="TableNormal"/>
    <w:rsid w:val="00FB6D5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ftitle">
    <w:name w:val="Ref_title"/>
    <w:basedOn w:val="Normal"/>
    <w:next w:val="Reftext"/>
    <w:rsid w:val="00082EA6"/>
    <w:pPr>
      <w:spacing w:before="480"/>
      <w:jc w:val="center"/>
    </w:pPr>
    <w:rPr>
      <w:b/>
    </w:rPr>
  </w:style>
  <w:style w:type="character" w:customStyle="1" w:styleId="TableheadChar">
    <w:name w:val="Table_head Char"/>
    <w:link w:val="Tablehead"/>
    <w:locked/>
    <w:rsid w:val="00BD5BF5"/>
    <w:rPr>
      <w:rFonts w:cs="Times New Roman"/>
      <w:b/>
      <w:sz w:val="22"/>
      <w:lang w:val="es-ES_tradnl" w:eastAsia="en-US" w:bidi="ar-SA"/>
    </w:rPr>
  </w:style>
  <w:style w:type="character" w:customStyle="1" w:styleId="FigureChar">
    <w:name w:val="Figure Char"/>
    <w:link w:val="Figure"/>
    <w:locked/>
    <w:rsid w:val="00065BE4"/>
    <w:rPr>
      <w:rFonts w:cs="Times New Roman"/>
      <w:sz w:val="24"/>
      <w:lang w:val="es-ES_tradnl" w:eastAsia="en-US" w:bidi="ar-SA"/>
    </w:rPr>
  </w:style>
  <w:style w:type="paragraph" w:customStyle="1" w:styleId="TableNotitle0">
    <w:name w:val="Table_No &amp; title"/>
    <w:basedOn w:val="Normal"/>
    <w:next w:val="Tablehead"/>
    <w:rsid w:val="00FB6D55"/>
    <w:pPr>
      <w:keepNext/>
      <w:keepLines/>
      <w:spacing w:before="360" w:after="120"/>
      <w:jc w:val="center"/>
    </w:pPr>
    <w:rPr>
      <w:b/>
    </w:rPr>
  </w:style>
  <w:style w:type="character" w:customStyle="1" w:styleId="Heading2Char">
    <w:name w:val="Heading 2 Char"/>
    <w:link w:val="Heading2"/>
    <w:locked/>
    <w:rsid w:val="00FB6D55"/>
    <w:rPr>
      <w:rFonts w:cs="Times New Roman"/>
      <w:b/>
      <w:sz w:val="24"/>
      <w:lang w:val="es-ES_tradnl" w:eastAsia="en-US" w:bidi="ar-SA"/>
    </w:rPr>
  </w:style>
  <w:style w:type="character" w:customStyle="1" w:styleId="enumlev1Char">
    <w:name w:val="enumlev1 Char"/>
    <w:link w:val="enumlev1"/>
    <w:uiPriority w:val="99"/>
    <w:locked/>
    <w:rsid w:val="00C87C51"/>
    <w:rPr>
      <w:rFonts w:cs="Times New Roman"/>
      <w:sz w:val="24"/>
      <w:lang w:val="es-ES_tradnl" w:eastAsia="en-US" w:bidi="ar-SA"/>
    </w:rPr>
  </w:style>
  <w:style w:type="paragraph" w:customStyle="1" w:styleId="TableText0">
    <w:name w:val="Table_Text"/>
    <w:basedOn w:val="Normal"/>
    <w:rsid w:val="00FB6D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</w:style>
  <w:style w:type="paragraph" w:customStyle="1" w:styleId="TableHead0">
    <w:name w:val="Table_Head"/>
    <w:basedOn w:val="TableText0"/>
    <w:rsid w:val="00FB6D55"/>
    <w:pPr>
      <w:spacing w:before="80" w:after="80"/>
      <w:jc w:val="center"/>
    </w:pPr>
    <w:rPr>
      <w:b/>
    </w:rPr>
  </w:style>
  <w:style w:type="character" w:customStyle="1" w:styleId="FooterQPChar">
    <w:name w:val="Footer_QP Char"/>
    <w:link w:val="FooterQP"/>
    <w:locked/>
    <w:rsid w:val="00C87C51"/>
    <w:rPr>
      <w:rFonts w:cs="Times New Roman"/>
      <w:b/>
      <w:sz w:val="22"/>
      <w:lang w:val="es-ES_tradnl" w:eastAsia="en-US" w:bidi="ar-SA"/>
    </w:rPr>
  </w:style>
  <w:style w:type="character" w:customStyle="1" w:styleId="FooterChar">
    <w:name w:val="Footer Char"/>
    <w:link w:val="Footer"/>
    <w:uiPriority w:val="99"/>
    <w:rsid w:val="006F5455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aliases w:val="h Char,Header/Footer Char"/>
    <w:link w:val="Header"/>
    <w:uiPriority w:val="99"/>
    <w:rsid w:val="006F5455"/>
    <w:rPr>
      <w:rFonts w:ascii="Times New Roman" w:hAnsi="Times New Roman"/>
      <w:sz w:val="18"/>
      <w:lang w:val="es-ES_tradnl" w:eastAsia="en-U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C3111E"/>
    <w:rPr>
      <w:rFonts w:ascii="Times New Roman" w:hAnsi="Times New Roman"/>
      <w:lang w:val="es-ES_tradnl" w:eastAsia="en-US"/>
    </w:rPr>
  </w:style>
  <w:style w:type="character" w:customStyle="1" w:styleId="CallChar">
    <w:name w:val="Call Char"/>
    <w:link w:val="Call"/>
    <w:rsid w:val="006F5455"/>
    <w:rPr>
      <w:rFonts w:ascii="Times New Roman" w:hAnsi="Times New Roman"/>
      <w:i/>
      <w:sz w:val="24"/>
      <w:lang w:val="es-ES_tradnl" w:eastAsia="en-US"/>
    </w:rPr>
  </w:style>
  <w:style w:type="character" w:customStyle="1" w:styleId="RestitleChar">
    <w:name w:val="Res_title Char"/>
    <w:link w:val="Restitle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ResNoChar">
    <w:name w:val="Res_No Char"/>
    <w:link w:val="ResNo"/>
    <w:rsid w:val="006F5455"/>
    <w:rPr>
      <w:rFonts w:ascii="Times New Roman" w:hAnsi="Times New Roman"/>
      <w:b/>
      <w:sz w:val="28"/>
      <w:lang w:val="es-ES_tradnl" w:eastAsia="en-US"/>
    </w:rPr>
  </w:style>
  <w:style w:type="character" w:customStyle="1" w:styleId="href">
    <w:name w:val="href"/>
    <w:uiPriority w:val="99"/>
    <w:rsid w:val="006F5455"/>
  </w:style>
  <w:style w:type="paragraph" w:customStyle="1" w:styleId="AppendixNo">
    <w:name w:val="Appendix_No"/>
    <w:basedOn w:val="Normal"/>
    <w:next w:val="Normal"/>
    <w:rsid w:val="006F5455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6F545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FigureNo">
    <w:name w:val="Figure_No"/>
    <w:basedOn w:val="Normal"/>
    <w:next w:val="Figuretitle"/>
    <w:rsid w:val="006F5455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6F5455"/>
    <w:pPr>
      <w:keepLines/>
      <w:spacing w:before="0" w:after="480"/>
      <w:jc w:val="center"/>
    </w:pPr>
    <w:rPr>
      <w:rFonts w:ascii="Times New Roman Bold" w:hAnsi="Times New Roman Bold"/>
      <w:b/>
      <w:lang w:val="en-GB"/>
    </w:rPr>
  </w:style>
  <w:style w:type="paragraph" w:styleId="NormalWeb">
    <w:name w:val="Normal (Web)"/>
    <w:basedOn w:val="Normal"/>
    <w:uiPriority w:val="99"/>
    <w:unhideWhenUsed/>
    <w:rsid w:val="006F545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Normalaftertitle0">
    <w:name w:val="Normal after title"/>
    <w:basedOn w:val="Normal"/>
    <w:next w:val="Normal"/>
    <w:link w:val="NormalaftertitleChar"/>
    <w:rsid w:val="006F545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lang w:val="en-GB"/>
    </w:rPr>
  </w:style>
  <w:style w:type="character" w:customStyle="1" w:styleId="NormalaftertitleChar">
    <w:name w:val="Normal after title Char"/>
    <w:link w:val="Normalaftertitle0"/>
    <w:locked/>
    <w:rsid w:val="006F5455"/>
    <w:rPr>
      <w:rFonts w:ascii="Times New Roman" w:hAnsi="Times New Roman"/>
      <w:sz w:val="22"/>
      <w:lang w:val="en-GB" w:eastAsia="en-US"/>
    </w:rPr>
  </w:style>
  <w:style w:type="paragraph" w:customStyle="1" w:styleId="AnnexNo">
    <w:name w:val="Annex_No"/>
    <w:basedOn w:val="Normal"/>
    <w:next w:val="Normal"/>
    <w:rsid w:val="002A4E5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  <w:lang w:val="en-GB"/>
    </w:rPr>
  </w:style>
  <w:style w:type="paragraph" w:customStyle="1" w:styleId="Annextitle">
    <w:name w:val="Annex_title"/>
    <w:basedOn w:val="Normal"/>
    <w:next w:val="Normal"/>
    <w:uiPriority w:val="99"/>
    <w:rsid w:val="002A4E5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Reasons">
    <w:name w:val="Reasons"/>
    <w:basedOn w:val="Normal"/>
    <w:qFormat/>
    <w:rsid w:val="00427DF1"/>
    <w:pPr>
      <w:tabs>
        <w:tab w:val="clear" w:pos="794"/>
        <w:tab w:val="clear" w:pos="1191"/>
        <w:tab w:val="left" w:pos="1134"/>
      </w:tabs>
      <w:jc w:val="left"/>
    </w:pPr>
    <w:rPr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tiner\Application%20Data\Microsoft\Templates\QuickPub%20-%20ITU\QP-Piano\QPUB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5371C-D073-4F0C-B5A7-431547F17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QPUBS</Template>
  <TotalTime>2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UIT-T Rec. E.802 (02/2007) Marco y metodología para la determinación y la aplicación de parámetros de calidad de servicio </vt:lpstr>
    </vt:vector>
  </TitlesOfParts>
  <Company>ITU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UIT-T Rec. E.802 (02/2007) Marco y metodología para la determinación y la aplicación de parámetros de calidad de servicio </dc:title>
  <dc:subject>SERIE E: EXPLOTACIÓN GENERAL DE LA RED, SERVICIO TELEFÓNICO, EXPLOTACIÓN DEL SERVICIO Y FACTORES HUMANOS - Calidad de los servicios de telecomunicación: conceptos, modelos, objetivos, planificación de la seguridad de funcionamiento – Términos y definicion</dc:subject>
  <dc:creator>Comisión de Estudio 2 del UIT-T</dc:creator>
  <cp:keywords>E.802,E,802</cp:keywords>
  <dc:description>Saved by MRG106308 at 10:22:31 on 06.12.2007</dc:description>
  <cp:lastModifiedBy>Brian</cp:lastModifiedBy>
  <cp:revision>2</cp:revision>
  <cp:lastPrinted>2007-10-18T07:42:00Z</cp:lastPrinted>
  <dcterms:created xsi:type="dcterms:W3CDTF">2013-04-25T14:20:00Z</dcterms:created>
  <dcterms:modified xsi:type="dcterms:W3CDTF">2013-04-25T14:20:00Z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E.802</vt:lpwstr>
  </property>
  <property fmtid="{D5CDD505-2E9C-101B-9397-08002B2CF9AE}" pid="3" name="docdate">
    <vt:lpwstr>8 de febrero de 2007</vt:lpwstr>
  </property>
  <property fmtid="{D5CDD505-2E9C-101B-9397-08002B2CF9AE}" pid="4" name="doctitle">
    <vt:lpwstr>Marco y metodología para la determinación y la aplicación de parámetros de calidad de servicio</vt:lpwstr>
  </property>
  <property fmtid="{D5CDD505-2E9C-101B-9397-08002B2CF9AE}" pid="5" name="doctitle2">
    <vt:lpwstr>SERIE E: EXPLOTACIÓN GENERAL DE LA RED, SERVICIO TELEFÓNICO, EXPLOTACIÓN DEL SERVICIO Y FACTORES HUMANOS Calidad de los servicios de telecomunicación: conceptos, modelos, objetivos, planificación de la seguridad de funcionamiento – Términos y definiciones</vt:lpwstr>
  </property>
</Properties>
</file>