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252CD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1909F1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252CD9">
              <w:rPr>
                <w:rFonts w:ascii="Arial" w:hAnsi="Arial"/>
                <w:b/>
                <w:bCs/>
                <w:sz w:val="36"/>
                <w:lang w:val="en-US"/>
              </w:rPr>
              <w:t>8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252CD9" w:rsidRPr="00252CD9">
              <w:rPr>
                <w:rFonts w:ascii="Arial" w:hAnsi="Arial"/>
                <w:b/>
                <w:bCs/>
                <w:sz w:val="36"/>
                <w:lang w:val="ru-RU"/>
              </w:rPr>
              <w:t>Интернационализированные (многоязычные) наименования доменов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AB2F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AB2F9C">
          <w:foot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252CD9" w:rsidRPr="00FC4603" w:rsidRDefault="00252CD9" w:rsidP="00252CD9">
      <w:pPr>
        <w:pStyle w:val="ResNo"/>
        <w:spacing w:before="0"/>
      </w:pPr>
      <w:r w:rsidRPr="00FC4603">
        <w:lastRenderedPageBreak/>
        <w:t xml:space="preserve">РЕЗОЛЮЦИЯ </w:t>
      </w:r>
      <w:r w:rsidRPr="005C4670">
        <w:rPr>
          <w:rStyle w:val="href"/>
        </w:rPr>
        <w:t>48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252CD9" w:rsidRPr="00FC4603" w:rsidRDefault="00252CD9" w:rsidP="00252CD9">
      <w:pPr>
        <w:pStyle w:val="Restitle"/>
      </w:pPr>
      <w:bookmarkStart w:id="10" w:name="_Toc349120784"/>
      <w:r w:rsidRPr="00FC4603">
        <w:t>Интернационализированные (многоязычные) наименования доменов</w:t>
      </w:r>
      <w:bookmarkEnd w:id="10"/>
    </w:p>
    <w:p w:rsidR="00252CD9" w:rsidRPr="00FC4603" w:rsidRDefault="00252CD9" w:rsidP="00252CD9">
      <w:pPr>
        <w:pStyle w:val="Resref"/>
      </w:pPr>
      <w:r w:rsidRPr="00FC4603">
        <w:t>(Флорианополис, 2004 г.; Йоханнесбург, 2008 г.; Дубай, 2012 г.)</w:t>
      </w:r>
    </w:p>
    <w:p w:rsidR="00252CD9" w:rsidRPr="00FC4603" w:rsidRDefault="00252CD9" w:rsidP="00252CD9">
      <w:pPr>
        <w:pStyle w:val="Normalaftertitle"/>
      </w:pPr>
      <w:r w:rsidRPr="00FC4603">
        <w:t>Всемирная ассамблея по стандартизации электросвязи (Дубай, 2012 г.),</w:t>
      </w:r>
    </w:p>
    <w:p w:rsidR="00252CD9" w:rsidRPr="00FC4603" w:rsidRDefault="00252CD9" w:rsidP="00252CD9">
      <w:pPr>
        <w:pStyle w:val="Call"/>
      </w:pPr>
      <w:r w:rsidRPr="00FC4603">
        <w:t>признавая</w:t>
      </w:r>
    </w:p>
    <w:p w:rsidR="00252CD9" w:rsidRPr="00FC4603" w:rsidRDefault="00252CD9" w:rsidP="00252CD9">
      <w:r w:rsidRPr="00FC4603">
        <w:rPr>
          <w:i/>
          <w:iCs/>
        </w:rPr>
        <w:t>a)</w:t>
      </w:r>
      <w:r w:rsidRPr="00FC4603">
        <w:tab/>
        <w:t>соответствующие части Резолюции 102 (Пересм. Гвадалахара, 2010 г.) Полномочной конференции;</w:t>
      </w:r>
    </w:p>
    <w:p w:rsidR="00252CD9" w:rsidRPr="00FC4603" w:rsidRDefault="00252CD9" w:rsidP="00252CD9">
      <w:r w:rsidRPr="00FC4603">
        <w:rPr>
          <w:i/>
          <w:iCs/>
        </w:rPr>
        <w:t>b)</w:t>
      </w:r>
      <w:r w:rsidRPr="00FC4603">
        <w:tab/>
        <w:t>Резолюцию 133 (Пересм. Гвад</w:t>
      </w:r>
      <w:bookmarkStart w:id="11" w:name="_GoBack"/>
      <w:bookmarkEnd w:id="11"/>
      <w:r w:rsidRPr="00FC4603">
        <w:t>алахара, 2010 г.) Полномочной конференции;</w:t>
      </w:r>
    </w:p>
    <w:p w:rsidR="00252CD9" w:rsidRPr="00FC4603" w:rsidRDefault="00252CD9" w:rsidP="00252CD9">
      <w:r w:rsidRPr="00FC4603">
        <w:rPr>
          <w:i/>
          <w:iCs/>
        </w:rPr>
        <w:t>c)</w:t>
      </w:r>
      <w:r w:rsidRPr="00FC4603">
        <w:tab/>
        <w:t>соответствующие результаты двух этапов Всемирной встречи на высшем уровне по вопросам информационного общества (ВВУИО);</w:t>
      </w:r>
    </w:p>
    <w:p w:rsidR="00252CD9" w:rsidRPr="00FC4603" w:rsidRDefault="00252CD9" w:rsidP="00252CD9">
      <w:r w:rsidRPr="00FC4603">
        <w:rPr>
          <w:i/>
          <w:iCs/>
        </w:rPr>
        <w:t>d)</w:t>
      </w:r>
      <w:r w:rsidRPr="00FC4603">
        <w:tab/>
        <w:t>возрастающую роль Всемирной ассамблеи по стандартизации электросвязи в соответствии с Резолюцией 122 (Пересм. Гвадалахара, 2010 г.) Полномочной конференции;</w:t>
      </w:r>
    </w:p>
    <w:p w:rsidR="00252CD9" w:rsidRPr="00FC4603" w:rsidRDefault="00252CD9" w:rsidP="00252CD9">
      <w:r w:rsidRPr="00FC4603">
        <w:rPr>
          <w:i/>
          <w:iCs/>
        </w:rPr>
        <w:t>e)</w:t>
      </w:r>
      <w:r w:rsidRPr="00FC4603">
        <w:tab/>
        <w:t>стратегический план МСЭ на период 2008–2011 годов</w:t>
      </w:r>
      <w:r>
        <w:rPr>
          <w:lang w:val="ru-RU"/>
        </w:rPr>
        <w:t>,</w:t>
      </w:r>
      <w:r w:rsidRPr="00FC4603">
        <w:t xml:space="preserve"> </w:t>
      </w:r>
      <w:r>
        <w:rPr>
          <w:lang w:val="ru-RU"/>
        </w:rPr>
        <w:t>отражающий</w:t>
      </w:r>
      <w:r w:rsidRPr="00FC4603">
        <w:t xml:space="preserve"> существенн</w:t>
      </w:r>
      <w:r>
        <w:rPr>
          <w:lang w:val="ru-RU"/>
        </w:rPr>
        <w:t>ую</w:t>
      </w:r>
      <w:r w:rsidRPr="00FC4603">
        <w:t xml:space="preserve"> рол</w:t>
      </w:r>
      <w:r>
        <w:rPr>
          <w:lang w:val="ru-RU"/>
        </w:rPr>
        <w:t>ь</w:t>
      </w:r>
      <w:r w:rsidRPr="00FC4603">
        <w:t xml:space="preserve"> многоязычия, </w:t>
      </w:r>
      <w:r>
        <w:rPr>
          <w:lang w:val="ru-RU"/>
        </w:rPr>
        <w:t>которое дает</w:t>
      </w:r>
      <w:r w:rsidRPr="00FC4603">
        <w:t xml:space="preserve"> всем странам возможность в полной мере участвовать в работе МСЭ, в построении открытого для всех информационного общества и в достижении целей и задач ВВУИО,</w:t>
      </w:r>
    </w:p>
    <w:p w:rsidR="00252CD9" w:rsidRPr="00FC4603" w:rsidRDefault="00252CD9" w:rsidP="00252CD9">
      <w:pPr>
        <w:pStyle w:val="Call"/>
      </w:pPr>
      <w:r w:rsidRPr="00FC4603">
        <w:t>учитывая</w:t>
      </w:r>
      <w:r w:rsidRPr="00FC4603">
        <w:rPr>
          <w:i w:val="0"/>
          <w:iCs/>
        </w:rPr>
        <w:t>,</w:t>
      </w:r>
    </w:p>
    <w:p w:rsidR="00252CD9" w:rsidRPr="00FC4603" w:rsidRDefault="00252CD9" w:rsidP="00252CD9">
      <w:r w:rsidRPr="00FC4603">
        <w:rPr>
          <w:i/>
          <w:iCs/>
        </w:rPr>
        <w:t>a)</w:t>
      </w:r>
      <w:r w:rsidRPr="00FC4603">
        <w:tab/>
        <w:t>что существует необходимость дальнейшего подробного обсуждения связанных с интернационализированными (многоязычными) наименованиями доменов политических, экономических и технических вопросов, являющихся следствием взаимозависимости национального суверенитета и необходимости международной координации и согласования;</w:t>
      </w:r>
    </w:p>
    <w:p w:rsidR="00252CD9" w:rsidRPr="00FC4603" w:rsidRDefault="00252CD9" w:rsidP="00252CD9">
      <w:r w:rsidRPr="00FC4603">
        <w:rPr>
          <w:i/>
          <w:iCs/>
        </w:rPr>
        <w:t>b)</w:t>
      </w:r>
      <w:r w:rsidRPr="00FC4603">
        <w:tab/>
        <w:t>что межправительственные организации играли и должны продолжать играть вспомогательную роль в координации вопросов государственной политики, связанных с интернетом;</w:t>
      </w:r>
    </w:p>
    <w:p w:rsidR="00252CD9" w:rsidRPr="00FC4603" w:rsidRDefault="00252CD9" w:rsidP="00252CD9">
      <w:r w:rsidRPr="00FC4603">
        <w:rPr>
          <w:i/>
          <w:iCs/>
        </w:rPr>
        <w:t>c)</w:t>
      </w:r>
      <w:r w:rsidRPr="00FC4603">
        <w:tab/>
        <w:t>что международные организации также играют и должны продолжать играть важную роль в разработке связанных с интернетом технических стандартов и соответствующих вопросов политики;</w:t>
      </w:r>
    </w:p>
    <w:p w:rsidR="00252CD9" w:rsidRPr="00FC4603" w:rsidRDefault="00252CD9" w:rsidP="00252CD9">
      <w:r w:rsidRPr="00FC4603">
        <w:rPr>
          <w:i/>
          <w:iCs/>
        </w:rPr>
        <w:t>d)</w:t>
      </w:r>
      <w:r w:rsidRPr="00FC4603">
        <w:tab/>
        <w:t>что у Сектора стандартизации электросвязи МСЭ (МСЭ-Т) имеется опыт своевременного успешного рассмотрения подобных вопросов, в частности в отношении использования наборов нелатинских символов;</w:t>
      </w:r>
    </w:p>
    <w:p w:rsidR="00252CD9" w:rsidRPr="00FC4603" w:rsidRDefault="00252CD9" w:rsidP="00252CD9">
      <w:r w:rsidRPr="00FC4603">
        <w:rPr>
          <w:i/>
          <w:iCs/>
        </w:rPr>
        <w:t>e)</w:t>
      </w:r>
      <w:r w:rsidRPr="00FC4603">
        <w:tab/>
        <w:t>деятельность, осуществляемую другими соответствующими организациями,</w:t>
      </w:r>
    </w:p>
    <w:p w:rsidR="00252CD9" w:rsidRPr="00FC4603" w:rsidRDefault="00252CD9" w:rsidP="00252CD9">
      <w:pPr>
        <w:pStyle w:val="Call"/>
        <w:keepNext w:val="0"/>
        <w:keepLines w:val="0"/>
        <w:pageBreakBefore/>
      </w:pPr>
      <w:r w:rsidRPr="00FC4603">
        <w:lastRenderedPageBreak/>
        <w:t xml:space="preserve">решает поручить 16-й Исследовательской комиссии </w:t>
      </w:r>
      <w:r>
        <w:t xml:space="preserve">МСЭ-Т </w:t>
      </w:r>
      <w:r w:rsidRPr="00FC4603">
        <w:t>и другим соответствующим исследовательским комиссиям</w:t>
      </w:r>
    </w:p>
    <w:p w:rsidR="00252CD9" w:rsidRPr="00FC4603" w:rsidRDefault="00252CD9" w:rsidP="00252CD9">
      <w:r w:rsidRPr="00FC4603">
        <w:t>продолжать исследовать интернационализированные (многоязычные) наименования доменов и продолжать взаимодействовать и сотрудничать с соответствующими объединениями в этой области независимо от того, являются ли они межправительственными или неправительственными,</w:t>
      </w:r>
    </w:p>
    <w:p w:rsidR="00252CD9" w:rsidRPr="00FC4603" w:rsidRDefault="00252CD9" w:rsidP="00252CD9">
      <w:pPr>
        <w:pStyle w:val="Call"/>
      </w:pPr>
      <w:r w:rsidRPr="00FC4603">
        <w:t>поручает Директору Бюро стандартизации электросвязи</w:t>
      </w:r>
    </w:p>
    <w:p w:rsidR="00252CD9" w:rsidRPr="00FC4603" w:rsidRDefault="00252CD9" w:rsidP="00252CD9">
      <w:r w:rsidRPr="00FC4603"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области,</w:t>
      </w:r>
    </w:p>
    <w:p w:rsidR="00252CD9" w:rsidRPr="00FC4603" w:rsidRDefault="00252CD9" w:rsidP="00252CD9">
      <w:pPr>
        <w:pStyle w:val="Call"/>
      </w:pPr>
      <w:r w:rsidRPr="00FC4603">
        <w:t>предлагает Государствам-Членам, Членам Сектора и заинтересованным</w:t>
      </w:r>
      <w:r w:rsidRPr="00FC4603">
        <w:br/>
        <w:t>региональным группам</w:t>
      </w:r>
    </w:p>
    <w:p w:rsidR="00252CD9" w:rsidRDefault="00252CD9" w:rsidP="00252CD9">
      <w:pPr>
        <w:rPr>
          <w:lang w:val="ru-RU"/>
        </w:rPr>
      </w:pPr>
      <w:r w:rsidRPr="00FC4603">
        <w:t>вносить вклад в эту деятельность.</w:t>
      </w:r>
    </w:p>
    <w:p w:rsidR="00752554" w:rsidRDefault="00752554" w:rsidP="00252CD9">
      <w:pPr>
        <w:pStyle w:val="ResNo"/>
        <w:spacing w:before="0"/>
        <w:rPr>
          <w:lang w:val="en-US"/>
        </w:rPr>
      </w:pPr>
    </w:p>
    <w:p w:rsidR="00252CD9" w:rsidRPr="00252CD9" w:rsidRDefault="00252CD9" w:rsidP="00252CD9">
      <w:pPr>
        <w:pStyle w:val="Restitle"/>
        <w:rPr>
          <w:lang w:val="en-US"/>
        </w:rPr>
      </w:pPr>
    </w:p>
    <w:p w:rsidR="00252CD9" w:rsidRDefault="00252CD9" w:rsidP="00252CD9">
      <w:pPr>
        <w:pStyle w:val="Restitle"/>
        <w:rPr>
          <w:lang w:val="en-US"/>
        </w:rPr>
      </w:pPr>
    </w:p>
    <w:p w:rsidR="00252CD9" w:rsidRDefault="00252CD9" w:rsidP="00252CD9">
      <w:pPr>
        <w:pStyle w:val="Resref"/>
        <w:rPr>
          <w:lang w:val="en-US"/>
        </w:rPr>
      </w:pPr>
    </w:p>
    <w:p w:rsidR="00252CD9" w:rsidRDefault="00252CD9" w:rsidP="00252CD9">
      <w:pPr>
        <w:pStyle w:val="Resdate"/>
        <w:rPr>
          <w:lang w:val="en-US"/>
        </w:rPr>
      </w:pPr>
    </w:p>
    <w:p w:rsidR="00252CD9" w:rsidRDefault="00252CD9" w:rsidP="00252CD9">
      <w:pPr>
        <w:pStyle w:val="Normalaftertitle"/>
        <w:rPr>
          <w:lang w:val="en-US"/>
        </w:rPr>
      </w:pPr>
    </w:p>
    <w:p w:rsidR="00252CD9" w:rsidRDefault="00252CD9" w:rsidP="00252CD9">
      <w:pPr>
        <w:rPr>
          <w:lang w:val="en-US"/>
        </w:rPr>
      </w:pPr>
    </w:p>
    <w:p w:rsidR="00252CD9" w:rsidRDefault="00252CD9" w:rsidP="00252CD9">
      <w:pPr>
        <w:rPr>
          <w:lang w:val="en-US"/>
        </w:rPr>
      </w:pPr>
    </w:p>
    <w:p w:rsidR="00252CD9" w:rsidRPr="00252CD9" w:rsidRDefault="00252CD9" w:rsidP="00252CD9">
      <w:pPr>
        <w:rPr>
          <w:lang w:val="en-US"/>
        </w:rPr>
      </w:pPr>
    </w:p>
    <w:sectPr w:rsidR="00252CD9" w:rsidRPr="00252CD9" w:rsidSect="00AB2F9C">
      <w:headerReference w:type="even" r:id="rId18"/>
      <w:footerReference w:type="even" r:id="rId19"/>
      <w:footerReference w:type="default" r:id="rId20"/>
      <w:footerReference w:type="first" r:id="rId21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0D243C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5D" w:rsidRDefault="00D828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5D" w:rsidRDefault="00D8285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D8285D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AB2F9C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B2F9C">
      <w:rPr>
        <w:b/>
        <w:sz w:val="22"/>
        <w:szCs w:val="22"/>
      </w:rPr>
      <w:t>48</w:t>
    </w:r>
    <w:r w:rsidRPr="00E95096">
      <w:rPr>
        <w:b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AB2F9C">
      <w:rPr>
        <w:b/>
        <w:bCs/>
        <w:sz w:val="22"/>
        <w:szCs w:val="22"/>
      </w:rPr>
      <w:t>48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AB2F9C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5D" w:rsidRDefault="00D828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5D" w:rsidRDefault="00D828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5D" w:rsidRDefault="00D8285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2F9C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85D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421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3679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2013-04-23T13:13:00Z</dcterms:created>
  <dcterms:modified xsi:type="dcterms:W3CDTF">2013-04-24T12:22:00Z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