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87642B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8631C1">
        <w:rPr>
          <w:szCs w:val="52"/>
          <w:lang w:val="fr-CH"/>
        </w:rPr>
        <w:t>4</w:t>
      </w:r>
      <w:r w:rsidR="00EC70FF">
        <w:rPr>
          <w:szCs w:val="52"/>
          <w:lang w:val="fr-CH"/>
        </w:rPr>
        <w:t>8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43"/>
      <w:bookmarkStart w:id="5" w:name="_Toc349551584"/>
      <w:bookmarkEnd w:id="0"/>
      <w:bookmarkEnd w:id="1"/>
      <w:bookmarkEnd w:id="2"/>
      <w:bookmarkEnd w:id="3"/>
      <w:r w:rsidR="00EC70FF" w:rsidRPr="0087642B">
        <w:rPr>
          <w:rFonts w:hint="cs"/>
          <w:szCs w:val="52"/>
          <w:rtl/>
        </w:rPr>
        <w:t>أسماء الميادين الدولية (المتعددة اللغات)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87642B" w:rsidRPr="0087642B" w:rsidRDefault="0087642B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EC70FF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DA66ED">
        <w:rPr>
          <w:rStyle w:val="href"/>
        </w:rPr>
        <w:t>4</w:t>
      </w:r>
      <w:r w:rsidR="00EC70FF">
        <w:rPr>
          <w:rStyle w:val="href"/>
        </w:rPr>
        <w:t>8</w:t>
      </w:r>
      <w:r w:rsidR="00FB62F6">
        <w:rPr>
          <w:rStyle w:val="href"/>
          <w:rFonts w:hint="cs"/>
          <w:rtl/>
        </w:rPr>
        <w:t xml:space="preserve"> </w:t>
      </w:r>
      <w:r w:rsidR="00FB62F6" w:rsidRPr="00C04E6F">
        <w:rPr>
          <w:rFonts w:hint="cs"/>
          <w:rtl/>
        </w:rPr>
        <w:t xml:space="preserve">(المراجَع في دبي، </w:t>
      </w:r>
      <w:r w:rsidR="00FB62F6" w:rsidRPr="00C04E6F">
        <w:t>2012</w:t>
      </w:r>
      <w:r w:rsidR="00FB62F6" w:rsidRPr="00C04E6F">
        <w:rPr>
          <w:rFonts w:hint="cs"/>
          <w:rtl/>
        </w:rPr>
        <w:t>)</w:t>
      </w:r>
      <w:bookmarkStart w:id="6" w:name="_GoBack"/>
      <w:bookmarkEnd w:id="6"/>
    </w:p>
    <w:p w:rsidR="00EC70FF" w:rsidRPr="00BD0668" w:rsidRDefault="00EC70FF" w:rsidP="00EC70FF">
      <w:pPr>
        <w:pStyle w:val="Restitle"/>
        <w:rPr>
          <w:rtl/>
        </w:rPr>
      </w:pPr>
      <w:r>
        <w:rPr>
          <w:rFonts w:hint="cs"/>
          <w:rtl/>
        </w:rPr>
        <w:t>أسماء الميادين الدولية (المتعددة اللغات)</w:t>
      </w:r>
    </w:p>
    <w:p w:rsidR="00EC70FF" w:rsidRPr="000D5061" w:rsidRDefault="00EC70FF" w:rsidP="00EC70FF">
      <w:pPr>
        <w:pStyle w:val="Resref"/>
        <w:rPr>
          <w:rtl/>
        </w:rPr>
      </w:pPr>
      <w:r w:rsidRPr="000D5061">
        <w:rPr>
          <w:rFonts w:hint="cs"/>
          <w:rtl/>
        </w:rPr>
        <w:t xml:space="preserve">(فلوريانوبوليس، </w:t>
      </w:r>
      <w:r w:rsidRPr="000D5061">
        <w:t>2004</w:t>
      </w:r>
      <w:r w:rsidRPr="000D5061">
        <w:rPr>
          <w:rFonts w:hint="cs"/>
          <w:rtl/>
        </w:rPr>
        <w:t xml:space="preserve">؛ جوهانسبرغ، </w:t>
      </w:r>
      <w:r w:rsidRPr="000D5061">
        <w:t>2008</w:t>
      </w:r>
      <w:r>
        <w:rPr>
          <w:rFonts w:hint="cs"/>
          <w:rtl/>
        </w:rPr>
        <w:t xml:space="preserve">؛ دبي، </w:t>
      </w:r>
      <w:r>
        <w:rPr>
          <w:rFonts w:cs="Times New Roman"/>
        </w:rPr>
        <w:t>2012</w:t>
      </w:r>
      <w:r w:rsidRPr="000D5061">
        <w:rPr>
          <w:rFonts w:hint="cs"/>
          <w:rtl/>
        </w:rPr>
        <w:t>)</w:t>
      </w:r>
    </w:p>
    <w:p w:rsidR="00EC70FF" w:rsidRPr="00BD0668" w:rsidRDefault="00EC70FF" w:rsidP="00EC70FF">
      <w:pPr>
        <w:pStyle w:val="Normalaftertitle0"/>
        <w:rPr>
          <w:rtl/>
        </w:rPr>
      </w:pPr>
      <w:r w:rsidRPr="00BD0668">
        <w:rPr>
          <w:rFonts w:hint="cs"/>
          <w:rtl/>
        </w:rPr>
        <w:t>إن الجمعية العالمية لتقييس الاتصالات (</w:t>
      </w:r>
      <w:r>
        <w:rPr>
          <w:rFonts w:hint="cs"/>
          <w:rtl/>
        </w:rPr>
        <w:t xml:space="preserve">دبي، </w:t>
      </w:r>
      <w:r>
        <w:t>2012</w:t>
      </w:r>
      <w:r w:rsidRPr="00BD0668">
        <w:rPr>
          <w:rFonts w:hint="cs"/>
          <w:rtl/>
        </w:rPr>
        <w:t>)</w:t>
      </w:r>
      <w:r>
        <w:rPr>
          <w:rFonts w:hint="cs"/>
          <w:rtl/>
        </w:rPr>
        <w:t>،</w:t>
      </w:r>
    </w:p>
    <w:p w:rsidR="00EC70FF" w:rsidRDefault="00EC70FF" w:rsidP="00EC70FF">
      <w:pPr>
        <w:pStyle w:val="Call"/>
        <w:rPr>
          <w:rtl/>
        </w:rPr>
      </w:pPr>
      <w:r>
        <w:rPr>
          <w:rFonts w:hint="cs"/>
          <w:rtl/>
        </w:rPr>
        <w:t>إذ تأخذ بعين الاعتبار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الأجزاء ذات الصلة من القرار </w:t>
      </w:r>
      <w:r>
        <w:t>102</w:t>
      </w:r>
      <w:r>
        <w:rPr>
          <w:rFonts w:hint="cs"/>
          <w:rtl/>
        </w:rPr>
        <w:t xml:space="preserve"> (المراجَع في </w:t>
      </w:r>
      <w:r>
        <w:rPr>
          <w:rFonts w:hint="cs"/>
          <w:rtl/>
          <w:lang w:bidi="ar-EG"/>
        </w:rPr>
        <w:t xml:space="preserve">غوادالاخارا، </w:t>
      </w:r>
      <w:r>
        <w:rPr>
          <w:lang w:bidi="ar-EG"/>
        </w:rPr>
        <w:t>2010</w:t>
      </w:r>
      <w:r>
        <w:rPr>
          <w:rFonts w:hint="cs"/>
          <w:rtl/>
        </w:rPr>
        <w:t>) لمؤتمر المندوبين المفوضين؛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 xml:space="preserve">القرار </w:t>
      </w:r>
      <w:r>
        <w:t>133</w:t>
      </w:r>
      <w:r>
        <w:rPr>
          <w:rFonts w:hint="cs"/>
          <w:rtl/>
        </w:rPr>
        <w:t xml:space="preserve"> (المراجَع في غوادالاخارا، </w:t>
      </w:r>
      <w:r>
        <w:t>2010</w:t>
      </w:r>
      <w:r>
        <w:rPr>
          <w:rFonts w:hint="cs"/>
          <w:rtl/>
        </w:rPr>
        <w:t>) لمؤتمر المندوبين المفوضين؛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النواتج ذات الصلة لمرحلتي القمة العالمية لمجتمع المعلومات</w:t>
      </w:r>
      <w:r>
        <w:rPr>
          <w:rFonts w:hint="eastAsia"/>
          <w:rtl/>
        </w:rPr>
        <w:t> </w:t>
      </w:r>
      <w:r>
        <w:t>(WSIS)</w:t>
      </w:r>
      <w:r>
        <w:rPr>
          <w:rFonts w:hint="cs"/>
          <w:rtl/>
        </w:rPr>
        <w:t>؛</w:t>
      </w:r>
    </w:p>
    <w:p w:rsidR="00EC70FF" w:rsidRPr="007E5E87" w:rsidRDefault="00EC70FF" w:rsidP="00EC70FF">
      <w:pPr>
        <w:rPr>
          <w:rtl/>
        </w:rPr>
      </w:pPr>
      <w:r w:rsidRPr="007E5E87">
        <w:rPr>
          <w:rFonts w:hint="cs"/>
          <w:i/>
          <w:iCs/>
          <w:rtl/>
        </w:rPr>
        <w:t>د )</w:t>
      </w:r>
      <w:r w:rsidRPr="007E5E87">
        <w:rPr>
          <w:rFonts w:hint="cs"/>
          <w:rtl/>
        </w:rPr>
        <w:tab/>
        <w:t xml:space="preserve">الدور المتطور للجمعية العالمية لتقييس الاتصالات </w:t>
      </w:r>
      <w:r w:rsidRPr="007E5E87">
        <w:rPr>
          <w:rFonts w:hint="cs"/>
          <w:rtl/>
          <w:lang w:bidi="ar-EG"/>
        </w:rPr>
        <w:t>وفقاً</w:t>
      </w:r>
      <w:r w:rsidRPr="007E5E87">
        <w:rPr>
          <w:rFonts w:hint="cs"/>
          <w:rtl/>
        </w:rPr>
        <w:t xml:space="preserve"> للقرار </w:t>
      </w:r>
      <w:r w:rsidRPr="007E5E87">
        <w:t>122</w:t>
      </w:r>
      <w:r w:rsidRPr="007E5E87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7E5E87">
        <w:rPr>
          <w:rFonts w:hint="cs"/>
          <w:rtl/>
        </w:rPr>
        <w:t xml:space="preserve"> في </w:t>
      </w:r>
      <w:r>
        <w:rPr>
          <w:rFonts w:hint="cs"/>
          <w:rtl/>
        </w:rPr>
        <w:t xml:space="preserve">غوادالاخارا، </w:t>
      </w:r>
      <w:r>
        <w:t>2010</w:t>
      </w:r>
      <w:r w:rsidRPr="007E5E87">
        <w:rPr>
          <w:rFonts w:hint="cs"/>
          <w:rtl/>
        </w:rPr>
        <w:t>) لمؤتمر المندوبين</w:t>
      </w:r>
      <w:r>
        <w:rPr>
          <w:rFonts w:hint="eastAsia"/>
          <w:rtl/>
        </w:rPr>
        <w:t> </w:t>
      </w:r>
      <w:r w:rsidRPr="007E5E87">
        <w:rPr>
          <w:rFonts w:hint="cs"/>
          <w:rtl/>
        </w:rPr>
        <w:t>المفوضين؛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ﻫ )</w:t>
      </w:r>
      <w:r>
        <w:rPr>
          <w:rFonts w:hint="cs"/>
          <w:rtl/>
        </w:rPr>
        <w:tab/>
        <w:t xml:space="preserve">الخطة الاستراتيجية للاتحاد للفترة </w:t>
      </w:r>
      <w:r>
        <w:t>2011</w:t>
      </w:r>
      <w:r>
        <w:noBreakHyphen/>
        <w:t>2008</w:t>
      </w:r>
      <w:r>
        <w:rPr>
          <w:rFonts w:hint="cs"/>
          <w:rtl/>
        </w:rPr>
        <w:t xml:space="preserve"> التي توضح الدور الهام للتعددية اللغوية في تمكين جميع البلدان من المشاركة الكاملة في أعمال الاتحاد، وفي بناء مجتمع عالمي للمعلومات يكون مفتوحاً للجميع، وفي تحقيق أهداف </w:t>
      </w:r>
      <w:r w:rsidRPr="00BC18F8">
        <w:rPr>
          <w:rFonts w:hint="cs"/>
          <w:rtl/>
          <w:lang w:bidi="ar-EG"/>
        </w:rPr>
        <w:t>القمة العالمية لمجتمع المعلومات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ومقاصدها،</w:t>
      </w:r>
    </w:p>
    <w:p w:rsidR="00EC70FF" w:rsidRDefault="00EC70FF" w:rsidP="00EC70FF">
      <w:pPr>
        <w:pStyle w:val="Call"/>
        <w:rPr>
          <w:rtl/>
        </w:rPr>
      </w:pPr>
      <w:r>
        <w:rPr>
          <w:rFonts w:hint="cs"/>
          <w:rtl/>
        </w:rPr>
        <w:t>وإذ تضع في اعتبارها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>أنه يتعين إجراء المزيد من المناقشات المتعمقة للقضايا السياسية والاقتصادية والتقنية المتصلة بأسماء الميادين الدولية (المتعددة اللغات) والناشئة عن التفاعل بين السيادة الوطنية وضرورة التنسيق والتوفيق على الصعيد الدولي؛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أن المنظمات الدولية الحكومية ظلت تؤدي دوراً في تسهيل تنسيق قضايا السياسة العامة المتصلة بالإنترنت وينبغي أن تواصل أداء هذا الدور؛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>أن المنظمات الدولية ظلت هي الأخرى تؤدي دوراً هاماً في تطوير المعايير التقنية والسياسات ذات الصلة بالإنترنت وينبغي أن تواصل أداء هذا الدور؛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د )</w:t>
      </w:r>
      <w:r>
        <w:rPr>
          <w:rFonts w:hint="cs"/>
          <w:rtl/>
        </w:rPr>
        <w:tab/>
        <w:t>أن سجل قطاع تقييس الاتصالات حافل بالنجاح في معالجة قضايا مشابهة في الوقت المناسب، وخصوصاً بالنسبة لاستخدام مجموعات الأحرف غير اللاتينية؛</w:t>
      </w:r>
    </w:p>
    <w:p w:rsidR="00EC70FF" w:rsidRDefault="00EC70FF" w:rsidP="00EC70FF">
      <w:pPr>
        <w:rPr>
          <w:rtl/>
        </w:rPr>
      </w:pPr>
      <w:r w:rsidRPr="00F57230">
        <w:rPr>
          <w:rFonts w:hint="cs"/>
          <w:i/>
          <w:iCs/>
          <w:rtl/>
        </w:rPr>
        <w:t>ﻫ )</w:t>
      </w:r>
      <w:r>
        <w:rPr>
          <w:rFonts w:hint="cs"/>
          <w:rtl/>
        </w:rPr>
        <w:tab/>
        <w:t>الأنشطة الجارية في المنظمات الأخرى ذات الصلة،</w:t>
      </w:r>
    </w:p>
    <w:p w:rsidR="00EC70FF" w:rsidRDefault="00EC70FF" w:rsidP="00EC70FF">
      <w:pPr>
        <w:pStyle w:val="Call"/>
        <w:rPr>
          <w:rtl/>
        </w:rPr>
      </w:pPr>
      <w:r>
        <w:rPr>
          <w:rFonts w:hint="cs"/>
          <w:rtl/>
        </w:rPr>
        <w:lastRenderedPageBreak/>
        <w:t xml:space="preserve">تقـرر أن تكلف لجنة الدراسات </w:t>
      </w:r>
      <w:r>
        <w:t>16</w:t>
      </w:r>
      <w:r>
        <w:rPr>
          <w:rFonts w:hint="cs"/>
          <w:rtl/>
        </w:rPr>
        <w:t xml:space="preserve"> لقطاع تقييس الاتصالات ولجان الدراسات الأخرى ذات الصلة</w:t>
      </w:r>
    </w:p>
    <w:p w:rsidR="00EC70FF" w:rsidRDefault="00EC70FF" w:rsidP="00EC70FF">
      <w:pPr>
        <w:keepNext/>
        <w:rPr>
          <w:rtl/>
        </w:rPr>
      </w:pPr>
      <w:r>
        <w:rPr>
          <w:rFonts w:hint="cs"/>
          <w:rtl/>
        </w:rPr>
        <w:t>بمواصلة دراسة أسماء الميادين الدولية (المتعددة اللغات) ومواصلة الاتصال والتعاون مع الكيانات الملائمة في هذا المجال، سواء كانت دولية حكومية أو غير حكومية،</w:t>
      </w:r>
    </w:p>
    <w:p w:rsidR="00EC70FF" w:rsidRDefault="00EC70FF" w:rsidP="00EC70FF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EC70FF" w:rsidRPr="00C2080E" w:rsidRDefault="00EC70FF" w:rsidP="00EC70FF">
      <w:pPr>
        <w:keepNext/>
        <w:keepLines/>
        <w:rPr>
          <w:spacing w:val="-3"/>
          <w:rtl/>
        </w:rPr>
      </w:pPr>
      <w:r w:rsidRPr="00C2080E">
        <w:rPr>
          <w:rFonts w:hint="cs"/>
          <w:spacing w:val="-3"/>
          <w:rtl/>
        </w:rPr>
        <w:t xml:space="preserve">باتخاذ الإجراءات الملائمة لتسهيل الأعمال المذكورة أعلاه وتقديم تقرير سنوي إلى مجلس الاتحاد بشأن التقدم المحرز </w:t>
      </w:r>
      <w:r>
        <w:rPr>
          <w:rFonts w:hint="cs"/>
          <w:spacing w:val="-3"/>
          <w:rtl/>
        </w:rPr>
        <w:t>في </w:t>
      </w:r>
      <w:r w:rsidRPr="00C2080E">
        <w:rPr>
          <w:rFonts w:hint="cs"/>
          <w:spacing w:val="-3"/>
          <w:rtl/>
        </w:rPr>
        <w:t>هذا المجال،</w:t>
      </w:r>
    </w:p>
    <w:p w:rsidR="00EC70FF" w:rsidRDefault="00EC70FF" w:rsidP="00EC70FF">
      <w:pPr>
        <w:pStyle w:val="Call"/>
        <w:rPr>
          <w:rtl/>
        </w:rPr>
      </w:pPr>
      <w:r>
        <w:rPr>
          <w:rFonts w:hint="cs"/>
          <w:rtl/>
        </w:rPr>
        <w:t>تدعو الدول الأعضاء وأعضاء القطاع والأفرقة الإقليمية المعنية</w:t>
      </w:r>
    </w:p>
    <w:p w:rsidR="00EC70FF" w:rsidRPr="005B48A7" w:rsidRDefault="00EC70FF" w:rsidP="00EC70FF">
      <w:pPr>
        <w:keepNext/>
        <w:keepLines/>
      </w:pPr>
      <w:r>
        <w:rPr>
          <w:rFonts w:hint="cs"/>
          <w:rtl/>
        </w:rPr>
        <w:t>إلى المساهمة في هذه الأنشطة.</w:t>
      </w:r>
    </w:p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EC70FF" w:rsidRDefault="00EC70FF" w:rsidP="00EC70FF"/>
    <w:p w:rsidR="00871EA6" w:rsidRPr="00EC70FF" w:rsidRDefault="00871EA6" w:rsidP="00A77ACA">
      <w:pPr>
        <w:pStyle w:val="Restitle"/>
        <w:rPr>
          <w:rtl/>
          <w:lang w:val="en-GB"/>
        </w:rPr>
      </w:pPr>
    </w:p>
    <w:sectPr w:rsidR="00871EA6" w:rsidRPr="00EC70FF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FB62F6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FB62F6">
      <w:rPr>
        <w:rFonts w:ascii="Times New Roman Bold" w:hAnsi="Times New Roman Bold" w:cs="Times New Roman Bold"/>
        <w:b/>
        <w:bCs/>
        <w:noProof/>
        <w:szCs w:val="22"/>
        <w:rtl/>
      </w:rPr>
      <w:t>48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C4735E">
      <w:rPr>
        <w:rFonts w:ascii="Times New Roman Bold" w:hAnsi="Times New Roman Bold" w:cs="Times New Roman Bold"/>
        <w:b/>
        <w:bCs w:val="0"/>
        <w:noProof/>
        <w:szCs w:val="22"/>
        <w:rtl/>
      </w:rPr>
      <w:t>47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C4735E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FB62F6">
      <w:rPr>
        <w:rFonts w:ascii="Times New Roman Bold" w:hAnsi="Times New Roman Bold" w:cs="Times New Roman Bold"/>
        <w:b/>
        <w:bCs w:val="0"/>
        <w:noProof/>
        <w:szCs w:val="22"/>
        <w:rtl/>
      </w:rPr>
      <w:t>48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FB62F6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154DC" wp14:editId="07612E8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FB62F6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FB62F6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FB62F6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FB62F6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4A92"/>
    <w:rsid w:val="002224E4"/>
    <w:rsid w:val="0022328D"/>
    <w:rsid w:val="002279DA"/>
    <w:rsid w:val="00234918"/>
    <w:rsid w:val="00245EAB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B62F6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9D59-061C-4767-AFA2-3BCE3D5D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74</TotalTime>
  <Pages>4</Pages>
  <Words>475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49</cp:revision>
  <cp:lastPrinted>2009-02-06T14:30:00Z</cp:lastPrinted>
  <dcterms:created xsi:type="dcterms:W3CDTF">2013-04-17T14:43:00Z</dcterms:created>
  <dcterms:modified xsi:type="dcterms:W3CDTF">2013-04-23T15:04:00Z</dcterms:modified>
</cp:coreProperties>
</file>