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EF06A0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1909F1">
              <w:rPr>
                <w:rFonts w:ascii="Arial" w:hAnsi="Arial"/>
                <w:b/>
                <w:bCs/>
                <w:sz w:val="36"/>
                <w:lang w:val="en-US"/>
              </w:rPr>
              <w:t>4</w:t>
            </w:r>
            <w:r w:rsidR="00EF06A0">
              <w:rPr>
                <w:rFonts w:ascii="Arial" w:hAnsi="Arial"/>
                <w:b/>
                <w:bCs/>
                <w:sz w:val="36"/>
                <w:lang w:val="en-US"/>
              </w:rPr>
              <w:t>5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EF06A0" w:rsidRPr="00EF06A0">
              <w:rPr>
                <w:rFonts w:ascii="Arial" w:hAnsi="Arial"/>
                <w:b/>
                <w:bCs/>
                <w:sz w:val="36"/>
                <w:lang w:val="ru-RU"/>
              </w:rPr>
              <w:t>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F6008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type w:val="continuous"/>
          <w:pgSz w:w="11907" w:h="16840" w:code="9"/>
          <w:pgMar w:top="1134" w:right="1134" w:bottom="1134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F60089">
          <w:footerReference w:type="even" r:id="rId16"/>
          <w:footerReference w:type="default" r:id="rId17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EF06A0" w:rsidRPr="00164804" w:rsidRDefault="00EF06A0" w:rsidP="00EF06A0">
      <w:pPr>
        <w:pStyle w:val="ResNo"/>
        <w:spacing w:before="240"/>
      </w:pPr>
      <w:r w:rsidRPr="00164804">
        <w:lastRenderedPageBreak/>
        <w:t xml:space="preserve">Резолюция </w:t>
      </w:r>
      <w:r w:rsidRPr="005C4670">
        <w:rPr>
          <w:rStyle w:val="href"/>
        </w:rPr>
        <w:t>45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EF06A0" w:rsidRPr="00AB171A" w:rsidRDefault="00EF06A0" w:rsidP="00EF06A0">
      <w:pPr>
        <w:pStyle w:val="Restitle"/>
      </w:pPr>
      <w:bookmarkStart w:id="10" w:name="_Toc210465411"/>
      <w:bookmarkStart w:id="11" w:name="_Toc349120782"/>
      <w:bookmarkEnd w:id="10"/>
      <w:r w:rsidRPr="00164804">
        <w:t xml:space="preserve">Эффективная координация деятельности в области стандартизации </w:t>
      </w:r>
      <w:r w:rsidRPr="00164804">
        <w:br/>
        <w:t xml:space="preserve">между исследовательскими комиссиями в рамках </w:t>
      </w:r>
      <w:r>
        <w:t>Сектора стандартизации электросвязи МСЭ</w:t>
      </w:r>
      <w:r w:rsidRPr="00164804">
        <w:t xml:space="preserve"> и роль </w:t>
      </w:r>
      <w:r>
        <w:t xml:space="preserve">Консультативной группы </w:t>
      </w:r>
      <w:r>
        <w:br/>
        <w:t>по стандартизации электросвязи</w:t>
      </w:r>
      <w:bookmarkEnd w:id="11"/>
      <w:r>
        <w:rPr>
          <w:rFonts w:asciiTheme="minorHAnsi" w:hAnsiTheme="minorHAnsi"/>
          <w:lang w:val="ru-RU"/>
        </w:rPr>
        <w:t xml:space="preserve"> </w:t>
      </w:r>
      <w:r w:rsidRPr="00AB171A">
        <w:t>МСЭ</w:t>
      </w:r>
    </w:p>
    <w:p w:rsidR="00EF06A0" w:rsidRPr="00164804" w:rsidRDefault="00EF06A0" w:rsidP="00EF06A0">
      <w:pPr>
        <w:pStyle w:val="Resref"/>
      </w:pPr>
      <w:r w:rsidRPr="00164804">
        <w:t>(Флорианополис, 2004 г.; Йоханнесбург, 2008 г.; Дубай, 2012 г.)</w:t>
      </w:r>
    </w:p>
    <w:p w:rsidR="00EF06A0" w:rsidRPr="00164804" w:rsidRDefault="00EF06A0" w:rsidP="00EF06A0">
      <w:pPr>
        <w:pStyle w:val="Normalaftertitle"/>
      </w:pPr>
      <w:r w:rsidRPr="00164804">
        <w:t>Всемирная ассамблея по стандартизации электросвязи (Дубай, 2012 г.),</w:t>
      </w:r>
    </w:p>
    <w:p w:rsidR="00EF06A0" w:rsidRPr="00164804" w:rsidRDefault="00EF06A0" w:rsidP="00EF06A0">
      <w:pPr>
        <w:pStyle w:val="Call"/>
      </w:pPr>
      <w:r w:rsidRPr="00164804">
        <w:t>отмечая</w:t>
      </w:r>
      <w:r w:rsidRPr="00164804">
        <w:rPr>
          <w:i w:val="0"/>
          <w:iCs/>
        </w:rPr>
        <w:t>,</w:t>
      </w:r>
    </w:p>
    <w:p w:rsidR="00EF06A0" w:rsidRPr="00164804" w:rsidRDefault="00EF06A0" w:rsidP="00EF06A0">
      <w:r w:rsidRPr="00164804">
        <w:rPr>
          <w:i/>
          <w:iCs/>
        </w:rPr>
        <w:t>a)</w:t>
      </w:r>
      <w:r w:rsidRPr="00164804">
        <w:tab/>
        <w:t>что Сектор стандартизации электросвязи МСЭ (МСЭ-Т) является ведущей глобальной организацией по стандартизации, объединяющей администрации, поставщиков оборудования, операторов и регламентарные органы;</w:t>
      </w:r>
    </w:p>
    <w:p w:rsidR="00EF06A0" w:rsidRPr="00164804" w:rsidRDefault="00EF06A0" w:rsidP="00EF06A0">
      <w:r w:rsidRPr="00164804">
        <w:rPr>
          <w:i/>
          <w:iCs/>
        </w:rPr>
        <w:t>b)</w:t>
      </w:r>
      <w:r w:rsidRPr="00164804">
        <w:tab/>
        <w:t>что в соответствии со Статьей 17 Устава МСЭ МСЭ-Т с учетом особых интересов развивающихся стран</w:t>
      </w:r>
      <w:r w:rsidRPr="00164804">
        <w:rPr>
          <w:rStyle w:val="FootnoteReference"/>
        </w:rPr>
        <w:footnoteReference w:customMarkFollows="1" w:id="1"/>
        <w:t>1</w:t>
      </w:r>
      <w:r w:rsidRPr="00164804">
        <w:t xml:space="preserve"> должен выполнять цели Союза путем изучения технических, эксплуатационных и тарифных вопросов и принятия Рекомендаций по ним, имея в виду стандартизацию электросвязи на всемирной основе;</w:t>
      </w:r>
    </w:p>
    <w:p w:rsidR="00EF06A0" w:rsidRPr="00164804" w:rsidRDefault="00EF06A0" w:rsidP="00EF06A0">
      <w:r w:rsidRPr="00164804">
        <w:rPr>
          <w:i/>
          <w:iCs/>
        </w:rPr>
        <w:t>c)</w:t>
      </w:r>
      <w:r w:rsidRPr="00164804">
        <w:tab/>
        <w:t>что в соответствии со Статьей 13 Конвенции МСЭ Всемирная ассамблея по стандартизации электросвязи (ВАСЭ) должна, в том</w:t>
      </w:r>
      <w:bookmarkStart w:id="12" w:name="_GoBack"/>
      <w:bookmarkEnd w:id="12"/>
      <w:r w:rsidRPr="00164804">
        <w:t xml:space="preserve"> числе, утверждать программу работы МСЭ-Т на каждый исследовательский период и определять приоритеты, срочность, предполагаемые финансовые последствия и сроки завершения исследований,</w:t>
      </w:r>
    </w:p>
    <w:p w:rsidR="00EF06A0" w:rsidRPr="00164804" w:rsidRDefault="00EF06A0" w:rsidP="00EF06A0">
      <w:pPr>
        <w:pStyle w:val="Call"/>
      </w:pPr>
      <w:r w:rsidRPr="00164804">
        <w:t>учитывая</w:t>
      </w:r>
    </w:p>
    <w:p w:rsidR="00EF06A0" w:rsidRPr="00164804" w:rsidRDefault="00EF06A0" w:rsidP="00EF06A0">
      <w:r w:rsidRPr="00164804">
        <w:rPr>
          <w:i/>
          <w:iCs/>
        </w:rPr>
        <w:t>a)</w:t>
      </w:r>
      <w:r w:rsidRPr="00164804">
        <w:tab/>
        <w:t>Резолюцию 122 (Пересм. Гвадалахара, 2010 г.) Полномочной конференции, в которой Конференция решает, что ВАСЭ должна правильно определять стратегические вопросы в области стандартизации, и призывает Государства-Члены, Членов Сектора МСЭ-Т, а также председателей и заместителей председателей исследовательских комиссий сосредоточиться, помимо прочего, на определении и анализе стратегических вопросов в области стандартизации при подготовке к ВАСЭ, с тем чтобы способствовать работе Ассамблеи;</w:t>
      </w:r>
    </w:p>
    <w:p w:rsidR="00EF06A0" w:rsidRPr="00164804" w:rsidRDefault="00EF06A0" w:rsidP="00EF06A0">
      <w:r w:rsidRPr="00164804">
        <w:rPr>
          <w:i/>
          <w:iCs/>
        </w:rPr>
        <w:t>b)</w:t>
      </w:r>
      <w:r w:rsidRPr="00164804">
        <w:tab/>
        <w:t>что обеспечение скоординированного подхода к стандартизации в тех случаях, когда речь идет о стратегических вопросах стандартизации, отвечает интересам развивающихся стран;</w:t>
      </w:r>
    </w:p>
    <w:p w:rsidR="00EF06A0" w:rsidRPr="00164804" w:rsidRDefault="00EF06A0" w:rsidP="00EF06A0">
      <w:r w:rsidRPr="00164804">
        <w:rPr>
          <w:i/>
          <w:iCs/>
        </w:rPr>
        <w:t>c)</w:t>
      </w:r>
      <w:r w:rsidRPr="00164804">
        <w:tab/>
        <w:t>что ВАСЭ согласилась с новой структурой исследовательских комиссий МСЭ-Т и с совершенствованием методов работы МСЭ-Т, что поможет МСЭ-Т выполнить задачи в области стандартизации в исследовательский период 2013−2016 годов,</w:t>
      </w:r>
    </w:p>
    <w:p w:rsidR="00EF06A0" w:rsidRPr="00164804" w:rsidRDefault="00EF06A0" w:rsidP="00EF06A0">
      <w:pPr>
        <w:pStyle w:val="Call"/>
        <w:keepNext w:val="0"/>
        <w:keepLines w:val="0"/>
        <w:pageBreakBefore/>
      </w:pPr>
      <w:r w:rsidRPr="00164804">
        <w:lastRenderedPageBreak/>
        <w:t>признавая</w:t>
      </w:r>
      <w:r w:rsidRPr="00164804">
        <w:rPr>
          <w:i w:val="0"/>
          <w:iCs/>
        </w:rPr>
        <w:t>,</w:t>
      </w:r>
    </w:p>
    <w:p w:rsidR="00EF06A0" w:rsidRPr="00164804" w:rsidRDefault="00EF06A0" w:rsidP="00EF06A0">
      <w:r w:rsidRPr="00164804">
        <w:rPr>
          <w:i/>
          <w:iCs/>
        </w:rPr>
        <w:t>a)</w:t>
      </w:r>
      <w:r w:rsidRPr="00164804">
        <w:tab/>
        <w:t>что эффективная координация работы исследовательских комиссий имеет решающее значение для способности МСЭ-Т решать возникающие проблемы в области стандартизации и удовлетворять потребности своих членов;</w:t>
      </w:r>
    </w:p>
    <w:p w:rsidR="00EF06A0" w:rsidRPr="00164804" w:rsidRDefault="00EF06A0" w:rsidP="00EF06A0">
      <w:r w:rsidRPr="00164804">
        <w:rPr>
          <w:i/>
          <w:iCs/>
        </w:rPr>
        <w:t>b)</w:t>
      </w:r>
      <w:r w:rsidRPr="00164804">
        <w:tab/>
        <w:t>что исследовательские комиссии МСЭ-Т отвечают за разработку Рекомендаций по техническим, эксплуатационным и тарифным вопросам на основе вкладов, представляемых членами;</w:t>
      </w:r>
    </w:p>
    <w:p w:rsidR="00EF06A0" w:rsidRPr="00164804" w:rsidRDefault="00EF06A0" w:rsidP="00EF06A0">
      <w:r w:rsidRPr="00164804">
        <w:rPr>
          <w:i/>
          <w:iCs/>
        </w:rPr>
        <w:t>c)</w:t>
      </w:r>
      <w:r w:rsidRPr="00164804">
        <w:tab/>
        <w:t>что эффективная координация деятельности в области стандартизации поможет в реализации целей Резолюций 122 и 123 (Пересм. Гвадалахара, 2010 г.) Полномочной конференции;</w:t>
      </w:r>
    </w:p>
    <w:p w:rsidR="00EF06A0" w:rsidRPr="00164804" w:rsidRDefault="00EF06A0" w:rsidP="00EF06A0">
      <w:r w:rsidRPr="00164804">
        <w:rPr>
          <w:i/>
          <w:iCs/>
        </w:rPr>
        <w:t>d)</w:t>
      </w:r>
      <w:r w:rsidRPr="00164804">
        <w:tab/>
        <w:t>что оперативная координация может осуществляться с помощью совместной координационной деятельности (JCA), совместных собраний групп докладчиков, заявлений о взаимодействии между исследовательскими комиссиями и собраний председателей исследовательских комиссий, организуемых Директором Бюро стандартизации электросвязи;</w:t>
      </w:r>
    </w:p>
    <w:p w:rsidR="00EF06A0" w:rsidRPr="00164804" w:rsidRDefault="00EF06A0" w:rsidP="00EF06A0">
      <w:r w:rsidRPr="00164804">
        <w:rPr>
          <w:i/>
          <w:iCs/>
        </w:rPr>
        <w:t>e)</w:t>
      </w:r>
      <w:r w:rsidRPr="00164804">
        <w:tab/>
        <w:t>что эффективной координации способствует принцип координации деятельности исследовательских комиссий сверху вниз, включая установление связи между относящимися друг к другу направлениями работы;</w:t>
      </w:r>
    </w:p>
    <w:p w:rsidR="00EF06A0" w:rsidRPr="00164804" w:rsidRDefault="00EF06A0" w:rsidP="00EF06A0">
      <w:r w:rsidRPr="00164804">
        <w:rPr>
          <w:i/>
          <w:iCs/>
        </w:rPr>
        <w:t>f)</w:t>
      </w:r>
      <w:r w:rsidRPr="00164804">
        <w:tab/>
        <w:t>что Консультативная группа по стандартизации электросвязи (КГСЭ) может играть важную роль в обеспечении координации по вопросам стандартизации между исследовательскими комиссиями, включая оценку прогресса в области стандартизации с помощью согласованных критериев;</w:t>
      </w:r>
    </w:p>
    <w:p w:rsidR="00EF06A0" w:rsidRPr="00164804" w:rsidRDefault="00EF06A0" w:rsidP="00EF06A0">
      <w:r w:rsidRPr="00164804">
        <w:rPr>
          <w:i/>
          <w:iCs/>
        </w:rPr>
        <w:t>g)</w:t>
      </w:r>
      <w:r w:rsidRPr="00164804">
        <w:tab/>
        <w:t>что ВАСЭ как высшему органу МСЭ-Т надлежит определять стратегические вопросы в области стандартизации на каждый исследовательский период,</w:t>
      </w:r>
    </w:p>
    <w:p w:rsidR="00EF06A0" w:rsidRPr="00164804" w:rsidRDefault="00EF06A0" w:rsidP="00EF06A0">
      <w:pPr>
        <w:pStyle w:val="Call"/>
        <w:rPr>
          <w:i w:val="0"/>
          <w:iCs/>
        </w:rPr>
      </w:pPr>
      <w:r w:rsidRPr="00164804">
        <w:t>памятуя о том</w:t>
      </w:r>
      <w:r w:rsidRPr="00164804">
        <w:rPr>
          <w:i w:val="0"/>
          <w:iCs/>
        </w:rPr>
        <w:t>,</w:t>
      </w:r>
    </w:p>
    <w:p w:rsidR="00EF06A0" w:rsidRPr="00164804" w:rsidRDefault="00EF06A0" w:rsidP="00EF06A0">
      <w:r w:rsidRPr="00164804">
        <w:t>что координация деятельности в области стандартизации имеет особое значение для вопросов стандартизации первостепенной важности, включая, например:</w:t>
      </w:r>
    </w:p>
    <w:p w:rsidR="00EF06A0" w:rsidRPr="00164804" w:rsidRDefault="00EF06A0" w:rsidP="00EF06A0">
      <w:pPr>
        <w:pStyle w:val="enumlev1"/>
      </w:pPr>
      <w:r w:rsidRPr="00164804">
        <w:rPr>
          <w:i/>
          <w:iCs/>
        </w:rPr>
        <w:t>a)</w:t>
      </w:r>
      <w:r w:rsidRPr="00164804">
        <w:tab/>
        <w:t>развитие сетей последующих поколений (СПП) и будущие сети;</w:t>
      </w:r>
    </w:p>
    <w:p w:rsidR="00EF06A0" w:rsidRPr="00164804" w:rsidRDefault="00EF06A0" w:rsidP="00EF06A0">
      <w:pPr>
        <w:pStyle w:val="enumlev1"/>
      </w:pPr>
      <w:r w:rsidRPr="00164804">
        <w:rPr>
          <w:i/>
          <w:iCs/>
        </w:rPr>
        <w:t>b)</w:t>
      </w:r>
      <w:r w:rsidRPr="00164804">
        <w:tab/>
        <w:t>безопасность (включая кибербезопасность);</w:t>
      </w:r>
    </w:p>
    <w:p w:rsidR="00EF06A0" w:rsidRPr="00164804" w:rsidRDefault="00EF06A0" w:rsidP="00EF06A0">
      <w:pPr>
        <w:pStyle w:val="enumlev1"/>
      </w:pPr>
      <w:r w:rsidRPr="00164804">
        <w:rPr>
          <w:i/>
          <w:iCs/>
        </w:rPr>
        <w:t>c)</w:t>
      </w:r>
      <w:r w:rsidRPr="00164804">
        <w:tab/>
        <w:t>электросвязь для систем оказания помощи при бедствиях, включая устойчивость и восстановление сетей;</w:t>
      </w:r>
    </w:p>
    <w:p w:rsidR="00EF06A0" w:rsidRPr="00164804" w:rsidRDefault="00EF06A0" w:rsidP="00EF06A0">
      <w:pPr>
        <w:pStyle w:val="enumlev1"/>
      </w:pPr>
      <w:r w:rsidRPr="00164804">
        <w:rPr>
          <w:i/>
          <w:iCs/>
        </w:rPr>
        <w:t>d)</w:t>
      </w:r>
      <w:r w:rsidRPr="00164804">
        <w:tab/>
        <w:t>"умные" электросети и организация домашних сетей;</w:t>
      </w:r>
    </w:p>
    <w:p w:rsidR="00EF06A0" w:rsidRPr="00164804" w:rsidRDefault="00EF06A0" w:rsidP="00EF06A0">
      <w:pPr>
        <w:pStyle w:val="enumlev1"/>
      </w:pPr>
      <w:r w:rsidRPr="00164804">
        <w:rPr>
          <w:i/>
          <w:iCs/>
        </w:rPr>
        <w:t>e)</w:t>
      </w:r>
      <w:r w:rsidRPr="00164804">
        <w:tab/>
        <w:t>интеллектуальные транспортные системы (ИТС);</w:t>
      </w:r>
    </w:p>
    <w:p w:rsidR="00EF06A0" w:rsidRPr="00164804" w:rsidRDefault="00EF06A0" w:rsidP="00EF06A0">
      <w:pPr>
        <w:pStyle w:val="enumlev1"/>
      </w:pPr>
      <w:r w:rsidRPr="00164804">
        <w:rPr>
          <w:i/>
          <w:iCs/>
        </w:rPr>
        <w:t>f)</w:t>
      </w:r>
      <w:r w:rsidRPr="00164804">
        <w:tab/>
        <w:t>интернет вещей (IoT)/межмашинная связь (M2M);</w:t>
      </w:r>
    </w:p>
    <w:p w:rsidR="00EF06A0" w:rsidRPr="00164804" w:rsidRDefault="00EF06A0" w:rsidP="00EF06A0">
      <w:pPr>
        <w:pStyle w:val="enumlev1"/>
      </w:pPr>
      <w:r w:rsidRPr="00164804">
        <w:rPr>
          <w:i/>
          <w:iCs/>
        </w:rPr>
        <w:t>g)</w:t>
      </w:r>
      <w:r w:rsidRPr="00164804">
        <w:tab/>
        <w:t>облачные вычисления;</w:t>
      </w:r>
    </w:p>
    <w:p w:rsidR="00EF06A0" w:rsidRPr="00164804" w:rsidRDefault="00EF06A0" w:rsidP="00EF06A0">
      <w:pPr>
        <w:pStyle w:val="enumlev1"/>
      </w:pPr>
      <w:r w:rsidRPr="00164804">
        <w:rPr>
          <w:i/>
          <w:iCs/>
        </w:rPr>
        <w:t>h)</w:t>
      </w:r>
      <w:r w:rsidRPr="00164804">
        <w:tab/>
        <w:t>вопросы, относящиеся к интернету;</w:t>
      </w:r>
    </w:p>
    <w:p w:rsidR="00EF06A0" w:rsidRPr="00164804" w:rsidRDefault="00EF06A0" w:rsidP="00EF06A0">
      <w:pPr>
        <w:pStyle w:val="enumlev1"/>
      </w:pPr>
      <w:r w:rsidRPr="00164804">
        <w:rPr>
          <w:i/>
          <w:iCs/>
        </w:rPr>
        <w:t>i)</w:t>
      </w:r>
      <w:r w:rsidRPr="00164804">
        <w:tab/>
        <w:t>проверка на соответствие и функциональную совместимость,</w:t>
      </w:r>
    </w:p>
    <w:p w:rsidR="00EF06A0" w:rsidRPr="00164804" w:rsidRDefault="00EF06A0" w:rsidP="00EF06A0">
      <w:pPr>
        <w:pStyle w:val="Call"/>
        <w:rPr>
          <w:i w:val="0"/>
          <w:iCs/>
        </w:rPr>
      </w:pPr>
      <w:r w:rsidRPr="00164804">
        <w:t>подчеркивая</w:t>
      </w:r>
      <w:r w:rsidRPr="00164804">
        <w:rPr>
          <w:i w:val="0"/>
          <w:iCs/>
        </w:rPr>
        <w:t>,</w:t>
      </w:r>
    </w:p>
    <w:p w:rsidR="00EF06A0" w:rsidRPr="00164804" w:rsidRDefault="00EF06A0" w:rsidP="00EF06A0">
      <w:r w:rsidRPr="00164804">
        <w:t>что координация должна служить повышению эффективности деятельности МСЭ-Т, и не должна ограничивать полномочия каждой исследовательской комиссии по разработке Рекомендаций на основе вкладов, представленных членами,</w:t>
      </w:r>
    </w:p>
    <w:p w:rsidR="00EF06A0" w:rsidRPr="00164804" w:rsidRDefault="00EF06A0" w:rsidP="00EF06A0">
      <w:pPr>
        <w:pStyle w:val="Call"/>
        <w:keepNext w:val="0"/>
        <w:keepLines w:val="0"/>
        <w:pageBreakBefore/>
        <w:rPr>
          <w:i w:val="0"/>
          <w:iCs/>
        </w:rPr>
      </w:pPr>
      <w:r w:rsidRPr="00164804">
        <w:lastRenderedPageBreak/>
        <w:t>решает</w:t>
      </w:r>
      <w:r w:rsidRPr="00164804">
        <w:rPr>
          <w:i w:val="0"/>
          <w:iCs/>
        </w:rPr>
        <w:t>,</w:t>
      </w:r>
    </w:p>
    <w:p w:rsidR="00EF06A0" w:rsidRPr="00164804" w:rsidRDefault="00EF06A0" w:rsidP="00EF06A0">
      <w:r w:rsidRPr="00164804">
        <w:t>что координация деятельности МСЭ-Т в отношении вопросов стандартизации первостепенной важности и работы, касающейся нескольких исследовательских комиссий, должна обеспечивать:</w:t>
      </w:r>
    </w:p>
    <w:p w:rsidR="00EF06A0" w:rsidRPr="00164804" w:rsidRDefault="00EF06A0" w:rsidP="00EF06A0">
      <w:pPr>
        <w:pStyle w:val="enumlev1"/>
      </w:pPr>
      <w:r w:rsidRPr="00164804">
        <w:t>i)</w:t>
      </w:r>
      <w:r w:rsidRPr="00164804">
        <w:tab/>
        <w:t>определение целей и приоритетов высокого уровня для исследований МСЭ-Т в мировом масштабе;</w:t>
      </w:r>
    </w:p>
    <w:p w:rsidR="00EF06A0" w:rsidRPr="00164804" w:rsidRDefault="00EF06A0" w:rsidP="00EF06A0">
      <w:pPr>
        <w:pStyle w:val="enumlev1"/>
      </w:pPr>
      <w:r w:rsidRPr="00164804">
        <w:t>ii)</w:t>
      </w:r>
      <w:r w:rsidRPr="00164804">
        <w:tab/>
        <w:t>сотрудничество между исследовательскими комиссиями, включая предотвращение дублирования в работе и определение связей между соответствующими направлениями работы;</w:t>
      </w:r>
    </w:p>
    <w:p w:rsidR="00EF06A0" w:rsidRPr="00164804" w:rsidRDefault="00EF06A0" w:rsidP="00EF06A0">
      <w:pPr>
        <w:pStyle w:val="enumlev1"/>
      </w:pPr>
      <w:r w:rsidRPr="00164804">
        <w:t>iii)</w:t>
      </w:r>
      <w:r w:rsidRPr="00164804">
        <w:tab/>
        <w:t>планируемую координацию сроков, результатов, целей и этапов деятельности в области стандартизации;</w:t>
      </w:r>
    </w:p>
    <w:p w:rsidR="00EF06A0" w:rsidRPr="00164804" w:rsidRDefault="00EF06A0" w:rsidP="00EF06A0">
      <w:pPr>
        <w:pStyle w:val="enumlev1"/>
      </w:pPr>
      <w:r w:rsidRPr="00164804">
        <w:t>iv)</w:t>
      </w:r>
      <w:r w:rsidRPr="00164804">
        <w:tab/>
        <w:t>принятие во внимание интересов развивающихся стран, а также поощрение и стимулирование их участия в этих видах деятельности;</w:t>
      </w:r>
    </w:p>
    <w:p w:rsidR="00EF06A0" w:rsidRPr="00164804" w:rsidRDefault="00EF06A0" w:rsidP="00EF06A0">
      <w:pPr>
        <w:pStyle w:val="enumlev1"/>
      </w:pPr>
      <w:r w:rsidRPr="00164804">
        <w:t>v)</w:t>
      </w:r>
      <w:r w:rsidRPr="00164804">
        <w:tab/>
        <w:t>сотрудничество и координацию с Секторами радиосвязи и развития электросвязи МСЭ и другими, внешними, организациями, занимающимися стандартизацией,</w:t>
      </w:r>
    </w:p>
    <w:p w:rsidR="00EF06A0" w:rsidRPr="00164804" w:rsidRDefault="00EF06A0" w:rsidP="00EF06A0">
      <w:pPr>
        <w:pStyle w:val="Call"/>
        <w:keepNext w:val="0"/>
        <w:keepLines w:val="0"/>
      </w:pPr>
      <w:r w:rsidRPr="00164804">
        <w:t>поручает Консультативной группе по стандартизации электросвязи</w:t>
      </w:r>
    </w:p>
    <w:p w:rsidR="00EF06A0" w:rsidRPr="00164804" w:rsidRDefault="00EF06A0" w:rsidP="00EF06A0">
      <w:r w:rsidRPr="00164804">
        <w:t>1</w:t>
      </w:r>
      <w:r w:rsidRPr="00164804">
        <w:tab/>
        <w:t>играть активную роль в обеспечении координации между исследовательскими комиссиями, в частности по вопросам стандартизации первостепенной важности, являющимся предметом исследований более чем одной исследовательской комиссии, в том числе предлагая координационным группам проводить необходимые собрания для выполнения поставленных перед ними задач;</w:t>
      </w:r>
    </w:p>
    <w:p w:rsidR="00EF06A0" w:rsidRDefault="00EF06A0" w:rsidP="00EF06A0">
      <w:pPr>
        <w:rPr>
          <w:lang w:val="ru-RU"/>
        </w:rPr>
      </w:pPr>
      <w:r w:rsidRPr="00164804">
        <w:t>2</w:t>
      </w:r>
      <w:r w:rsidRPr="00164804">
        <w:tab/>
        <w:t>принимать во внимание и, в случае необходимости, применять рекомендации, которые КГСЭ получила от других групп, учрежденных в интересах эффективной координации работы по совместным темам, имеющим первостепенную важность, в области стандартизации.</w:t>
      </w:r>
    </w:p>
    <w:p w:rsidR="00545A3E" w:rsidRDefault="00545A3E" w:rsidP="000D243C">
      <w:pPr>
        <w:pStyle w:val="ResNo"/>
        <w:rPr>
          <w:lang w:val="en-US"/>
        </w:rPr>
      </w:pPr>
    </w:p>
    <w:p w:rsidR="00EF06A0" w:rsidRDefault="00EF06A0" w:rsidP="00EF06A0">
      <w:pPr>
        <w:pStyle w:val="Restitle"/>
        <w:rPr>
          <w:lang w:val="en-US"/>
        </w:rPr>
      </w:pPr>
    </w:p>
    <w:p w:rsidR="00EF06A0" w:rsidRDefault="00EF06A0" w:rsidP="00EF06A0">
      <w:pPr>
        <w:pStyle w:val="Resref"/>
        <w:rPr>
          <w:lang w:val="en-US"/>
        </w:rPr>
      </w:pPr>
    </w:p>
    <w:p w:rsidR="00EF06A0" w:rsidRDefault="00EF06A0" w:rsidP="00EF06A0">
      <w:pPr>
        <w:pStyle w:val="Resdate"/>
        <w:rPr>
          <w:lang w:val="en-US"/>
        </w:rPr>
      </w:pPr>
    </w:p>
    <w:p w:rsidR="00EF06A0" w:rsidRDefault="00EF06A0" w:rsidP="00EF06A0">
      <w:pPr>
        <w:pStyle w:val="Normalaftertitle"/>
        <w:rPr>
          <w:lang w:val="en-US"/>
        </w:rPr>
      </w:pPr>
    </w:p>
    <w:p w:rsidR="00EF06A0" w:rsidRPr="00EF06A0" w:rsidRDefault="00EF06A0" w:rsidP="00EF06A0">
      <w:pPr>
        <w:rPr>
          <w:lang w:val="en-US"/>
        </w:rPr>
      </w:pPr>
    </w:p>
    <w:sectPr w:rsidR="00EF06A0" w:rsidRPr="00EF06A0" w:rsidSect="00F60089">
      <w:headerReference w:type="even" r:id="rId18"/>
      <w:footerReference w:type="even" r:id="rId19"/>
      <w:footerReference w:type="default" r:id="rId20"/>
      <w:footerReference w:type="first" r:id="rId21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0D243C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70" w:rsidRDefault="00C921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70" w:rsidRDefault="00C9217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C92170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F60089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F60089">
      <w:rPr>
        <w:b/>
        <w:sz w:val="22"/>
        <w:szCs w:val="22"/>
      </w:rPr>
      <w:t>45</w:t>
    </w:r>
    <w:r w:rsidRPr="00E95096">
      <w:rPr>
        <w:b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F60089">
      <w:rPr>
        <w:b/>
        <w:bCs/>
        <w:sz w:val="22"/>
        <w:szCs w:val="22"/>
      </w:rPr>
      <w:t>45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F60089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EF06A0" w:rsidRPr="00371E76" w:rsidRDefault="00EF06A0" w:rsidP="00EF06A0">
      <w:pPr>
        <w:pStyle w:val="FootnoteText"/>
        <w:rPr>
          <w:lang w:val="ru-RU"/>
        </w:rPr>
      </w:pPr>
      <w:r w:rsidRPr="00371E76">
        <w:rPr>
          <w:rStyle w:val="FootnoteReference"/>
          <w:lang w:val="ru-RU"/>
        </w:rPr>
        <w:t>1</w:t>
      </w:r>
      <w:r w:rsidRPr="00371E76">
        <w:rPr>
          <w:lang w:val="ru-RU"/>
        </w:rPr>
        <w:t xml:space="preserve"> </w:t>
      </w:r>
      <w:r w:rsidRPr="00371E76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70" w:rsidRDefault="00C921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70" w:rsidRDefault="00C921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70" w:rsidRDefault="00C9217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3527C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2170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0089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7174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2013-04-23T13:09:00Z</dcterms:created>
  <dcterms:modified xsi:type="dcterms:W3CDTF">2013-04-24T12:17:00Z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