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4E489E">
        <w:trPr>
          <w:trHeight w:hRule="exact" w:val="1418"/>
        </w:trPr>
        <w:tc>
          <w:tcPr>
            <w:tcW w:w="1428" w:type="dxa"/>
            <w:gridSpan w:val="2"/>
          </w:tcPr>
          <w:p w:rsidR="004E489E" w:rsidRDefault="00935D28"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-688975</wp:posOffset>
                  </wp:positionV>
                  <wp:extent cx="1609090" cy="10803890"/>
                  <wp:effectExtent l="0" t="0" r="0" b="0"/>
                  <wp:wrapNone/>
                  <wp:docPr id="2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080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489E" w:rsidRDefault="004E489E">
            <w:pPr>
              <w:spacing w:before="0"/>
              <w:rPr>
                <w:bCs/>
                <w:sz w:val="16"/>
              </w:rPr>
            </w:pPr>
          </w:p>
        </w:tc>
        <w:tc>
          <w:tcPr>
            <w:tcW w:w="8520" w:type="dxa"/>
            <w:gridSpan w:val="3"/>
          </w:tcPr>
          <w:p w:rsidR="004E489E" w:rsidRDefault="004E489E">
            <w:pPr>
              <w:spacing w:before="0"/>
              <w:rPr>
                <w:rFonts w:ascii="Arial" w:hAnsi="Arial" w:cs="Arial"/>
                <w:b/>
                <w:bCs/>
                <w:spacing w:val="70"/>
              </w:rPr>
            </w:pPr>
          </w:p>
          <w:p w:rsidR="004E489E" w:rsidRDefault="004E489E">
            <w:pPr>
              <w:spacing w:before="284"/>
              <w:rPr>
                <w:rFonts w:ascii="Arial" w:hAnsi="Arial" w:cs="Arial"/>
                <w:b/>
                <w:bCs/>
                <w:spacing w:val="72"/>
              </w:rPr>
            </w:pPr>
            <w:r>
              <w:rPr>
                <w:rFonts w:ascii="Arial" w:hAnsi="Arial" w:cs="Arial"/>
                <w:b/>
                <w:bCs/>
                <w:color w:val="808080"/>
                <w:spacing w:val="72"/>
                <w:lang w:val="fr-CH"/>
              </w:rPr>
              <w:t>Union internationale des télécommunications</w:t>
            </w:r>
          </w:p>
        </w:tc>
      </w:tr>
      <w:tr w:rsidR="004E489E">
        <w:trPr>
          <w:trHeight w:hRule="exact" w:val="992"/>
        </w:trPr>
        <w:tc>
          <w:tcPr>
            <w:tcW w:w="1428" w:type="dxa"/>
            <w:gridSpan w:val="2"/>
          </w:tcPr>
          <w:p w:rsidR="004E489E" w:rsidRDefault="004E489E">
            <w:pPr>
              <w:spacing w:before="0"/>
            </w:pPr>
          </w:p>
        </w:tc>
        <w:tc>
          <w:tcPr>
            <w:tcW w:w="8520" w:type="dxa"/>
            <w:gridSpan w:val="3"/>
          </w:tcPr>
          <w:p w:rsidR="004E489E" w:rsidRDefault="004E489E"/>
        </w:tc>
      </w:tr>
      <w:tr w:rsidR="004E489E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4E489E" w:rsidRDefault="004E489E">
            <w:pPr>
              <w:rPr>
                <w:b/>
                <w:sz w:val="18"/>
              </w:rPr>
            </w:pPr>
            <w:bookmarkStart w:id="1" w:name="dnumf" w:colFirst="1" w:colLast="1"/>
            <w:r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4E489E" w:rsidRPr="004E489E" w:rsidRDefault="004E489E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4E489E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4E489E" w:rsidRDefault="004E489E">
            <w:pPr>
              <w:jc w:val="left"/>
              <w:rPr>
                <w:b/>
                <w:sz w:val="18"/>
              </w:rPr>
            </w:pPr>
            <w:bookmarkStart w:id="2" w:name="ddatef" w:colFirst="1" w:colLast="1"/>
            <w:bookmarkEnd w:id="1"/>
            <w:r>
              <w:rPr>
                <w:rFonts w:ascii="Arial" w:hAnsi="Arial"/>
                <w:sz w:val="20"/>
              </w:rPr>
              <w:t>SECTEUR  DE  LA  NORMALISATION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DES  TÉLÉCOMMUNICATIONS</w:t>
            </w:r>
            <w:r>
              <w:rPr>
                <w:rFonts w:ascii="Arial" w:hAnsi="Arial"/>
                <w:sz w:val="20"/>
              </w:rPr>
              <w:br/>
              <w:t>DE  L'UIT</w:t>
            </w:r>
          </w:p>
        </w:tc>
        <w:tc>
          <w:tcPr>
            <w:tcW w:w="3971" w:type="dxa"/>
          </w:tcPr>
          <w:p w:rsidR="004E489E" w:rsidRPr="004E489E" w:rsidRDefault="004E489E" w:rsidP="004E489E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4E489E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4E489E">
        <w:trPr>
          <w:cantSplit/>
          <w:trHeight w:hRule="exact" w:val="3402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dsecf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4E489E" w:rsidRPr="00EB6BEB" w:rsidRDefault="00311F37" w:rsidP="00311F3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fr-CH"/>
              </w:rPr>
            </w:pPr>
            <w:r w:rsidRPr="00311F37">
              <w:rPr>
                <w:rFonts w:ascii="Arial" w:hAnsi="Arial"/>
                <w:sz w:val="32"/>
              </w:rPr>
              <w:t>ASSEMBLÉE</w:t>
            </w:r>
            <w:r w:rsidRPr="00311F37">
              <w:rPr>
                <w:rFonts w:ascii="Arial" w:hAnsi="Arial"/>
                <w:sz w:val="32"/>
                <w:lang w:val="fr-CH"/>
              </w:rPr>
              <w:t xml:space="preserve"> MONDIALE DE NORMALISATION DES TÉLÉCOMMUNICATIONS</w:t>
            </w:r>
            <w:r w:rsidRPr="00EB6BEB">
              <w:rPr>
                <w:rFonts w:ascii="Arial" w:hAnsi="Arial"/>
                <w:sz w:val="32"/>
                <w:lang w:val="fr-CH"/>
              </w:rPr>
              <w:t xml:space="preserve"> </w:t>
            </w:r>
            <w:r w:rsidRPr="00EB6BEB">
              <w:rPr>
                <w:rFonts w:ascii="Arial" w:hAnsi="Arial"/>
                <w:sz w:val="32"/>
                <w:lang w:val="fr-CH"/>
              </w:rPr>
              <w:br/>
            </w:r>
            <w:r w:rsidR="00EB6BEB" w:rsidRPr="00EB6BEB">
              <w:rPr>
                <w:rFonts w:ascii="Arial" w:hAnsi="Arial"/>
                <w:sz w:val="32"/>
                <w:lang w:val="fr-CH"/>
              </w:rPr>
              <w:t>Dubaï, 20-29 novembre 2012</w:t>
            </w:r>
          </w:p>
          <w:p w:rsidR="004E489E" w:rsidRPr="004E489E" w:rsidRDefault="004E489E" w:rsidP="004E489E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4E489E">
        <w:trPr>
          <w:cantSplit/>
          <w:trHeight w:hRule="exact" w:val="4536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4" w:name="c1titf" w:colFirst="1" w:colLast="1"/>
            <w:bookmarkEnd w:id="3"/>
          </w:p>
        </w:tc>
        <w:tc>
          <w:tcPr>
            <w:tcW w:w="8530" w:type="dxa"/>
            <w:gridSpan w:val="4"/>
          </w:tcPr>
          <w:p w:rsidR="004E489E" w:rsidRPr="00D43879" w:rsidRDefault="00B20035" w:rsidP="00311F37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fr-CH"/>
              </w:rPr>
            </w:pPr>
            <w:r w:rsidRPr="00B20035">
              <w:rPr>
                <w:rFonts w:ascii="Arial" w:hAnsi="Arial"/>
                <w:b/>
                <w:bCs/>
                <w:sz w:val="36"/>
                <w:lang w:val="fr-CH"/>
              </w:rPr>
              <w:t>VOEU</w:t>
            </w:r>
            <w:r w:rsidRPr="005D275D">
              <w:rPr>
                <w:lang w:val="fr-CH"/>
              </w:rPr>
              <w:t xml:space="preserve"> </w:t>
            </w:r>
            <w:r w:rsidR="00AC6AA3">
              <w:rPr>
                <w:rFonts w:ascii="Arial" w:hAnsi="Arial"/>
                <w:b/>
                <w:bCs/>
                <w:sz w:val="36"/>
                <w:lang w:val="fr-CH"/>
              </w:rPr>
              <w:t xml:space="preserve">1 – </w:t>
            </w:r>
            <w:r w:rsidRPr="00B20035">
              <w:rPr>
                <w:rFonts w:ascii="Arial" w:hAnsi="Arial"/>
                <w:b/>
                <w:bCs/>
                <w:sz w:val="36"/>
                <w:lang w:val="fr-CH"/>
              </w:rPr>
              <w:t>Application pratique de la prime d'externalité de réseau</w:t>
            </w:r>
          </w:p>
        </w:tc>
      </w:tr>
      <w:bookmarkEnd w:id="4"/>
      <w:tr w:rsidR="004E489E">
        <w:trPr>
          <w:cantSplit/>
          <w:trHeight w:hRule="exact" w:val="1418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4E489E" w:rsidRDefault="004E489E" w:rsidP="00A8419C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</w:rPr>
            </w:pPr>
            <w:bookmarkStart w:id="5" w:name="dnum2f"/>
            <w:bookmarkEnd w:id="5"/>
          </w:p>
          <w:p w:rsidR="004E489E" w:rsidRPr="004E489E" w:rsidRDefault="004E489E" w:rsidP="004E489E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</w:rPr>
            </w:pPr>
          </w:p>
        </w:tc>
      </w:tr>
    </w:tbl>
    <w:p w:rsidR="004E489E" w:rsidRDefault="00EB6BEB" w:rsidP="00A8419C">
      <w:pPr>
        <w:spacing w:before="0"/>
        <w:jc w:val="right"/>
      </w:pPr>
      <w:r>
        <w:rPr>
          <w:noProof/>
          <w:lang w:val="en-US" w:eastAsia="zh-CN"/>
        </w:rPr>
        <w:drawing>
          <wp:inline distT="0" distB="0" distL="0" distR="0" wp14:anchorId="0BFBFE90" wp14:editId="5D6195F4">
            <wp:extent cx="664845" cy="735965"/>
            <wp:effectExtent l="0" t="0" r="1905" b="6985"/>
            <wp:docPr id="238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89E" w:rsidRDefault="004E489E">
      <w:pPr>
        <w:spacing w:before="80"/>
        <w:jc w:val="left"/>
        <w:rPr>
          <w:i/>
          <w:sz w:val="20"/>
        </w:rPr>
      </w:pPr>
      <w:bookmarkStart w:id="6" w:name="c2topf"/>
      <w:bookmarkEnd w:id="6"/>
    </w:p>
    <w:p w:rsidR="00A8419C" w:rsidRDefault="00A8419C">
      <w:pPr>
        <w:spacing w:before="480"/>
        <w:jc w:val="center"/>
        <w:rPr>
          <w:sz w:val="22"/>
        </w:rPr>
        <w:sectPr w:rsidR="00A8419C" w:rsidSect="00F510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oddPage"/>
          <w:pgSz w:w="11907" w:h="16834" w:code="9"/>
          <w:pgMar w:top="1089" w:right="1089" w:bottom="284" w:left="1089" w:header="284" w:footer="284" w:gutter="0"/>
          <w:paperSrc w:first="15" w:other="15"/>
          <w:cols w:space="720"/>
          <w:docGrid w:linePitch="326"/>
        </w:sectPr>
      </w:pPr>
      <w:bookmarkStart w:id="7" w:name="irecnof"/>
      <w:bookmarkEnd w:id="7"/>
    </w:p>
    <w:p w:rsidR="004E489E" w:rsidRDefault="004E489E">
      <w:pPr>
        <w:spacing w:before="480"/>
        <w:jc w:val="center"/>
        <w:rPr>
          <w:sz w:val="22"/>
        </w:rPr>
      </w:pPr>
      <w:r>
        <w:rPr>
          <w:sz w:val="22"/>
        </w:rPr>
        <w:lastRenderedPageBreak/>
        <w:t>AVANT-PROPOS</w:t>
      </w:r>
    </w:p>
    <w:p w:rsidR="00EB6BEB" w:rsidRDefault="00EB6BEB" w:rsidP="00EB6BEB">
      <w:pPr>
        <w:pStyle w:val="Normalaftertitle"/>
        <w:spacing w:line="240" w:lineRule="exact"/>
        <w:rPr>
          <w:sz w:val="20"/>
        </w:rPr>
      </w:pPr>
      <w:bookmarkStart w:id="8" w:name="iitextf"/>
      <w:r w:rsidRPr="004325AC">
        <w:rPr>
          <w:sz w:val="20"/>
        </w:rPr>
        <w:t>L'Union internationale des télécommunications (UIT) est une institution spécialisée des Nations Unies dans le domaine des télé</w:t>
      </w:r>
      <w:r w:rsidRPr="004325AC">
        <w:rPr>
          <w:sz w:val="20"/>
        </w:rPr>
        <w:softHyphen/>
        <w:t>com</w:t>
      </w:r>
      <w:r w:rsidRPr="004325AC">
        <w:rPr>
          <w:sz w:val="20"/>
        </w:rPr>
        <w:softHyphen/>
        <w:t>mu</w:t>
      </w:r>
      <w:r w:rsidRPr="004325AC">
        <w:rPr>
          <w:sz w:val="20"/>
        </w:rPr>
        <w:softHyphen/>
        <w:t>ni</w:t>
      </w:r>
      <w:r w:rsidRPr="004325AC">
        <w:rPr>
          <w:sz w:val="20"/>
        </w:rPr>
        <w:softHyphen/>
        <w:t>ca</w:t>
      </w:r>
      <w:r w:rsidRPr="004325AC">
        <w:rPr>
          <w:sz w:val="20"/>
        </w:rPr>
        <w:softHyphen/>
        <w:t>tions et des technologies de l'information et de la communication (ICT). Le Secteur de la normalisation des télécommunications (UIT-T) est un organe permanent de l'UIT. Il est chargé de l'étude des questions techniques, d'exploitation et de tarification, et émet à ce sujet des Recommandations en vue de la normalisation des télé</w:t>
      </w:r>
      <w:r w:rsidRPr="004325AC">
        <w:rPr>
          <w:sz w:val="20"/>
        </w:rPr>
        <w:softHyphen/>
        <w:t>com</w:t>
      </w:r>
      <w:r w:rsidRPr="004325AC">
        <w:rPr>
          <w:sz w:val="20"/>
        </w:rPr>
        <w:softHyphen/>
        <w:t>mu</w:t>
      </w:r>
      <w:r w:rsidRPr="004325AC">
        <w:rPr>
          <w:sz w:val="20"/>
        </w:rPr>
        <w:softHyphen/>
        <w:t>ni</w:t>
      </w:r>
      <w:r w:rsidRPr="004325AC">
        <w:rPr>
          <w:sz w:val="20"/>
        </w:rPr>
        <w:softHyphen/>
        <w:t>ca</w:t>
      </w:r>
      <w:r w:rsidRPr="004325AC">
        <w:rPr>
          <w:sz w:val="20"/>
        </w:rPr>
        <w:softHyphen/>
        <w:t>tions à l'échelle mondiale.</w:t>
      </w:r>
    </w:p>
    <w:p w:rsidR="00EB6BEB" w:rsidRDefault="00EB6BEB" w:rsidP="00EB6BEB">
      <w:pPr>
        <w:spacing w:line="240" w:lineRule="exact"/>
        <w:rPr>
          <w:sz w:val="20"/>
        </w:rPr>
      </w:pPr>
      <w:r w:rsidRPr="004325AC">
        <w:rPr>
          <w:sz w:val="20"/>
        </w:rPr>
        <w:t>L'Assemblée mondiale de normalisation des télécommunications (AMNT), qui se réunit tous les quatre ans, détermine les thèmes d'étude à traiter par les Commissions d'études de l'UIT</w:t>
      </w:r>
      <w:r w:rsidRPr="004325AC">
        <w:rPr>
          <w:sz w:val="20"/>
        </w:rPr>
        <w:noBreakHyphen/>
        <w:t>T, lesquelles élaborent en retour des Recommandations sur ces thèmes.</w:t>
      </w:r>
    </w:p>
    <w:p w:rsidR="00EB6BEB" w:rsidRPr="00E83AC8" w:rsidRDefault="00EB6BEB" w:rsidP="00EB6BEB">
      <w:pPr>
        <w:spacing w:line="240" w:lineRule="exact"/>
        <w:rPr>
          <w:sz w:val="20"/>
          <w:lang w:val="fr-CH"/>
        </w:rPr>
      </w:pPr>
      <w:r w:rsidRPr="004325AC">
        <w:rPr>
          <w:sz w:val="20"/>
        </w:rPr>
        <w:t>L'approbation des Recommandations par les Membres de l'UIT</w:t>
      </w:r>
      <w:r w:rsidRPr="004325AC">
        <w:rPr>
          <w:sz w:val="20"/>
        </w:rPr>
        <w:noBreakHyphen/>
        <w:t>T s'effectue selon la procédure définie dans la Résolution 1 de l'AMNT.</w:t>
      </w:r>
    </w:p>
    <w:p w:rsidR="004E489E" w:rsidRDefault="00EB6BEB" w:rsidP="00EB6BEB">
      <w:pPr>
        <w:rPr>
          <w:sz w:val="22"/>
        </w:rPr>
      </w:pPr>
      <w:r w:rsidRPr="004325AC">
        <w:rPr>
          <w:sz w:val="20"/>
        </w:rPr>
        <w:t>Dans certains secteurs des technologies de l'information qui correspondent à la sphère de compétence de l'UIT-T, les normes nécessaires se préparent en collaboration avec l'ISO et la CEI</w:t>
      </w:r>
      <w:r>
        <w:rPr>
          <w:sz w:val="20"/>
        </w:rPr>
        <w:t>.</w:t>
      </w:r>
    </w:p>
    <w:bookmarkEnd w:id="8"/>
    <w:p w:rsidR="004E489E" w:rsidRDefault="004E489E">
      <w:pPr>
        <w:jc w:val="center"/>
        <w:rPr>
          <w:sz w:val="22"/>
        </w:rPr>
      </w:pPr>
    </w:p>
    <w:p w:rsidR="004E489E" w:rsidRDefault="004E489E">
      <w:pPr>
        <w:jc w:val="center"/>
        <w:rPr>
          <w:sz w:val="22"/>
        </w:rPr>
      </w:pPr>
    </w:p>
    <w:p w:rsidR="004E489E" w:rsidRDefault="004E489E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927BFB" w:rsidRDefault="00927BFB">
      <w:pPr>
        <w:jc w:val="center"/>
        <w:rPr>
          <w:sz w:val="22"/>
        </w:rPr>
      </w:pPr>
    </w:p>
    <w:p w:rsidR="00927BFB" w:rsidRDefault="00927BFB">
      <w:pPr>
        <w:jc w:val="center"/>
        <w:rPr>
          <w:sz w:val="22"/>
        </w:rPr>
      </w:pPr>
    </w:p>
    <w:p w:rsidR="004E489E" w:rsidRDefault="004E489E" w:rsidP="00EB6BEB">
      <w:pPr>
        <w:jc w:val="center"/>
        <w:rPr>
          <w:sz w:val="22"/>
        </w:rPr>
      </w:pPr>
      <w:r>
        <w:rPr>
          <w:rFonts w:ascii="Symbol" w:hAnsi="Symbol"/>
          <w:sz w:val="22"/>
        </w:rPr>
        <w:t></w:t>
      </w:r>
      <w:r>
        <w:rPr>
          <w:sz w:val="22"/>
        </w:rPr>
        <w:t>  UIT  </w:t>
      </w:r>
      <w:bookmarkStart w:id="9" w:name="iiannef"/>
      <w:bookmarkEnd w:id="9"/>
      <w:r w:rsidR="001055F6">
        <w:rPr>
          <w:sz w:val="22"/>
        </w:rPr>
        <w:t>20</w:t>
      </w:r>
      <w:r w:rsidR="00EB6BEB">
        <w:rPr>
          <w:sz w:val="22"/>
        </w:rPr>
        <w:t>13</w:t>
      </w:r>
    </w:p>
    <w:p w:rsidR="00AE3ADA" w:rsidRPr="00311F37" w:rsidRDefault="00EB6BEB" w:rsidP="00311F37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2"/>
        </w:rPr>
      </w:pPr>
      <w:r w:rsidRPr="00E83AC8">
        <w:rPr>
          <w:sz w:val="20"/>
        </w:rPr>
        <w:t>Tous droits réservés. Aucune partie de cette publication ne peut être reproduite, par quelque procédé que ce soit, sans l'accord écrit préalable de l'UIT</w:t>
      </w:r>
      <w:r w:rsidRPr="00E83AC8">
        <w:rPr>
          <w:sz w:val="20"/>
          <w:lang w:val="fr-CH"/>
        </w:rPr>
        <w:t>.</w:t>
      </w:r>
    </w:p>
    <w:p w:rsidR="00A8419C" w:rsidRDefault="00A8419C" w:rsidP="004A196C">
      <w:pPr>
        <w:pStyle w:val="ResNo"/>
        <w:jc w:val="center"/>
        <w:rPr>
          <w:b w:val="0"/>
          <w:bCs/>
        </w:rPr>
        <w:sectPr w:rsidR="00A8419C" w:rsidSect="00A8419C">
          <w:headerReference w:type="even" r:id="rId16"/>
          <w:footerReference w:type="default" r:id="rId17"/>
          <w:pgSz w:w="11907" w:h="16834" w:code="9"/>
          <w:pgMar w:top="1089" w:right="1089" w:bottom="1089" w:left="1089" w:header="482" w:footer="482" w:gutter="0"/>
          <w:paperSrc w:first="15" w:other="15"/>
          <w:cols w:space="720"/>
          <w:docGrid w:linePitch="326"/>
        </w:sectPr>
      </w:pPr>
      <w:bookmarkStart w:id="10" w:name="p1rectextf"/>
      <w:bookmarkEnd w:id="10"/>
    </w:p>
    <w:p w:rsidR="00311F37" w:rsidRPr="004A196C" w:rsidRDefault="00B20035" w:rsidP="004A196C">
      <w:pPr>
        <w:pStyle w:val="ResNo"/>
        <w:jc w:val="center"/>
        <w:rPr>
          <w:b w:val="0"/>
          <w:bCs/>
        </w:rPr>
      </w:pPr>
      <w:r w:rsidRPr="00B20035">
        <w:rPr>
          <w:b w:val="0"/>
          <w:bCs/>
          <w:lang w:val="fr-CH"/>
        </w:rPr>
        <w:lastRenderedPageBreak/>
        <w:t>VOEU</w:t>
      </w:r>
      <w:r w:rsidRPr="005D275D">
        <w:rPr>
          <w:lang w:val="fr-CH"/>
        </w:rPr>
        <w:t xml:space="preserve"> </w:t>
      </w:r>
      <w:r w:rsidR="00311F37" w:rsidRPr="004A196C">
        <w:rPr>
          <w:b w:val="0"/>
          <w:bCs/>
        </w:rPr>
        <w:t>1</w:t>
      </w:r>
      <w:r w:rsidR="00527C0E">
        <w:rPr>
          <w:b w:val="0"/>
          <w:bCs/>
        </w:rPr>
        <w:t xml:space="preserve"> </w:t>
      </w:r>
      <w:r w:rsidR="00527C0E" w:rsidRPr="00527C0E">
        <w:rPr>
          <w:b w:val="0"/>
          <w:bCs/>
          <w:lang w:val="fr-CH"/>
        </w:rPr>
        <w:t>(Dubaï, 2012)</w:t>
      </w:r>
    </w:p>
    <w:p w:rsidR="00B20035" w:rsidRPr="005D275D" w:rsidRDefault="00B20035" w:rsidP="00B20035">
      <w:pPr>
        <w:pStyle w:val="Opiniontitle"/>
        <w:rPr>
          <w:lang w:val="fr-CH"/>
        </w:rPr>
      </w:pPr>
      <w:r w:rsidRPr="005D275D">
        <w:rPr>
          <w:lang w:val="fr-CH"/>
        </w:rPr>
        <w:t>Application pratique de la prime d'externalité de réseau</w:t>
      </w:r>
    </w:p>
    <w:p w:rsidR="00B20035" w:rsidRPr="005511C8" w:rsidRDefault="00B20035" w:rsidP="00B20035">
      <w:pPr>
        <w:pStyle w:val="Annexref"/>
        <w:rPr>
          <w:i/>
          <w:iCs/>
          <w:sz w:val="22"/>
          <w:szCs w:val="22"/>
          <w:lang w:val="fr-CH"/>
        </w:rPr>
      </w:pPr>
      <w:r w:rsidRPr="005511C8">
        <w:rPr>
          <w:i/>
          <w:iCs/>
          <w:sz w:val="22"/>
          <w:szCs w:val="22"/>
          <w:lang w:val="fr-CH"/>
        </w:rPr>
        <w:t>(Dubaï, 2012)</w:t>
      </w:r>
    </w:p>
    <w:p w:rsidR="00B20035" w:rsidRPr="00D639E6" w:rsidRDefault="00B20035" w:rsidP="00B20035">
      <w:pPr>
        <w:pStyle w:val="Normalaftertitle"/>
      </w:pPr>
      <w:r w:rsidRPr="00D639E6">
        <w:t>L</w:t>
      </w:r>
      <w:r>
        <w:t>'</w:t>
      </w:r>
      <w:r w:rsidRPr="00D639E6">
        <w:t>Assemblée mondiale de normalisation des télécommunications (Dubaï, 2012),</w:t>
      </w:r>
    </w:p>
    <w:p w:rsidR="00B20035" w:rsidRPr="00D639E6" w:rsidRDefault="00B20035" w:rsidP="00B20035">
      <w:pPr>
        <w:pStyle w:val="Call"/>
      </w:pPr>
      <w:r w:rsidRPr="00D639E6">
        <w:t xml:space="preserve">considérant </w:t>
      </w:r>
    </w:p>
    <w:p w:rsidR="00B20035" w:rsidRPr="00D639E6" w:rsidRDefault="00B20035" w:rsidP="00B20035">
      <w:r w:rsidRPr="00D639E6">
        <w:rPr>
          <w:i/>
          <w:iCs/>
        </w:rPr>
        <w:t>a)</w:t>
      </w:r>
      <w:r w:rsidRPr="00D639E6">
        <w:tab/>
        <w:t>l</w:t>
      </w:r>
      <w:r>
        <w:t>'</w:t>
      </w:r>
      <w:r w:rsidRPr="00D639E6">
        <w:t>Agenda de Tunis pour la société de</w:t>
      </w:r>
      <w:r w:rsidRPr="006040E1">
        <w:t xml:space="preserve"> </w:t>
      </w:r>
      <w:r w:rsidRPr="00D639E6">
        <w:t>l</w:t>
      </w:r>
      <w:r>
        <w:t>'</w:t>
      </w:r>
      <w:r w:rsidRPr="00D639E6">
        <w:t>information (Tunis,</w:t>
      </w:r>
      <w:r>
        <w:t> </w:t>
      </w:r>
      <w:r w:rsidRPr="00D639E6">
        <w:t>2005);</w:t>
      </w:r>
    </w:p>
    <w:p w:rsidR="00B20035" w:rsidRPr="00D639E6" w:rsidRDefault="00B20035" w:rsidP="00B20035">
      <w:r w:rsidRPr="00D639E6">
        <w:rPr>
          <w:i/>
          <w:iCs/>
        </w:rPr>
        <w:t>b)</w:t>
      </w:r>
      <w:r w:rsidRPr="00D639E6">
        <w:tab/>
        <w:t>la Résolution 22 (Rév. Antalya, 2006) de la Conférence de Plénipotentiaires relative à la répartition des recettes provenant des services internationaux de télécommunication;</w:t>
      </w:r>
    </w:p>
    <w:p w:rsidR="00B20035" w:rsidRPr="00D639E6" w:rsidRDefault="00B20035" w:rsidP="00B20035">
      <w:r w:rsidRPr="00D639E6">
        <w:rPr>
          <w:i/>
          <w:iCs/>
        </w:rPr>
        <w:t>c)</w:t>
      </w:r>
      <w:r w:rsidRPr="00D639E6">
        <w:tab/>
        <w:t>l</w:t>
      </w:r>
      <w:r>
        <w:t>'</w:t>
      </w:r>
      <w:r w:rsidRPr="00D639E6">
        <w:t>approbation</w:t>
      </w:r>
      <w:r>
        <w:t>,</w:t>
      </w:r>
      <w:r w:rsidRPr="00D639E6">
        <w:t xml:space="preserve"> par l</w:t>
      </w:r>
      <w:r>
        <w:t>'</w:t>
      </w:r>
      <w:r w:rsidRPr="00D639E6">
        <w:t>Assemblée mondiale de normalisation des télécommunications (Johannesburg, 2008)</w:t>
      </w:r>
      <w:r>
        <w:t xml:space="preserve"> (AMNT-08),</w:t>
      </w:r>
      <w:r w:rsidRPr="00D639E6">
        <w:t xml:space="preserve"> de la Recommandation UIT-T D.156 relative aux externalités de réseau,</w:t>
      </w:r>
    </w:p>
    <w:p w:rsidR="00B20035" w:rsidRPr="00D639E6" w:rsidRDefault="00B20035" w:rsidP="00B20035">
      <w:pPr>
        <w:pStyle w:val="Call"/>
      </w:pPr>
      <w:r w:rsidRPr="00D639E6">
        <w:t>notant</w:t>
      </w:r>
    </w:p>
    <w:p w:rsidR="00B20035" w:rsidRPr="00D639E6" w:rsidRDefault="00B20035" w:rsidP="00B20035">
      <w:pPr>
        <w:rPr>
          <w:rFonts w:eastAsia="Malgun Gothic"/>
        </w:rPr>
      </w:pPr>
      <w:r w:rsidRPr="00D639E6">
        <w:t xml:space="preserve">que certains Etats Membres ont émis des réserves </w:t>
      </w:r>
      <w:r>
        <w:t>au sujet de</w:t>
      </w:r>
      <w:r w:rsidRPr="00D639E6">
        <w:t xml:space="preserve"> </w:t>
      </w:r>
      <w:r>
        <w:t xml:space="preserve">cette </w:t>
      </w:r>
      <w:r w:rsidRPr="00D639E6">
        <w:t>Recommandation</w:t>
      </w:r>
      <w:r>
        <w:t xml:space="preserve"> et</w:t>
      </w:r>
      <w:r w:rsidRPr="00D639E6">
        <w:t xml:space="preserve"> demandé que des précisions soient apportées sur certaines questions et qu</w:t>
      </w:r>
      <w:r>
        <w:t>'</w:t>
      </w:r>
      <w:r w:rsidRPr="00D639E6">
        <w:t>un modèle concret soit élaboré</w:t>
      </w:r>
      <w:r>
        <w:t>,</w:t>
      </w:r>
      <w:r w:rsidRPr="00D639E6">
        <w:t xml:space="preserve"> afin de calculer la valeur de la prime d</w:t>
      </w:r>
      <w:r>
        <w:t>'</w:t>
      </w:r>
      <w:r w:rsidRPr="00D639E6">
        <w:t>externalité de réseau,</w:t>
      </w:r>
    </w:p>
    <w:p w:rsidR="00B20035" w:rsidRPr="00D639E6" w:rsidRDefault="00B20035" w:rsidP="00B20035">
      <w:pPr>
        <w:pStyle w:val="Call"/>
      </w:pPr>
      <w:r w:rsidRPr="00D639E6">
        <w:t>considérant en outre</w:t>
      </w:r>
    </w:p>
    <w:p w:rsidR="00B20035" w:rsidRPr="00D639E6" w:rsidRDefault="00B20035" w:rsidP="00B20035">
      <w:r w:rsidRPr="00D639E6">
        <w:rPr>
          <w:i/>
          <w:iCs/>
        </w:rPr>
        <w:t>a)</w:t>
      </w:r>
      <w:r w:rsidRPr="00D639E6">
        <w:tab/>
      </w:r>
      <w:r>
        <w:t xml:space="preserve">que </w:t>
      </w:r>
      <w:r w:rsidRPr="00D639E6">
        <w:t>la Commission d</w:t>
      </w:r>
      <w:r>
        <w:t>'</w:t>
      </w:r>
      <w:r w:rsidRPr="00D639E6">
        <w:t>études</w:t>
      </w:r>
      <w:r>
        <w:t> </w:t>
      </w:r>
      <w:r w:rsidRPr="00D639E6">
        <w:t xml:space="preserve">3 </w:t>
      </w:r>
      <w:r>
        <w:t xml:space="preserve">du Secteur de la normalisation des télécommunications </w:t>
      </w:r>
      <w:r w:rsidRPr="00D639E6">
        <w:t xml:space="preserve">de </w:t>
      </w:r>
      <w:r>
        <w:t>l'UIT (</w:t>
      </w:r>
      <w:r w:rsidRPr="00D639E6">
        <w:t>UIT-T</w:t>
      </w:r>
      <w:r>
        <w:t>)</w:t>
      </w:r>
      <w:r w:rsidRPr="00D639E6">
        <w:t xml:space="preserve"> </w:t>
      </w:r>
      <w:r>
        <w:t xml:space="preserve">a approuvé </w:t>
      </w:r>
      <w:r w:rsidRPr="00D639E6">
        <w:t>en mai 2010 l</w:t>
      </w:r>
      <w:r>
        <w:t>'</w:t>
      </w:r>
      <w:r w:rsidRPr="00D639E6">
        <w:t>A</w:t>
      </w:r>
      <w:r>
        <w:t>nnexe </w:t>
      </w:r>
      <w:r w:rsidRPr="00D639E6">
        <w:t xml:space="preserve">A </w:t>
      </w:r>
      <w:r>
        <w:t xml:space="preserve">de </w:t>
      </w:r>
      <w:r w:rsidRPr="00D639E6">
        <w:t xml:space="preserve">la Recommandation UIT-T D.156 relative à la mise en </w:t>
      </w:r>
      <w:r>
        <w:t>œuvre</w:t>
      </w:r>
      <w:r w:rsidRPr="00D639E6">
        <w:t xml:space="preserve"> pratique de la Recommandation UIT</w:t>
      </w:r>
      <w:r w:rsidRPr="00D639E6">
        <w:noBreakHyphen/>
        <w:t xml:space="preserve">T D.156, </w:t>
      </w:r>
      <w:r>
        <w:t xml:space="preserve">qui </w:t>
      </w:r>
      <w:r w:rsidRPr="00D639E6">
        <w:t>apporte des réponses aux questions soulevées;</w:t>
      </w:r>
    </w:p>
    <w:p w:rsidR="00B20035" w:rsidRPr="00D639E6" w:rsidRDefault="00B20035" w:rsidP="00B20035">
      <w:r w:rsidRPr="00D639E6">
        <w:rPr>
          <w:i/>
          <w:iCs/>
        </w:rPr>
        <w:t>b)</w:t>
      </w:r>
      <w:r w:rsidRPr="00D639E6">
        <w:tab/>
      </w:r>
      <w:r>
        <w:t xml:space="preserve">que </w:t>
      </w:r>
      <w:r w:rsidRPr="00D639E6">
        <w:t>la Commission d</w:t>
      </w:r>
      <w:r>
        <w:t>'</w:t>
      </w:r>
      <w:r w:rsidRPr="00D639E6">
        <w:t>études</w:t>
      </w:r>
      <w:r>
        <w:t> </w:t>
      </w:r>
      <w:r w:rsidRPr="00D639E6">
        <w:t xml:space="preserve">3 </w:t>
      </w:r>
      <w:r>
        <w:t xml:space="preserve">a approuvé, </w:t>
      </w:r>
      <w:r w:rsidRPr="00D639E6">
        <w:t>en septembre</w:t>
      </w:r>
      <w:r>
        <w:t> </w:t>
      </w:r>
      <w:r w:rsidRPr="00D639E6">
        <w:t>2012</w:t>
      </w:r>
      <w:r>
        <w:t>,</w:t>
      </w:r>
      <w:r w:rsidRPr="00D639E6">
        <w:t xml:space="preserve"> l</w:t>
      </w:r>
      <w:r>
        <w:t>'</w:t>
      </w:r>
      <w:r w:rsidRPr="00D639E6">
        <w:t>Annexe</w:t>
      </w:r>
      <w:r>
        <w:t> </w:t>
      </w:r>
      <w:r w:rsidRPr="00D639E6">
        <w:t>B de la Recommandation UIT-T D.156 relative à la détermination de la valeur de la prime d</w:t>
      </w:r>
      <w:r>
        <w:t>'</w:t>
      </w:r>
      <w:r w:rsidRPr="00D639E6">
        <w:t xml:space="preserve">externalité de réseau, </w:t>
      </w:r>
      <w:r>
        <w:t xml:space="preserve">qui </w:t>
      </w:r>
      <w:r w:rsidRPr="00D639E6">
        <w:t xml:space="preserve">propose une méthode de calcul concrète de </w:t>
      </w:r>
      <w:r>
        <w:t xml:space="preserve">cette </w:t>
      </w:r>
      <w:r w:rsidRPr="00D639E6">
        <w:t>prime,</w:t>
      </w:r>
    </w:p>
    <w:p w:rsidR="00B20035" w:rsidRDefault="00B20035" w:rsidP="00B20035">
      <w:pPr>
        <w:pStyle w:val="Call"/>
      </w:pPr>
      <w:r>
        <w:t xml:space="preserve">émet le voeu </w:t>
      </w:r>
    </w:p>
    <w:p w:rsidR="00B20035" w:rsidRDefault="00B20035" w:rsidP="00B20035">
      <w:r>
        <w:t>que, compte tenu des progrès réalisés à ce jour par la Commission d'études 3, les Etats Membres concernés voudront peut-être revoir les positions respectives qu'ils avaient adoptées à l'AMNT-08 et, éventuellement, retirer le</w:t>
      </w:r>
      <w:r w:rsidRPr="00D639E6">
        <w:t xml:space="preserve">s réserves </w:t>
      </w:r>
      <w:r>
        <w:t xml:space="preserve">qu'ils avaient émises </w:t>
      </w:r>
      <w:r w:rsidRPr="00D639E6">
        <w:t>concernant la Recommandation UIT-T D.156</w:t>
      </w:r>
      <w:r>
        <w:t>,</w:t>
      </w:r>
    </w:p>
    <w:p w:rsidR="00B20035" w:rsidRPr="00323DA2" w:rsidRDefault="00B20035" w:rsidP="00B20035">
      <w:pPr>
        <w:pStyle w:val="Call"/>
      </w:pPr>
      <w:r w:rsidRPr="00323DA2">
        <w:t>invite les Etats Membres</w:t>
      </w:r>
    </w:p>
    <w:p w:rsidR="00B20035" w:rsidRPr="00D639E6" w:rsidRDefault="00B20035" w:rsidP="00B20035">
      <w:r w:rsidRPr="00D639E6">
        <w:t xml:space="preserve">à prendre toutes les mesures nécessaires pour </w:t>
      </w:r>
      <w:r>
        <w:t xml:space="preserve">assurer </w:t>
      </w:r>
      <w:r w:rsidRPr="00D639E6">
        <w:t xml:space="preserve">la mise en </w:t>
      </w:r>
      <w:r>
        <w:t>œuvre</w:t>
      </w:r>
      <w:r w:rsidRPr="00D639E6">
        <w:t xml:space="preserve"> </w:t>
      </w:r>
      <w:r>
        <w:t xml:space="preserve">effective </w:t>
      </w:r>
      <w:r w:rsidRPr="00D639E6">
        <w:t>de</w:t>
      </w:r>
      <w:r>
        <w:t xml:space="preserve"> la</w:t>
      </w:r>
      <w:r w:rsidRPr="00D639E6">
        <w:t xml:space="preserve"> Recommandation</w:t>
      </w:r>
      <w:r>
        <w:t xml:space="preserve"> UIT</w:t>
      </w:r>
      <w:r>
        <w:noBreakHyphen/>
        <w:t>T D.156</w:t>
      </w:r>
      <w:r w:rsidRPr="00D639E6">
        <w:t>,</w:t>
      </w:r>
    </w:p>
    <w:p w:rsidR="00B20035" w:rsidRPr="00D639E6" w:rsidRDefault="00B20035" w:rsidP="00B20035">
      <w:pPr>
        <w:pStyle w:val="Call"/>
      </w:pPr>
      <w:r>
        <w:t>i</w:t>
      </w:r>
      <w:r w:rsidRPr="00D639E6">
        <w:t>nvite</w:t>
      </w:r>
      <w:r>
        <w:t xml:space="preserve"> le Conseil</w:t>
      </w:r>
      <w:r w:rsidRPr="00D639E6">
        <w:t xml:space="preserve"> </w:t>
      </w:r>
    </w:p>
    <w:p w:rsidR="00B20035" w:rsidRDefault="00B20035" w:rsidP="00B20035">
      <w:pPr>
        <w:rPr>
          <w:lang w:val="fr-CH"/>
        </w:rPr>
      </w:pPr>
      <w:r w:rsidRPr="00D639E6">
        <w:t>à</w:t>
      </w:r>
      <w:r>
        <w:t xml:space="preserve"> sa session de 2013,</w:t>
      </w:r>
      <w:r w:rsidRPr="00D639E6">
        <w:t xml:space="preserve"> à </w:t>
      </w:r>
      <w:r>
        <w:t xml:space="preserve">faire </w:t>
      </w:r>
      <w:r w:rsidRPr="00D639E6">
        <w:t>rapport sur ce sujet</w:t>
      </w:r>
      <w:r>
        <w:t xml:space="preserve"> </w:t>
      </w:r>
      <w:r w:rsidRPr="00D639E6">
        <w:t xml:space="preserve">à la Conférence de </w:t>
      </w:r>
      <w:r>
        <w:t>p</w:t>
      </w:r>
      <w:r w:rsidRPr="00D639E6">
        <w:t>lénipotentiaires de</w:t>
      </w:r>
      <w:r>
        <w:t> </w:t>
      </w:r>
      <w:r w:rsidRPr="00D639E6">
        <w:t>2014, conformément à la Résolution</w:t>
      </w:r>
      <w:r>
        <w:t> </w:t>
      </w:r>
      <w:r w:rsidRPr="00D639E6">
        <w:t xml:space="preserve">22 (Rév. </w:t>
      </w:r>
      <w:r w:rsidRPr="00415608">
        <w:rPr>
          <w:lang w:val="fr-CH"/>
        </w:rPr>
        <w:t>Antalya, 2006).</w:t>
      </w:r>
    </w:p>
    <w:p w:rsidR="00EB6BEB" w:rsidRDefault="00EB6BEB" w:rsidP="00EB6BEB">
      <w:pPr>
        <w:rPr>
          <w:lang w:val="fr-CH"/>
        </w:rPr>
      </w:pPr>
    </w:p>
    <w:p w:rsidR="00B20035" w:rsidRPr="007C5AAC" w:rsidRDefault="00B20035" w:rsidP="00EB6BEB">
      <w:pPr>
        <w:rPr>
          <w:lang w:val="fr-CH"/>
        </w:rPr>
      </w:pPr>
    </w:p>
    <w:sectPr w:rsidR="00B20035" w:rsidRPr="007C5AAC" w:rsidSect="00B20035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089" w:right="1089" w:bottom="1089" w:left="1089" w:header="482" w:footer="482" w:gutter="0"/>
      <w:paperSrc w:first="15" w:other="15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EAA" w:rsidRDefault="00C25EAA">
      <w:r>
        <w:separator/>
      </w:r>
    </w:p>
  </w:endnote>
  <w:endnote w:type="continuationSeparator" w:id="0">
    <w:p w:rsidR="00C25EAA" w:rsidRDefault="00C2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35" w:rsidRDefault="00B200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35" w:rsidRDefault="00B200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35" w:rsidRDefault="00B2003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9C" w:rsidRDefault="00A8419C" w:rsidP="00A8419C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>-12 – Résolution 1</w:t>
    </w:r>
    <w:r>
      <w:rPr>
        <w:lang w:val="en-US"/>
      </w:rPr>
      <w:tab/>
    </w:r>
    <w:r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  <w:lang w:val="en-US"/>
      </w:rPr>
      <w:fldChar w:fldCharType="separate"/>
    </w:r>
    <w:r w:rsidR="00F51075">
      <w:rPr>
        <w:b w:val="0"/>
        <w:noProof/>
        <w:lang w:val="en-US"/>
      </w:rPr>
      <w:t>3</w:t>
    </w:r>
    <w:r>
      <w:rPr>
        <w:b w:val="0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9C" w:rsidRDefault="00A8419C" w:rsidP="00F51075">
    <w:pPr>
      <w:pStyle w:val="FooterQP"/>
      <w:rPr>
        <w:b w:val="0"/>
        <w:lang w:val="en-US"/>
      </w:rPr>
    </w:pPr>
    <w:r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  <w:lang w:val="en-US"/>
      </w:rPr>
      <w:fldChar w:fldCharType="separate"/>
    </w:r>
    <w:r w:rsidR="00B20035">
      <w:rPr>
        <w:b w:val="0"/>
        <w:noProof/>
        <w:lang w:val="en-US"/>
      </w:rPr>
      <w:t>24</w:t>
    </w:r>
    <w:r>
      <w:rPr>
        <w:b w:val="0"/>
        <w:lang w:val="en-US"/>
      </w:rPr>
      <w:fldChar w:fldCharType="end"/>
    </w:r>
    <w:r>
      <w:tab/>
      <w:t>AMNT</w:t>
    </w:r>
    <w:r>
      <w:rPr>
        <w:lang w:val="en-US"/>
      </w:rPr>
      <w:t>-</w:t>
    </w:r>
    <w:r w:rsidR="00F51075">
      <w:rPr>
        <w:lang w:val="en-US"/>
      </w:rPr>
      <w:t>12</w:t>
    </w:r>
    <w:r>
      <w:rPr>
        <w:lang w:val="en-US"/>
      </w:rPr>
      <w:t xml:space="preserve"> – Résolution 1</w:t>
    </w:r>
    <w:r>
      <w:rPr>
        <w:lang w:val="en-US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9C" w:rsidRPr="00B20035" w:rsidRDefault="00B20035" w:rsidP="00B20035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>-12 – Voeu 1</w:t>
    </w:r>
    <w:r>
      <w:rPr>
        <w:lang w:val="en-US"/>
      </w:rPr>
      <w:tab/>
    </w:r>
    <w:r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  <w:lang w:val="en-US"/>
      </w:rPr>
      <w:fldChar w:fldCharType="separate"/>
    </w:r>
    <w:r w:rsidR="00DD1541">
      <w:rPr>
        <w:b w:val="0"/>
        <w:noProof/>
        <w:lang w:val="en-US"/>
      </w:rPr>
      <w:t>1</w:t>
    </w:r>
    <w:r>
      <w:rPr>
        <w:b w:val="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EAA" w:rsidRDefault="00C25EAA">
      <w:r>
        <w:t>____________________</w:t>
      </w:r>
    </w:p>
  </w:footnote>
  <w:footnote w:type="continuationSeparator" w:id="0">
    <w:p w:rsidR="00C25EAA" w:rsidRDefault="00C25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75" w:rsidRDefault="00F51075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75E81" wp14:editId="2A713456">
              <wp:simplePos x="0" y="0"/>
              <wp:positionH relativeFrom="column">
                <wp:posOffset>-548640</wp:posOffset>
              </wp:positionH>
              <wp:positionV relativeFrom="paragraph">
                <wp:posOffset>375920</wp:posOffset>
              </wp:positionV>
              <wp:extent cx="518795" cy="6318885"/>
              <wp:effectExtent l="0" t="0" r="0" b="5715"/>
              <wp:wrapNone/>
              <wp:docPr id="10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6318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075" w:rsidRPr="008B3C20" w:rsidRDefault="00F51075" w:rsidP="00F51075">
                          <w:pPr>
                            <w:pStyle w:val="FooterQP"/>
                            <w:rPr>
                              <w:lang w:val="fr-CH"/>
                            </w:rPr>
                          </w:pPr>
                          <w:r w:rsidRPr="002D6EB1">
                            <w:rPr>
                              <w:b w:val="0"/>
                            </w:rPr>
                            <w:fldChar w:fldCharType="begin"/>
                          </w:r>
                          <w:r w:rsidRPr="008B3C20">
                            <w:rPr>
                              <w:b w:val="0"/>
                              <w:lang w:val="fr-CH"/>
                            </w:rPr>
                            <w:instrText xml:space="preserve"> PAGE  \* MERGEFORMAT </w:instrText>
                          </w:r>
                          <w:r w:rsidRPr="002D6EB1">
                            <w:rPr>
                              <w:b w:val="0"/>
                            </w:rPr>
                            <w:fldChar w:fldCharType="separate"/>
                          </w:r>
                          <w:r w:rsidR="00C42B10">
                            <w:rPr>
                              <w:b w:val="0"/>
                              <w:noProof/>
                              <w:lang w:val="fr-CH"/>
                            </w:rPr>
                            <w:t>2</w:t>
                          </w:r>
                          <w:r w:rsidRPr="002D6EB1">
                            <w:rPr>
                              <w:b w:val="0"/>
                            </w:rPr>
                            <w:fldChar w:fldCharType="end"/>
                          </w:r>
                          <w:r w:rsidRPr="008B3C20">
                            <w:rPr>
                              <w:b w:val="0"/>
                              <w:lang w:val="fr-CH"/>
                            </w:rPr>
                            <w:t xml:space="preserve">           </w:t>
                          </w:r>
                          <w:r w:rsidRPr="008B3C20">
                            <w:rPr>
                              <w:lang w:val="fr-CH"/>
                            </w:rPr>
                            <w:t xml:space="preserve">AMNT-12 – Actes – Partie </w:t>
                          </w:r>
                          <w:r>
                            <w:rPr>
                              <w:lang w:val="fr-CH"/>
                            </w:rPr>
                            <w:t>1</w:t>
                          </w:r>
                          <w:r w:rsidRPr="008B3C20">
                            <w:rPr>
                              <w:lang w:val="fr-CH"/>
                            </w:rPr>
                            <w:t xml:space="preserve"> – Résolution</w:t>
                          </w:r>
                          <w:r>
                            <w:rPr>
                              <w:lang w:val="fr-CH"/>
                            </w:rPr>
                            <w:t xml:space="preserve"> 1</w:t>
                          </w:r>
                          <w:r w:rsidRPr="008B3C20">
                            <w:rPr>
                              <w:lang w:val="fr-CH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75E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3.2pt;margin-top:29.6pt;width:40.85pt;height:49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mchAIAABMFAAAOAAAAZHJzL2Uyb0RvYy54bWysVFtv2yAUfp+0/4B4T21ndmJbcaomXaZJ&#10;3UVqt3cCOEbD4AGJXU377zvgJE13kaZpfsBcDt+5fN9hcT20Eh24sUKrCidXMUZcUc2E2lX408Nm&#10;kmNkHVGMSK14hR+5xdfLly8WfVfyqW60ZNwgAFG27LsKN851ZRRZ2vCW2CvdcQWHtTYtcbA0u4gZ&#10;0gN6K6NpHM+iXhvWGU25tbB7Ox7iZcCva07dh7q23CFZYYjNhdGEcevHaLkg5c6QrhH0GAb5hyha&#10;IhQ4PUPdEkfQ3ohfoFpBjba6dldUt5Gua0F5yAGySeKfsrlvSMdDLlAc253LZP8fLH1/+GiQYMBd&#10;nGGkSAskPfDBoZUe0MzXp+9sCWb3HRi6AbbBNuRquztNv1ik9LohasdvjNF9wwmD+BJ/M7q4OuJY&#10;D7Lt32kGbsje6QA01Kb1xYNyIEAHnh7P3PhQKGxmST4vIEIKR7NXSZ7nWXBBytPtzlj3husW+UmF&#10;DXAf0MnhzjofDSlPJt6Z1VKwjZAyLMxuu5YGHQjoZBO+I/ozM6m8sdL+2og47kCQ4MOf+XAD79+K&#10;ZJrGq2kx2czy+STdpNmkmMf5JE6KVTGL0yK93Xz3ASZp2QjGuLoTip80mKR/x/GxG0b1BBWivsJF&#10;Ns1Giv6YZBy+3yXZCgctKUVb4fxsREpP7GvFIG1SOiLkOI+ehx+qDDU4/UNVggw886MG3LAdAMVr&#10;Y6vZIwjCaOALWId3BCacfIY/Rj10ZYXt1z0xHCP5VoGsiiRNfRuHRZrNp7AwlyfbyxOiaKOh2QFs&#10;nK7d2Pr7zohdA75GISt9A1KsRVDJU1xHAUPnhXSOr4Rv7ct1sHp6y5Y/AAAA//8DAFBLAwQUAAYA&#10;CAAAACEAa2BuPeEAAAAKAQAADwAAAGRycy9kb3ducmV2LnhtbEyPQU/CQBCF7yb+h82YeCFlCy0U&#10;a7eEED2YxhgQ7ks7to3d2aa7QP33Dic9Tt6X977J1qPpxAUH11pSMJuGIJBKW7VUKzh8vgYrEM5r&#10;qnRnCRX8oIN1fn+X6bSyV9rhZe9rwSXkUq2g8b5PpXRlg0a7qe2ROPuyg9Gez6GW1aCvXG46OQ/D&#10;pTS6JV5odI/bBsvv/dkomESF28ySMTlG79uPt+JlsvMFKvX4MG6eQXgc/R8MN31Wh5ydTvZMlROd&#10;gmC1jBlVsHiag2AgiBMQJwbDRRyBzDP5/4X8FwAA//8DAFBLAQItABQABgAIAAAAIQC2gziS/gAA&#10;AOEBAAATAAAAAAAAAAAAAAAAAAAAAABbQ29udGVudF9UeXBlc10ueG1sUEsBAi0AFAAGAAgAAAAh&#10;ADj9If/WAAAAlAEAAAsAAAAAAAAAAAAAAAAALwEAAF9yZWxzLy5yZWxzUEsBAi0AFAAGAAgAAAAh&#10;AOYMqZyEAgAAEwUAAA4AAAAAAAAAAAAAAAAALgIAAGRycy9lMm9Eb2MueG1sUEsBAi0AFAAGAAgA&#10;AAAhAGtgbj3hAAAACgEAAA8AAAAAAAAAAAAAAAAA3gQAAGRycy9kb3ducmV2LnhtbFBLBQYAAAAA&#10;BAAEAPMAAADsBQAAAAA=&#10;" stroked="f">
              <v:textbox style="layout-flow:vertical-ideographic">
                <w:txbxContent>
                  <w:p w:rsidR="00F51075" w:rsidRPr="008B3C20" w:rsidRDefault="00F51075" w:rsidP="00F51075">
                    <w:pPr>
                      <w:pStyle w:val="FooterQP"/>
                      <w:rPr>
                        <w:lang w:val="fr-CH"/>
                      </w:rPr>
                    </w:pPr>
                    <w:r w:rsidRPr="002D6EB1">
                      <w:rPr>
                        <w:b w:val="0"/>
                      </w:rPr>
                      <w:fldChar w:fldCharType="begin"/>
                    </w:r>
                    <w:r w:rsidRPr="008B3C20">
                      <w:rPr>
                        <w:b w:val="0"/>
                        <w:lang w:val="fr-CH"/>
                      </w:rPr>
                      <w:instrText xml:space="preserve"> PAGE  \* MERGEFORMAT </w:instrText>
                    </w:r>
                    <w:r w:rsidRPr="002D6EB1">
                      <w:rPr>
                        <w:b w:val="0"/>
                      </w:rPr>
                      <w:fldChar w:fldCharType="separate"/>
                    </w:r>
                    <w:r w:rsidR="00C42B10">
                      <w:rPr>
                        <w:b w:val="0"/>
                        <w:noProof/>
                        <w:lang w:val="fr-CH"/>
                      </w:rPr>
                      <w:t>2</w:t>
                    </w:r>
                    <w:r w:rsidRPr="002D6EB1">
                      <w:rPr>
                        <w:b w:val="0"/>
                      </w:rPr>
                      <w:fldChar w:fldCharType="end"/>
                    </w:r>
                    <w:r w:rsidRPr="008B3C20">
                      <w:rPr>
                        <w:b w:val="0"/>
                        <w:lang w:val="fr-CH"/>
                      </w:rPr>
                      <w:t xml:space="preserve">           </w:t>
                    </w:r>
                    <w:r w:rsidRPr="008B3C20">
                      <w:rPr>
                        <w:lang w:val="fr-CH"/>
                      </w:rPr>
                      <w:t xml:space="preserve">AMNT-12 – Actes – Partie </w:t>
                    </w:r>
                    <w:r>
                      <w:rPr>
                        <w:lang w:val="fr-CH"/>
                      </w:rPr>
                      <w:t>1</w:t>
                    </w:r>
                    <w:r w:rsidRPr="008B3C20">
                      <w:rPr>
                        <w:lang w:val="fr-CH"/>
                      </w:rPr>
                      <w:t xml:space="preserve"> – Résolution</w:t>
                    </w:r>
                    <w:r>
                      <w:rPr>
                        <w:lang w:val="fr-CH"/>
                      </w:rPr>
                      <w:t xml:space="preserve"> 1</w:t>
                    </w:r>
                    <w:r w:rsidRPr="008B3C20">
                      <w:rPr>
                        <w:lang w:val="fr-CH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35" w:rsidRDefault="00B200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35" w:rsidRDefault="00B2003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10" w:rsidRDefault="00C42B1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10" w:rsidRDefault="00C42B1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10" w:rsidRDefault="00C42B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C92"/>
    <w:multiLevelType w:val="hybridMultilevel"/>
    <w:tmpl w:val="4F98DD66"/>
    <w:lvl w:ilvl="0" w:tplc="C6BA6F22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5863"/>
    <w:multiLevelType w:val="hybridMultilevel"/>
    <w:tmpl w:val="36527874"/>
    <w:lvl w:ilvl="0" w:tplc="07B88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2F17"/>
    <w:multiLevelType w:val="hybridMultilevel"/>
    <w:tmpl w:val="9CFAC4A6"/>
    <w:lvl w:ilvl="0" w:tplc="78B2D2D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3B86"/>
    <w:multiLevelType w:val="hybridMultilevel"/>
    <w:tmpl w:val="650253C0"/>
    <w:lvl w:ilvl="0" w:tplc="BF7A34CE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B4AA1"/>
    <w:multiLevelType w:val="hybridMultilevel"/>
    <w:tmpl w:val="958E07B2"/>
    <w:lvl w:ilvl="0" w:tplc="FD449DC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40D"/>
    <w:multiLevelType w:val="hybridMultilevel"/>
    <w:tmpl w:val="7C0C7DA2"/>
    <w:lvl w:ilvl="0" w:tplc="1E56376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23EB4"/>
    <w:multiLevelType w:val="hybridMultilevel"/>
    <w:tmpl w:val="76225E68"/>
    <w:lvl w:ilvl="0" w:tplc="0C26801C">
      <w:start w:val="10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21169D"/>
    <w:multiLevelType w:val="hybridMultilevel"/>
    <w:tmpl w:val="83B2AF3A"/>
    <w:lvl w:ilvl="0" w:tplc="0980CDD6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5E14E5"/>
    <w:multiLevelType w:val="hybridMultilevel"/>
    <w:tmpl w:val="A60EF316"/>
    <w:lvl w:ilvl="0" w:tplc="1048F9A8">
      <w:start w:val="1"/>
      <w:numFmt w:val="decimal"/>
      <w:lvlText w:val="(%1)"/>
      <w:lvlJc w:val="left"/>
      <w:pPr>
        <w:tabs>
          <w:tab w:val="num" w:pos="794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66495E"/>
    <w:multiLevelType w:val="hybridMultilevel"/>
    <w:tmpl w:val="A8347968"/>
    <w:lvl w:ilvl="0" w:tplc="1BDC0ED6">
      <w:start w:val="1"/>
      <w:numFmt w:val="lowerLetter"/>
      <w:lvlText w:val="%1)"/>
      <w:lvlJc w:val="left"/>
      <w:pPr>
        <w:tabs>
          <w:tab w:val="num" w:pos="794"/>
        </w:tabs>
      </w:pPr>
      <w:rPr>
        <w:rFonts w:cs="Times New Roman" w:hint="default"/>
      </w:rPr>
    </w:lvl>
    <w:lvl w:ilvl="1" w:tplc="62E0906E">
      <w:start w:val="1"/>
      <w:numFmt w:val="bullet"/>
      <w:lvlText w:val=""/>
      <w:lvlJc w:val="left"/>
      <w:pPr>
        <w:tabs>
          <w:tab w:val="num" w:pos="624"/>
        </w:tabs>
        <w:ind w:left="1418" w:hanging="62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8F0686"/>
    <w:multiLevelType w:val="hybridMultilevel"/>
    <w:tmpl w:val="D3AE4562"/>
    <w:lvl w:ilvl="0" w:tplc="BD38B312">
      <w:start w:val="1"/>
      <w:numFmt w:val="bullet"/>
      <w:lvlText w:val=""/>
      <w:lvlJc w:val="left"/>
      <w:pPr>
        <w:tabs>
          <w:tab w:val="num" w:pos="794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97E7B"/>
    <w:multiLevelType w:val="hybridMultilevel"/>
    <w:tmpl w:val="1DE084F4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356F5"/>
    <w:multiLevelType w:val="hybridMultilevel"/>
    <w:tmpl w:val="6C463346"/>
    <w:lvl w:ilvl="0" w:tplc="78B2D2D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F2E23"/>
    <w:multiLevelType w:val="hybridMultilevel"/>
    <w:tmpl w:val="653E5502"/>
    <w:lvl w:ilvl="0" w:tplc="FD449DC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13A0A"/>
    <w:multiLevelType w:val="hybridMultilevel"/>
    <w:tmpl w:val="A5146B26"/>
    <w:lvl w:ilvl="0" w:tplc="067E600E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54B4FFA8">
      <w:start w:val="1"/>
      <w:numFmt w:val="lowerLetter"/>
      <w:lvlText w:val="%2)"/>
      <w:lvlJc w:val="left"/>
      <w:pPr>
        <w:tabs>
          <w:tab w:val="num" w:pos="624"/>
        </w:tabs>
        <w:ind w:left="1418" w:hanging="62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FE3C42"/>
    <w:multiLevelType w:val="hybridMultilevel"/>
    <w:tmpl w:val="3E84E102"/>
    <w:lvl w:ilvl="0" w:tplc="1BDC0ED6">
      <w:start w:val="1"/>
      <w:numFmt w:val="lowerLetter"/>
      <w:lvlText w:val="%1)"/>
      <w:lvlJc w:val="left"/>
      <w:pPr>
        <w:tabs>
          <w:tab w:val="num" w:pos="794"/>
        </w:tabs>
      </w:pPr>
      <w:rPr>
        <w:rFonts w:cs="Times New Roman" w:hint="default"/>
      </w:rPr>
    </w:lvl>
    <w:lvl w:ilvl="1" w:tplc="5A6AF25C">
      <w:start w:val="1"/>
      <w:numFmt w:val="bullet"/>
      <w:lvlText w:val=""/>
      <w:lvlJc w:val="left"/>
      <w:pPr>
        <w:tabs>
          <w:tab w:val="num" w:pos="624"/>
        </w:tabs>
        <w:ind w:left="624" w:firstLine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70C6A34"/>
    <w:multiLevelType w:val="hybridMultilevel"/>
    <w:tmpl w:val="4EB614DC"/>
    <w:lvl w:ilvl="0" w:tplc="59E4F08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7331B"/>
    <w:multiLevelType w:val="hybridMultilevel"/>
    <w:tmpl w:val="A94A011E"/>
    <w:lvl w:ilvl="0" w:tplc="1E56376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45179"/>
    <w:multiLevelType w:val="hybridMultilevel"/>
    <w:tmpl w:val="86DAB9DE"/>
    <w:lvl w:ilvl="0" w:tplc="4710A22A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C97628"/>
    <w:multiLevelType w:val="multilevel"/>
    <w:tmpl w:val="51C44DD6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43F7651"/>
    <w:multiLevelType w:val="hybridMultilevel"/>
    <w:tmpl w:val="B00419DC"/>
    <w:lvl w:ilvl="0" w:tplc="07B88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E4B30"/>
    <w:multiLevelType w:val="hybridMultilevel"/>
    <w:tmpl w:val="AC5262AC"/>
    <w:lvl w:ilvl="0" w:tplc="1810954C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7343D"/>
    <w:multiLevelType w:val="hybridMultilevel"/>
    <w:tmpl w:val="7F16036A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91345"/>
    <w:multiLevelType w:val="hybridMultilevel"/>
    <w:tmpl w:val="03701896"/>
    <w:lvl w:ilvl="0" w:tplc="90FA4456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253C79"/>
    <w:multiLevelType w:val="hybridMultilevel"/>
    <w:tmpl w:val="82A47640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8"/>
  </w:num>
  <w:num w:numId="5">
    <w:abstractNumId w:val="14"/>
  </w:num>
  <w:num w:numId="6">
    <w:abstractNumId w:val="6"/>
  </w:num>
  <w:num w:numId="7">
    <w:abstractNumId w:val="23"/>
  </w:num>
  <w:num w:numId="8">
    <w:abstractNumId w:val="0"/>
  </w:num>
  <w:num w:numId="9">
    <w:abstractNumId w:val="20"/>
  </w:num>
  <w:num w:numId="10">
    <w:abstractNumId w:val="8"/>
  </w:num>
  <w:num w:numId="11">
    <w:abstractNumId w:val="1"/>
  </w:num>
  <w:num w:numId="12">
    <w:abstractNumId w:val="10"/>
  </w:num>
  <w:num w:numId="13">
    <w:abstractNumId w:val="16"/>
  </w:num>
  <w:num w:numId="14">
    <w:abstractNumId w:val="3"/>
  </w:num>
  <w:num w:numId="15">
    <w:abstractNumId w:val="5"/>
  </w:num>
  <w:num w:numId="16">
    <w:abstractNumId w:val="17"/>
  </w:num>
  <w:num w:numId="17">
    <w:abstractNumId w:val="7"/>
  </w:num>
  <w:num w:numId="18">
    <w:abstractNumId w:val="13"/>
  </w:num>
  <w:num w:numId="19">
    <w:abstractNumId w:val="4"/>
  </w:num>
  <w:num w:numId="20">
    <w:abstractNumId w:val="11"/>
  </w:num>
  <w:num w:numId="21">
    <w:abstractNumId w:val="24"/>
  </w:num>
  <w:num w:numId="22">
    <w:abstractNumId w:val="22"/>
  </w:num>
  <w:num w:numId="23">
    <w:abstractNumId w:val="2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9E"/>
    <w:rsid w:val="00016113"/>
    <w:rsid w:val="00022334"/>
    <w:rsid w:val="00034872"/>
    <w:rsid w:val="000B79FF"/>
    <w:rsid w:val="000C20AB"/>
    <w:rsid w:val="000D3895"/>
    <w:rsid w:val="000F00AF"/>
    <w:rsid w:val="000F2D02"/>
    <w:rsid w:val="000F3A4D"/>
    <w:rsid w:val="001055F6"/>
    <w:rsid w:val="00123BBC"/>
    <w:rsid w:val="00135E39"/>
    <w:rsid w:val="00142260"/>
    <w:rsid w:val="00146B46"/>
    <w:rsid w:val="001509F1"/>
    <w:rsid w:val="001911E3"/>
    <w:rsid w:val="001A3FCC"/>
    <w:rsid w:val="001A58B6"/>
    <w:rsid w:val="001B490B"/>
    <w:rsid w:val="001B4BEB"/>
    <w:rsid w:val="001C347A"/>
    <w:rsid w:val="001C7878"/>
    <w:rsid w:val="001C7973"/>
    <w:rsid w:val="001D1339"/>
    <w:rsid w:val="001D6630"/>
    <w:rsid w:val="001E2EFA"/>
    <w:rsid w:val="001E7E95"/>
    <w:rsid w:val="002031ED"/>
    <w:rsid w:val="002167B8"/>
    <w:rsid w:val="00217791"/>
    <w:rsid w:val="00243C77"/>
    <w:rsid w:val="00274849"/>
    <w:rsid w:val="0028794F"/>
    <w:rsid w:val="002923F1"/>
    <w:rsid w:val="002952C6"/>
    <w:rsid w:val="002C3A8D"/>
    <w:rsid w:val="002C7353"/>
    <w:rsid w:val="002E2CFB"/>
    <w:rsid w:val="002F08F4"/>
    <w:rsid w:val="002F55D0"/>
    <w:rsid w:val="00311192"/>
    <w:rsid w:val="00311F37"/>
    <w:rsid w:val="0031393D"/>
    <w:rsid w:val="0035602D"/>
    <w:rsid w:val="00372E35"/>
    <w:rsid w:val="0039710E"/>
    <w:rsid w:val="003A55FD"/>
    <w:rsid w:val="003B42BC"/>
    <w:rsid w:val="003E424C"/>
    <w:rsid w:val="00436471"/>
    <w:rsid w:val="0045738E"/>
    <w:rsid w:val="004A196C"/>
    <w:rsid w:val="004A2271"/>
    <w:rsid w:val="004B2A84"/>
    <w:rsid w:val="004B4ADF"/>
    <w:rsid w:val="004E489E"/>
    <w:rsid w:val="00527C0E"/>
    <w:rsid w:val="00532E38"/>
    <w:rsid w:val="005363D3"/>
    <w:rsid w:val="00542D7C"/>
    <w:rsid w:val="00555BC4"/>
    <w:rsid w:val="005939B4"/>
    <w:rsid w:val="00594048"/>
    <w:rsid w:val="005C3A2B"/>
    <w:rsid w:val="00605426"/>
    <w:rsid w:val="00670808"/>
    <w:rsid w:val="006734F6"/>
    <w:rsid w:val="006D34A0"/>
    <w:rsid w:val="006E0DB1"/>
    <w:rsid w:val="006F6569"/>
    <w:rsid w:val="007175CA"/>
    <w:rsid w:val="00736828"/>
    <w:rsid w:val="0074364C"/>
    <w:rsid w:val="0075696E"/>
    <w:rsid w:val="00762D2E"/>
    <w:rsid w:val="00770007"/>
    <w:rsid w:val="007E0A86"/>
    <w:rsid w:val="0080529A"/>
    <w:rsid w:val="00814657"/>
    <w:rsid w:val="008225FB"/>
    <w:rsid w:val="00832238"/>
    <w:rsid w:val="00840DD3"/>
    <w:rsid w:val="00890C03"/>
    <w:rsid w:val="00895013"/>
    <w:rsid w:val="008968B6"/>
    <w:rsid w:val="008A4C14"/>
    <w:rsid w:val="008B1654"/>
    <w:rsid w:val="008B5637"/>
    <w:rsid w:val="008B7A32"/>
    <w:rsid w:val="009051DF"/>
    <w:rsid w:val="00905B9E"/>
    <w:rsid w:val="00913010"/>
    <w:rsid w:val="00927BFB"/>
    <w:rsid w:val="00935D28"/>
    <w:rsid w:val="00970ECA"/>
    <w:rsid w:val="009B173B"/>
    <w:rsid w:val="009B27D0"/>
    <w:rsid w:val="009F107E"/>
    <w:rsid w:val="00A20553"/>
    <w:rsid w:val="00A25654"/>
    <w:rsid w:val="00A81CCC"/>
    <w:rsid w:val="00A8419C"/>
    <w:rsid w:val="00A937E0"/>
    <w:rsid w:val="00AC622B"/>
    <w:rsid w:val="00AC6AA3"/>
    <w:rsid w:val="00AE3ADA"/>
    <w:rsid w:val="00AE7F0A"/>
    <w:rsid w:val="00B20035"/>
    <w:rsid w:val="00B62C56"/>
    <w:rsid w:val="00B758AA"/>
    <w:rsid w:val="00B9040E"/>
    <w:rsid w:val="00BD71E4"/>
    <w:rsid w:val="00C25EAA"/>
    <w:rsid w:val="00C26282"/>
    <w:rsid w:val="00C31070"/>
    <w:rsid w:val="00C36D4E"/>
    <w:rsid w:val="00C42B10"/>
    <w:rsid w:val="00C50F7A"/>
    <w:rsid w:val="00C97C18"/>
    <w:rsid w:val="00CA53FC"/>
    <w:rsid w:val="00CB2074"/>
    <w:rsid w:val="00CF559F"/>
    <w:rsid w:val="00D43879"/>
    <w:rsid w:val="00D70EE6"/>
    <w:rsid w:val="00D77498"/>
    <w:rsid w:val="00D819A4"/>
    <w:rsid w:val="00D833C9"/>
    <w:rsid w:val="00D84836"/>
    <w:rsid w:val="00DD1541"/>
    <w:rsid w:val="00DD5C3D"/>
    <w:rsid w:val="00DF1309"/>
    <w:rsid w:val="00E143D1"/>
    <w:rsid w:val="00E15C07"/>
    <w:rsid w:val="00E17E4E"/>
    <w:rsid w:val="00E213F4"/>
    <w:rsid w:val="00E60FAB"/>
    <w:rsid w:val="00E64849"/>
    <w:rsid w:val="00E80E40"/>
    <w:rsid w:val="00EB67B3"/>
    <w:rsid w:val="00EB6BEB"/>
    <w:rsid w:val="00EC12B6"/>
    <w:rsid w:val="00EE6B43"/>
    <w:rsid w:val="00F05524"/>
    <w:rsid w:val="00F23C79"/>
    <w:rsid w:val="00F37CBC"/>
    <w:rsid w:val="00F51075"/>
    <w:rsid w:val="00F60B83"/>
    <w:rsid w:val="00FA7344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851DB00-87F9-45DF-9843-885E2B14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23BBC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3BB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3BB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3BB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3BBC"/>
    <w:pPr>
      <w:outlineLvl w:val="4"/>
    </w:pPr>
  </w:style>
  <w:style w:type="paragraph" w:styleId="Heading6">
    <w:name w:val="heading 6"/>
    <w:basedOn w:val="Heading4"/>
    <w:next w:val="Normal"/>
    <w:qFormat/>
    <w:rsid w:val="00123BB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3BBC"/>
    <w:pPr>
      <w:outlineLvl w:val="6"/>
    </w:pPr>
  </w:style>
  <w:style w:type="paragraph" w:styleId="Heading8">
    <w:name w:val="heading 8"/>
    <w:basedOn w:val="Heading6"/>
    <w:next w:val="Normal"/>
    <w:qFormat/>
    <w:rsid w:val="00123BBC"/>
    <w:pPr>
      <w:outlineLvl w:val="7"/>
    </w:pPr>
  </w:style>
  <w:style w:type="paragraph" w:styleId="Heading9">
    <w:name w:val="heading 9"/>
    <w:basedOn w:val="Heading6"/>
    <w:next w:val="Normal"/>
    <w:qFormat/>
    <w:rsid w:val="00123B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23BBC"/>
  </w:style>
  <w:style w:type="paragraph" w:styleId="TOC4">
    <w:name w:val="toc 4"/>
    <w:basedOn w:val="TOC3"/>
    <w:semiHidden/>
    <w:rsid w:val="00123BBC"/>
  </w:style>
  <w:style w:type="paragraph" w:styleId="TOC3">
    <w:name w:val="toc 3"/>
    <w:basedOn w:val="TOC2"/>
    <w:semiHidden/>
    <w:rsid w:val="00123BBC"/>
  </w:style>
  <w:style w:type="paragraph" w:styleId="TOC2">
    <w:name w:val="toc 2"/>
    <w:basedOn w:val="TOC1"/>
    <w:semiHidden/>
    <w:rsid w:val="00123BBC"/>
    <w:pPr>
      <w:spacing w:before="80"/>
      <w:ind w:left="1531" w:hanging="851"/>
    </w:pPr>
  </w:style>
  <w:style w:type="paragraph" w:styleId="TOC1">
    <w:name w:val="toc 1"/>
    <w:basedOn w:val="Normal"/>
    <w:semiHidden/>
    <w:rsid w:val="00123BB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123BBC"/>
  </w:style>
  <w:style w:type="paragraph" w:styleId="TOC6">
    <w:name w:val="toc 6"/>
    <w:basedOn w:val="TOC4"/>
    <w:semiHidden/>
    <w:rsid w:val="00123BBC"/>
  </w:style>
  <w:style w:type="paragraph" w:styleId="TOC5">
    <w:name w:val="toc 5"/>
    <w:basedOn w:val="TOC4"/>
    <w:semiHidden/>
    <w:rsid w:val="00123BBC"/>
  </w:style>
  <w:style w:type="paragraph" w:styleId="Footer">
    <w:name w:val="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3BB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"/>
    <w:basedOn w:val="Note"/>
    <w:link w:val="FootnoteTextChar"/>
    <w:rsid w:val="00123BB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123BBC"/>
    <w:pPr>
      <w:spacing w:before="80"/>
    </w:pPr>
    <w:rPr>
      <w:sz w:val="22"/>
    </w:rPr>
  </w:style>
  <w:style w:type="paragraph" w:customStyle="1" w:styleId="enumlev1">
    <w:name w:val="enumlev1"/>
    <w:basedOn w:val="Normal"/>
    <w:link w:val="enumlev1Char"/>
    <w:rsid w:val="00123BBC"/>
    <w:pPr>
      <w:spacing w:before="80"/>
      <w:ind w:left="794" w:hanging="794"/>
    </w:pPr>
  </w:style>
  <w:style w:type="paragraph" w:customStyle="1" w:styleId="enumlev2">
    <w:name w:val="enumlev2"/>
    <w:basedOn w:val="enumlev1"/>
    <w:rsid w:val="00123BBC"/>
    <w:pPr>
      <w:ind w:left="1191" w:hanging="397"/>
    </w:pPr>
  </w:style>
  <w:style w:type="paragraph" w:customStyle="1" w:styleId="enumlev3">
    <w:name w:val="enumlev3"/>
    <w:basedOn w:val="enumlev2"/>
    <w:rsid w:val="00123BBC"/>
    <w:pPr>
      <w:ind w:left="1588"/>
    </w:pPr>
  </w:style>
  <w:style w:type="paragraph" w:customStyle="1" w:styleId="Equation">
    <w:name w:val="Equation"/>
    <w:basedOn w:val="Normal"/>
    <w:rsid w:val="00123BB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23BB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23BBC"/>
  </w:style>
  <w:style w:type="paragraph" w:customStyle="1" w:styleId="Chaptitle">
    <w:name w:val="Chap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23BBC"/>
    <w:rPr>
      <w:rFonts w:cs="Times New Roman"/>
    </w:rPr>
  </w:style>
  <w:style w:type="paragraph" w:customStyle="1" w:styleId="Reftitle">
    <w:name w:val="Ref_title"/>
    <w:basedOn w:val="Normal"/>
    <w:next w:val="Reftext"/>
    <w:rsid w:val="00123BB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23BB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123BBC"/>
    <w:pPr>
      <w:jc w:val="left"/>
    </w:pPr>
  </w:style>
  <w:style w:type="paragraph" w:customStyle="1" w:styleId="Formal">
    <w:name w:val="Formal"/>
    <w:basedOn w:val="ASN1"/>
    <w:rsid w:val="00123BBC"/>
    <w:rPr>
      <w:b w:val="0"/>
    </w:rPr>
  </w:style>
  <w:style w:type="paragraph" w:customStyle="1" w:styleId="AnnexNoTitle">
    <w:name w:val="Annex_NoTitle"/>
    <w:basedOn w:val="Normal"/>
    <w:next w:val="Normalaftertitle"/>
    <w:rsid w:val="00123BBC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23B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23BBC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123BBC"/>
  </w:style>
  <w:style w:type="character" w:customStyle="1" w:styleId="Artdef">
    <w:name w:val="Art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123BB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3BB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23BBC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123BBC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23BB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123BB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23BBC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23BB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23BBC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123BBC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uiPriority w:val="99"/>
    <w:rsid w:val="00123BB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Headingb">
    <w:name w:val="Heading_b"/>
    <w:basedOn w:val="Normal"/>
    <w:next w:val="Normal"/>
    <w:rsid w:val="00123BBC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123BBC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123BB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123BBC"/>
    <w:pPr>
      <w:ind w:left="567"/>
      <w:jc w:val="left"/>
    </w:pPr>
  </w:style>
  <w:style w:type="paragraph" w:customStyle="1" w:styleId="PartNo">
    <w:name w:val="Part_No"/>
    <w:basedOn w:val="Normal"/>
    <w:next w:val="Partref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3BB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3BB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23BBC"/>
  </w:style>
  <w:style w:type="paragraph" w:customStyle="1" w:styleId="RecNo">
    <w:name w:val="Rec_No"/>
    <w:basedOn w:val="Normal"/>
    <w:next w:val="Rectitle"/>
    <w:rsid w:val="00123BB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23BBC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23BBC"/>
  </w:style>
  <w:style w:type="paragraph" w:customStyle="1" w:styleId="Questiontitle">
    <w:name w:val="Question_title"/>
    <w:basedOn w:val="Rectitle"/>
    <w:next w:val="Questionref"/>
    <w:rsid w:val="00123BBC"/>
  </w:style>
  <w:style w:type="paragraph" w:customStyle="1" w:styleId="Questionref">
    <w:name w:val="Question_ref"/>
    <w:basedOn w:val="Recref"/>
    <w:next w:val="Questiondate"/>
    <w:rsid w:val="00123BBC"/>
  </w:style>
  <w:style w:type="paragraph" w:customStyle="1" w:styleId="Recref">
    <w:name w:val="Rec_ref"/>
    <w:basedOn w:val="Normal"/>
    <w:next w:val="Recdat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styleId="Hyperlink">
    <w:name w:val="Hyperlink"/>
    <w:basedOn w:val="DefaultParagraphFont"/>
    <w:rsid w:val="00123BBC"/>
    <w:rPr>
      <w:rFonts w:cs="Times New Roman"/>
      <w:color w:val="0000FF"/>
      <w:u w:val="single"/>
    </w:rPr>
  </w:style>
  <w:style w:type="paragraph" w:customStyle="1" w:styleId="Repdate">
    <w:name w:val="Rep_date"/>
    <w:basedOn w:val="Recdate"/>
    <w:next w:val="Normalaftertitle"/>
    <w:rsid w:val="00123BBC"/>
  </w:style>
  <w:style w:type="paragraph" w:customStyle="1" w:styleId="RepNo">
    <w:name w:val="Rep_No"/>
    <w:basedOn w:val="RecNo"/>
    <w:next w:val="Reptitle"/>
    <w:rsid w:val="00123BBC"/>
  </w:style>
  <w:style w:type="paragraph" w:customStyle="1" w:styleId="Reptitle">
    <w:name w:val="Rep_title"/>
    <w:basedOn w:val="Rectitle"/>
    <w:next w:val="Repref"/>
    <w:rsid w:val="00123BBC"/>
  </w:style>
  <w:style w:type="paragraph" w:customStyle="1" w:styleId="Repref">
    <w:name w:val="Rep_ref"/>
    <w:basedOn w:val="Recref"/>
    <w:next w:val="Repdate"/>
    <w:rsid w:val="00123BBC"/>
  </w:style>
  <w:style w:type="paragraph" w:customStyle="1" w:styleId="Resdate">
    <w:name w:val="Res_date"/>
    <w:basedOn w:val="Recdate"/>
    <w:next w:val="Normalaftertitle"/>
    <w:rsid w:val="00123BBC"/>
  </w:style>
  <w:style w:type="character" w:customStyle="1" w:styleId="Resdef">
    <w:name w:val="Res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123BBC"/>
  </w:style>
  <w:style w:type="paragraph" w:customStyle="1" w:styleId="Restitle">
    <w:name w:val="Res_title"/>
    <w:basedOn w:val="Rectitle"/>
    <w:next w:val="Resref"/>
    <w:link w:val="RestitleChar"/>
    <w:rsid w:val="00123BBC"/>
  </w:style>
  <w:style w:type="paragraph" w:customStyle="1" w:styleId="Resref">
    <w:name w:val="Res_ref"/>
    <w:basedOn w:val="Recref"/>
    <w:next w:val="Resdate"/>
    <w:uiPriority w:val="99"/>
    <w:qFormat/>
    <w:rsid w:val="00123BBC"/>
  </w:style>
  <w:style w:type="paragraph" w:customStyle="1" w:styleId="SectionNo">
    <w:name w:val="Section_No"/>
    <w:basedOn w:val="Normal"/>
    <w:next w:val="Sectiontitle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3BB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3BB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3BBC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rsid w:val="00123B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legend">
    <w:name w:val="Table_legend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table" w:styleId="TableGrid">
    <w:name w:val="Table Grid"/>
    <w:basedOn w:val="TableNormal"/>
    <w:rsid w:val="004E48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">
    <w:name w:val="Table_NoTitle"/>
    <w:basedOn w:val="Normal"/>
    <w:next w:val="Tablehead"/>
    <w:rsid w:val="00123BB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23B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3BBC"/>
  </w:style>
  <w:style w:type="paragraph" w:customStyle="1" w:styleId="Title3">
    <w:name w:val="Title 3"/>
    <w:basedOn w:val="Title2"/>
    <w:next w:val="Title4"/>
    <w:rsid w:val="00123BBC"/>
    <w:rPr>
      <w:caps w:val="0"/>
    </w:rPr>
  </w:style>
  <w:style w:type="paragraph" w:customStyle="1" w:styleId="Title4">
    <w:name w:val="Title 4"/>
    <w:basedOn w:val="Title3"/>
    <w:next w:val="Heading1"/>
    <w:rsid w:val="00123BBC"/>
    <w:rPr>
      <w:b/>
    </w:rPr>
  </w:style>
  <w:style w:type="paragraph" w:customStyle="1" w:styleId="Section1">
    <w:name w:val="Section_1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Normalaftertitle">
    <w:name w:val="Normal_after_title"/>
    <w:basedOn w:val="Normal"/>
    <w:next w:val="Normal"/>
    <w:link w:val="NormalaftertitleChar"/>
    <w:rsid w:val="00123BBC"/>
    <w:pPr>
      <w:spacing w:before="360"/>
    </w:pPr>
  </w:style>
  <w:style w:type="character" w:styleId="EndnoteReference">
    <w:name w:val="endnote reference"/>
    <w:basedOn w:val="DefaultParagraphFont"/>
    <w:rsid w:val="0043647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436471"/>
    <w:rPr>
      <w:rFonts w:cs="Times New Roman"/>
      <w:sz w:val="16"/>
      <w:szCs w:val="16"/>
    </w:rPr>
  </w:style>
  <w:style w:type="paragraph" w:styleId="CommentText">
    <w:name w:val="annotation text"/>
    <w:basedOn w:val="Normal"/>
    <w:rsid w:val="00436471"/>
    <w:pPr>
      <w:jc w:val="left"/>
    </w:pPr>
    <w:rPr>
      <w:sz w:val="20"/>
    </w:rPr>
  </w:style>
  <w:style w:type="paragraph" w:styleId="BodyText">
    <w:name w:val="Body Text"/>
    <w:basedOn w:val="Normal"/>
    <w:rsid w:val="00436471"/>
    <w:pPr>
      <w:tabs>
        <w:tab w:val="clear" w:pos="1191"/>
        <w:tab w:val="clear" w:pos="1588"/>
        <w:tab w:val="left" w:pos="1418"/>
      </w:tabs>
      <w:suppressAutoHyphens/>
      <w:autoSpaceDN/>
      <w:adjustRightInd/>
      <w:spacing w:before="0" w:after="120"/>
      <w:jc w:val="left"/>
    </w:pPr>
    <w:rPr>
      <w:lang w:val="en-GB" w:eastAsia="ar-SA"/>
    </w:rPr>
  </w:style>
  <w:style w:type="paragraph" w:styleId="BodyTextIndent2">
    <w:name w:val="Body Text Indent 2"/>
    <w:basedOn w:val="Normal"/>
    <w:rsid w:val="0043647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ind w:left="1400" w:hanging="700"/>
      <w:jc w:val="left"/>
      <w:textAlignment w:val="auto"/>
    </w:pPr>
    <w:rPr>
      <w:szCs w:val="24"/>
      <w:lang w:val="en-GB" w:eastAsia="de-DE"/>
    </w:rPr>
  </w:style>
  <w:style w:type="character" w:styleId="FollowedHyperlink">
    <w:name w:val="FollowedHyperlink"/>
    <w:basedOn w:val="DefaultParagraphFont"/>
    <w:rsid w:val="00436471"/>
    <w:rPr>
      <w:rFonts w:cs="Times New Roman"/>
      <w:color w:val="800080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locked/>
    <w:rsid w:val="00311F37"/>
    <w:rPr>
      <w:rFonts w:cs="Times New Roman"/>
      <w:sz w:val="22"/>
      <w:lang w:val="fr-FR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B6BEB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link w:val="enumlev1"/>
    <w:uiPriority w:val="99"/>
    <w:rsid w:val="00EB6BEB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link w:val="Call"/>
    <w:rsid w:val="00EB6BEB"/>
    <w:rPr>
      <w:rFonts w:ascii="Times New Roman" w:hAnsi="Times New Roman"/>
      <w:i/>
      <w:sz w:val="24"/>
      <w:lang w:val="fr-FR" w:eastAsia="en-US"/>
    </w:rPr>
  </w:style>
  <w:style w:type="character" w:customStyle="1" w:styleId="RestitleChar">
    <w:name w:val="Res_title Char"/>
    <w:link w:val="Restitle"/>
    <w:rsid w:val="00EB6BEB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EB6BE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EB6BEB"/>
    <w:rPr>
      <w:rFonts w:ascii="Times New Roman" w:hAnsi="Times New Roman"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rsid w:val="00EB6BEB"/>
    <w:rPr>
      <w:rFonts w:ascii="Times New Roman" w:hAnsi="Times New Roman"/>
      <w:sz w:val="22"/>
      <w:lang w:val="fr-FR" w:eastAsia="en-US"/>
    </w:rPr>
  </w:style>
  <w:style w:type="paragraph" w:customStyle="1" w:styleId="FigureNo">
    <w:name w:val="Figure_No"/>
    <w:basedOn w:val="Normal"/>
    <w:next w:val="Figuretitle"/>
    <w:rsid w:val="00EB6BEB"/>
    <w:pPr>
      <w:keepNext/>
      <w:keepLines/>
      <w:spacing w:before="480" w:after="120"/>
      <w:jc w:val="center"/>
    </w:pPr>
    <w:rPr>
      <w:caps/>
      <w:sz w:val="22"/>
      <w:lang w:val="en-GB"/>
    </w:rPr>
  </w:style>
  <w:style w:type="paragraph" w:customStyle="1" w:styleId="Figuretitle">
    <w:name w:val="Figure_title"/>
    <w:basedOn w:val="Normal"/>
    <w:next w:val="Normal"/>
    <w:rsid w:val="00EB6BEB"/>
    <w:pPr>
      <w:keepLines/>
      <w:spacing w:before="0" w:after="480"/>
      <w:jc w:val="center"/>
    </w:pPr>
    <w:rPr>
      <w:rFonts w:ascii="Times New Roman Bold" w:hAnsi="Times New Roman Bold"/>
      <w:b/>
      <w:sz w:val="22"/>
      <w:lang w:val="en-GB"/>
    </w:rPr>
  </w:style>
  <w:style w:type="paragraph" w:customStyle="1" w:styleId="AppendixNo">
    <w:name w:val="Appendix_No"/>
    <w:basedOn w:val="Normal"/>
    <w:next w:val="Normal"/>
    <w:rsid w:val="00EB6BE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EB6BE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QPChar">
    <w:name w:val="Footer_QP Char"/>
    <w:link w:val="FooterQP"/>
    <w:uiPriority w:val="99"/>
    <w:rsid w:val="00F51075"/>
    <w:rPr>
      <w:rFonts w:ascii="Times New Roman" w:hAnsi="Times New Roman"/>
      <w:b/>
      <w:sz w:val="22"/>
      <w:lang w:val="fr-FR" w:eastAsia="en-US"/>
    </w:rPr>
  </w:style>
  <w:style w:type="paragraph" w:customStyle="1" w:styleId="Annexref">
    <w:name w:val="Annex_ref"/>
    <w:basedOn w:val="Normal"/>
    <w:next w:val="Normal"/>
    <w:rsid w:val="00B20035"/>
    <w:pPr>
      <w:keepNext/>
      <w:keepLines/>
      <w:spacing w:after="280"/>
      <w:jc w:val="center"/>
    </w:pPr>
    <w:rPr>
      <w:lang w:val="en-GB"/>
    </w:rPr>
  </w:style>
  <w:style w:type="paragraph" w:customStyle="1" w:styleId="Opiniontitle">
    <w:name w:val="Opinion_title"/>
    <w:basedOn w:val="Restitle"/>
    <w:next w:val="Normal"/>
    <w:qFormat/>
    <w:rsid w:val="00B2003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 Bold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QPUB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AB69-76EB-4A89-8B09-282621C4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QPUBF.dot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Cadre et méthode de détermination et d'application</vt:lpstr>
    </vt:vector>
  </TitlesOfParts>
  <Company>ITU</Company>
  <LinksUpToDate>false</LinksUpToDate>
  <CharactersWithSpaces>3632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Cadre et méthode de détermination et d'application</dc:title>
  <dc:subject>SÉRIE E: EXPLOITATION GÉNÉRALE DU RÉSEAU, SERVICE TÉLÉPHONIQUE, EXPLOITATION DES SERVICES ET FACTEURS HUMAINS - Qualité de service: concepts, modèles, objectifs, planification de la sûreté de fonctionnement – Termes et définitions relatifs à la qualité de</dc:subject>
  <dc:creator>Commission d'études 2 de l'UIT-T</dc:creator>
  <cp:keywords>E.802,E,802</cp:keywords>
  <dc:description>Saved by MS-106344 at 14:06:18 on 06.12.2007</dc:description>
  <cp:lastModifiedBy>Munoz, Carlos</cp:lastModifiedBy>
  <cp:revision>2</cp:revision>
  <cp:lastPrinted>2007-12-06T12:04:00Z</cp:lastPrinted>
  <dcterms:created xsi:type="dcterms:W3CDTF">2017-01-09T13:30:00Z</dcterms:created>
  <dcterms:modified xsi:type="dcterms:W3CDTF">2017-01-09T13:30:00Z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février 2007</vt:lpwstr>
  </property>
  <property fmtid="{D5CDD505-2E9C-101B-9397-08002B2CF9AE}" pid="4" name="doctitle">
    <vt:lpwstr>Cadre et méthode de détermination et d'application</vt:lpwstr>
  </property>
  <property fmtid="{D5CDD505-2E9C-101B-9397-08002B2CF9AE}" pid="5" name="doctitle2">
    <vt:lpwstr>SÉRIE E: EXPLOITATION GÉNÉRALE DU RÉSEAU, SERVICE TÉLÉPHONIQUE, EXPLOITATION DES SERVICES ET FACTEURS HUMAINS Qualité de service: concepts, modèles, objectifs, planification de la sûreté de fonctionnement – Termes et définitions relatifs à la qualité des </vt:lpwstr>
  </property>
</Properties>
</file>