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horzAnchor="margin" w:tblpYSpec="top"/>
        <w:tblOverlap w:val="never"/>
        <w:tblW w:w="10740" w:type="dxa"/>
        <w:tblLayout w:type="fixed"/>
        <w:tblLook w:val="0000" w:firstRow="0" w:lastRow="0" w:firstColumn="0" w:lastColumn="0" w:noHBand="0" w:noVBand="0"/>
      </w:tblPr>
      <w:tblGrid>
        <w:gridCol w:w="817"/>
        <w:gridCol w:w="4253"/>
        <w:gridCol w:w="5670"/>
      </w:tblGrid>
      <w:tr w:rsidR="002B534E" w:rsidRPr="00F30A97" w14:paraId="5FCD5226" w14:textId="77777777" w:rsidTr="002B534E">
        <w:trPr>
          <w:trHeight w:hRule="exact" w:val="992"/>
        </w:trPr>
        <w:tc>
          <w:tcPr>
            <w:tcW w:w="5070" w:type="dxa"/>
            <w:gridSpan w:val="2"/>
          </w:tcPr>
          <w:p w14:paraId="33FE2C64" w14:textId="3F448909" w:rsidR="002B534E" w:rsidRPr="00F30A97" w:rsidRDefault="008F0E27" w:rsidP="00CE08CB">
            <w:pPr>
              <w:spacing w:before="0"/>
              <w:rPr>
                <w:rFonts w:ascii="Arial" w:eastAsia="Avenir Next W1G Medium" w:hAnsi="Arial" w:cs="Arial"/>
                <w:szCs w:val="24"/>
              </w:rPr>
            </w:pPr>
            <w:r w:rsidRPr="00F30A97">
              <w:rPr>
                <w:rFonts w:ascii="Arial" w:eastAsia="Avenir Next W1G Medium" w:hAnsi="Arial" w:cs="Arial"/>
                <w:szCs w:val="24"/>
              </w:rPr>
              <mc:AlternateContent>
                <mc:Choice Requires="wpg">
                  <w:drawing>
                    <wp:anchor distT="0" distB="0" distL="114300" distR="114300" simplePos="0" relativeHeight="251662336" behindDoc="1" locked="0" layoutInCell="1" allowOverlap="1" wp14:anchorId="708F33E4" wp14:editId="09DB5B26">
                      <wp:simplePos x="0" y="0"/>
                      <wp:positionH relativeFrom="page">
                        <wp:posOffset>-381000</wp:posOffset>
                      </wp:positionH>
                      <wp:positionV relativeFrom="page">
                        <wp:posOffset>317500</wp:posOffset>
                      </wp:positionV>
                      <wp:extent cx="7772400" cy="229870"/>
                      <wp:effectExtent l="0" t="5080" r="0" b="3175"/>
                      <wp:wrapNone/>
                      <wp:docPr id="2"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229870"/>
                                <a:chOff x="0" y="1784"/>
                                <a:chExt cx="11906" cy="362"/>
                              </a:xfrm>
                            </wpg:grpSpPr>
                            <wps:wsp>
                              <wps:cNvPr id="3" name="docshape8"/>
                              <wps:cNvSpPr>
                                <a:spLocks noChangeArrowheads="1"/>
                              </wps:cNvSpPr>
                              <wps:spPr bwMode="auto">
                                <a:xfrm>
                                  <a:off x="0" y="1817"/>
                                  <a:ext cx="11906" cy="329"/>
                                </a:xfrm>
                                <a:prstGeom prst="rect">
                                  <a:avLst/>
                                </a:prstGeom>
                                <a:solidFill>
                                  <a:srgbClr val="D74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docshape9"/>
                              <wps:cNvSpPr>
                                <a:spLocks/>
                              </wps:cNvSpPr>
                              <wps:spPr bwMode="auto">
                                <a:xfrm>
                                  <a:off x="1109" y="1784"/>
                                  <a:ext cx="627" cy="314"/>
                                </a:xfrm>
                                <a:custGeom>
                                  <a:avLst/>
                                  <a:gdLst>
                                    <a:gd name="T0" fmla="+- 0 1736 1109"/>
                                    <a:gd name="T1" fmla="*/ T0 w 627"/>
                                    <a:gd name="T2" fmla="+- 0 1784 1784"/>
                                    <a:gd name="T3" fmla="*/ 1784 h 314"/>
                                    <a:gd name="T4" fmla="+- 0 1109 1109"/>
                                    <a:gd name="T5" fmla="*/ T4 w 627"/>
                                    <a:gd name="T6" fmla="+- 0 1784 1784"/>
                                    <a:gd name="T7" fmla="*/ 1784 h 314"/>
                                    <a:gd name="T8" fmla="+- 0 1423 1109"/>
                                    <a:gd name="T9" fmla="*/ T8 w 627"/>
                                    <a:gd name="T10" fmla="+- 0 2097 1784"/>
                                    <a:gd name="T11" fmla="*/ 2097 h 314"/>
                                    <a:gd name="T12" fmla="+- 0 1736 1109"/>
                                    <a:gd name="T13" fmla="*/ T12 w 627"/>
                                    <a:gd name="T14" fmla="+- 0 1784 1784"/>
                                    <a:gd name="T15" fmla="*/ 1784 h 314"/>
                                  </a:gdLst>
                                  <a:ahLst/>
                                  <a:cxnLst>
                                    <a:cxn ang="0">
                                      <a:pos x="T1" y="T3"/>
                                    </a:cxn>
                                    <a:cxn ang="0">
                                      <a:pos x="T5" y="T7"/>
                                    </a:cxn>
                                    <a:cxn ang="0">
                                      <a:pos x="T9" y="T11"/>
                                    </a:cxn>
                                    <a:cxn ang="0">
                                      <a:pos x="T13" y="T15"/>
                                    </a:cxn>
                                  </a:cxnLst>
                                  <a:rect l="0" t="0" r="r" b="b"/>
                                  <a:pathLst>
                                    <a:path w="627" h="314">
                                      <a:moveTo>
                                        <a:pt x="627" y="0"/>
                                      </a:moveTo>
                                      <a:lnTo>
                                        <a:pt x="0" y="0"/>
                                      </a:lnTo>
                                      <a:lnTo>
                                        <a:pt x="314" y="313"/>
                                      </a:lnTo>
                                      <a:lnTo>
                                        <a:pt x="62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5CA394" id="docshapegroup7" o:spid="_x0000_s1026" style="position:absolute;margin-left:-30pt;margin-top:25pt;width:612pt;height:18.1pt;z-index:-251654144;mso-position-horizontal-relative:page;mso-position-vertical-relative:page" coordorigin=",1784" coordsize="11906,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">
                      <v:rect id="docshape8" o:spid="_x0000_s1027" style="position:absolute;top:1817;width:11906;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" fillcolor="#d74900" stroked="f"/>
                      <v:shape id="docshape9" o:spid="_x0000_s1028" style="position:absolute;left:1109;top:1784;width:627;height:314;visibility:visible;mso-wrap-style:square;v-text-anchor:top" coordsize="62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" path="m627,l,,314,313,627,xe" stroked="f">
                        <v:path arrowok="t" o:connecttype="custom" o:connectlocs="627,1784;0,1784;314,2097;627,1784" o:connectangles="0,0,0,0"/>
                      </v:shape>
                      <w10:wrap anchorx="page" anchory="page"/>
                    </v:group>
                  </w:pict>
                </mc:Fallback>
              </mc:AlternateContent>
            </w:r>
          </w:p>
        </w:tc>
        <w:tc>
          <w:tcPr>
            <w:tcW w:w="5670" w:type="dxa"/>
          </w:tcPr>
          <w:p w14:paraId="38F9BCD0" w14:textId="77777777" w:rsidR="002B534E" w:rsidRPr="00F30A97" w:rsidRDefault="002B534E" w:rsidP="00CE08CB">
            <w:pPr>
              <w:spacing w:before="0"/>
              <w:jc w:val="right"/>
              <w:rPr>
                <w:rFonts w:ascii="Arial" w:eastAsia="Avenir Next W1G Medium" w:hAnsi="Arial" w:cs="Arial"/>
                <w:szCs w:val="24"/>
              </w:rPr>
            </w:pPr>
            <w:r w:rsidRPr="00F30A97">
              <w:rPr>
                <w:rFonts w:ascii="Arial" w:eastAsia="Avenir Next W1G Medium" w:hAnsi="Arial" w:cs="Arial"/>
                <w:szCs w:val="24"/>
              </w:rPr>
              <w:t>Standardization Sector</w:t>
            </w:r>
          </w:p>
        </w:tc>
      </w:tr>
      <w:tr w:rsidR="002B534E" w:rsidRPr="00F30A97" w14:paraId="30BBA4A7" w14:textId="77777777" w:rsidTr="002B534E">
        <w:tblPrEx>
          <w:tblCellMar>
            <w:left w:w="85" w:type="dxa"/>
            <w:right w:w="85" w:type="dxa"/>
          </w:tblCellMar>
        </w:tblPrEx>
        <w:trPr>
          <w:gridBefore w:val="1"/>
          <w:wBefore w:w="817" w:type="dxa"/>
          <w:trHeight w:val="709"/>
        </w:trPr>
        <w:tc>
          <w:tcPr>
            <w:tcW w:w="9923" w:type="dxa"/>
            <w:gridSpan w:val="2"/>
          </w:tcPr>
          <w:p w14:paraId="62D56CCB" w14:textId="0FC18C94" w:rsidR="002B534E" w:rsidRPr="00F30A97" w:rsidRDefault="00934B4E" w:rsidP="00CE08CB">
            <w:pPr>
              <w:pStyle w:val="BodyText"/>
              <w:spacing w:before="440"/>
              <w:rPr>
                <w:rFonts w:ascii="Arial" w:hAnsi="Arial" w:cs="Arial"/>
                <w:spacing w:val="-6"/>
                <w:sz w:val="44"/>
                <w:szCs w:val="44"/>
                <w:lang w:val="en-GB"/>
              </w:rPr>
            </w:pPr>
            <w:bookmarkStart w:id="0" w:name="dnume"/>
            <w:r w:rsidRPr="00F30A97">
              <w:rPr>
                <w:rFonts w:ascii="Arial" w:hAnsi="Arial" w:cs="Arial"/>
                <w:spacing w:val="-6"/>
                <w:sz w:val="44"/>
                <w:szCs w:val="44"/>
                <w:lang w:val="en-GB"/>
              </w:rPr>
              <w:t xml:space="preserve">ITU-T </w:t>
            </w:r>
            <w:r w:rsidR="00E52B6C" w:rsidRPr="00F30A97">
              <w:rPr>
                <w:rFonts w:ascii="Arial" w:hAnsi="Arial" w:cs="Arial"/>
                <w:spacing w:val="-6"/>
                <w:sz w:val="44"/>
                <w:szCs w:val="44"/>
                <w:lang w:val="en-GB"/>
              </w:rPr>
              <w:t xml:space="preserve">Focus Group </w:t>
            </w:r>
            <w:r w:rsidR="00BB18B7" w:rsidRPr="00F30A97">
              <w:rPr>
                <w:rFonts w:ascii="Arial" w:hAnsi="Arial" w:cs="Arial"/>
                <w:spacing w:val="-6"/>
                <w:sz w:val="44"/>
                <w:szCs w:val="44"/>
                <w:lang w:val="en-GB"/>
              </w:rPr>
              <w:t xml:space="preserve">Technical </w:t>
            </w:r>
            <w:r w:rsidR="000542C8" w:rsidRPr="00F30A97">
              <w:rPr>
                <w:rFonts w:ascii="Arial" w:hAnsi="Arial" w:cs="Arial"/>
                <w:spacing w:val="-6"/>
                <w:sz w:val="44"/>
                <w:szCs w:val="44"/>
                <w:lang w:val="en-GB"/>
              </w:rPr>
              <w:t>Report</w:t>
            </w:r>
          </w:p>
        </w:tc>
      </w:tr>
      <w:tr w:rsidR="002B534E" w:rsidRPr="00F30A97" w14:paraId="3D5C9E7A" w14:textId="77777777" w:rsidTr="002B534E">
        <w:tblPrEx>
          <w:tblCellMar>
            <w:left w:w="85" w:type="dxa"/>
            <w:right w:w="85" w:type="dxa"/>
          </w:tblCellMar>
        </w:tblPrEx>
        <w:trPr>
          <w:gridBefore w:val="1"/>
          <w:wBefore w:w="817" w:type="dxa"/>
          <w:trHeight w:val="129"/>
        </w:trPr>
        <w:tc>
          <w:tcPr>
            <w:tcW w:w="9923" w:type="dxa"/>
            <w:gridSpan w:val="2"/>
          </w:tcPr>
          <w:p w14:paraId="29A86CA4" w14:textId="39D78104" w:rsidR="002B534E" w:rsidRPr="00F30A97" w:rsidRDefault="00934B4E" w:rsidP="00CE08CB">
            <w:pPr>
              <w:pStyle w:val="BodyText"/>
              <w:spacing w:before="120" w:after="240"/>
              <w:jc w:val="right"/>
              <w:rPr>
                <w:rFonts w:ascii="Arial" w:hAnsi="Arial" w:cs="Arial"/>
                <w:b w:val="0"/>
                <w:bCs w:val="0"/>
                <w:spacing w:val="-6"/>
                <w:sz w:val="28"/>
                <w:szCs w:val="28"/>
                <w:lang w:val="en-GB"/>
              </w:rPr>
            </w:pPr>
            <w:bookmarkStart w:id="1" w:name="dnume2"/>
            <w:bookmarkEnd w:id="0"/>
            <w:r w:rsidRPr="00F30A97">
              <w:rPr>
                <w:rFonts w:ascii="Arial" w:hAnsi="Arial" w:cs="Arial"/>
                <w:b w:val="0"/>
                <w:bCs w:val="0"/>
                <w:spacing w:val="-6"/>
                <w:sz w:val="28"/>
                <w:szCs w:val="28"/>
                <w:lang w:val="en-GB"/>
              </w:rPr>
              <w:t>(</w:t>
            </w:r>
            <w:r w:rsidR="00952BA0" w:rsidRPr="00F30A97">
              <w:rPr>
                <w:rFonts w:ascii="Arial" w:hAnsi="Arial" w:cs="Arial"/>
                <w:spacing w:val="-6"/>
                <w:sz w:val="28"/>
                <w:szCs w:val="28"/>
                <w:lang w:val="en-GB"/>
              </w:rPr>
              <w:t>12</w:t>
            </w:r>
            <w:r w:rsidRPr="00F30A97">
              <w:rPr>
                <w:rFonts w:ascii="Arial" w:hAnsi="Arial" w:cs="Arial"/>
                <w:spacing w:val="-6"/>
                <w:sz w:val="28"/>
                <w:szCs w:val="28"/>
                <w:lang w:val="en-GB"/>
              </w:rPr>
              <w:t>/2022)</w:t>
            </w:r>
          </w:p>
        </w:tc>
      </w:tr>
      <w:tr w:rsidR="00B46FF3" w:rsidRPr="00F30A97" w14:paraId="33036516" w14:textId="77777777" w:rsidTr="002B534E">
        <w:trPr>
          <w:trHeight w:val="80"/>
        </w:trPr>
        <w:tc>
          <w:tcPr>
            <w:tcW w:w="817" w:type="dxa"/>
          </w:tcPr>
          <w:p w14:paraId="2538926D" w14:textId="77777777" w:rsidR="00B46FF3" w:rsidRPr="00F30A97" w:rsidRDefault="00B46FF3" w:rsidP="00CE08CB">
            <w:pPr>
              <w:tabs>
                <w:tab w:val="right" w:pos="9639"/>
              </w:tabs>
              <w:rPr>
                <w:rFonts w:ascii="Arial" w:hAnsi="Arial" w:cs="Arial"/>
                <w:sz w:val="18"/>
              </w:rPr>
            </w:pPr>
            <w:bookmarkStart w:id="2" w:name="dsece" w:colFirst="1" w:colLast="1"/>
            <w:bookmarkEnd w:id="1"/>
          </w:p>
        </w:tc>
        <w:tc>
          <w:tcPr>
            <w:tcW w:w="9923" w:type="dxa"/>
            <w:gridSpan w:val="2"/>
            <w:tcBorders>
              <w:bottom w:val="single" w:sz="8" w:space="0" w:color="auto"/>
            </w:tcBorders>
          </w:tcPr>
          <w:p w14:paraId="33AB3945" w14:textId="77777777" w:rsidR="00D326A3" w:rsidRPr="00F30A97" w:rsidRDefault="00D326A3" w:rsidP="00D326A3">
            <w:pPr>
              <w:widowControl w:val="0"/>
              <w:tabs>
                <w:tab w:val="clear" w:pos="794"/>
                <w:tab w:val="clear" w:pos="1191"/>
                <w:tab w:val="clear" w:pos="1588"/>
                <w:tab w:val="clear" w:pos="1985"/>
              </w:tabs>
              <w:overflowPunct/>
              <w:adjustRightInd/>
              <w:spacing w:before="276" w:line="175" w:lineRule="auto"/>
              <w:jc w:val="left"/>
              <w:textAlignment w:val="auto"/>
              <w:rPr>
                <w:rFonts w:ascii="Arial" w:hAnsi="Arial" w:cs="Arial"/>
                <w:sz w:val="44"/>
                <w:szCs w:val="44"/>
              </w:rPr>
            </w:pPr>
          </w:p>
          <w:p w14:paraId="06562CDA" w14:textId="02E5599B" w:rsidR="00934B4E" w:rsidRPr="00F30A97" w:rsidRDefault="000542C8" w:rsidP="00D326A3">
            <w:pPr>
              <w:widowControl w:val="0"/>
              <w:tabs>
                <w:tab w:val="clear" w:pos="794"/>
                <w:tab w:val="clear" w:pos="1191"/>
                <w:tab w:val="clear" w:pos="1588"/>
                <w:tab w:val="clear" w:pos="1985"/>
              </w:tabs>
              <w:overflowPunct/>
              <w:adjustRightInd/>
              <w:spacing w:before="276" w:line="175" w:lineRule="auto"/>
              <w:jc w:val="left"/>
              <w:textAlignment w:val="auto"/>
              <w:rPr>
                <w:rFonts w:ascii="Arial" w:hAnsi="Arial" w:cs="Arial"/>
                <w:sz w:val="44"/>
                <w:szCs w:val="44"/>
              </w:rPr>
            </w:pPr>
            <w:r w:rsidRPr="00F30A97">
              <w:rPr>
                <w:rFonts w:ascii="Arial" w:hAnsi="Arial" w:cs="Arial"/>
                <w:sz w:val="44"/>
                <w:szCs w:val="44"/>
              </w:rPr>
              <w:t>ITU/WMO/UNEP Focus Group on Artificial Intelligence for Natural Disaster Management</w:t>
            </w:r>
          </w:p>
        </w:tc>
      </w:tr>
      <w:tr w:rsidR="00B46FF3" w:rsidRPr="00F30A97" w14:paraId="0A47ED26" w14:textId="77777777" w:rsidTr="000B08C7">
        <w:trPr>
          <w:trHeight w:val="743"/>
        </w:trPr>
        <w:tc>
          <w:tcPr>
            <w:tcW w:w="817" w:type="dxa"/>
          </w:tcPr>
          <w:p w14:paraId="2449D82F" w14:textId="77777777" w:rsidR="00B46FF3" w:rsidRPr="00F30A97" w:rsidRDefault="00B46FF3" w:rsidP="00CE08CB">
            <w:pPr>
              <w:tabs>
                <w:tab w:val="right" w:pos="9639"/>
              </w:tabs>
              <w:rPr>
                <w:rFonts w:ascii="Arial" w:hAnsi="Arial" w:cs="Arial"/>
                <w:sz w:val="48"/>
                <w:szCs w:val="48"/>
              </w:rPr>
            </w:pPr>
            <w:bookmarkStart w:id="3" w:name="c1tite" w:colFirst="1" w:colLast="1"/>
            <w:bookmarkEnd w:id="2"/>
          </w:p>
        </w:tc>
        <w:tc>
          <w:tcPr>
            <w:tcW w:w="9923" w:type="dxa"/>
            <w:gridSpan w:val="2"/>
            <w:tcBorders>
              <w:top w:val="single" w:sz="8" w:space="0" w:color="auto"/>
            </w:tcBorders>
          </w:tcPr>
          <w:p w14:paraId="21CEB8E6" w14:textId="792A6972" w:rsidR="00B46FF3" w:rsidRPr="00F30A97" w:rsidRDefault="000542C8" w:rsidP="00CE08CB">
            <w:pPr>
              <w:pStyle w:val="BodyText"/>
              <w:spacing w:before="440" w:line="192" w:lineRule="auto"/>
              <w:rPr>
                <w:rFonts w:ascii="Arial" w:hAnsi="Arial" w:cs="Arial"/>
                <w:spacing w:val="-6"/>
                <w:sz w:val="44"/>
                <w:szCs w:val="44"/>
                <w:lang w:val="en-GB"/>
              </w:rPr>
            </w:pPr>
            <w:r w:rsidRPr="00F30A97">
              <w:rPr>
                <w:rFonts w:ascii="Arial" w:hAnsi="Arial" w:cs="Arial"/>
                <w:spacing w:val="-6"/>
                <w:sz w:val="44"/>
                <w:szCs w:val="44"/>
                <w:lang w:val="en-GB"/>
              </w:rPr>
              <w:t xml:space="preserve">Standardization Roadmap </w:t>
            </w:r>
            <w:r w:rsidR="00812EFA" w:rsidRPr="00F30A97">
              <w:rPr>
                <w:rFonts w:ascii="Arial" w:hAnsi="Arial" w:cs="Arial"/>
                <w:spacing w:val="-6"/>
                <w:sz w:val="44"/>
                <w:szCs w:val="44"/>
                <w:lang w:val="en-GB"/>
              </w:rPr>
              <w:t xml:space="preserve">on </w:t>
            </w:r>
            <w:r w:rsidRPr="00F30A97">
              <w:rPr>
                <w:rFonts w:ascii="Arial" w:hAnsi="Arial" w:cs="Arial"/>
                <w:spacing w:val="-6"/>
                <w:sz w:val="44"/>
                <w:szCs w:val="44"/>
                <w:lang w:val="en-GB"/>
              </w:rPr>
              <w:t>Natural Disaster Management</w:t>
            </w:r>
            <w:r w:rsidR="00812EFA" w:rsidRPr="00F30A97">
              <w:rPr>
                <w:rFonts w:ascii="Arial" w:hAnsi="Arial" w:cs="Arial"/>
                <w:spacing w:val="-6"/>
                <w:sz w:val="44"/>
                <w:szCs w:val="44"/>
                <w:lang w:val="en-GB"/>
              </w:rPr>
              <w:t xml:space="preserve">: </w:t>
            </w:r>
            <w:r w:rsidR="00812EFA" w:rsidRPr="00F30A97">
              <w:rPr>
                <w:lang w:val="en-GB"/>
              </w:rPr>
              <w:t xml:space="preserve"> </w:t>
            </w:r>
            <w:r w:rsidR="00812EFA" w:rsidRPr="00F30A97">
              <w:rPr>
                <w:rFonts w:ascii="Arial" w:hAnsi="Arial" w:cs="Arial"/>
                <w:spacing w:val="-6"/>
                <w:sz w:val="44"/>
                <w:szCs w:val="44"/>
                <w:lang w:val="en-GB"/>
              </w:rPr>
              <w:t>Trends and Gaps in Standardization</w:t>
            </w:r>
          </w:p>
          <w:p w14:paraId="3FF738B9" w14:textId="288E8DDD" w:rsidR="00952BA0" w:rsidRPr="00F30A97" w:rsidRDefault="00952BA0" w:rsidP="00CE08CB">
            <w:pPr>
              <w:pStyle w:val="BodyText"/>
              <w:spacing w:before="440" w:line="192" w:lineRule="auto"/>
              <w:rPr>
                <w:rFonts w:ascii="Arial" w:hAnsi="Arial" w:cs="Arial"/>
                <w:b w:val="0"/>
                <w:bCs w:val="0"/>
                <w:spacing w:val="-6"/>
                <w:sz w:val="36"/>
                <w:szCs w:val="36"/>
                <w:lang w:val="en-GB"/>
              </w:rPr>
            </w:pPr>
          </w:p>
        </w:tc>
      </w:tr>
    </w:tbl>
    <w:tbl>
      <w:tblPr>
        <w:tblStyle w:val="TableGrid"/>
        <w:tblpPr w:leftFromText="181" w:rightFromText="181" w:vertAnchor="page" w:horzAnchor="margin" w:tblpY="506"/>
        <w:tblW w:w="1073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070"/>
        <w:gridCol w:w="5669"/>
      </w:tblGrid>
      <w:tr w:rsidR="005D379B" w:rsidRPr="00F30A97" w14:paraId="6072F883" w14:textId="77777777" w:rsidTr="006F3E3B">
        <w:tc>
          <w:tcPr>
            <w:tcW w:w="5070" w:type="dxa"/>
            <w:vAlign w:val="center"/>
          </w:tcPr>
          <w:bookmarkEnd w:id="3"/>
          <w:p w14:paraId="0461796A" w14:textId="77777777" w:rsidR="005D379B" w:rsidRPr="00F30A97" w:rsidRDefault="005D379B" w:rsidP="00CE08CB">
            <w:pPr>
              <w:jc w:val="left"/>
              <w:rPr>
                <w:rFonts w:ascii="Arial" w:hAnsi="Arial" w:cs="Arial"/>
                <w:sz w:val="32"/>
                <w:szCs w:val="32"/>
              </w:rPr>
            </w:pPr>
            <w:r w:rsidRPr="00F30A97">
              <w:rPr>
                <w:rFonts w:ascii="Arial" w:hAnsi="Arial" w:cs="Arial"/>
                <w:b/>
                <w:color w:val="009CD6"/>
                <w:spacing w:val="-4"/>
                <w:sz w:val="32"/>
                <w:szCs w:val="32"/>
              </w:rPr>
              <w:t>ITU</w:t>
            </w:r>
            <w:r w:rsidRPr="00F30A97">
              <w:rPr>
                <w:rFonts w:ascii="Arial" w:hAnsi="Arial" w:cs="Arial"/>
                <w:b/>
                <w:color w:val="292829"/>
                <w:spacing w:val="-4"/>
                <w:sz w:val="32"/>
                <w:szCs w:val="32"/>
              </w:rPr>
              <w:t>Publications</w:t>
            </w:r>
          </w:p>
        </w:tc>
        <w:tc>
          <w:tcPr>
            <w:tcW w:w="5669" w:type="dxa"/>
            <w:vAlign w:val="center"/>
          </w:tcPr>
          <w:p w14:paraId="2A7B8A3C" w14:textId="77777777" w:rsidR="005D379B" w:rsidRPr="00F30A97" w:rsidRDefault="005D379B" w:rsidP="00CE08CB">
            <w:pPr>
              <w:jc w:val="right"/>
              <w:rPr>
                <w:rFonts w:ascii="Arial" w:hAnsi="Arial" w:cs="Arial"/>
                <w:szCs w:val="24"/>
              </w:rPr>
            </w:pPr>
            <w:r w:rsidRPr="00F30A97">
              <w:rPr>
                <w:rFonts w:ascii="Arial" w:eastAsia="Avenir Next W1G Medium" w:hAnsi="Arial" w:cs="Arial"/>
                <w:b/>
                <w:spacing w:val="-4"/>
                <w:szCs w:val="24"/>
              </w:rPr>
              <w:t>International Telecommunication Union</w:t>
            </w:r>
          </w:p>
        </w:tc>
      </w:tr>
    </w:tbl>
    <w:p w14:paraId="6BE4B07E" w14:textId="55548F61" w:rsidR="00B46FF3" w:rsidRPr="00F30A97" w:rsidRDefault="005D379B" w:rsidP="00CE08CB">
      <w:pPr>
        <w:tabs>
          <w:tab w:val="clear" w:pos="794"/>
          <w:tab w:val="clear" w:pos="1191"/>
          <w:tab w:val="clear" w:pos="1588"/>
          <w:tab w:val="clear" w:pos="1985"/>
        </w:tabs>
        <w:overflowPunct/>
        <w:autoSpaceDE/>
        <w:autoSpaceDN/>
        <w:adjustRightInd/>
        <w:spacing w:before="0"/>
        <w:jc w:val="center"/>
        <w:textAlignment w:val="auto"/>
      </w:pPr>
      <w:r w:rsidRPr="00F30A97">
        <w:drawing>
          <wp:anchor distT="0" distB="0" distL="0" distR="0" simplePos="0" relativeHeight="251660288" behindDoc="1" locked="0" layoutInCell="1" allowOverlap="1" wp14:anchorId="129EBA52" wp14:editId="6E5E8CCA">
            <wp:simplePos x="0" y="0"/>
            <wp:positionH relativeFrom="page">
              <wp:posOffset>6355080</wp:posOffset>
            </wp:positionH>
            <wp:positionV relativeFrom="page">
              <wp:posOffset>9591675</wp:posOffset>
            </wp:positionV>
            <wp:extent cx="737870" cy="813435"/>
            <wp:effectExtent l="0" t="0" r="0" b="0"/>
            <wp:wrapNone/>
            <wp:docPr id="1" name="image1.png"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Logo, icon&#10;&#10;Description automatically generated"/>
                    <pic:cNvPicPr/>
                  </pic:nvPicPr>
                  <pic:blipFill>
                    <a:blip r:embed="rId8" cstate="print"/>
                    <a:stretch>
                      <a:fillRect/>
                    </a:stretch>
                  </pic:blipFill>
                  <pic:spPr>
                    <a:xfrm>
                      <a:off x="0" y="0"/>
                      <a:ext cx="737870" cy="813435"/>
                    </a:xfrm>
                    <a:prstGeom prst="rect">
                      <a:avLst/>
                    </a:prstGeom>
                  </pic:spPr>
                </pic:pic>
              </a:graphicData>
            </a:graphic>
            <wp14:sizeRelH relativeFrom="margin">
              <wp14:pctWidth>0</wp14:pctWidth>
            </wp14:sizeRelH>
            <wp14:sizeRelV relativeFrom="margin">
              <wp14:pctHeight>0</wp14:pctHeight>
            </wp14:sizeRelV>
          </wp:anchor>
        </w:drawing>
      </w:r>
      <w:bookmarkStart w:id="4" w:name="c2tope"/>
      <w:bookmarkEnd w:id="4"/>
      <w:r w:rsidR="00934B4E" w:rsidRPr="00F30A97">
        <w:t xml:space="preserve"> </w:t>
      </w:r>
    </w:p>
    <w:p w14:paraId="3F53C0BE" w14:textId="77777777" w:rsidR="00B46FF3" w:rsidRPr="00F30A97" w:rsidRDefault="00B46FF3" w:rsidP="00CE08CB">
      <w:pPr>
        <w:spacing w:before="80"/>
        <w:jc w:val="left"/>
        <w:rPr>
          <w:i/>
          <w:sz w:val="20"/>
        </w:rPr>
      </w:pPr>
    </w:p>
    <w:p w14:paraId="0B161351" w14:textId="77777777" w:rsidR="00B46FF3" w:rsidRPr="00F30A97" w:rsidRDefault="00B46FF3" w:rsidP="00CE08CB">
      <w:pPr>
        <w:jc w:val="left"/>
        <w:sectPr w:rsidR="00B46FF3" w:rsidRPr="00F30A97" w:rsidSect="00F44D58">
          <w:headerReference w:type="even" r:id="rId9"/>
          <w:headerReference w:type="default" r:id="rId10"/>
          <w:footerReference w:type="default" r:id="rId11"/>
          <w:pgSz w:w="11907" w:h="16840" w:code="9"/>
          <w:pgMar w:top="1038" w:right="601" w:bottom="1860" w:left="618" w:header="567" w:footer="284" w:gutter="0"/>
          <w:pgNumType w:start="1"/>
          <w:cols w:space="720"/>
          <w:docGrid w:linePitch="326"/>
        </w:sectPr>
      </w:pPr>
    </w:p>
    <w:tbl>
      <w:tblPr>
        <w:tblW w:w="9945" w:type="dxa"/>
        <w:tblLayout w:type="fixed"/>
        <w:tblLook w:val="0000" w:firstRow="0" w:lastRow="0" w:firstColumn="0" w:lastColumn="0" w:noHBand="0" w:noVBand="0"/>
      </w:tblPr>
      <w:tblGrid>
        <w:gridCol w:w="9945"/>
      </w:tblGrid>
      <w:tr w:rsidR="00B46FF3" w:rsidRPr="00F30A97" w14:paraId="48492322" w14:textId="77777777" w:rsidTr="000542C8">
        <w:tc>
          <w:tcPr>
            <w:tcW w:w="9945" w:type="dxa"/>
          </w:tcPr>
          <w:p w14:paraId="62B39A50" w14:textId="5ED4C034" w:rsidR="00934B4E" w:rsidRPr="00F30A97" w:rsidRDefault="00D0567B" w:rsidP="00CE08CB">
            <w:pPr>
              <w:pStyle w:val="RecNo"/>
            </w:pPr>
            <w:bookmarkStart w:id="5" w:name="irecnoe"/>
            <w:bookmarkEnd w:id="5"/>
            <w:r w:rsidRPr="00F30A97">
              <w:rPr>
                <w:bCs/>
              </w:rPr>
              <w:lastRenderedPageBreak/>
              <w:t xml:space="preserve">Technical </w:t>
            </w:r>
            <w:r w:rsidR="000542C8" w:rsidRPr="00F30A97">
              <w:rPr>
                <w:bCs/>
              </w:rPr>
              <w:t xml:space="preserve">Report </w:t>
            </w:r>
            <w:r w:rsidR="00F30A97" w:rsidRPr="00F30A97">
              <w:rPr>
                <w:bCs/>
              </w:rPr>
              <w:t xml:space="preserve">ITU-T </w:t>
            </w:r>
            <w:r w:rsidR="000542C8" w:rsidRPr="00F30A97">
              <w:rPr>
                <w:bCs/>
              </w:rPr>
              <w:t>FG-AI4NDM</w:t>
            </w:r>
            <w:r w:rsidR="00F30A97" w:rsidRPr="00F30A97">
              <w:rPr>
                <w:bCs/>
              </w:rPr>
              <w:t>-</w:t>
            </w:r>
            <w:r w:rsidR="000542C8" w:rsidRPr="00F30A97">
              <w:rPr>
                <w:bCs/>
              </w:rPr>
              <w:t>Roadmap</w:t>
            </w:r>
          </w:p>
          <w:p w14:paraId="4FA000BD" w14:textId="130D0739" w:rsidR="00B46FF3" w:rsidRPr="00F30A97" w:rsidRDefault="000542C8" w:rsidP="00CE08CB">
            <w:pPr>
              <w:pStyle w:val="Rectitle"/>
            </w:pPr>
            <w:r w:rsidRPr="00F30A97">
              <w:rPr>
                <w:bCs/>
              </w:rPr>
              <w:t xml:space="preserve">Standardization Roadmap </w:t>
            </w:r>
            <w:r w:rsidR="00812EFA" w:rsidRPr="00F30A97">
              <w:rPr>
                <w:bCs/>
              </w:rPr>
              <w:t xml:space="preserve">on </w:t>
            </w:r>
            <w:r w:rsidRPr="00F30A97">
              <w:rPr>
                <w:bCs/>
              </w:rPr>
              <w:t>Natural Disaster Management</w:t>
            </w:r>
            <w:r w:rsidR="00812EFA" w:rsidRPr="00F30A97">
              <w:rPr>
                <w:bCs/>
              </w:rPr>
              <w:t>: Trends and Gaps in Standardization</w:t>
            </w:r>
          </w:p>
        </w:tc>
      </w:tr>
      <w:tr w:rsidR="00B46FF3" w:rsidRPr="00F30A97" w14:paraId="6ADC5C25" w14:textId="77777777" w:rsidTr="000542C8">
        <w:tc>
          <w:tcPr>
            <w:tcW w:w="9945" w:type="dxa"/>
          </w:tcPr>
          <w:p w14:paraId="7B9BF0C0" w14:textId="7FB80EBC" w:rsidR="00B46FF3" w:rsidRPr="00F30A97" w:rsidRDefault="00B46FF3" w:rsidP="00CE08CB">
            <w:pPr>
              <w:pStyle w:val="Headingb"/>
            </w:pPr>
            <w:bookmarkStart w:id="6" w:name="isume"/>
            <w:r w:rsidRPr="00F30A97">
              <w:t>Summary</w:t>
            </w:r>
          </w:p>
          <w:bookmarkEnd w:id="6"/>
          <w:p w14:paraId="286FFA26" w14:textId="3BE982F4" w:rsidR="0020782B" w:rsidRPr="00F30A97" w:rsidRDefault="0020782B" w:rsidP="00CE08CB">
            <w:r w:rsidRPr="00F30A97">
              <w:t>This Technical Report is a deliverable of the ITU/WMO/UNEP Focus Group on Artificial Intelligence for Natural Disaster Management (FG-AI4NDM). The report provides the results of a detailed and systematic survey (in roadmap form) of past, present, and planned pre-standardization and standardization activities in the domain of natural disaster management (with an initial focus on standard</w:t>
            </w:r>
            <w:r w:rsidR="00812EFA" w:rsidRPr="00F30A97">
              <w:t>s</w:t>
            </w:r>
            <w:r w:rsidRPr="00F30A97">
              <w:t xml:space="preserve"> develop</w:t>
            </w:r>
            <w:r w:rsidR="00812EFA" w:rsidRPr="00F30A97">
              <w:t>ment</w:t>
            </w:r>
            <w:r w:rsidRPr="00F30A97">
              <w:t xml:space="preserve"> organizations and United Nations bodies) as well as an analysis of trends and gaps.</w:t>
            </w:r>
          </w:p>
        </w:tc>
      </w:tr>
      <w:tr w:rsidR="00B46FF3" w:rsidRPr="00F30A97" w14:paraId="08DD4479" w14:textId="77777777" w:rsidTr="001B5D54">
        <w:tc>
          <w:tcPr>
            <w:tcW w:w="9945" w:type="dxa"/>
          </w:tcPr>
          <w:p w14:paraId="65F8A68E" w14:textId="77777777" w:rsidR="00B46FF3" w:rsidRPr="00F30A97" w:rsidRDefault="00B46FF3" w:rsidP="00CE08CB">
            <w:pPr>
              <w:pStyle w:val="Headingb"/>
            </w:pPr>
            <w:bookmarkStart w:id="7" w:name="ikeye"/>
            <w:r w:rsidRPr="00F30A97">
              <w:t>Keywords</w:t>
            </w:r>
          </w:p>
          <w:bookmarkEnd w:id="7"/>
          <w:p w14:paraId="0F1A8E99" w14:textId="4A335CE0" w:rsidR="00B46FF3" w:rsidRPr="00F30A97" w:rsidRDefault="000542C8" w:rsidP="00CE08CB">
            <w:pPr>
              <w:rPr>
                <w:bCs/>
              </w:rPr>
            </w:pPr>
            <w:r w:rsidRPr="00F30A97">
              <w:t>Disasters, disaster management cycle, disaster recovery, natural disaster response, natural hazards, standards, SDOs, UN.</w:t>
            </w:r>
          </w:p>
        </w:tc>
      </w:tr>
    </w:tbl>
    <w:p w14:paraId="32154938" w14:textId="0A35308F" w:rsidR="001B5D54" w:rsidRPr="00F30A97" w:rsidRDefault="001B5D54" w:rsidP="00CE08CB">
      <w:pPr>
        <w:pStyle w:val="Headingb"/>
        <w:rPr>
          <w:bCs/>
          <w:sz w:val="22"/>
        </w:rPr>
      </w:pPr>
      <w:r w:rsidRPr="00F30A97">
        <w:t>Note</w:t>
      </w:r>
      <w:r w:rsidRPr="00F30A97">
        <w:rPr>
          <w:b w:val="0"/>
          <w:bCs/>
          <w:sz w:val="22"/>
        </w:rPr>
        <w:t xml:space="preserve"> </w:t>
      </w:r>
    </w:p>
    <w:p w14:paraId="1302C890" w14:textId="6A9E0282" w:rsidR="001B5D54" w:rsidRPr="00F30A97" w:rsidRDefault="001B5D54" w:rsidP="00CE08CB">
      <w:r w:rsidRPr="00F30A97">
        <w:rPr>
          <w:sz w:val="22"/>
        </w:rPr>
        <w:t>This is an informative ITU-T publication. Mandatory provisions, such as those found in ITU-T Recommendations, are outside the scope of this publication. This publication should only be referenced bibliographically in ITU-T Recommendations.</w:t>
      </w:r>
    </w:p>
    <w:p w14:paraId="340D3B68" w14:textId="77777777" w:rsidR="000542C8" w:rsidRPr="00F30A97" w:rsidRDefault="000542C8" w:rsidP="00CE08CB">
      <w:pPr>
        <w:keepNext/>
        <w:pBdr>
          <w:top w:val="nil"/>
          <w:left w:val="nil"/>
          <w:bottom w:val="nil"/>
          <w:right w:val="nil"/>
          <w:between w:val="nil"/>
        </w:pBdr>
        <w:spacing w:before="160"/>
        <w:rPr>
          <w:b/>
          <w:color w:val="000000"/>
        </w:rPr>
      </w:pPr>
      <w:r w:rsidRPr="00F30A97">
        <w:rPr>
          <w:b/>
          <w:color w:val="000000"/>
        </w:rPr>
        <w:t>Acknowledgement</w:t>
      </w:r>
    </w:p>
    <w:p w14:paraId="7AACD121" w14:textId="4F932A33" w:rsidR="000542C8" w:rsidRPr="00F30A97" w:rsidRDefault="000542C8" w:rsidP="00CE08CB">
      <w:pPr>
        <w:keepNext/>
        <w:pBdr>
          <w:top w:val="nil"/>
          <w:left w:val="nil"/>
          <w:bottom w:val="nil"/>
          <w:right w:val="nil"/>
          <w:between w:val="nil"/>
        </w:pBdr>
        <w:spacing w:before="160"/>
        <w:rPr>
          <w:bCs/>
          <w:color w:val="000000"/>
        </w:rPr>
      </w:pPr>
      <w:r w:rsidRPr="00F30A97">
        <w:rPr>
          <w:bCs/>
          <w:color w:val="000000"/>
        </w:rPr>
        <w:t>This Technical Report was prepared under the leadership of Ms Monique Kuglitsch, Chair of FG-AI4NDM (Fraunhofer HHI, Germany) and David Oehmen WG-Roadmap Chair (United Nations Framework Convention on Climate Change)</w:t>
      </w:r>
    </w:p>
    <w:p w14:paraId="52DFE2B6" w14:textId="77777777" w:rsidR="000542C8" w:rsidRPr="00F30A97" w:rsidRDefault="000542C8" w:rsidP="00CE08CB">
      <w:r w:rsidRPr="00F30A97">
        <w:t>It is based on the contributions of various authors who participated in the Focus Group activities.</w:t>
      </w:r>
    </w:p>
    <w:p w14:paraId="75F0DAF7" w14:textId="08519054" w:rsidR="000542C8" w:rsidRPr="00F30A97" w:rsidRDefault="000542C8" w:rsidP="00CE08CB">
      <w:r w:rsidRPr="00F30A97">
        <w:t>Ms David Oehmen and Ms Ramona O</w:t>
      </w:r>
      <w:r w:rsidR="00644FA2" w:rsidRPr="00F30A97">
        <w:t>'</w:t>
      </w:r>
      <w:r w:rsidRPr="00F30A97">
        <w:t xml:space="preserve">Dwyer-Stock (UNFCCC) served as the main </w:t>
      </w:r>
      <w:r w:rsidR="00812EFA" w:rsidRPr="00F30A97">
        <w:t>e</w:t>
      </w:r>
      <w:r w:rsidRPr="00F30A97">
        <w:t>ditors of this Technical Report. Ms Mythili Menon</w:t>
      </w:r>
      <w:r w:rsidR="00145F76" w:rsidRPr="00F30A97">
        <w:t xml:space="preserve"> (FG-AI4NDM Advisor)</w:t>
      </w:r>
      <w:r w:rsidRPr="00F30A97">
        <w:t xml:space="preserve"> and Ms Hiba Tahawi</w:t>
      </w:r>
      <w:r w:rsidR="00145F76" w:rsidRPr="00F30A97">
        <w:t xml:space="preserve"> (FG-AI4NDM Assistant)</w:t>
      </w:r>
      <w:r w:rsidRPr="00F30A97">
        <w:t xml:space="preserve"> served as the FG-AI4NDM Secretariat.</w:t>
      </w:r>
    </w:p>
    <w:p w14:paraId="06051E31" w14:textId="47B94967" w:rsidR="00934B4E" w:rsidRPr="00F30A97" w:rsidRDefault="00934B4E" w:rsidP="00CE08CB">
      <w:pPr>
        <w:pStyle w:val="Headingb"/>
        <w:jc w:val="both"/>
      </w:pPr>
      <w:r w:rsidRPr="00F30A97">
        <w:t>Change Log</w:t>
      </w:r>
    </w:p>
    <w:p w14:paraId="76EDAD2A" w14:textId="0AE114A5" w:rsidR="00934B4E" w:rsidRPr="00F30A97" w:rsidRDefault="00D0567B" w:rsidP="00CE08CB">
      <w:r w:rsidRPr="00F30A97">
        <w:t xml:space="preserve">This document contains Version 1 of the </w:t>
      </w:r>
      <w:r w:rsidR="00C2623D" w:rsidRPr="00F30A97">
        <w:t>Focus Group Report – Standardization Roadmap on Natural Disaster Management: Trends and Gaps in Standardization</w:t>
      </w:r>
      <w:r w:rsidR="00644FA2" w:rsidRPr="00F30A97">
        <w:t>"</w:t>
      </w:r>
      <w:bookmarkStart w:id="8" w:name="_Hlk121131304"/>
      <w:r w:rsidRPr="00F30A97">
        <w:t xml:space="preserve"> approved</w:t>
      </w:r>
      <w:r w:rsidR="00C2623D" w:rsidRPr="00F30A97">
        <w:t xml:space="preserve"> at the eighth meeting of FG-AI4NDM on 19 December 202</w:t>
      </w:r>
      <w:r w:rsidR="003911A6" w:rsidRPr="00F30A97">
        <w:t>2</w:t>
      </w:r>
      <w:r w:rsidRPr="00F30A97">
        <w:t>.</w:t>
      </w:r>
      <w:bookmarkEnd w:id="8"/>
    </w:p>
    <w:p w14:paraId="351D9F38" w14:textId="77777777" w:rsidR="00DF3A5B" w:rsidRPr="00F30A97" w:rsidRDefault="00DF3A5B" w:rsidP="00CE08CB">
      <w:pPr>
        <w:spacing w:before="0"/>
      </w:pPr>
    </w:p>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DF3A5B" w:rsidRPr="00F30A97" w14:paraId="1CF5EA21" w14:textId="77777777" w:rsidTr="00C2623D">
        <w:trPr>
          <w:cantSplit/>
          <w:trHeight w:val="204"/>
          <w:jc w:val="center"/>
        </w:trPr>
        <w:tc>
          <w:tcPr>
            <w:tcW w:w="1617" w:type="dxa"/>
          </w:tcPr>
          <w:p w14:paraId="4C720168" w14:textId="6B4D152F" w:rsidR="00DF3A5B" w:rsidRPr="00F30A97" w:rsidRDefault="00DF3A5B" w:rsidP="00CE08CB">
            <w:pPr>
              <w:rPr>
                <w:b/>
                <w:bCs/>
                <w:sz w:val="22"/>
                <w:szCs w:val="22"/>
              </w:rPr>
            </w:pPr>
            <w:r w:rsidRPr="00F30A97">
              <w:rPr>
                <w:b/>
                <w:bCs/>
                <w:sz w:val="22"/>
                <w:szCs w:val="22"/>
              </w:rPr>
              <w:t>Editor</w:t>
            </w:r>
            <w:r w:rsidR="000542C8" w:rsidRPr="00F30A97">
              <w:rPr>
                <w:b/>
                <w:bCs/>
                <w:sz w:val="22"/>
                <w:szCs w:val="22"/>
              </w:rPr>
              <w:t>s</w:t>
            </w:r>
            <w:r w:rsidRPr="00F30A97">
              <w:rPr>
                <w:b/>
                <w:bCs/>
                <w:sz w:val="22"/>
                <w:szCs w:val="22"/>
              </w:rPr>
              <w:t>:</w:t>
            </w:r>
          </w:p>
        </w:tc>
        <w:tc>
          <w:tcPr>
            <w:tcW w:w="4394" w:type="dxa"/>
          </w:tcPr>
          <w:p w14:paraId="4CACD95C" w14:textId="3BA0CD37" w:rsidR="00DF3A5B" w:rsidRPr="00F30A97" w:rsidRDefault="000542C8" w:rsidP="00CE08CB">
            <w:pPr>
              <w:jc w:val="left"/>
              <w:rPr>
                <w:sz w:val="22"/>
                <w:szCs w:val="22"/>
              </w:rPr>
            </w:pPr>
            <w:r w:rsidRPr="00F30A97">
              <w:rPr>
                <w:rFonts w:eastAsia="Calibri"/>
                <w:sz w:val="22"/>
                <w:szCs w:val="22"/>
              </w:rPr>
              <w:t>David Oehmen</w:t>
            </w:r>
            <w:r w:rsidRPr="00F30A97">
              <w:rPr>
                <w:rFonts w:eastAsia="Calibri"/>
                <w:sz w:val="22"/>
                <w:szCs w:val="22"/>
              </w:rPr>
              <w:br/>
              <w:t>UNFCCC</w:t>
            </w:r>
            <w:r w:rsidRPr="00F30A97">
              <w:rPr>
                <w:rFonts w:eastAsia="Calibri"/>
                <w:sz w:val="22"/>
                <w:szCs w:val="22"/>
              </w:rPr>
              <w:br/>
              <w:t>Germany</w:t>
            </w:r>
          </w:p>
        </w:tc>
        <w:tc>
          <w:tcPr>
            <w:tcW w:w="3912" w:type="dxa"/>
          </w:tcPr>
          <w:p w14:paraId="1E1B6B73" w14:textId="16D6DD31" w:rsidR="00DF3A5B" w:rsidRPr="00F30A97" w:rsidRDefault="000542C8" w:rsidP="00CE08CB">
            <w:pPr>
              <w:rPr>
                <w:sz w:val="22"/>
                <w:szCs w:val="22"/>
              </w:rPr>
            </w:pPr>
            <w:r w:rsidRPr="00F30A97">
              <w:t xml:space="preserve">Email: </w:t>
            </w:r>
            <w:hyperlink r:id="rId12">
              <w:r w:rsidRPr="00F30A97">
                <w:rPr>
                  <w:color w:val="0000FF"/>
                  <w:u w:val="single"/>
                </w:rPr>
                <w:t>doehmen@unfccc.int</w:t>
              </w:r>
            </w:hyperlink>
          </w:p>
        </w:tc>
      </w:tr>
      <w:tr w:rsidR="000542C8" w:rsidRPr="00F30A97" w14:paraId="4E33A4D6" w14:textId="77777777" w:rsidTr="00C2623D">
        <w:trPr>
          <w:cantSplit/>
          <w:trHeight w:val="204"/>
          <w:jc w:val="center"/>
        </w:trPr>
        <w:tc>
          <w:tcPr>
            <w:tcW w:w="1617" w:type="dxa"/>
          </w:tcPr>
          <w:p w14:paraId="19DD61FD" w14:textId="77777777" w:rsidR="000542C8" w:rsidRPr="00F30A97" w:rsidRDefault="000542C8" w:rsidP="00CE08CB">
            <w:pPr>
              <w:rPr>
                <w:b/>
                <w:bCs/>
                <w:sz w:val="22"/>
                <w:szCs w:val="22"/>
              </w:rPr>
            </w:pPr>
          </w:p>
        </w:tc>
        <w:tc>
          <w:tcPr>
            <w:tcW w:w="4394" w:type="dxa"/>
          </w:tcPr>
          <w:p w14:paraId="5D04F236" w14:textId="18B1C1E3" w:rsidR="000542C8" w:rsidRPr="00F30A97" w:rsidRDefault="000542C8" w:rsidP="00CE08CB">
            <w:pPr>
              <w:jc w:val="left"/>
              <w:rPr>
                <w:rFonts w:eastAsia="Calibri"/>
                <w:sz w:val="22"/>
                <w:szCs w:val="22"/>
              </w:rPr>
            </w:pPr>
            <w:r w:rsidRPr="00F30A97">
              <w:rPr>
                <w:rFonts w:eastAsia="Calibri"/>
                <w:sz w:val="22"/>
                <w:szCs w:val="22"/>
              </w:rPr>
              <w:t>Ramona O</w:t>
            </w:r>
            <w:r w:rsidR="00644FA2" w:rsidRPr="00F30A97">
              <w:rPr>
                <w:rFonts w:eastAsia="Calibri"/>
                <w:sz w:val="22"/>
                <w:szCs w:val="22"/>
              </w:rPr>
              <w:t>'</w:t>
            </w:r>
            <w:r w:rsidRPr="00F30A97">
              <w:rPr>
                <w:rFonts w:eastAsia="Calibri"/>
                <w:sz w:val="22"/>
                <w:szCs w:val="22"/>
              </w:rPr>
              <w:t>Dwyer-Stock</w:t>
            </w:r>
            <w:r w:rsidRPr="00F30A97">
              <w:rPr>
                <w:rFonts w:eastAsia="Calibri"/>
                <w:sz w:val="22"/>
                <w:szCs w:val="22"/>
              </w:rPr>
              <w:br/>
              <w:t>UNFCCC</w:t>
            </w:r>
            <w:r w:rsidRPr="00F30A97">
              <w:rPr>
                <w:rFonts w:eastAsia="Calibri"/>
                <w:sz w:val="22"/>
                <w:szCs w:val="22"/>
              </w:rPr>
              <w:br/>
              <w:t>Germany</w:t>
            </w:r>
          </w:p>
        </w:tc>
        <w:tc>
          <w:tcPr>
            <w:tcW w:w="3912" w:type="dxa"/>
          </w:tcPr>
          <w:p w14:paraId="21CCF083" w14:textId="1FE1A6B6" w:rsidR="000542C8" w:rsidRPr="00F30A97" w:rsidRDefault="000542C8" w:rsidP="00CE08CB">
            <w:r w:rsidRPr="00F30A97">
              <w:t xml:space="preserve">Email: </w:t>
            </w:r>
            <w:hyperlink r:id="rId13">
              <w:r w:rsidRPr="00F30A97">
                <w:rPr>
                  <w:rStyle w:val="Hyperlink"/>
                </w:rPr>
                <w:t>rodwyer-stock@unfccc.int</w:t>
              </w:r>
            </w:hyperlink>
          </w:p>
        </w:tc>
      </w:tr>
    </w:tbl>
    <w:p w14:paraId="2123B52E" w14:textId="4942EB78" w:rsidR="00DF3A5B" w:rsidRPr="00F30A97" w:rsidRDefault="00DF3A5B" w:rsidP="00CE08CB">
      <w:pPr>
        <w:spacing w:before="0" w:line="240" w:lineRule="exact"/>
      </w:pPr>
    </w:p>
    <w:p w14:paraId="22D94F22" w14:textId="77777777" w:rsidR="00EB5930" w:rsidRPr="00F30A97" w:rsidRDefault="00EB5930" w:rsidP="00CE08CB">
      <w:pPr>
        <w:spacing w:before="0" w:line="240" w:lineRule="exact"/>
      </w:pPr>
    </w:p>
    <w:p w14:paraId="56C174B3" w14:textId="15635019" w:rsidR="001B5D54" w:rsidRPr="00F30A97" w:rsidRDefault="001B5D54" w:rsidP="00CE08CB">
      <w:pPr>
        <w:jc w:val="center"/>
        <w:rPr>
          <w:sz w:val="22"/>
        </w:rPr>
      </w:pPr>
      <w:r w:rsidRPr="00F30A97">
        <w:rPr>
          <w:sz w:val="22"/>
        </w:rPr>
        <w:sym w:font="Symbol" w:char="F0E3"/>
      </w:r>
      <w:r w:rsidRPr="00F30A97">
        <w:rPr>
          <w:sz w:val="22"/>
        </w:rPr>
        <w:t> ITU </w:t>
      </w:r>
      <w:bookmarkStart w:id="9" w:name="iiannee"/>
      <w:bookmarkEnd w:id="9"/>
      <w:r w:rsidRPr="00F30A97">
        <w:rPr>
          <w:sz w:val="22"/>
        </w:rPr>
        <w:t>202</w:t>
      </w:r>
      <w:r w:rsidR="00D326A3" w:rsidRPr="00F30A97">
        <w:rPr>
          <w:sz w:val="22"/>
        </w:rPr>
        <w:t>4</w:t>
      </w:r>
    </w:p>
    <w:p w14:paraId="228A3F24" w14:textId="77777777" w:rsidR="00BC5443" w:rsidRPr="00F30A97" w:rsidRDefault="00BC5443" w:rsidP="00BC5443">
      <w:pPr>
        <w:rPr>
          <w:sz w:val="22"/>
          <w:szCs w:val="22"/>
        </w:rPr>
      </w:pPr>
      <w:r w:rsidRPr="00F30A97">
        <w:rPr>
          <w:sz w:val="22"/>
          <w:szCs w:val="22"/>
        </w:rPr>
        <w:t>Some rights reserved.</w:t>
      </w:r>
      <w:r w:rsidRPr="00F30A97">
        <w:rPr>
          <w:i/>
          <w:iCs/>
          <w:sz w:val="22"/>
          <w:szCs w:val="22"/>
        </w:rPr>
        <w:t xml:space="preserve"> </w:t>
      </w:r>
      <w:r w:rsidRPr="00F30A97">
        <w:rPr>
          <w:sz w:val="22"/>
          <w:szCs w:val="22"/>
        </w:rPr>
        <w:t xml:space="preserve">This publication is available under the Creative Commons Attribution-Non Commercial-Share Alike 3.0 IGO licence (CC BY-NC-SA 3.0 IGO; </w:t>
      </w:r>
      <w:hyperlink r:id="rId14" w:history="1">
        <w:r w:rsidRPr="00F30A97">
          <w:rPr>
            <w:rStyle w:val="Hyperlink"/>
            <w:sz w:val="22"/>
            <w:szCs w:val="22"/>
          </w:rPr>
          <w:t>https://creativecommons.org/licenses/by-nc-sa/3.0/igo</w:t>
        </w:r>
      </w:hyperlink>
      <w:r w:rsidRPr="00F30A97">
        <w:rPr>
          <w:sz w:val="22"/>
          <w:szCs w:val="22"/>
        </w:rPr>
        <w:t xml:space="preserve">). </w:t>
      </w:r>
    </w:p>
    <w:p w14:paraId="2CA5018D" w14:textId="77777777" w:rsidR="00BC5443" w:rsidRPr="00F30A97" w:rsidRDefault="00BC5443" w:rsidP="00BC5443">
      <w:pPr>
        <w:rPr>
          <w:sz w:val="22"/>
          <w:szCs w:val="22"/>
        </w:rPr>
      </w:pPr>
      <w:r w:rsidRPr="00F30A97">
        <w:rPr>
          <w:sz w:val="22"/>
          <w:szCs w:val="22"/>
        </w:rPr>
        <w:t xml:space="preserve">For any uses of this publication that are not included in this licence, please seek permission from ITU by contacting </w:t>
      </w:r>
      <w:hyperlink r:id="rId15" w:history="1">
        <w:r w:rsidRPr="00F30A97">
          <w:rPr>
            <w:rStyle w:val="Hyperlink"/>
            <w:sz w:val="22"/>
            <w:szCs w:val="22"/>
          </w:rPr>
          <w:t>TSBmail@itu.int</w:t>
        </w:r>
      </w:hyperlink>
      <w:r w:rsidRPr="00F30A97">
        <w:rPr>
          <w:sz w:val="22"/>
          <w:szCs w:val="22"/>
        </w:rPr>
        <w:t>.</w:t>
      </w:r>
    </w:p>
    <w:p w14:paraId="289EE350" w14:textId="77777777" w:rsidR="00B46FF3" w:rsidRPr="00F30A97" w:rsidRDefault="00B46FF3" w:rsidP="00CE08CB">
      <w:pPr>
        <w:jc w:val="center"/>
        <w:rPr>
          <w:b/>
        </w:rPr>
      </w:pPr>
      <w:r w:rsidRPr="00F30A97">
        <w:rPr>
          <w:b/>
        </w:rPr>
        <w:br w:type="page"/>
      </w:r>
      <w:r w:rsidR="00B84159" w:rsidRPr="00F30A97">
        <w:rPr>
          <w:b/>
        </w:rPr>
        <w:lastRenderedPageBreak/>
        <w:t>Table of Contents</w:t>
      </w:r>
    </w:p>
    <w:p w14:paraId="097F7CF9" w14:textId="3AACE6EE" w:rsidR="00B63B7E" w:rsidRPr="00F30A97" w:rsidRDefault="00B63B7E" w:rsidP="00CE08CB">
      <w:pPr>
        <w:pStyle w:val="toc0"/>
        <w:ind w:right="992"/>
      </w:pPr>
      <w:r w:rsidRPr="00F30A97">
        <w:tab/>
        <w:t>Page</w:t>
      </w:r>
    </w:p>
    <w:p w14:paraId="7AEA24D6" w14:textId="00B253CE" w:rsidR="00B63B7E" w:rsidRPr="00F30A97" w:rsidRDefault="00B63B7E" w:rsidP="00CE08CB">
      <w:pPr>
        <w:pStyle w:val="TOC1"/>
        <w:ind w:right="992"/>
        <w:rPr>
          <w:rFonts w:asciiTheme="minorHAnsi" w:eastAsiaTheme="minorEastAsia" w:hAnsiTheme="minorHAnsi" w:cstheme="minorBidi"/>
          <w:sz w:val="22"/>
          <w:szCs w:val="22"/>
          <w:lang w:eastAsia="en-GB"/>
        </w:rPr>
      </w:pPr>
      <w:r w:rsidRPr="00F30A97">
        <w:rPr>
          <w:rFonts w:eastAsia="MS Mincho"/>
          <w:lang w:eastAsia="ja-JP" w:bidi="ar-DZ"/>
        </w:rPr>
        <w:t>1</w:t>
      </w:r>
      <w:r w:rsidRPr="00F30A97">
        <w:rPr>
          <w:rFonts w:asciiTheme="minorHAnsi" w:eastAsiaTheme="minorEastAsia" w:hAnsiTheme="minorHAnsi" w:cstheme="minorBidi"/>
          <w:sz w:val="22"/>
          <w:szCs w:val="22"/>
          <w:lang w:eastAsia="en-GB"/>
        </w:rPr>
        <w:tab/>
      </w:r>
      <w:r w:rsidRPr="00F30A97">
        <w:rPr>
          <w:rFonts w:eastAsia="MS Mincho"/>
          <w:lang w:eastAsia="ja-JP" w:bidi="ar-DZ"/>
        </w:rPr>
        <w:t>Scope</w:t>
      </w:r>
      <w:r w:rsidRPr="00F30A97">
        <w:rPr>
          <w:rFonts w:eastAsia="MS Mincho"/>
          <w:lang w:eastAsia="ja-JP" w:bidi="ar-DZ"/>
        </w:rPr>
        <w:tab/>
      </w:r>
      <w:r w:rsidRPr="00F30A97">
        <w:rPr>
          <w:rFonts w:eastAsia="MS Mincho"/>
          <w:lang w:eastAsia="ja-JP" w:bidi="ar-DZ"/>
        </w:rPr>
        <w:tab/>
      </w:r>
      <w:r w:rsidRPr="00F30A97">
        <w:t>1</w:t>
      </w:r>
    </w:p>
    <w:p w14:paraId="0394116B" w14:textId="483F1057" w:rsidR="00B63B7E" w:rsidRPr="00F30A97" w:rsidRDefault="00B63B7E" w:rsidP="00CE08CB">
      <w:pPr>
        <w:pStyle w:val="TOC1"/>
        <w:ind w:right="992"/>
        <w:rPr>
          <w:rFonts w:asciiTheme="minorHAnsi" w:eastAsiaTheme="minorEastAsia" w:hAnsiTheme="minorHAnsi" w:cstheme="minorBidi"/>
          <w:sz w:val="22"/>
          <w:szCs w:val="22"/>
          <w:lang w:eastAsia="en-GB"/>
        </w:rPr>
      </w:pPr>
      <w:r w:rsidRPr="00F30A97">
        <w:rPr>
          <w:rFonts w:eastAsia="MS Mincho"/>
          <w:lang w:eastAsia="ja-JP" w:bidi="ar-DZ"/>
        </w:rPr>
        <w:t>2</w:t>
      </w:r>
      <w:r w:rsidRPr="00F30A97">
        <w:rPr>
          <w:rFonts w:asciiTheme="minorHAnsi" w:eastAsiaTheme="minorEastAsia" w:hAnsiTheme="minorHAnsi" w:cstheme="minorBidi"/>
          <w:sz w:val="22"/>
          <w:szCs w:val="22"/>
          <w:lang w:eastAsia="en-GB"/>
        </w:rPr>
        <w:tab/>
      </w:r>
      <w:r w:rsidRPr="00F30A97">
        <w:rPr>
          <w:rFonts w:eastAsia="MS Mincho"/>
          <w:lang w:eastAsia="ja-JP" w:bidi="ar-DZ"/>
        </w:rPr>
        <w:t>References</w:t>
      </w:r>
      <w:r w:rsidRPr="00F30A97">
        <w:rPr>
          <w:rFonts w:eastAsia="MS Mincho"/>
          <w:lang w:eastAsia="ja-JP" w:bidi="ar-DZ"/>
        </w:rPr>
        <w:tab/>
      </w:r>
      <w:r w:rsidRPr="00F30A97">
        <w:rPr>
          <w:rFonts w:eastAsia="MS Mincho"/>
          <w:lang w:eastAsia="ja-JP" w:bidi="ar-DZ"/>
        </w:rPr>
        <w:tab/>
      </w:r>
      <w:r w:rsidRPr="00F30A97">
        <w:t>1</w:t>
      </w:r>
    </w:p>
    <w:p w14:paraId="626CEA18" w14:textId="1575B8D2" w:rsidR="00B63B7E" w:rsidRPr="00F30A97" w:rsidRDefault="00B63B7E" w:rsidP="00CE08CB">
      <w:pPr>
        <w:pStyle w:val="TOC1"/>
        <w:ind w:right="992"/>
        <w:rPr>
          <w:rFonts w:asciiTheme="minorHAnsi" w:eastAsiaTheme="minorEastAsia" w:hAnsiTheme="minorHAnsi" w:cstheme="minorBidi"/>
          <w:sz w:val="22"/>
          <w:szCs w:val="22"/>
          <w:lang w:eastAsia="en-GB"/>
        </w:rPr>
      </w:pPr>
      <w:r w:rsidRPr="00F30A97">
        <w:t>3</w:t>
      </w:r>
      <w:r w:rsidRPr="00F30A97">
        <w:rPr>
          <w:rFonts w:asciiTheme="minorHAnsi" w:eastAsiaTheme="minorEastAsia" w:hAnsiTheme="minorHAnsi" w:cstheme="minorBidi"/>
          <w:sz w:val="22"/>
          <w:szCs w:val="22"/>
          <w:lang w:eastAsia="en-GB"/>
        </w:rPr>
        <w:tab/>
      </w:r>
      <w:r w:rsidRPr="00F30A97">
        <w:t>Abbreviations and acronyms</w:t>
      </w:r>
      <w:r w:rsidRPr="00F30A97">
        <w:tab/>
      </w:r>
      <w:r w:rsidRPr="00F30A97">
        <w:tab/>
        <w:t>1</w:t>
      </w:r>
    </w:p>
    <w:p w14:paraId="075D8BB7" w14:textId="2D56702A" w:rsidR="00B63B7E" w:rsidRPr="00F30A97" w:rsidRDefault="00B63B7E" w:rsidP="00CE08CB">
      <w:pPr>
        <w:pStyle w:val="TOC1"/>
        <w:ind w:right="992"/>
        <w:rPr>
          <w:rFonts w:asciiTheme="minorHAnsi" w:eastAsiaTheme="minorEastAsia" w:hAnsiTheme="minorHAnsi" w:cstheme="minorBidi"/>
          <w:sz w:val="22"/>
          <w:szCs w:val="22"/>
          <w:lang w:eastAsia="en-GB"/>
        </w:rPr>
      </w:pPr>
      <w:r w:rsidRPr="00F30A97">
        <w:rPr>
          <w:rFonts w:eastAsia="MS Mincho"/>
          <w:lang w:eastAsia="ja-JP" w:bidi="ar-DZ"/>
        </w:rPr>
        <w:t>4</w:t>
      </w:r>
      <w:r w:rsidRPr="00F30A97">
        <w:rPr>
          <w:rFonts w:asciiTheme="minorHAnsi" w:eastAsiaTheme="minorEastAsia" w:hAnsiTheme="minorHAnsi" w:cstheme="minorBidi"/>
          <w:sz w:val="22"/>
          <w:szCs w:val="22"/>
          <w:lang w:eastAsia="en-GB"/>
        </w:rPr>
        <w:tab/>
      </w:r>
      <w:r w:rsidRPr="00F30A97">
        <w:rPr>
          <w:rFonts w:eastAsia="MS Mincho"/>
          <w:lang w:eastAsia="ja-JP" w:bidi="ar-DZ"/>
        </w:rPr>
        <w:t>Introduction</w:t>
      </w:r>
      <w:r w:rsidRPr="00F30A97">
        <w:rPr>
          <w:rFonts w:eastAsia="MS Mincho"/>
          <w:lang w:eastAsia="ja-JP" w:bidi="ar-DZ"/>
        </w:rPr>
        <w:tab/>
      </w:r>
      <w:r w:rsidRPr="00F30A97">
        <w:rPr>
          <w:rFonts w:eastAsia="MS Mincho"/>
          <w:lang w:eastAsia="ja-JP" w:bidi="ar-DZ"/>
        </w:rPr>
        <w:tab/>
      </w:r>
      <w:r w:rsidRPr="00F30A97">
        <w:t>3</w:t>
      </w:r>
    </w:p>
    <w:p w14:paraId="2AC59BA9" w14:textId="121A2258" w:rsidR="00B63B7E" w:rsidRPr="00F30A97" w:rsidRDefault="00B63B7E" w:rsidP="00CE08CB">
      <w:pPr>
        <w:pStyle w:val="TOC1"/>
        <w:ind w:right="992"/>
        <w:rPr>
          <w:rFonts w:asciiTheme="minorHAnsi" w:eastAsiaTheme="minorEastAsia" w:hAnsiTheme="minorHAnsi" w:cstheme="minorBidi"/>
          <w:sz w:val="22"/>
          <w:szCs w:val="22"/>
          <w:lang w:eastAsia="en-GB"/>
        </w:rPr>
      </w:pPr>
      <w:r w:rsidRPr="00F30A97">
        <w:rPr>
          <w:rFonts w:eastAsia="MS Mincho"/>
          <w:lang w:eastAsia="ja-JP" w:bidi="ar-DZ"/>
        </w:rPr>
        <w:t>5</w:t>
      </w:r>
      <w:r w:rsidRPr="00F30A97">
        <w:rPr>
          <w:rFonts w:asciiTheme="minorHAnsi" w:eastAsiaTheme="minorEastAsia" w:hAnsiTheme="minorHAnsi" w:cstheme="minorBidi"/>
          <w:sz w:val="22"/>
          <w:szCs w:val="22"/>
          <w:lang w:eastAsia="en-GB"/>
        </w:rPr>
        <w:tab/>
      </w:r>
      <w:r w:rsidRPr="00F30A97">
        <w:rPr>
          <w:rFonts w:eastAsia="MS Mincho"/>
          <w:lang w:eastAsia="ja-JP" w:bidi="ar-DZ"/>
        </w:rPr>
        <w:t>Methods</w:t>
      </w:r>
      <w:r w:rsidRPr="00F30A97">
        <w:rPr>
          <w:rFonts w:eastAsia="MS Mincho"/>
          <w:lang w:eastAsia="ja-JP" w:bidi="ar-DZ"/>
        </w:rPr>
        <w:tab/>
      </w:r>
      <w:r w:rsidRPr="00F30A97">
        <w:rPr>
          <w:rFonts w:eastAsia="MS Mincho"/>
          <w:lang w:eastAsia="ja-JP" w:bidi="ar-DZ"/>
        </w:rPr>
        <w:tab/>
      </w:r>
      <w:r w:rsidRPr="00F30A97">
        <w:t>5</w:t>
      </w:r>
    </w:p>
    <w:p w14:paraId="79F1745D" w14:textId="7099BE96" w:rsidR="00B63B7E" w:rsidRPr="00F30A97" w:rsidRDefault="00B63B7E" w:rsidP="00CE08CB">
      <w:pPr>
        <w:pStyle w:val="TOC1"/>
        <w:ind w:right="992"/>
        <w:rPr>
          <w:rFonts w:asciiTheme="minorHAnsi" w:eastAsiaTheme="minorEastAsia" w:hAnsiTheme="minorHAnsi" w:cstheme="minorBidi"/>
          <w:sz w:val="22"/>
          <w:szCs w:val="22"/>
          <w:lang w:eastAsia="en-GB"/>
        </w:rPr>
      </w:pPr>
      <w:r w:rsidRPr="00F30A97">
        <w:rPr>
          <w:rFonts w:eastAsia="MS Mincho"/>
          <w:lang w:eastAsia="ja-JP" w:bidi="ar-DZ"/>
        </w:rPr>
        <w:t>6</w:t>
      </w:r>
      <w:r w:rsidRPr="00F30A97">
        <w:rPr>
          <w:rFonts w:asciiTheme="minorHAnsi" w:eastAsiaTheme="minorEastAsia" w:hAnsiTheme="minorHAnsi" w:cstheme="minorBidi"/>
          <w:sz w:val="22"/>
          <w:szCs w:val="22"/>
          <w:lang w:eastAsia="en-GB"/>
        </w:rPr>
        <w:tab/>
      </w:r>
      <w:r w:rsidRPr="00F30A97">
        <w:rPr>
          <w:rFonts w:eastAsia="MS Mincho"/>
          <w:lang w:eastAsia="ja-JP" w:bidi="ar-DZ"/>
        </w:rPr>
        <w:t>Results</w:t>
      </w:r>
      <w:r w:rsidRPr="00F30A97">
        <w:rPr>
          <w:rFonts w:eastAsia="MS Mincho"/>
          <w:lang w:eastAsia="ja-JP" w:bidi="ar-DZ"/>
        </w:rPr>
        <w:tab/>
      </w:r>
      <w:r w:rsidRPr="00F30A97">
        <w:rPr>
          <w:rFonts w:eastAsia="MS Mincho"/>
          <w:lang w:eastAsia="ja-JP" w:bidi="ar-DZ"/>
        </w:rPr>
        <w:tab/>
      </w:r>
      <w:r w:rsidRPr="00F30A97">
        <w:t>8</w:t>
      </w:r>
    </w:p>
    <w:p w14:paraId="3F0A090C" w14:textId="554B6899" w:rsidR="00B63B7E" w:rsidRPr="00F30A97" w:rsidRDefault="00B63B7E" w:rsidP="00CE08CB">
      <w:pPr>
        <w:pStyle w:val="TOC1"/>
        <w:ind w:right="992"/>
        <w:rPr>
          <w:rFonts w:asciiTheme="minorHAnsi" w:eastAsiaTheme="minorEastAsia" w:hAnsiTheme="minorHAnsi" w:cstheme="minorBidi"/>
          <w:sz w:val="22"/>
          <w:szCs w:val="22"/>
          <w:lang w:eastAsia="en-GB"/>
        </w:rPr>
      </w:pPr>
      <w:r w:rsidRPr="00F30A97">
        <w:t>7</w:t>
      </w:r>
      <w:r w:rsidRPr="00F30A97">
        <w:rPr>
          <w:rFonts w:asciiTheme="minorHAnsi" w:eastAsiaTheme="minorEastAsia" w:hAnsiTheme="minorHAnsi" w:cstheme="minorBidi"/>
          <w:sz w:val="22"/>
          <w:szCs w:val="22"/>
          <w:lang w:eastAsia="en-GB"/>
        </w:rPr>
        <w:tab/>
      </w:r>
      <w:r w:rsidRPr="00F30A97">
        <w:t>Trend and gap analysis</w:t>
      </w:r>
      <w:r w:rsidRPr="00F30A97">
        <w:tab/>
      </w:r>
      <w:r w:rsidRPr="00F30A97">
        <w:tab/>
        <w:t>26</w:t>
      </w:r>
    </w:p>
    <w:p w14:paraId="7F09F589" w14:textId="0F75C70D" w:rsidR="00B63B7E" w:rsidRPr="00F30A97" w:rsidRDefault="00B63B7E" w:rsidP="00CE08CB">
      <w:pPr>
        <w:pStyle w:val="TOC1"/>
        <w:ind w:right="992"/>
        <w:rPr>
          <w:rFonts w:asciiTheme="minorHAnsi" w:eastAsiaTheme="minorEastAsia" w:hAnsiTheme="minorHAnsi" w:cstheme="minorBidi"/>
          <w:sz w:val="22"/>
          <w:szCs w:val="22"/>
          <w:lang w:eastAsia="en-GB"/>
        </w:rPr>
      </w:pPr>
      <w:r w:rsidRPr="00F30A97">
        <w:rPr>
          <w:rFonts w:eastAsia="MS Mincho"/>
          <w:lang w:eastAsia="ja-JP" w:bidi="ar-DZ"/>
        </w:rPr>
        <w:t>8</w:t>
      </w:r>
      <w:r w:rsidRPr="00F30A97">
        <w:rPr>
          <w:rFonts w:asciiTheme="minorHAnsi" w:eastAsiaTheme="minorEastAsia" w:hAnsiTheme="minorHAnsi" w:cstheme="minorBidi"/>
          <w:sz w:val="22"/>
          <w:szCs w:val="22"/>
          <w:lang w:eastAsia="en-GB"/>
        </w:rPr>
        <w:tab/>
      </w:r>
      <w:r w:rsidRPr="00F30A97">
        <w:rPr>
          <w:rFonts w:eastAsia="MS Mincho"/>
          <w:lang w:eastAsia="ja-JP" w:bidi="ar-DZ"/>
        </w:rPr>
        <w:t>Outlook</w:t>
      </w:r>
      <w:r w:rsidRPr="00F30A97">
        <w:rPr>
          <w:rFonts w:eastAsia="MS Mincho"/>
          <w:lang w:eastAsia="ja-JP" w:bidi="ar-DZ"/>
        </w:rPr>
        <w:tab/>
      </w:r>
      <w:r w:rsidRPr="00F30A97">
        <w:rPr>
          <w:rFonts w:eastAsia="MS Mincho"/>
          <w:lang w:eastAsia="ja-JP" w:bidi="ar-DZ"/>
        </w:rPr>
        <w:tab/>
      </w:r>
      <w:r w:rsidRPr="00F30A97">
        <w:t>36</w:t>
      </w:r>
    </w:p>
    <w:p w14:paraId="3C1D835A" w14:textId="3563D50D" w:rsidR="00B63B7E" w:rsidRPr="00F30A97" w:rsidRDefault="00B63B7E" w:rsidP="00CE08CB">
      <w:pPr>
        <w:pStyle w:val="TOC1"/>
        <w:ind w:right="992"/>
        <w:rPr>
          <w:rFonts w:asciiTheme="minorHAnsi" w:eastAsiaTheme="minorEastAsia" w:hAnsiTheme="minorHAnsi" w:cstheme="minorBidi"/>
          <w:sz w:val="22"/>
          <w:szCs w:val="22"/>
          <w:lang w:eastAsia="en-GB"/>
        </w:rPr>
      </w:pPr>
      <w:r w:rsidRPr="00F30A97">
        <w:rPr>
          <w:rFonts w:eastAsia="MS Mincho"/>
          <w:lang w:eastAsia="ja-JP" w:bidi="ar-DZ"/>
        </w:rPr>
        <w:t>9</w:t>
      </w:r>
      <w:r w:rsidRPr="00F30A97">
        <w:rPr>
          <w:rFonts w:asciiTheme="minorHAnsi" w:eastAsiaTheme="minorEastAsia" w:hAnsiTheme="minorHAnsi" w:cstheme="minorBidi"/>
          <w:sz w:val="22"/>
          <w:szCs w:val="22"/>
          <w:lang w:eastAsia="en-GB"/>
        </w:rPr>
        <w:tab/>
      </w:r>
      <w:r w:rsidRPr="00F30A97">
        <w:rPr>
          <w:rFonts w:eastAsia="MS Mincho"/>
          <w:lang w:eastAsia="ja-JP" w:bidi="ar-DZ"/>
        </w:rPr>
        <w:t>Conclusion</w:t>
      </w:r>
      <w:r w:rsidRPr="00F30A97">
        <w:rPr>
          <w:rFonts w:eastAsia="MS Mincho"/>
          <w:lang w:eastAsia="ja-JP" w:bidi="ar-DZ"/>
        </w:rPr>
        <w:tab/>
      </w:r>
      <w:r w:rsidRPr="00F30A97">
        <w:rPr>
          <w:rFonts w:eastAsia="MS Mincho"/>
          <w:lang w:eastAsia="ja-JP" w:bidi="ar-DZ"/>
        </w:rPr>
        <w:tab/>
      </w:r>
      <w:r w:rsidRPr="00F30A97">
        <w:t>37</w:t>
      </w:r>
    </w:p>
    <w:p w14:paraId="5344F3D4" w14:textId="1B8ABEB9" w:rsidR="00B63B7E" w:rsidRPr="00F30A97" w:rsidRDefault="00B63B7E" w:rsidP="00CE08CB">
      <w:pPr>
        <w:pStyle w:val="TOC1"/>
        <w:ind w:right="992"/>
        <w:rPr>
          <w:rFonts w:asciiTheme="minorHAnsi" w:eastAsiaTheme="minorEastAsia" w:hAnsiTheme="minorHAnsi" w:cstheme="minorBidi"/>
          <w:sz w:val="22"/>
          <w:szCs w:val="22"/>
          <w:lang w:eastAsia="en-GB"/>
        </w:rPr>
      </w:pPr>
      <w:r w:rsidRPr="00F30A97">
        <w:t>Bibliography</w:t>
      </w:r>
      <w:r w:rsidRPr="00F30A97">
        <w:tab/>
      </w:r>
      <w:r w:rsidRPr="00F30A97">
        <w:tab/>
        <w:t>38</w:t>
      </w:r>
    </w:p>
    <w:p w14:paraId="174AE795" w14:textId="11508FE2" w:rsidR="00B63B7E" w:rsidRPr="00F30A97" w:rsidRDefault="00B63B7E" w:rsidP="00CE08CB">
      <w:pPr>
        <w:pStyle w:val="TOC1"/>
        <w:ind w:right="992"/>
        <w:rPr>
          <w:rFonts w:asciiTheme="minorHAnsi" w:eastAsiaTheme="minorEastAsia" w:hAnsiTheme="minorHAnsi" w:cstheme="minorBidi"/>
          <w:sz w:val="22"/>
          <w:szCs w:val="22"/>
          <w:lang w:eastAsia="en-GB"/>
        </w:rPr>
      </w:pPr>
      <w:r w:rsidRPr="00F30A97">
        <w:t>Annex 1 – List</w:t>
      </w:r>
      <w:r w:rsidR="00EA6B40" w:rsidRPr="00F30A97">
        <w:t>s</w:t>
      </w:r>
      <w:r w:rsidRPr="00F30A97">
        <w:t xml:space="preserve"> of SDOs</w:t>
      </w:r>
      <w:r w:rsidR="00EA6B40" w:rsidRPr="00F30A97">
        <w:t xml:space="preserve"> and related groups</w:t>
      </w:r>
      <w:r w:rsidRPr="00F30A97">
        <w:tab/>
      </w:r>
      <w:r w:rsidRPr="00F30A97">
        <w:tab/>
        <w:t>42</w:t>
      </w:r>
    </w:p>
    <w:p w14:paraId="4AC462B2" w14:textId="0D5EB91C" w:rsidR="00B46FF3" w:rsidRPr="00F30A97" w:rsidRDefault="00B46FF3" w:rsidP="00CE08CB"/>
    <w:p w14:paraId="4126F858" w14:textId="77777777" w:rsidR="00B63B7E" w:rsidRPr="00F30A97" w:rsidRDefault="00B63B7E" w:rsidP="00CE08CB"/>
    <w:p w14:paraId="136FF8ED" w14:textId="77777777" w:rsidR="00AE4626" w:rsidRPr="00F30A97" w:rsidRDefault="00AE4626" w:rsidP="00CE08CB"/>
    <w:p w14:paraId="6B0B2EE3" w14:textId="77777777" w:rsidR="00B46FF3" w:rsidRPr="00F30A97" w:rsidRDefault="00B46FF3" w:rsidP="00CE08CB">
      <w:pPr>
        <w:rPr>
          <w:b/>
          <w:bCs/>
        </w:rPr>
        <w:sectPr w:rsidR="00B46FF3" w:rsidRPr="00F30A97" w:rsidSect="008F0E27">
          <w:headerReference w:type="default" r:id="rId16"/>
          <w:footerReference w:type="even" r:id="rId17"/>
          <w:footerReference w:type="default" r:id="rId18"/>
          <w:type w:val="oddPage"/>
          <w:pgSz w:w="11907" w:h="16834"/>
          <w:pgMar w:top="1134" w:right="1134" w:bottom="1134" w:left="1134" w:header="567" w:footer="567" w:gutter="0"/>
          <w:paperSrc w:first="15" w:other="15"/>
          <w:pgNumType w:fmt="lowerRoman" w:start="1"/>
          <w:cols w:space="720"/>
          <w:docGrid w:linePitch="326"/>
        </w:sectPr>
      </w:pPr>
    </w:p>
    <w:p w14:paraId="4ABA7913" w14:textId="5B3C7C5A" w:rsidR="00934B4E" w:rsidRPr="00F30A97" w:rsidRDefault="003B072D" w:rsidP="00CE08CB">
      <w:pPr>
        <w:pStyle w:val="RecNo"/>
      </w:pPr>
      <w:bookmarkStart w:id="10" w:name="p1rectexte"/>
      <w:bookmarkEnd w:id="10"/>
      <w:r w:rsidRPr="00F30A97">
        <w:rPr>
          <w:bCs/>
        </w:rPr>
        <w:lastRenderedPageBreak/>
        <w:t xml:space="preserve">Technical </w:t>
      </w:r>
      <w:r w:rsidR="000542C8" w:rsidRPr="00F30A97">
        <w:rPr>
          <w:bCs/>
        </w:rPr>
        <w:t>Report FG-AI4NDM Roadmap</w:t>
      </w:r>
    </w:p>
    <w:p w14:paraId="361EBAF4" w14:textId="06C2E0F4" w:rsidR="000542C8" w:rsidRPr="00F30A97" w:rsidRDefault="00812EFA" w:rsidP="00CE08CB">
      <w:pPr>
        <w:pStyle w:val="Rectitle"/>
      </w:pPr>
      <w:bookmarkStart w:id="11" w:name="_1ksv4uv"/>
      <w:bookmarkStart w:id="12" w:name="_44sinio"/>
      <w:bookmarkStart w:id="13" w:name="_2jxsxqh"/>
      <w:bookmarkStart w:id="14" w:name="_z337ya"/>
      <w:bookmarkStart w:id="15" w:name="_3j2qqm3"/>
      <w:bookmarkStart w:id="16" w:name="_1y810tw"/>
      <w:bookmarkStart w:id="17" w:name="_4i7ojhp"/>
      <w:bookmarkStart w:id="18" w:name="_2xcytpi"/>
      <w:bookmarkStart w:id="19" w:name="_Toc53653782"/>
      <w:bookmarkStart w:id="20" w:name="_Toc121135507"/>
      <w:bookmarkStart w:id="21" w:name="_Toc126926541"/>
      <w:bookmarkEnd w:id="11"/>
      <w:bookmarkEnd w:id="12"/>
      <w:bookmarkEnd w:id="13"/>
      <w:bookmarkEnd w:id="14"/>
      <w:bookmarkEnd w:id="15"/>
      <w:bookmarkEnd w:id="16"/>
      <w:bookmarkEnd w:id="17"/>
      <w:bookmarkEnd w:id="18"/>
      <w:r w:rsidRPr="00F30A97">
        <w:t xml:space="preserve">Standardization </w:t>
      </w:r>
      <w:r w:rsidR="000542C8" w:rsidRPr="00F30A97">
        <w:t xml:space="preserve">Roadmap on AI for Natural Disaster Management: Trends and Gaps in Standardization </w:t>
      </w:r>
    </w:p>
    <w:p w14:paraId="15016DF8" w14:textId="4A3B5502" w:rsidR="0020782B" w:rsidRPr="00F30A97" w:rsidRDefault="0020782B" w:rsidP="00CE08CB">
      <w:pPr>
        <w:pStyle w:val="Heading1"/>
      </w:pPr>
      <w:bookmarkStart w:id="22" w:name="_Toc122117095"/>
      <w:bookmarkStart w:id="23" w:name="_Toc122117112"/>
      <w:bookmarkStart w:id="24" w:name="_Toc126934269"/>
      <w:bookmarkEnd w:id="19"/>
      <w:bookmarkEnd w:id="20"/>
      <w:bookmarkEnd w:id="21"/>
      <w:r w:rsidRPr="00F30A97">
        <w:rPr>
          <w:rFonts w:eastAsia="MS Mincho"/>
          <w:lang w:eastAsia="ja-JP" w:bidi="ar-DZ"/>
        </w:rPr>
        <w:t>1</w:t>
      </w:r>
      <w:r w:rsidRPr="00F30A97">
        <w:rPr>
          <w:rFonts w:eastAsia="MS Mincho"/>
          <w:lang w:eastAsia="ja-JP" w:bidi="ar-DZ"/>
        </w:rPr>
        <w:tab/>
        <w:t>Scope</w:t>
      </w:r>
      <w:bookmarkEnd w:id="22"/>
      <w:bookmarkEnd w:id="23"/>
      <w:bookmarkEnd w:id="24"/>
    </w:p>
    <w:p w14:paraId="72E48C25" w14:textId="3AE63968" w:rsidR="0020782B" w:rsidRPr="00F30A97" w:rsidRDefault="0020782B" w:rsidP="00CE08CB">
      <w:r w:rsidRPr="00F30A97">
        <w:t>This Technical Report delivers a detailed and systematic survey (in roadmap form) of past, present, and planned pre-standardization and standardization activities in this domain (with an initial focus on standard</w:t>
      </w:r>
      <w:r w:rsidR="00812EFA" w:rsidRPr="00F30A97">
        <w:t>s</w:t>
      </w:r>
      <w:r w:rsidRPr="00F30A97">
        <w:t xml:space="preserve"> develop</w:t>
      </w:r>
      <w:r w:rsidR="00812EFA" w:rsidRPr="00F30A97">
        <w:t>ment</w:t>
      </w:r>
      <w:r w:rsidRPr="00F30A97">
        <w:t xml:space="preserve"> organizations and United Nations bodies). The main objectives of the roadmap are to:</w:t>
      </w:r>
    </w:p>
    <w:p w14:paraId="44E16B77" w14:textId="7DC5547E" w:rsidR="0020782B" w:rsidRPr="00F30A97" w:rsidRDefault="0020782B" w:rsidP="00CE08CB">
      <w:pPr>
        <w:pStyle w:val="enumlev1"/>
      </w:pPr>
      <w:r w:rsidRPr="00F30A97">
        <w:t>–</w:t>
      </w:r>
      <w:r w:rsidRPr="00F30A97">
        <w:tab/>
        <w:t>prevent the duplication of effort,</w:t>
      </w:r>
    </w:p>
    <w:p w14:paraId="16E4902C" w14:textId="351B0B68" w:rsidR="0020782B" w:rsidRPr="00F30A97" w:rsidRDefault="0020782B" w:rsidP="00CE08CB">
      <w:pPr>
        <w:pStyle w:val="enumlev1"/>
      </w:pPr>
      <w:r w:rsidRPr="00F30A97">
        <w:t>–</w:t>
      </w:r>
      <w:r w:rsidRPr="00F30A97">
        <w:tab/>
        <w:t>understand the types of technologies being applied to natural disaster management,</w:t>
      </w:r>
    </w:p>
    <w:p w14:paraId="597B9697" w14:textId="69915E49" w:rsidR="0020782B" w:rsidRPr="00F30A97" w:rsidRDefault="0020782B" w:rsidP="00CE08CB">
      <w:pPr>
        <w:pStyle w:val="enumlev1"/>
      </w:pPr>
      <w:r w:rsidRPr="00F30A97">
        <w:t>–</w:t>
      </w:r>
      <w:r w:rsidRPr="00F30A97">
        <w:tab/>
        <w:t>maximize synergies within the disaster management community, and</w:t>
      </w:r>
    </w:p>
    <w:p w14:paraId="754CF7F1" w14:textId="08DAF7A1" w:rsidR="0020782B" w:rsidRPr="00F30A97" w:rsidRDefault="0020782B" w:rsidP="00CE08CB">
      <w:pPr>
        <w:pStyle w:val="enumlev1"/>
      </w:pPr>
      <w:r w:rsidRPr="00F30A97">
        <w:t>–</w:t>
      </w:r>
      <w:r w:rsidRPr="00F30A97">
        <w:tab/>
        <w:t>highlight areas where progress is being made (i.e., trends) and where it is needed (i.e., gaps).</w:t>
      </w:r>
    </w:p>
    <w:p w14:paraId="24D0D7A2" w14:textId="4E392899" w:rsidR="0020782B" w:rsidRPr="00F30A97" w:rsidRDefault="0020782B" w:rsidP="00CE08CB">
      <w:r w:rsidRPr="00F30A97">
        <w:t>This Technical Report offers an overview of standardization activities related to AI (and complementary technologies) for natural disaster management.</w:t>
      </w:r>
    </w:p>
    <w:p w14:paraId="7AED17B9" w14:textId="3F281036" w:rsidR="0020782B" w:rsidRPr="00F30A97" w:rsidRDefault="0020782B" w:rsidP="00CE08CB">
      <w:pPr>
        <w:pStyle w:val="Heading1"/>
      </w:pPr>
      <w:bookmarkStart w:id="25" w:name="_Toc122117096"/>
      <w:bookmarkStart w:id="26" w:name="_Toc122117113"/>
      <w:bookmarkStart w:id="27" w:name="_Toc126934270"/>
      <w:r w:rsidRPr="00F30A97">
        <w:rPr>
          <w:rFonts w:eastAsia="MS Mincho"/>
          <w:lang w:eastAsia="ja-JP" w:bidi="ar-DZ"/>
        </w:rPr>
        <w:t>2</w:t>
      </w:r>
      <w:r w:rsidRPr="00F30A97">
        <w:rPr>
          <w:rFonts w:eastAsia="MS Mincho"/>
          <w:lang w:eastAsia="ja-JP" w:bidi="ar-DZ"/>
        </w:rPr>
        <w:tab/>
        <w:t>References</w:t>
      </w:r>
      <w:bookmarkEnd w:id="25"/>
      <w:bookmarkEnd w:id="26"/>
      <w:bookmarkEnd w:id="27"/>
    </w:p>
    <w:p w14:paraId="08DE1C83" w14:textId="238BE784" w:rsidR="0020782B" w:rsidRPr="00F30A97" w:rsidRDefault="0020782B" w:rsidP="00CE08CB">
      <w:pPr>
        <w:pStyle w:val="Reftext"/>
        <w:tabs>
          <w:tab w:val="clear" w:pos="1191"/>
          <w:tab w:val="clear" w:pos="1588"/>
          <w:tab w:val="clear" w:pos="1985"/>
          <w:tab w:val="left" w:pos="1843"/>
        </w:tabs>
        <w:ind w:left="1843" w:hanging="1843"/>
        <w:rPr>
          <w:iCs/>
        </w:rPr>
      </w:pPr>
      <w:r w:rsidRPr="00F30A97">
        <w:t>[ITU-T X.1303]</w:t>
      </w:r>
      <w:r w:rsidRPr="00F30A97">
        <w:tab/>
        <w:t xml:space="preserve">Recommendation ITU-T X.1303 (2007), </w:t>
      </w:r>
      <w:r w:rsidRPr="00F30A97">
        <w:rPr>
          <w:i/>
        </w:rPr>
        <w:t>Common alerting protocol (CAP 1.1)</w:t>
      </w:r>
      <w:r w:rsidRPr="00F30A97">
        <w:rPr>
          <w:iCs/>
        </w:rPr>
        <w:t>.</w:t>
      </w:r>
    </w:p>
    <w:p w14:paraId="4BF887E2" w14:textId="6CC2313C" w:rsidR="0020782B" w:rsidRPr="00F30A97" w:rsidRDefault="0020782B" w:rsidP="00CE08CB">
      <w:pPr>
        <w:pStyle w:val="Reftext"/>
        <w:tabs>
          <w:tab w:val="clear" w:pos="1191"/>
          <w:tab w:val="clear" w:pos="1588"/>
          <w:tab w:val="clear" w:pos="1985"/>
          <w:tab w:val="left" w:pos="1843"/>
        </w:tabs>
        <w:ind w:left="1843" w:hanging="1843"/>
      </w:pPr>
      <w:r w:rsidRPr="00F30A97">
        <w:t>[ITU-T Y.4472]</w:t>
      </w:r>
      <w:r w:rsidRPr="00F30A97">
        <w:tab/>
      </w:r>
      <w:bookmarkStart w:id="28" w:name="_heading=h.i3wf049dg45x" w:colFirst="0" w:colLast="0"/>
      <w:bookmarkEnd w:id="28"/>
      <w:r w:rsidRPr="00F30A97">
        <w:t xml:space="preserve">Recommendation ITU-T Y.4472 (2020), </w:t>
      </w:r>
      <w:r w:rsidRPr="00F30A97">
        <w:rPr>
          <w:i/>
        </w:rPr>
        <w:t>Open data application programming interfaces (APIs) for IoT data in smart cities and communities.</w:t>
      </w:r>
      <w:r w:rsidRPr="00F30A97">
        <w:t xml:space="preserve"> </w:t>
      </w:r>
    </w:p>
    <w:p w14:paraId="70E7B4AB" w14:textId="0CD3A76E" w:rsidR="00F64A7B" w:rsidRPr="00F30A97" w:rsidRDefault="00F64A7B" w:rsidP="00CE08CB">
      <w:pPr>
        <w:pStyle w:val="Reftext"/>
        <w:tabs>
          <w:tab w:val="clear" w:pos="1191"/>
          <w:tab w:val="clear" w:pos="1588"/>
          <w:tab w:val="clear" w:pos="1985"/>
          <w:tab w:val="left" w:pos="1843"/>
        </w:tabs>
        <w:ind w:left="1843" w:hanging="1843"/>
      </w:pPr>
      <w:r w:rsidRPr="00F30A97">
        <w:t>[ITU-T Q.5050]</w:t>
      </w:r>
      <w:r w:rsidRPr="00F30A97">
        <w:tab/>
        <w:t xml:space="preserve">Recommendation ITU-T Q.5050 (2019), </w:t>
      </w:r>
      <w:r w:rsidRPr="00F30A97">
        <w:rPr>
          <w:i/>
          <w:iCs/>
        </w:rPr>
        <w:t>Framework for solutions to combat counterfeit ICT devices</w:t>
      </w:r>
      <w:r w:rsidRPr="00F30A97">
        <w:t>.</w:t>
      </w:r>
    </w:p>
    <w:p w14:paraId="22D547E8" w14:textId="7F95B184" w:rsidR="0020782B" w:rsidRPr="00F30A97" w:rsidRDefault="0020782B" w:rsidP="00CE08CB">
      <w:pPr>
        <w:pStyle w:val="Heading1"/>
      </w:pPr>
      <w:bookmarkStart w:id="29" w:name="_heading=h.2qwh89vv9tg3" w:colFirst="0" w:colLast="0"/>
      <w:bookmarkStart w:id="30" w:name="_Toc122117097"/>
      <w:bookmarkStart w:id="31" w:name="_Toc122117114"/>
      <w:bookmarkStart w:id="32" w:name="_Toc126934271"/>
      <w:bookmarkEnd w:id="29"/>
      <w:r w:rsidRPr="00F30A97">
        <w:t>3</w:t>
      </w:r>
      <w:r w:rsidRPr="00F30A97">
        <w:tab/>
        <w:t>Abbreviations and acronyms</w:t>
      </w:r>
      <w:bookmarkEnd w:id="30"/>
      <w:bookmarkEnd w:id="31"/>
      <w:bookmarkEnd w:id="32"/>
    </w:p>
    <w:p w14:paraId="2CC80892" w14:textId="5412CF62" w:rsidR="0020782B" w:rsidRPr="00F30A97" w:rsidRDefault="0020782B" w:rsidP="00CE08CB">
      <w:r w:rsidRPr="00F30A97">
        <w:t>This Technical Report uses the following abbreviations and acronyms:</w:t>
      </w:r>
    </w:p>
    <w:p w14:paraId="70AFAA3A" w14:textId="05917A2F" w:rsidR="0020782B" w:rsidRPr="00F30A97" w:rsidRDefault="0020782B" w:rsidP="00CE08CB">
      <w:pPr>
        <w:tabs>
          <w:tab w:val="clear" w:pos="794"/>
          <w:tab w:val="clear" w:pos="1191"/>
          <w:tab w:val="clear" w:pos="1588"/>
          <w:tab w:val="clear" w:pos="1985"/>
          <w:tab w:val="left" w:pos="2127"/>
        </w:tabs>
      </w:pPr>
      <w:r w:rsidRPr="00F30A97">
        <w:t>AI</w:t>
      </w:r>
      <w:r w:rsidRPr="00F30A97">
        <w:tab/>
        <w:t>Artificial Intelligence</w:t>
      </w:r>
    </w:p>
    <w:p w14:paraId="1E22638A" w14:textId="52543052" w:rsidR="0020782B" w:rsidRPr="00F30A97" w:rsidRDefault="0020782B" w:rsidP="00CE08CB">
      <w:pPr>
        <w:tabs>
          <w:tab w:val="clear" w:pos="794"/>
          <w:tab w:val="clear" w:pos="1191"/>
          <w:tab w:val="clear" w:pos="1588"/>
          <w:tab w:val="clear" w:pos="1985"/>
          <w:tab w:val="left" w:pos="2127"/>
        </w:tabs>
      </w:pPr>
      <w:r w:rsidRPr="00F30A97">
        <w:t>ANSI</w:t>
      </w:r>
      <w:r w:rsidRPr="00F30A97">
        <w:tab/>
        <w:t>American National Standards Institute</w:t>
      </w:r>
    </w:p>
    <w:p w14:paraId="28517156" w14:textId="7B5E6487" w:rsidR="0020782B" w:rsidRPr="00F30A97" w:rsidRDefault="0020782B" w:rsidP="00CE08CB">
      <w:pPr>
        <w:tabs>
          <w:tab w:val="clear" w:pos="794"/>
          <w:tab w:val="clear" w:pos="1191"/>
          <w:tab w:val="clear" w:pos="1588"/>
          <w:tab w:val="clear" w:pos="1985"/>
          <w:tab w:val="left" w:pos="2127"/>
        </w:tabs>
      </w:pPr>
      <w:r w:rsidRPr="00F30A97">
        <w:t>ASTAP</w:t>
      </w:r>
      <w:r w:rsidRPr="00F30A97">
        <w:tab/>
        <w:t>Asia-Pacific Telecommunity Standardization Program</w:t>
      </w:r>
    </w:p>
    <w:p w14:paraId="5775BFAA" w14:textId="59AAF490" w:rsidR="0020782B" w:rsidRPr="00F30A97" w:rsidRDefault="0020782B" w:rsidP="00CE08CB">
      <w:pPr>
        <w:tabs>
          <w:tab w:val="clear" w:pos="794"/>
          <w:tab w:val="clear" w:pos="1191"/>
          <w:tab w:val="clear" w:pos="1588"/>
          <w:tab w:val="clear" w:pos="1985"/>
          <w:tab w:val="left" w:pos="2127"/>
        </w:tabs>
      </w:pPr>
      <w:r w:rsidRPr="00F30A97">
        <w:t>CAP</w:t>
      </w:r>
      <w:r w:rsidRPr="00F30A97">
        <w:tab/>
        <w:t>Common Alert</w:t>
      </w:r>
      <w:r w:rsidR="00812EFA" w:rsidRPr="00F30A97">
        <w:t>ing</w:t>
      </w:r>
      <w:r w:rsidRPr="00F30A97">
        <w:t xml:space="preserve"> Protocol</w:t>
      </w:r>
    </w:p>
    <w:p w14:paraId="5B46CB47" w14:textId="3BEA7632" w:rsidR="0020782B" w:rsidRPr="00F30A97" w:rsidRDefault="0020782B" w:rsidP="00CE08CB">
      <w:pPr>
        <w:tabs>
          <w:tab w:val="clear" w:pos="794"/>
          <w:tab w:val="clear" w:pos="1191"/>
          <w:tab w:val="clear" w:pos="1588"/>
          <w:tab w:val="clear" w:pos="1985"/>
          <w:tab w:val="left" w:pos="2127"/>
        </w:tabs>
      </w:pPr>
      <w:r w:rsidRPr="00F30A97">
        <w:t>DOI</w:t>
      </w:r>
      <w:r w:rsidRPr="00F30A97">
        <w:tab/>
        <w:t>Digital Object Identifier</w:t>
      </w:r>
    </w:p>
    <w:p w14:paraId="45F1398F" w14:textId="0C7D5301" w:rsidR="0020782B" w:rsidRPr="00F30A97" w:rsidRDefault="0020782B" w:rsidP="00CE08CB">
      <w:pPr>
        <w:tabs>
          <w:tab w:val="clear" w:pos="794"/>
          <w:tab w:val="clear" w:pos="1191"/>
          <w:tab w:val="clear" w:pos="1588"/>
          <w:tab w:val="clear" w:pos="1985"/>
          <w:tab w:val="left" w:pos="2127"/>
        </w:tabs>
      </w:pPr>
      <w:r w:rsidRPr="00F30A97">
        <w:t>DSC</w:t>
      </w:r>
      <w:r w:rsidRPr="00F30A97">
        <w:tab/>
        <w:t>Data Supply Chain</w:t>
      </w:r>
    </w:p>
    <w:p w14:paraId="523A09D3" w14:textId="396C9352" w:rsidR="0020782B" w:rsidRPr="00F30A97" w:rsidRDefault="0020782B" w:rsidP="00CE08CB">
      <w:pPr>
        <w:tabs>
          <w:tab w:val="clear" w:pos="794"/>
          <w:tab w:val="clear" w:pos="1191"/>
          <w:tab w:val="clear" w:pos="1588"/>
          <w:tab w:val="clear" w:pos="1985"/>
          <w:tab w:val="left" w:pos="2127"/>
        </w:tabs>
      </w:pPr>
      <w:r w:rsidRPr="00F30A97">
        <w:t>DSS</w:t>
      </w:r>
      <w:r w:rsidRPr="00F30A97">
        <w:tab/>
        <w:t>Decision Support System</w:t>
      </w:r>
    </w:p>
    <w:p w14:paraId="1797CC8E" w14:textId="3A615ECF" w:rsidR="0020782B" w:rsidRPr="00F30A97" w:rsidRDefault="0020782B" w:rsidP="00CE08CB">
      <w:pPr>
        <w:tabs>
          <w:tab w:val="clear" w:pos="794"/>
          <w:tab w:val="clear" w:pos="1191"/>
          <w:tab w:val="clear" w:pos="1588"/>
          <w:tab w:val="clear" w:pos="1985"/>
          <w:tab w:val="left" w:pos="2127"/>
        </w:tabs>
      </w:pPr>
      <w:r w:rsidRPr="00F30A97">
        <w:t>EDA</w:t>
      </w:r>
      <w:r w:rsidRPr="00F30A97">
        <w:tab/>
        <w:t>Exploratory Data Analysis</w:t>
      </w:r>
    </w:p>
    <w:p w14:paraId="358F2274" w14:textId="7340CDED" w:rsidR="0020782B" w:rsidRPr="00F30A97" w:rsidRDefault="0020782B" w:rsidP="00CE08CB">
      <w:pPr>
        <w:tabs>
          <w:tab w:val="clear" w:pos="794"/>
          <w:tab w:val="clear" w:pos="1191"/>
          <w:tab w:val="clear" w:pos="1588"/>
          <w:tab w:val="clear" w:pos="1985"/>
          <w:tab w:val="left" w:pos="2127"/>
        </w:tabs>
      </w:pPr>
      <w:r w:rsidRPr="00F30A97">
        <w:t>EG DRMRS</w:t>
      </w:r>
      <w:r w:rsidRPr="00F30A97">
        <w:tab/>
        <w:t>Expert Group on Disaster Risk Management Relief</w:t>
      </w:r>
    </w:p>
    <w:p w14:paraId="4F297ED4" w14:textId="2D352AEA" w:rsidR="0020782B" w:rsidRPr="00F30A97" w:rsidRDefault="0020782B" w:rsidP="00CE08CB">
      <w:pPr>
        <w:tabs>
          <w:tab w:val="clear" w:pos="794"/>
          <w:tab w:val="clear" w:pos="1191"/>
          <w:tab w:val="clear" w:pos="1588"/>
          <w:tab w:val="clear" w:pos="1985"/>
          <w:tab w:val="left" w:pos="2127"/>
        </w:tabs>
      </w:pPr>
      <w:r w:rsidRPr="00F30A97">
        <w:t>EMTEL</w:t>
      </w:r>
      <w:r w:rsidRPr="00F30A97">
        <w:tab/>
        <w:t>Emergency communications</w:t>
      </w:r>
    </w:p>
    <w:p w14:paraId="05F357D2" w14:textId="06D4EC81" w:rsidR="0020782B" w:rsidRPr="00F30A97" w:rsidRDefault="0020782B" w:rsidP="00CE08CB">
      <w:pPr>
        <w:tabs>
          <w:tab w:val="clear" w:pos="794"/>
          <w:tab w:val="clear" w:pos="1191"/>
          <w:tab w:val="clear" w:pos="1588"/>
          <w:tab w:val="clear" w:pos="1985"/>
          <w:tab w:val="left" w:pos="2127"/>
        </w:tabs>
      </w:pPr>
      <w:r w:rsidRPr="00F30A97">
        <w:t>EO</w:t>
      </w:r>
      <w:r w:rsidRPr="00F30A97">
        <w:tab/>
        <w:t>Earth Observation</w:t>
      </w:r>
    </w:p>
    <w:p w14:paraId="637CCDBB" w14:textId="6E71115E" w:rsidR="0020782B" w:rsidRPr="00F30A97" w:rsidRDefault="0020782B" w:rsidP="00CE08CB">
      <w:pPr>
        <w:tabs>
          <w:tab w:val="clear" w:pos="794"/>
          <w:tab w:val="clear" w:pos="1191"/>
          <w:tab w:val="clear" w:pos="1588"/>
          <w:tab w:val="clear" w:pos="1985"/>
          <w:tab w:val="left" w:pos="2127"/>
        </w:tabs>
      </w:pPr>
      <w:r w:rsidRPr="00F30A97">
        <w:t>ESRI</w:t>
      </w:r>
      <w:r w:rsidRPr="00F30A97">
        <w:tab/>
        <w:t>Economic and Social Research Institute</w:t>
      </w:r>
    </w:p>
    <w:p w14:paraId="45ED72D9" w14:textId="548FB1B8" w:rsidR="0020782B" w:rsidRPr="00F30A97" w:rsidRDefault="0020782B" w:rsidP="00CE08CB">
      <w:pPr>
        <w:tabs>
          <w:tab w:val="clear" w:pos="794"/>
          <w:tab w:val="clear" w:pos="1191"/>
          <w:tab w:val="clear" w:pos="1588"/>
          <w:tab w:val="clear" w:pos="1985"/>
          <w:tab w:val="left" w:pos="2127"/>
        </w:tabs>
      </w:pPr>
      <w:r w:rsidRPr="00F30A97">
        <w:t>ETC</w:t>
      </w:r>
      <w:r w:rsidRPr="00F30A97">
        <w:tab/>
        <w:t>Emergency Telecommunications Cluster</w:t>
      </w:r>
    </w:p>
    <w:p w14:paraId="415BC899" w14:textId="159733E5" w:rsidR="0020782B" w:rsidRPr="00F30A97" w:rsidRDefault="0020782B" w:rsidP="00CE08CB">
      <w:pPr>
        <w:tabs>
          <w:tab w:val="clear" w:pos="794"/>
          <w:tab w:val="clear" w:pos="1191"/>
          <w:tab w:val="clear" w:pos="1588"/>
          <w:tab w:val="clear" w:pos="1985"/>
          <w:tab w:val="left" w:pos="2127"/>
        </w:tabs>
      </w:pPr>
      <w:r w:rsidRPr="00F30A97">
        <w:t>ETSI</w:t>
      </w:r>
      <w:r w:rsidRPr="00F30A97">
        <w:tab/>
        <w:t>European Telecommunications Standards Institute</w:t>
      </w:r>
    </w:p>
    <w:p w14:paraId="792B6048" w14:textId="23D7E920" w:rsidR="0020782B" w:rsidRPr="00F30A97" w:rsidRDefault="0020782B" w:rsidP="00CE08CB">
      <w:pPr>
        <w:tabs>
          <w:tab w:val="clear" w:pos="794"/>
          <w:tab w:val="clear" w:pos="1191"/>
          <w:tab w:val="clear" w:pos="1588"/>
          <w:tab w:val="clear" w:pos="1985"/>
          <w:tab w:val="left" w:pos="2127"/>
        </w:tabs>
      </w:pPr>
      <w:r w:rsidRPr="00F30A97">
        <w:lastRenderedPageBreak/>
        <w:t>ETSI ENTEL</w:t>
      </w:r>
      <w:r w:rsidRPr="00F30A97">
        <w:tab/>
        <w:t>Technical committee (TC) Emergency Telecommunications</w:t>
      </w:r>
    </w:p>
    <w:p w14:paraId="1019AE09" w14:textId="6BBC2E91" w:rsidR="0020782B" w:rsidRPr="00F30A97" w:rsidRDefault="0020782B" w:rsidP="00CE08CB">
      <w:pPr>
        <w:tabs>
          <w:tab w:val="clear" w:pos="794"/>
          <w:tab w:val="clear" w:pos="1191"/>
          <w:tab w:val="clear" w:pos="1588"/>
          <w:tab w:val="clear" w:pos="1985"/>
          <w:tab w:val="left" w:pos="2127"/>
        </w:tabs>
      </w:pPr>
      <w:r w:rsidRPr="00F30A97">
        <w:t>EWS</w:t>
      </w:r>
      <w:r w:rsidRPr="00F30A97">
        <w:tab/>
        <w:t>Early Warning System</w:t>
      </w:r>
    </w:p>
    <w:p w14:paraId="443636C2" w14:textId="130C0EBB" w:rsidR="0020782B" w:rsidRPr="00F30A97" w:rsidRDefault="0020782B" w:rsidP="00CE08CB">
      <w:pPr>
        <w:tabs>
          <w:tab w:val="clear" w:pos="794"/>
          <w:tab w:val="clear" w:pos="1191"/>
          <w:tab w:val="clear" w:pos="1588"/>
          <w:tab w:val="clear" w:pos="1985"/>
          <w:tab w:val="left" w:pos="2127"/>
        </w:tabs>
      </w:pPr>
      <w:r w:rsidRPr="00F30A97">
        <w:t>FAO</w:t>
      </w:r>
      <w:r w:rsidRPr="00F30A97">
        <w:tab/>
        <w:t>Food and Agriculture Organization</w:t>
      </w:r>
    </w:p>
    <w:p w14:paraId="6EDF7FC0" w14:textId="2EEF1D97" w:rsidR="0020782B" w:rsidRPr="00F30A97" w:rsidRDefault="0020782B" w:rsidP="00CE08CB">
      <w:pPr>
        <w:tabs>
          <w:tab w:val="clear" w:pos="794"/>
          <w:tab w:val="clear" w:pos="1191"/>
          <w:tab w:val="clear" w:pos="1588"/>
          <w:tab w:val="clear" w:pos="1985"/>
          <w:tab w:val="left" w:pos="2127"/>
        </w:tabs>
        <w:ind w:left="2127" w:hanging="2127"/>
      </w:pPr>
      <w:r w:rsidRPr="00F30A97">
        <w:t>FG-AI4EE</w:t>
      </w:r>
      <w:r w:rsidRPr="00F30A97">
        <w:tab/>
        <w:t xml:space="preserve">Focus Group on </w:t>
      </w:r>
      <w:r w:rsidRPr="00F30A97">
        <w:rPr>
          <w:highlight w:val="white"/>
        </w:rPr>
        <w:t>Environmental Efficiency for AI and other Emerging Technologies</w:t>
      </w:r>
    </w:p>
    <w:p w14:paraId="0F34C956" w14:textId="053B0D4F" w:rsidR="0020782B" w:rsidRPr="00F30A97" w:rsidRDefault="0020782B" w:rsidP="00CE08CB">
      <w:pPr>
        <w:tabs>
          <w:tab w:val="clear" w:pos="794"/>
          <w:tab w:val="clear" w:pos="1191"/>
          <w:tab w:val="clear" w:pos="1588"/>
          <w:tab w:val="clear" w:pos="1985"/>
          <w:tab w:val="left" w:pos="2127"/>
        </w:tabs>
      </w:pPr>
      <w:r w:rsidRPr="00F30A97">
        <w:t>FG-AI4H</w:t>
      </w:r>
      <w:r w:rsidRPr="00F30A97">
        <w:tab/>
        <w:t>Focus Group on Artificial Intelligence for Health</w:t>
      </w:r>
    </w:p>
    <w:p w14:paraId="771CA0F6" w14:textId="5B506E4D" w:rsidR="0020782B" w:rsidRPr="00F30A97" w:rsidRDefault="0020782B" w:rsidP="00CE08CB">
      <w:pPr>
        <w:tabs>
          <w:tab w:val="clear" w:pos="794"/>
          <w:tab w:val="clear" w:pos="1191"/>
          <w:tab w:val="clear" w:pos="1588"/>
          <w:tab w:val="clear" w:pos="1985"/>
          <w:tab w:val="left" w:pos="2127"/>
        </w:tabs>
      </w:pPr>
      <w:r w:rsidRPr="00F30A97">
        <w:t>GDPR</w:t>
      </w:r>
      <w:r w:rsidRPr="00F30A97">
        <w:tab/>
        <w:t>General Data Protection Regulation</w:t>
      </w:r>
    </w:p>
    <w:p w14:paraId="2057EA77" w14:textId="2D536F88" w:rsidR="0020782B" w:rsidRPr="00F30A97" w:rsidRDefault="0020782B" w:rsidP="00CE08CB">
      <w:pPr>
        <w:tabs>
          <w:tab w:val="clear" w:pos="794"/>
          <w:tab w:val="clear" w:pos="1191"/>
          <w:tab w:val="clear" w:pos="1588"/>
          <w:tab w:val="clear" w:pos="1985"/>
          <w:tab w:val="left" w:pos="2127"/>
        </w:tabs>
      </w:pPr>
      <w:r w:rsidRPr="00F30A97">
        <w:t>G</w:t>
      </w:r>
      <w:r w:rsidR="001244EB" w:rsidRPr="00F30A97">
        <w:t>G</w:t>
      </w:r>
      <w:r w:rsidRPr="00F30A97">
        <w:t>RF</w:t>
      </w:r>
      <w:r w:rsidRPr="00F30A97">
        <w:tab/>
        <w:t>Global Geodetic Reference Frame</w:t>
      </w:r>
    </w:p>
    <w:p w14:paraId="67CA9CB0" w14:textId="74EA7BCF" w:rsidR="0020782B" w:rsidRPr="00F30A97" w:rsidRDefault="0020782B" w:rsidP="00CE08CB">
      <w:pPr>
        <w:tabs>
          <w:tab w:val="clear" w:pos="794"/>
          <w:tab w:val="clear" w:pos="1191"/>
          <w:tab w:val="clear" w:pos="1588"/>
          <w:tab w:val="clear" w:pos="1985"/>
          <w:tab w:val="left" w:pos="2127"/>
        </w:tabs>
      </w:pPr>
      <w:r w:rsidRPr="00F30A97">
        <w:t>GIS</w:t>
      </w:r>
      <w:r w:rsidRPr="00F30A97">
        <w:tab/>
        <w:t>Geographic Information System</w:t>
      </w:r>
    </w:p>
    <w:p w14:paraId="62E9F463" w14:textId="6D05F06E" w:rsidR="0020782B" w:rsidRPr="00F30A97" w:rsidRDefault="0020782B" w:rsidP="00CE08CB">
      <w:pPr>
        <w:tabs>
          <w:tab w:val="clear" w:pos="794"/>
          <w:tab w:val="clear" w:pos="1191"/>
          <w:tab w:val="clear" w:pos="1588"/>
          <w:tab w:val="clear" w:pos="1985"/>
          <w:tab w:val="left" w:pos="2127"/>
        </w:tabs>
      </w:pPr>
      <w:r w:rsidRPr="00F30A97">
        <w:t>GML</w:t>
      </w:r>
      <w:r w:rsidRPr="00F30A97">
        <w:tab/>
        <w:t>Geography Markup Language</w:t>
      </w:r>
    </w:p>
    <w:p w14:paraId="44515BBF" w14:textId="629CB85F" w:rsidR="0020782B" w:rsidRPr="00F30A97" w:rsidRDefault="0020782B" w:rsidP="00CE08CB">
      <w:pPr>
        <w:tabs>
          <w:tab w:val="clear" w:pos="794"/>
          <w:tab w:val="clear" w:pos="1191"/>
          <w:tab w:val="clear" w:pos="1588"/>
          <w:tab w:val="clear" w:pos="1985"/>
          <w:tab w:val="left" w:pos="2127"/>
        </w:tabs>
      </w:pPr>
      <w:r w:rsidRPr="00F30A97">
        <w:t>ICT</w:t>
      </w:r>
      <w:r w:rsidRPr="00F30A97">
        <w:tab/>
        <w:t>Information and communication technolog</w:t>
      </w:r>
      <w:r w:rsidR="001244EB" w:rsidRPr="00F30A97">
        <w:t>y</w:t>
      </w:r>
    </w:p>
    <w:p w14:paraId="003989CE" w14:textId="4A2114D7" w:rsidR="0020782B" w:rsidRPr="00F30A97" w:rsidRDefault="0020782B" w:rsidP="00CE08CB">
      <w:pPr>
        <w:tabs>
          <w:tab w:val="clear" w:pos="794"/>
          <w:tab w:val="clear" w:pos="1191"/>
          <w:tab w:val="clear" w:pos="1588"/>
          <w:tab w:val="clear" w:pos="1985"/>
          <w:tab w:val="left" w:pos="2127"/>
        </w:tabs>
      </w:pPr>
      <w:r w:rsidRPr="00F30A97">
        <w:t>IEC</w:t>
      </w:r>
      <w:r w:rsidRPr="00F30A97">
        <w:tab/>
        <w:t xml:space="preserve">International Electrotechnical Commission </w:t>
      </w:r>
    </w:p>
    <w:p w14:paraId="3A684807" w14:textId="2006CEC1" w:rsidR="0020782B" w:rsidRPr="00F30A97" w:rsidRDefault="0020782B" w:rsidP="00CE08CB">
      <w:pPr>
        <w:tabs>
          <w:tab w:val="clear" w:pos="794"/>
          <w:tab w:val="clear" w:pos="1191"/>
          <w:tab w:val="clear" w:pos="1588"/>
          <w:tab w:val="clear" w:pos="1985"/>
          <w:tab w:val="left" w:pos="2127"/>
        </w:tabs>
      </w:pPr>
      <w:r w:rsidRPr="00F30A97">
        <w:rPr>
          <w:highlight w:val="white"/>
        </w:rPr>
        <w:t>IEEE</w:t>
      </w:r>
      <w:r w:rsidRPr="00F30A97">
        <w:rPr>
          <w:highlight w:val="white"/>
        </w:rPr>
        <w:tab/>
        <w:t>Institute of Electrical and Electronics Engineers</w:t>
      </w:r>
    </w:p>
    <w:p w14:paraId="4DA0041E" w14:textId="75A48C86" w:rsidR="0020782B" w:rsidRPr="00F30A97" w:rsidRDefault="0020782B" w:rsidP="00CE08CB">
      <w:pPr>
        <w:tabs>
          <w:tab w:val="clear" w:pos="794"/>
          <w:tab w:val="clear" w:pos="1191"/>
          <w:tab w:val="clear" w:pos="1588"/>
          <w:tab w:val="clear" w:pos="1985"/>
          <w:tab w:val="left" w:pos="2127"/>
        </w:tabs>
      </w:pPr>
      <w:r w:rsidRPr="00F30A97">
        <w:t>IOM</w:t>
      </w:r>
      <w:r w:rsidRPr="00F30A97">
        <w:tab/>
        <w:t>International Organization for Migration</w:t>
      </w:r>
    </w:p>
    <w:p w14:paraId="0ECAD761" w14:textId="196310C4" w:rsidR="0020782B" w:rsidRPr="00F30A97" w:rsidRDefault="0020782B" w:rsidP="00CE08CB">
      <w:pPr>
        <w:tabs>
          <w:tab w:val="clear" w:pos="794"/>
          <w:tab w:val="clear" w:pos="1191"/>
          <w:tab w:val="clear" w:pos="1588"/>
          <w:tab w:val="clear" w:pos="1985"/>
          <w:tab w:val="left" w:pos="2127"/>
        </w:tabs>
      </w:pPr>
      <w:r w:rsidRPr="00F30A97">
        <w:t>IoT</w:t>
      </w:r>
      <w:r w:rsidRPr="00F30A97">
        <w:tab/>
        <w:t>Internet of Things</w:t>
      </w:r>
    </w:p>
    <w:p w14:paraId="16B56DF8" w14:textId="0A31ABA3" w:rsidR="0020782B" w:rsidRPr="00F30A97" w:rsidRDefault="0020782B" w:rsidP="00CE08CB">
      <w:pPr>
        <w:tabs>
          <w:tab w:val="clear" w:pos="794"/>
          <w:tab w:val="clear" w:pos="1191"/>
          <w:tab w:val="clear" w:pos="1588"/>
          <w:tab w:val="clear" w:pos="1985"/>
          <w:tab w:val="left" w:pos="2127"/>
        </w:tabs>
      </w:pPr>
      <w:r w:rsidRPr="00F30A97">
        <w:t>ISO</w:t>
      </w:r>
      <w:r w:rsidRPr="00F30A97">
        <w:tab/>
        <w:t>International Organization for Standardization</w:t>
      </w:r>
    </w:p>
    <w:p w14:paraId="494892BE" w14:textId="50E81795" w:rsidR="0020782B" w:rsidRPr="00F30A97" w:rsidRDefault="0020782B" w:rsidP="00CE08CB">
      <w:pPr>
        <w:tabs>
          <w:tab w:val="clear" w:pos="794"/>
          <w:tab w:val="clear" w:pos="1191"/>
          <w:tab w:val="clear" w:pos="1588"/>
          <w:tab w:val="clear" w:pos="1985"/>
          <w:tab w:val="left" w:pos="2127"/>
        </w:tabs>
        <w:ind w:left="2127" w:hanging="2127"/>
      </w:pPr>
      <w:r w:rsidRPr="00F30A97">
        <w:t>ISO TC292</w:t>
      </w:r>
      <w:r w:rsidRPr="00F30A97">
        <w:tab/>
        <w:t>International Organization for Standardization Technical Committee 292 Security and Resilience</w:t>
      </w:r>
    </w:p>
    <w:p w14:paraId="00326017" w14:textId="38B78896" w:rsidR="0020782B" w:rsidRPr="00F30A97" w:rsidRDefault="0020782B" w:rsidP="00CE08CB">
      <w:pPr>
        <w:tabs>
          <w:tab w:val="clear" w:pos="794"/>
          <w:tab w:val="clear" w:pos="1191"/>
          <w:tab w:val="clear" w:pos="1588"/>
          <w:tab w:val="clear" w:pos="1985"/>
          <w:tab w:val="left" w:pos="2127"/>
        </w:tabs>
      </w:pPr>
      <w:r w:rsidRPr="00F30A97">
        <w:t>ITU</w:t>
      </w:r>
      <w:r w:rsidRPr="00F30A97">
        <w:tab/>
        <w:t xml:space="preserve">International Telecommunication Union </w:t>
      </w:r>
    </w:p>
    <w:p w14:paraId="279CF666" w14:textId="036B4B67" w:rsidR="0020782B" w:rsidRPr="00F30A97" w:rsidRDefault="0020782B" w:rsidP="00CE08CB">
      <w:pPr>
        <w:tabs>
          <w:tab w:val="clear" w:pos="794"/>
          <w:tab w:val="clear" w:pos="1191"/>
          <w:tab w:val="clear" w:pos="1588"/>
          <w:tab w:val="clear" w:pos="1985"/>
          <w:tab w:val="left" w:pos="2127"/>
        </w:tabs>
      </w:pPr>
      <w:r w:rsidRPr="00F30A97">
        <w:t>ITU-D</w:t>
      </w:r>
      <w:r w:rsidRPr="00F30A97">
        <w:tab/>
        <w:t>ITU Telecommunication Development Sector</w:t>
      </w:r>
    </w:p>
    <w:p w14:paraId="4BA568B1" w14:textId="24994A02" w:rsidR="0020782B" w:rsidRPr="00F30A97" w:rsidRDefault="0020782B" w:rsidP="00CE08CB">
      <w:pPr>
        <w:tabs>
          <w:tab w:val="clear" w:pos="794"/>
          <w:tab w:val="clear" w:pos="1191"/>
          <w:tab w:val="clear" w:pos="1588"/>
          <w:tab w:val="clear" w:pos="1985"/>
          <w:tab w:val="left" w:pos="2127"/>
        </w:tabs>
      </w:pPr>
      <w:r w:rsidRPr="00F30A97">
        <w:t>ITU-D SG1</w:t>
      </w:r>
      <w:r w:rsidRPr="00F30A97">
        <w:tab/>
        <w:t xml:space="preserve">ITU-D Study Group 1 </w:t>
      </w:r>
    </w:p>
    <w:p w14:paraId="23AE3B06" w14:textId="1CF590D8" w:rsidR="0020782B" w:rsidRPr="00F30A97" w:rsidRDefault="0020782B" w:rsidP="00CE08CB">
      <w:pPr>
        <w:tabs>
          <w:tab w:val="clear" w:pos="794"/>
          <w:tab w:val="clear" w:pos="1191"/>
          <w:tab w:val="clear" w:pos="1588"/>
          <w:tab w:val="clear" w:pos="1985"/>
          <w:tab w:val="left" w:pos="2127"/>
        </w:tabs>
      </w:pPr>
      <w:r w:rsidRPr="00F30A97">
        <w:t>ITU-D SG2</w:t>
      </w:r>
      <w:r w:rsidRPr="00F30A97">
        <w:tab/>
        <w:t xml:space="preserve">ITU-D Study Group 2 </w:t>
      </w:r>
    </w:p>
    <w:p w14:paraId="1CBB177A" w14:textId="3A80A242" w:rsidR="0020782B" w:rsidRPr="00F30A97" w:rsidRDefault="0020782B" w:rsidP="00CE08CB">
      <w:pPr>
        <w:tabs>
          <w:tab w:val="clear" w:pos="794"/>
          <w:tab w:val="clear" w:pos="1191"/>
          <w:tab w:val="clear" w:pos="1588"/>
          <w:tab w:val="clear" w:pos="1985"/>
          <w:tab w:val="left" w:pos="2127"/>
        </w:tabs>
      </w:pPr>
      <w:r w:rsidRPr="00F30A97">
        <w:t>ITU-R</w:t>
      </w:r>
      <w:r w:rsidRPr="00F30A97">
        <w:tab/>
        <w:t>ITU Radiocommunication Sector</w:t>
      </w:r>
    </w:p>
    <w:p w14:paraId="508070F2" w14:textId="08A084C7" w:rsidR="0020782B" w:rsidRPr="00F30A97" w:rsidRDefault="0020782B" w:rsidP="00CE08CB">
      <w:pPr>
        <w:tabs>
          <w:tab w:val="clear" w:pos="794"/>
          <w:tab w:val="clear" w:pos="1191"/>
          <w:tab w:val="clear" w:pos="1588"/>
          <w:tab w:val="clear" w:pos="1985"/>
          <w:tab w:val="left" w:pos="2127"/>
        </w:tabs>
      </w:pPr>
      <w:r w:rsidRPr="00F30A97">
        <w:t>ITU-R SG2</w:t>
      </w:r>
      <w:r w:rsidRPr="00F30A97">
        <w:tab/>
        <w:t>ITU-R Study Group 2</w:t>
      </w:r>
    </w:p>
    <w:p w14:paraId="6A79D4A5" w14:textId="64D7576B" w:rsidR="0020782B" w:rsidRPr="00F30A97" w:rsidRDefault="00CD5EE3" w:rsidP="00CE08CB">
      <w:pPr>
        <w:tabs>
          <w:tab w:val="clear" w:pos="794"/>
          <w:tab w:val="clear" w:pos="1191"/>
          <w:tab w:val="clear" w:pos="1588"/>
          <w:tab w:val="clear" w:pos="1985"/>
          <w:tab w:val="left" w:pos="2127"/>
        </w:tabs>
      </w:pPr>
      <w:r w:rsidRPr="00F30A97">
        <w:t>ITU-R SG5</w:t>
      </w:r>
      <w:r w:rsidRPr="00F30A97">
        <w:tab/>
      </w:r>
      <w:r w:rsidR="0020782B" w:rsidRPr="00F30A97">
        <w:t>ITU-R Study Group 5</w:t>
      </w:r>
    </w:p>
    <w:p w14:paraId="5EDFAAE3" w14:textId="222FFED9" w:rsidR="0020782B" w:rsidRPr="00F30A97" w:rsidRDefault="00CD5EE3" w:rsidP="00CE08CB">
      <w:pPr>
        <w:tabs>
          <w:tab w:val="clear" w:pos="794"/>
          <w:tab w:val="clear" w:pos="1191"/>
          <w:tab w:val="clear" w:pos="1588"/>
          <w:tab w:val="clear" w:pos="1985"/>
          <w:tab w:val="left" w:pos="2127"/>
        </w:tabs>
      </w:pPr>
      <w:r w:rsidRPr="00F30A97">
        <w:t>ITU-R SG7</w:t>
      </w:r>
      <w:r w:rsidRPr="00F30A97">
        <w:tab/>
      </w:r>
      <w:r w:rsidR="0020782B" w:rsidRPr="00F30A97">
        <w:t>ITU-R Study Group 7</w:t>
      </w:r>
    </w:p>
    <w:p w14:paraId="45ABA45A" w14:textId="16CE8BCB" w:rsidR="0020782B" w:rsidRPr="00F30A97" w:rsidRDefault="00A2641E" w:rsidP="00CE08CB">
      <w:pPr>
        <w:tabs>
          <w:tab w:val="clear" w:pos="794"/>
          <w:tab w:val="clear" w:pos="1191"/>
          <w:tab w:val="clear" w:pos="1588"/>
          <w:tab w:val="clear" w:pos="1985"/>
          <w:tab w:val="left" w:pos="2127"/>
        </w:tabs>
      </w:pPr>
      <w:r w:rsidRPr="00F30A97">
        <w:t>ITU-T</w:t>
      </w:r>
      <w:r w:rsidRPr="00F30A97">
        <w:tab/>
      </w:r>
      <w:r w:rsidR="0020782B" w:rsidRPr="00F30A97">
        <w:t>ITU Telecommunication Standardization Sector</w:t>
      </w:r>
    </w:p>
    <w:p w14:paraId="64CCDB06" w14:textId="59A619AF" w:rsidR="0020782B" w:rsidRPr="00F30A97" w:rsidRDefault="00A2641E" w:rsidP="00CE08CB">
      <w:pPr>
        <w:tabs>
          <w:tab w:val="clear" w:pos="794"/>
          <w:tab w:val="clear" w:pos="1191"/>
          <w:tab w:val="clear" w:pos="1588"/>
          <w:tab w:val="clear" w:pos="1985"/>
          <w:tab w:val="left" w:pos="2127"/>
        </w:tabs>
        <w:rPr>
          <w:szCs w:val="24"/>
        </w:rPr>
      </w:pPr>
      <w:r w:rsidRPr="00F30A97">
        <w:rPr>
          <w:szCs w:val="24"/>
        </w:rPr>
        <w:t>ITU-T SG5</w:t>
      </w:r>
      <w:r w:rsidRPr="00F30A97">
        <w:rPr>
          <w:szCs w:val="24"/>
        </w:rPr>
        <w:tab/>
      </w:r>
      <w:r w:rsidR="0020782B" w:rsidRPr="00F30A97">
        <w:rPr>
          <w:szCs w:val="24"/>
        </w:rPr>
        <w:t>ITU-T Study Group 5</w:t>
      </w:r>
    </w:p>
    <w:p w14:paraId="21FB5637" w14:textId="1A1B5CA2" w:rsidR="0020782B" w:rsidRPr="00F30A97" w:rsidRDefault="00A2641E" w:rsidP="00CE08CB">
      <w:pPr>
        <w:tabs>
          <w:tab w:val="clear" w:pos="794"/>
          <w:tab w:val="clear" w:pos="1191"/>
          <w:tab w:val="clear" w:pos="1588"/>
          <w:tab w:val="clear" w:pos="1985"/>
          <w:tab w:val="left" w:pos="2127"/>
        </w:tabs>
      </w:pPr>
      <w:r w:rsidRPr="00F30A97">
        <w:rPr>
          <w:szCs w:val="24"/>
        </w:rPr>
        <w:t>ITU-T SG7</w:t>
      </w:r>
      <w:r w:rsidRPr="00F30A97">
        <w:rPr>
          <w:szCs w:val="24"/>
        </w:rPr>
        <w:tab/>
      </w:r>
      <w:r w:rsidR="0020782B" w:rsidRPr="00F30A97">
        <w:t>ITU-T Study Group 7</w:t>
      </w:r>
    </w:p>
    <w:p w14:paraId="42273813" w14:textId="22B4D38B" w:rsidR="0020782B" w:rsidRPr="00F30A97" w:rsidRDefault="00A2641E" w:rsidP="00CE08CB">
      <w:pPr>
        <w:tabs>
          <w:tab w:val="clear" w:pos="794"/>
          <w:tab w:val="clear" w:pos="1191"/>
          <w:tab w:val="clear" w:pos="1588"/>
          <w:tab w:val="clear" w:pos="1985"/>
          <w:tab w:val="left" w:pos="2127"/>
        </w:tabs>
      </w:pPr>
      <w:r w:rsidRPr="00F30A97">
        <w:rPr>
          <w:szCs w:val="24"/>
        </w:rPr>
        <w:t>ITU-T SG11</w:t>
      </w:r>
      <w:r w:rsidRPr="00F30A97">
        <w:rPr>
          <w:szCs w:val="24"/>
        </w:rPr>
        <w:tab/>
      </w:r>
      <w:r w:rsidR="0020782B" w:rsidRPr="00F30A97">
        <w:t>ITU-T Study Group 11</w:t>
      </w:r>
    </w:p>
    <w:p w14:paraId="759EFE4D" w14:textId="330BA660" w:rsidR="0020782B" w:rsidRPr="00F30A97" w:rsidRDefault="00A2641E" w:rsidP="00CE08CB">
      <w:pPr>
        <w:tabs>
          <w:tab w:val="clear" w:pos="794"/>
          <w:tab w:val="clear" w:pos="1191"/>
          <w:tab w:val="clear" w:pos="1588"/>
          <w:tab w:val="clear" w:pos="1985"/>
          <w:tab w:val="left" w:pos="2127"/>
        </w:tabs>
      </w:pPr>
      <w:r w:rsidRPr="00F30A97">
        <w:rPr>
          <w:szCs w:val="24"/>
        </w:rPr>
        <w:t>ITU-T SG13</w:t>
      </w:r>
      <w:r w:rsidRPr="00F30A97">
        <w:rPr>
          <w:szCs w:val="24"/>
        </w:rPr>
        <w:tab/>
      </w:r>
      <w:r w:rsidR="0020782B" w:rsidRPr="00F30A97">
        <w:t>ITU-T Study Group 13</w:t>
      </w:r>
    </w:p>
    <w:p w14:paraId="6F8EC229" w14:textId="26D0616C" w:rsidR="0020782B" w:rsidRPr="00F30A97" w:rsidRDefault="00A2641E" w:rsidP="00CE08CB">
      <w:pPr>
        <w:tabs>
          <w:tab w:val="clear" w:pos="794"/>
          <w:tab w:val="clear" w:pos="1191"/>
          <w:tab w:val="clear" w:pos="1588"/>
          <w:tab w:val="clear" w:pos="1985"/>
          <w:tab w:val="left" w:pos="2127"/>
        </w:tabs>
      </w:pPr>
      <w:r w:rsidRPr="00F30A97">
        <w:rPr>
          <w:szCs w:val="24"/>
        </w:rPr>
        <w:t>ITU-T SG16</w:t>
      </w:r>
      <w:r w:rsidRPr="00F30A97">
        <w:rPr>
          <w:szCs w:val="24"/>
        </w:rPr>
        <w:tab/>
      </w:r>
      <w:r w:rsidR="0020782B" w:rsidRPr="00F30A97">
        <w:t xml:space="preserve">ITU-T Study Group 16 </w:t>
      </w:r>
    </w:p>
    <w:p w14:paraId="52BB9834" w14:textId="68A1C518" w:rsidR="0020782B" w:rsidRPr="00F30A97" w:rsidRDefault="00A2641E" w:rsidP="00CE08CB">
      <w:pPr>
        <w:tabs>
          <w:tab w:val="clear" w:pos="794"/>
          <w:tab w:val="clear" w:pos="1191"/>
          <w:tab w:val="clear" w:pos="1588"/>
          <w:tab w:val="clear" w:pos="1985"/>
          <w:tab w:val="left" w:pos="2127"/>
        </w:tabs>
      </w:pPr>
      <w:r w:rsidRPr="00F30A97">
        <w:rPr>
          <w:szCs w:val="24"/>
        </w:rPr>
        <w:t>ITU-T SG20</w:t>
      </w:r>
      <w:r w:rsidRPr="00F30A97">
        <w:rPr>
          <w:szCs w:val="24"/>
        </w:rPr>
        <w:tab/>
      </w:r>
      <w:r w:rsidR="0020782B" w:rsidRPr="00F30A97">
        <w:t>ITU-T Study Group 20</w:t>
      </w:r>
    </w:p>
    <w:p w14:paraId="01CADFBB" w14:textId="2E653C9B" w:rsidR="0020782B" w:rsidRPr="00F30A97" w:rsidRDefault="00A2641E" w:rsidP="00CE08CB">
      <w:pPr>
        <w:tabs>
          <w:tab w:val="clear" w:pos="794"/>
          <w:tab w:val="clear" w:pos="1191"/>
          <w:tab w:val="clear" w:pos="1588"/>
          <w:tab w:val="clear" w:pos="1985"/>
          <w:tab w:val="left" w:pos="2127"/>
        </w:tabs>
      </w:pPr>
      <w:r w:rsidRPr="00F30A97">
        <w:t>ITU-T JCA-AHF</w:t>
      </w:r>
      <w:r w:rsidRPr="00F30A97">
        <w:tab/>
      </w:r>
      <w:r w:rsidR="0020782B" w:rsidRPr="00F30A97">
        <w:t>ITU-T Joint Coordination Activity on Accessibility and Human Factors</w:t>
      </w:r>
    </w:p>
    <w:p w14:paraId="5EF5BE6E" w14:textId="48DC1C15" w:rsidR="0020782B" w:rsidRPr="00F30A97" w:rsidRDefault="00A2641E" w:rsidP="00CE08CB">
      <w:pPr>
        <w:tabs>
          <w:tab w:val="clear" w:pos="794"/>
          <w:tab w:val="clear" w:pos="1191"/>
          <w:tab w:val="clear" w:pos="1588"/>
          <w:tab w:val="clear" w:pos="1985"/>
          <w:tab w:val="left" w:pos="2127"/>
        </w:tabs>
      </w:pPr>
      <w:r w:rsidRPr="00F30A97">
        <w:t>ITU-T JCA-IoT</w:t>
      </w:r>
      <w:r w:rsidRPr="00F30A97">
        <w:tab/>
      </w:r>
      <w:r w:rsidR="0020782B" w:rsidRPr="00F30A97">
        <w:t>ITU-T Joint Coordination Activity on Internet of Things</w:t>
      </w:r>
    </w:p>
    <w:p w14:paraId="14977654" w14:textId="34F739B9" w:rsidR="0020782B" w:rsidRPr="00F30A97" w:rsidRDefault="00A2641E" w:rsidP="00CE08CB">
      <w:pPr>
        <w:tabs>
          <w:tab w:val="clear" w:pos="794"/>
          <w:tab w:val="clear" w:pos="1191"/>
          <w:tab w:val="clear" w:pos="1588"/>
          <w:tab w:val="clear" w:pos="1985"/>
          <w:tab w:val="left" w:pos="2127"/>
        </w:tabs>
      </w:pPr>
      <w:r w:rsidRPr="00F30A97">
        <w:t>ITU-T SC&amp;C</w:t>
      </w:r>
      <w:r w:rsidRPr="00F30A97">
        <w:tab/>
      </w:r>
      <w:r w:rsidR="0020782B" w:rsidRPr="00F30A97">
        <w:t>ITU-T Smart Cities and Communities</w:t>
      </w:r>
    </w:p>
    <w:p w14:paraId="4C1A6BA8" w14:textId="77777777" w:rsidR="00A2641E" w:rsidRPr="00F30A97" w:rsidRDefault="00A2641E" w:rsidP="00CE08CB">
      <w:pPr>
        <w:tabs>
          <w:tab w:val="clear" w:pos="794"/>
          <w:tab w:val="clear" w:pos="1191"/>
          <w:tab w:val="clear" w:pos="1588"/>
          <w:tab w:val="clear" w:pos="1985"/>
          <w:tab w:val="left" w:pos="2127"/>
        </w:tabs>
      </w:pPr>
      <w:r w:rsidRPr="00F30A97">
        <w:t>KML</w:t>
      </w:r>
      <w:r w:rsidRPr="00F30A97">
        <w:tab/>
        <w:t>Keyhole Markup Language</w:t>
      </w:r>
    </w:p>
    <w:p w14:paraId="11A3425F" w14:textId="68CE06F8" w:rsidR="0020782B" w:rsidRPr="00F30A97" w:rsidRDefault="00A2641E" w:rsidP="00CE08CB">
      <w:pPr>
        <w:tabs>
          <w:tab w:val="clear" w:pos="794"/>
          <w:tab w:val="clear" w:pos="1191"/>
          <w:tab w:val="clear" w:pos="1588"/>
          <w:tab w:val="clear" w:pos="1985"/>
          <w:tab w:val="left" w:pos="2127"/>
        </w:tabs>
      </w:pPr>
      <w:r w:rsidRPr="00F30A97">
        <w:lastRenderedPageBreak/>
        <w:t>ML</w:t>
      </w:r>
      <w:r w:rsidRPr="00F30A97">
        <w:tab/>
      </w:r>
      <w:r w:rsidR="0020782B" w:rsidRPr="00F30A97">
        <w:t xml:space="preserve">Machine </w:t>
      </w:r>
      <w:r w:rsidRPr="00F30A97">
        <w:t>L</w:t>
      </w:r>
      <w:r w:rsidR="0020782B" w:rsidRPr="00F30A97">
        <w:t>earning</w:t>
      </w:r>
    </w:p>
    <w:p w14:paraId="3F35DF6C" w14:textId="78BC2CCB" w:rsidR="0020782B" w:rsidRPr="00F30A97" w:rsidRDefault="00A2641E" w:rsidP="00CE08CB">
      <w:pPr>
        <w:tabs>
          <w:tab w:val="clear" w:pos="794"/>
          <w:tab w:val="clear" w:pos="1191"/>
          <w:tab w:val="clear" w:pos="1588"/>
          <w:tab w:val="clear" w:pos="1985"/>
          <w:tab w:val="left" w:pos="2127"/>
        </w:tabs>
      </w:pPr>
      <w:r w:rsidRPr="00F30A97">
        <w:t>MLO</w:t>
      </w:r>
      <w:r w:rsidR="00D371CA" w:rsidRPr="00F30A97">
        <w:t>ps</w:t>
      </w:r>
      <w:r w:rsidRPr="00F30A97">
        <w:tab/>
      </w:r>
      <w:r w:rsidR="0020782B" w:rsidRPr="00F30A97">
        <w:t xml:space="preserve">Machine </w:t>
      </w:r>
      <w:r w:rsidRPr="00F30A97">
        <w:t>L</w:t>
      </w:r>
      <w:r w:rsidR="0020782B" w:rsidRPr="00F30A97">
        <w:t xml:space="preserve">earning </w:t>
      </w:r>
      <w:r w:rsidRPr="00F30A97">
        <w:t>O</w:t>
      </w:r>
      <w:r w:rsidR="0020782B" w:rsidRPr="00F30A97">
        <w:t>perations</w:t>
      </w:r>
    </w:p>
    <w:p w14:paraId="0CE3BAF0" w14:textId="04A503E4" w:rsidR="0020782B" w:rsidRPr="00F30A97" w:rsidRDefault="00A2641E" w:rsidP="00CE08CB">
      <w:pPr>
        <w:tabs>
          <w:tab w:val="clear" w:pos="794"/>
          <w:tab w:val="clear" w:pos="1191"/>
          <w:tab w:val="clear" w:pos="1588"/>
          <w:tab w:val="clear" w:pos="1985"/>
          <w:tab w:val="left" w:pos="2127"/>
        </w:tabs>
      </w:pPr>
      <w:r w:rsidRPr="00F30A97">
        <w:t>NDM</w:t>
      </w:r>
      <w:r w:rsidRPr="00F30A97">
        <w:tab/>
      </w:r>
      <w:r w:rsidR="0020782B" w:rsidRPr="00F30A97">
        <w:t>Natural Disaster Management</w:t>
      </w:r>
    </w:p>
    <w:p w14:paraId="178748F4" w14:textId="68162119" w:rsidR="0020782B" w:rsidRPr="00F30A97" w:rsidRDefault="00A2641E" w:rsidP="00CE08CB">
      <w:pPr>
        <w:tabs>
          <w:tab w:val="clear" w:pos="794"/>
          <w:tab w:val="clear" w:pos="1191"/>
          <w:tab w:val="clear" w:pos="1588"/>
          <w:tab w:val="clear" w:pos="1985"/>
          <w:tab w:val="left" w:pos="2127"/>
        </w:tabs>
      </w:pPr>
      <w:r w:rsidRPr="00F30A97">
        <w:t>OGC</w:t>
      </w:r>
      <w:r w:rsidRPr="00F30A97">
        <w:tab/>
      </w:r>
      <w:r w:rsidR="0020782B" w:rsidRPr="00F30A97">
        <w:t>Open Geospatial Consortium</w:t>
      </w:r>
    </w:p>
    <w:p w14:paraId="3C068239" w14:textId="38AB352A" w:rsidR="0020782B" w:rsidRPr="00F30A97" w:rsidRDefault="00A2641E" w:rsidP="00CE08CB">
      <w:pPr>
        <w:tabs>
          <w:tab w:val="clear" w:pos="794"/>
          <w:tab w:val="clear" w:pos="1191"/>
          <w:tab w:val="clear" w:pos="1588"/>
          <w:tab w:val="clear" w:pos="1985"/>
          <w:tab w:val="left" w:pos="2127"/>
        </w:tabs>
      </w:pPr>
      <w:r w:rsidRPr="00F30A97">
        <w:t>SampleML</w:t>
      </w:r>
      <w:r w:rsidRPr="00F30A97">
        <w:tab/>
      </w:r>
      <w:r w:rsidR="0020782B" w:rsidRPr="00F30A97">
        <w:t>Sample Markup Language</w:t>
      </w:r>
    </w:p>
    <w:p w14:paraId="60BE866B" w14:textId="426CE41F" w:rsidR="0020782B" w:rsidRPr="00F30A97" w:rsidRDefault="00A2641E" w:rsidP="00CE08CB">
      <w:pPr>
        <w:tabs>
          <w:tab w:val="clear" w:pos="794"/>
          <w:tab w:val="clear" w:pos="1191"/>
          <w:tab w:val="clear" w:pos="1588"/>
          <w:tab w:val="clear" w:pos="1985"/>
          <w:tab w:val="left" w:pos="2127"/>
        </w:tabs>
        <w:ind w:left="2127" w:hanging="2127"/>
      </w:pPr>
      <w:r w:rsidRPr="00F30A97">
        <w:t>SampleML-AI/ML SWG</w:t>
      </w:r>
      <w:r w:rsidRPr="00F30A97">
        <w:tab/>
      </w:r>
      <w:r w:rsidR="0020782B" w:rsidRPr="00F30A97">
        <w:t>Sample Markup Language for Artificial Intelligence and Machine Learning Standards Working Group (OGC)</w:t>
      </w:r>
    </w:p>
    <w:p w14:paraId="08379C2E" w14:textId="73DDA2FA" w:rsidR="0020782B" w:rsidRPr="00F30A97" w:rsidRDefault="00A2641E" w:rsidP="00CE08CB">
      <w:pPr>
        <w:tabs>
          <w:tab w:val="clear" w:pos="794"/>
          <w:tab w:val="clear" w:pos="1191"/>
          <w:tab w:val="clear" w:pos="1588"/>
          <w:tab w:val="clear" w:pos="1985"/>
          <w:tab w:val="left" w:pos="2127"/>
        </w:tabs>
      </w:pPr>
      <w:r w:rsidRPr="00F30A97">
        <w:t>SDO</w:t>
      </w:r>
      <w:r w:rsidRPr="00F30A97">
        <w:tab/>
      </w:r>
      <w:r w:rsidR="0020782B" w:rsidRPr="00F30A97">
        <w:t>Standard</w:t>
      </w:r>
      <w:r w:rsidR="00D371CA" w:rsidRPr="00F30A97">
        <w:t>s</w:t>
      </w:r>
      <w:r w:rsidR="0020782B" w:rsidRPr="00F30A97">
        <w:t xml:space="preserve"> </w:t>
      </w:r>
      <w:r w:rsidRPr="00F30A97">
        <w:t>D</w:t>
      </w:r>
      <w:r w:rsidR="0020782B" w:rsidRPr="00F30A97">
        <w:t>evelop</w:t>
      </w:r>
      <w:r w:rsidR="00D371CA" w:rsidRPr="00F30A97">
        <w:t>ment</w:t>
      </w:r>
      <w:r w:rsidR="0020782B" w:rsidRPr="00F30A97">
        <w:t xml:space="preserve"> </w:t>
      </w:r>
      <w:r w:rsidRPr="00F30A97">
        <w:t>O</w:t>
      </w:r>
      <w:r w:rsidR="0020782B" w:rsidRPr="00F30A97">
        <w:t>rganization</w:t>
      </w:r>
    </w:p>
    <w:p w14:paraId="586F3400" w14:textId="1AE5E220" w:rsidR="0020782B" w:rsidRPr="00F30A97" w:rsidRDefault="00A2641E" w:rsidP="00CE08CB">
      <w:pPr>
        <w:tabs>
          <w:tab w:val="clear" w:pos="794"/>
          <w:tab w:val="clear" w:pos="1191"/>
          <w:tab w:val="clear" w:pos="1588"/>
          <w:tab w:val="clear" w:pos="1985"/>
          <w:tab w:val="left" w:pos="2127"/>
        </w:tabs>
      </w:pPr>
      <w:r w:rsidRPr="00F30A97">
        <w:t>SyC Smart Cities</w:t>
      </w:r>
      <w:r w:rsidRPr="00F30A97">
        <w:tab/>
      </w:r>
      <w:r w:rsidR="0020782B" w:rsidRPr="00F30A97">
        <w:t>System Committee Smart Cities</w:t>
      </w:r>
    </w:p>
    <w:p w14:paraId="3D2AD30B" w14:textId="359A27C1" w:rsidR="0020782B" w:rsidRPr="00F30A97" w:rsidRDefault="00A2641E" w:rsidP="00CE08CB">
      <w:pPr>
        <w:tabs>
          <w:tab w:val="clear" w:pos="794"/>
          <w:tab w:val="clear" w:pos="1191"/>
          <w:tab w:val="clear" w:pos="1588"/>
          <w:tab w:val="clear" w:pos="1985"/>
          <w:tab w:val="left" w:pos="2127"/>
        </w:tabs>
      </w:pPr>
      <w:r w:rsidRPr="00F30A97">
        <w:t>UAV</w:t>
      </w:r>
      <w:r w:rsidRPr="00F30A97">
        <w:tab/>
      </w:r>
      <w:r w:rsidR="0020782B" w:rsidRPr="00F30A97">
        <w:t>Unmanned Aerial Vehicle</w:t>
      </w:r>
    </w:p>
    <w:p w14:paraId="2EEF2E2E" w14:textId="6A1F06F2" w:rsidR="0020782B" w:rsidRPr="00F30A97" w:rsidRDefault="00A2641E" w:rsidP="00CE08CB">
      <w:pPr>
        <w:tabs>
          <w:tab w:val="clear" w:pos="794"/>
          <w:tab w:val="clear" w:pos="1191"/>
          <w:tab w:val="clear" w:pos="1588"/>
          <w:tab w:val="clear" w:pos="1985"/>
          <w:tab w:val="left" w:pos="2127"/>
        </w:tabs>
      </w:pPr>
      <w:r w:rsidRPr="00F30A97">
        <w:t>UN</w:t>
      </w:r>
      <w:r w:rsidRPr="00F30A97">
        <w:tab/>
      </w:r>
      <w:r w:rsidR="0020782B" w:rsidRPr="00F30A97">
        <w:t>United Nations</w:t>
      </w:r>
    </w:p>
    <w:p w14:paraId="28CB64BE" w14:textId="793DA159" w:rsidR="0020782B" w:rsidRPr="00F30A97" w:rsidRDefault="00A2641E" w:rsidP="00CE08CB">
      <w:pPr>
        <w:tabs>
          <w:tab w:val="clear" w:pos="794"/>
          <w:tab w:val="clear" w:pos="1191"/>
          <w:tab w:val="clear" w:pos="1588"/>
          <w:tab w:val="clear" w:pos="1985"/>
          <w:tab w:val="left" w:pos="2127"/>
        </w:tabs>
      </w:pPr>
      <w:r w:rsidRPr="00F30A97">
        <w:t>UNDRR</w:t>
      </w:r>
      <w:r w:rsidRPr="00F30A97">
        <w:tab/>
      </w:r>
      <w:r w:rsidR="0020782B" w:rsidRPr="00F30A97">
        <w:t>United Nations Office for Disaster Risk Reduction</w:t>
      </w:r>
    </w:p>
    <w:p w14:paraId="1DE4922F" w14:textId="5CF24076" w:rsidR="0020782B" w:rsidRPr="00F30A97" w:rsidRDefault="00A2641E" w:rsidP="00CE08CB">
      <w:pPr>
        <w:tabs>
          <w:tab w:val="clear" w:pos="794"/>
          <w:tab w:val="clear" w:pos="1191"/>
          <w:tab w:val="clear" w:pos="1588"/>
          <w:tab w:val="clear" w:pos="1985"/>
          <w:tab w:val="left" w:pos="2127"/>
        </w:tabs>
      </w:pPr>
      <w:r w:rsidRPr="00F30A97">
        <w:t>UNDP</w:t>
      </w:r>
      <w:r w:rsidRPr="00F30A97">
        <w:tab/>
      </w:r>
      <w:r w:rsidR="0020782B" w:rsidRPr="00F30A97">
        <w:t>United Nations Development Programme</w:t>
      </w:r>
    </w:p>
    <w:p w14:paraId="64C8E1A6" w14:textId="296F97C5" w:rsidR="0020782B" w:rsidRPr="00F30A97" w:rsidRDefault="00A2641E" w:rsidP="00CE08CB">
      <w:pPr>
        <w:tabs>
          <w:tab w:val="clear" w:pos="794"/>
          <w:tab w:val="clear" w:pos="1191"/>
          <w:tab w:val="clear" w:pos="1588"/>
          <w:tab w:val="clear" w:pos="1985"/>
          <w:tab w:val="left" w:pos="2127"/>
        </w:tabs>
      </w:pPr>
      <w:r w:rsidRPr="00F30A97">
        <w:t>UNEP</w:t>
      </w:r>
      <w:r w:rsidRPr="00F30A97">
        <w:tab/>
      </w:r>
      <w:r w:rsidR="0020782B" w:rsidRPr="00F30A97">
        <w:t>United Nations Environment Programme</w:t>
      </w:r>
    </w:p>
    <w:p w14:paraId="09858F93" w14:textId="224566A3" w:rsidR="0020782B" w:rsidRPr="00F30A97" w:rsidRDefault="00A2641E" w:rsidP="00CE08CB">
      <w:pPr>
        <w:tabs>
          <w:tab w:val="clear" w:pos="794"/>
          <w:tab w:val="clear" w:pos="1191"/>
          <w:tab w:val="clear" w:pos="1588"/>
          <w:tab w:val="clear" w:pos="1985"/>
          <w:tab w:val="left" w:pos="2127"/>
        </w:tabs>
      </w:pPr>
      <w:r w:rsidRPr="00F30A97">
        <w:t>UNFCCC</w:t>
      </w:r>
      <w:r w:rsidRPr="00F30A97">
        <w:tab/>
      </w:r>
      <w:r w:rsidR="0020782B" w:rsidRPr="00F30A97">
        <w:t>United Nations Framework Convention on Climate Change</w:t>
      </w:r>
    </w:p>
    <w:p w14:paraId="63E1ADF3" w14:textId="000BC957" w:rsidR="0020782B" w:rsidRPr="00F30A97" w:rsidRDefault="00A2641E" w:rsidP="00CE08CB">
      <w:pPr>
        <w:tabs>
          <w:tab w:val="clear" w:pos="794"/>
          <w:tab w:val="clear" w:pos="1191"/>
          <w:tab w:val="clear" w:pos="1588"/>
          <w:tab w:val="clear" w:pos="1985"/>
          <w:tab w:val="left" w:pos="2127"/>
        </w:tabs>
      </w:pPr>
      <w:r w:rsidRPr="00F30A97">
        <w:t>UNGA</w:t>
      </w:r>
      <w:r w:rsidRPr="00F30A97">
        <w:tab/>
      </w:r>
      <w:r w:rsidR="0020782B" w:rsidRPr="00F30A97">
        <w:t>United Nations General Assembly</w:t>
      </w:r>
    </w:p>
    <w:p w14:paraId="63DB4247" w14:textId="2D0E212F" w:rsidR="0020782B" w:rsidRPr="00F30A97" w:rsidRDefault="00A2641E" w:rsidP="00CE08CB">
      <w:pPr>
        <w:tabs>
          <w:tab w:val="clear" w:pos="794"/>
          <w:tab w:val="clear" w:pos="1191"/>
          <w:tab w:val="clear" w:pos="1588"/>
          <w:tab w:val="clear" w:pos="1985"/>
          <w:tab w:val="left" w:pos="2127"/>
        </w:tabs>
        <w:ind w:left="2127" w:hanging="2127"/>
      </w:pPr>
      <w:r w:rsidRPr="00F30A97">
        <w:t>UNGGIM</w:t>
      </w:r>
      <w:r w:rsidRPr="00F30A97">
        <w:tab/>
      </w:r>
      <w:r w:rsidR="0020782B" w:rsidRPr="00F30A97">
        <w:t>United Nations Committee of Experts on Global Geospatial Information Management</w:t>
      </w:r>
    </w:p>
    <w:p w14:paraId="6D8A996C" w14:textId="23D4B8FA" w:rsidR="0020782B" w:rsidRPr="00F30A97" w:rsidRDefault="00A2641E" w:rsidP="00CE08CB">
      <w:pPr>
        <w:tabs>
          <w:tab w:val="clear" w:pos="794"/>
          <w:tab w:val="clear" w:pos="1191"/>
          <w:tab w:val="clear" w:pos="1588"/>
          <w:tab w:val="clear" w:pos="1985"/>
          <w:tab w:val="left" w:pos="2127"/>
        </w:tabs>
      </w:pPr>
      <w:r w:rsidRPr="00F30A97">
        <w:t>UNHCR</w:t>
      </w:r>
      <w:r w:rsidRPr="00F30A97">
        <w:tab/>
      </w:r>
      <w:r w:rsidR="0020782B" w:rsidRPr="00F30A97">
        <w:t>United Nations High Commissioner for Refugees</w:t>
      </w:r>
    </w:p>
    <w:p w14:paraId="792CB932" w14:textId="0A101FD4" w:rsidR="0020782B" w:rsidRPr="00F30A97" w:rsidRDefault="00A2641E" w:rsidP="00CE08CB">
      <w:pPr>
        <w:tabs>
          <w:tab w:val="clear" w:pos="794"/>
          <w:tab w:val="clear" w:pos="1191"/>
          <w:tab w:val="clear" w:pos="1588"/>
          <w:tab w:val="clear" w:pos="1985"/>
          <w:tab w:val="left" w:pos="2127"/>
        </w:tabs>
      </w:pPr>
      <w:r w:rsidRPr="00F30A97">
        <w:t>UNICEF</w:t>
      </w:r>
      <w:r w:rsidRPr="00F30A97">
        <w:tab/>
      </w:r>
      <w:r w:rsidR="0020782B" w:rsidRPr="00F30A97">
        <w:t>United Nations International Children</w:t>
      </w:r>
      <w:r w:rsidR="00644FA2" w:rsidRPr="00F30A97">
        <w:t>'</w:t>
      </w:r>
      <w:r w:rsidR="0020782B" w:rsidRPr="00F30A97">
        <w:t>s Emergency Fund</w:t>
      </w:r>
    </w:p>
    <w:p w14:paraId="43C9A1D5" w14:textId="367DE399" w:rsidR="0020782B" w:rsidRPr="00F30A97" w:rsidRDefault="00A2641E" w:rsidP="00CE08CB">
      <w:pPr>
        <w:tabs>
          <w:tab w:val="clear" w:pos="794"/>
          <w:tab w:val="clear" w:pos="1191"/>
          <w:tab w:val="clear" w:pos="1588"/>
          <w:tab w:val="clear" w:pos="1985"/>
          <w:tab w:val="left" w:pos="2127"/>
        </w:tabs>
      </w:pPr>
      <w:r w:rsidRPr="00F30A97">
        <w:rPr>
          <w:highlight w:val="white"/>
        </w:rPr>
        <w:t>UNITAR</w:t>
      </w:r>
      <w:r w:rsidRPr="00F30A97">
        <w:rPr>
          <w:highlight w:val="white"/>
        </w:rPr>
        <w:tab/>
      </w:r>
      <w:r w:rsidR="0020782B" w:rsidRPr="00F30A97">
        <w:rPr>
          <w:highlight w:val="white"/>
        </w:rPr>
        <w:t>United Nations Institute for Training and Research</w:t>
      </w:r>
    </w:p>
    <w:p w14:paraId="29524D29" w14:textId="55B2E9DE" w:rsidR="0020782B" w:rsidRPr="00F30A97" w:rsidRDefault="00A2641E" w:rsidP="00CE08CB">
      <w:pPr>
        <w:tabs>
          <w:tab w:val="clear" w:pos="794"/>
          <w:tab w:val="clear" w:pos="1191"/>
          <w:tab w:val="clear" w:pos="1588"/>
          <w:tab w:val="clear" w:pos="1985"/>
          <w:tab w:val="left" w:pos="2127"/>
        </w:tabs>
      </w:pPr>
      <w:r w:rsidRPr="00F30A97">
        <w:t>UNOOSA</w:t>
      </w:r>
      <w:r w:rsidRPr="00F30A97">
        <w:tab/>
      </w:r>
      <w:r w:rsidR="0020782B" w:rsidRPr="00F30A97">
        <w:t>United Nations Office for Outer Space Affairs</w:t>
      </w:r>
    </w:p>
    <w:p w14:paraId="5566DD22" w14:textId="1F301F33" w:rsidR="0020782B" w:rsidRPr="00F30A97" w:rsidRDefault="00A2641E" w:rsidP="00CE08CB">
      <w:pPr>
        <w:tabs>
          <w:tab w:val="clear" w:pos="794"/>
          <w:tab w:val="clear" w:pos="1191"/>
          <w:tab w:val="clear" w:pos="1588"/>
          <w:tab w:val="clear" w:pos="1985"/>
          <w:tab w:val="left" w:pos="2127"/>
        </w:tabs>
      </w:pPr>
      <w:r w:rsidRPr="00F30A97">
        <w:t>UNU</w:t>
      </w:r>
      <w:r w:rsidRPr="00F30A97">
        <w:tab/>
      </w:r>
      <w:r w:rsidR="0020782B" w:rsidRPr="00F30A97">
        <w:t>United Nations University</w:t>
      </w:r>
    </w:p>
    <w:p w14:paraId="663E46E1" w14:textId="5B6A6FC1" w:rsidR="0020782B" w:rsidRPr="00F30A97" w:rsidRDefault="00A2641E" w:rsidP="00CE08CB">
      <w:pPr>
        <w:tabs>
          <w:tab w:val="clear" w:pos="794"/>
          <w:tab w:val="clear" w:pos="1191"/>
          <w:tab w:val="clear" w:pos="1588"/>
          <w:tab w:val="clear" w:pos="1985"/>
          <w:tab w:val="left" w:pos="2127"/>
        </w:tabs>
      </w:pPr>
      <w:r w:rsidRPr="00F30A97">
        <w:t>WFP</w:t>
      </w:r>
      <w:r w:rsidRPr="00F30A97">
        <w:tab/>
      </w:r>
      <w:r w:rsidR="0020782B" w:rsidRPr="00F30A97">
        <w:t>World Food Program</w:t>
      </w:r>
      <w:r w:rsidR="00747A7E" w:rsidRPr="00F30A97">
        <w:t>me</w:t>
      </w:r>
    </w:p>
    <w:p w14:paraId="7E32044B" w14:textId="54CE8DD5" w:rsidR="0020782B" w:rsidRPr="00F30A97" w:rsidRDefault="00A2641E" w:rsidP="00CE08CB">
      <w:pPr>
        <w:tabs>
          <w:tab w:val="clear" w:pos="794"/>
          <w:tab w:val="clear" w:pos="1191"/>
          <w:tab w:val="clear" w:pos="1588"/>
          <w:tab w:val="clear" w:pos="1985"/>
          <w:tab w:val="left" w:pos="2127"/>
        </w:tabs>
      </w:pPr>
      <w:r w:rsidRPr="00F30A97">
        <w:t>WG</w:t>
      </w:r>
      <w:r w:rsidRPr="00F30A97">
        <w:tab/>
      </w:r>
      <w:r w:rsidR="0020782B" w:rsidRPr="00F30A97">
        <w:t>Working Group</w:t>
      </w:r>
    </w:p>
    <w:p w14:paraId="5FDBBA4A" w14:textId="01067A0E" w:rsidR="0020782B" w:rsidRPr="00F30A97" w:rsidRDefault="00A2641E" w:rsidP="00CE08CB">
      <w:pPr>
        <w:tabs>
          <w:tab w:val="clear" w:pos="794"/>
          <w:tab w:val="clear" w:pos="1191"/>
          <w:tab w:val="clear" w:pos="1588"/>
          <w:tab w:val="clear" w:pos="1985"/>
          <w:tab w:val="left" w:pos="2127"/>
        </w:tabs>
      </w:pPr>
      <w:r w:rsidRPr="00F30A97">
        <w:t>WMO</w:t>
      </w:r>
      <w:r w:rsidRPr="00F30A97">
        <w:tab/>
      </w:r>
      <w:r w:rsidR="0020782B" w:rsidRPr="00F30A97">
        <w:t>World Meteorological Organization</w:t>
      </w:r>
    </w:p>
    <w:p w14:paraId="755AE1D6" w14:textId="4439795A" w:rsidR="0020782B" w:rsidRPr="00F30A97" w:rsidRDefault="00A2641E" w:rsidP="00CE08CB">
      <w:pPr>
        <w:pStyle w:val="Heading1"/>
      </w:pPr>
      <w:bookmarkStart w:id="33" w:name="_heading=h.mfw8xw7vux4l" w:colFirst="0" w:colLast="0"/>
      <w:bookmarkStart w:id="34" w:name="_Toc122117098"/>
      <w:bookmarkStart w:id="35" w:name="_Toc122117115"/>
      <w:bookmarkStart w:id="36" w:name="_Toc126934272"/>
      <w:bookmarkEnd w:id="33"/>
      <w:r w:rsidRPr="00F30A97">
        <w:rPr>
          <w:rFonts w:eastAsia="MS Mincho"/>
          <w:lang w:eastAsia="ja-JP" w:bidi="ar-DZ"/>
        </w:rPr>
        <w:t>4</w:t>
      </w:r>
      <w:r w:rsidRPr="00F30A97">
        <w:rPr>
          <w:rFonts w:eastAsia="MS Mincho"/>
          <w:lang w:eastAsia="ja-JP" w:bidi="ar-DZ"/>
        </w:rPr>
        <w:tab/>
      </w:r>
      <w:r w:rsidR="0020782B" w:rsidRPr="00F30A97">
        <w:rPr>
          <w:rFonts w:eastAsia="MS Mincho"/>
          <w:lang w:eastAsia="ja-JP" w:bidi="ar-DZ"/>
        </w:rPr>
        <w:t>Introduction</w:t>
      </w:r>
      <w:bookmarkEnd w:id="34"/>
      <w:bookmarkEnd w:id="35"/>
      <w:bookmarkEnd w:id="36"/>
    </w:p>
    <w:p w14:paraId="3A96C31B" w14:textId="5B8FA2B3" w:rsidR="0020782B" w:rsidRPr="00F30A97" w:rsidRDefault="0020782B" w:rsidP="00CE08CB">
      <w:r w:rsidRPr="00F30A97">
        <w:t>As emerging information and communication technologies (ICTs) become established, so does the need for comprehensive guidelines integrating science, technology, expertise, and experience. Benefits of these guidelines can include enabling interoperability, assisting with regulation, and supporting capacity building. Standard</w:t>
      </w:r>
      <w:r w:rsidR="00D371CA" w:rsidRPr="00F30A97">
        <w:t>s</w:t>
      </w:r>
      <w:r w:rsidRPr="00F30A97">
        <w:t xml:space="preserve"> develop</w:t>
      </w:r>
      <w:r w:rsidR="00D371CA" w:rsidRPr="00F30A97">
        <w:t>ment</w:t>
      </w:r>
      <w:r w:rsidRPr="00F30A97">
        <w:t xml:space="preserve"> organizations (SDOs) are a purveyor of such guidelines</w:t>
      </w:r>
      <w:r w:rsidRPr="00F30A97">
        <w:rPr>
          <w:rStyle w:val="FootnoteReference"/>
          <w:color w:val="000000"/>
        </w:rPr>
        <w:footnoteReference w:id="1"/>
      </w:r>
      <w:r w:rsidRPr="00F30A97">
        <w:t xml:space="preserve"> (hereinafter, </w:t>
      </w:r>
      <w:r w:rsidRPr="00F30A97">
        <w:rPr>
          <w:i/>
        </w:rPr>
        <w:t>standards</w:t>
      </w:r>
      <w:r w:rsidRPr="00F30A97">
        <w:t xml:space="preserve">) and can operate on international </w:t>
      </w:r>
      <w:r w:rsidR="00DE094A" w:rsidRPr="00F30A97">
        <w:t>(</w:t>
      </w:r>
      <w:r w:rsidRPr="00F30A97">
        <w:t>e.g., International Telecommunication Union (ITU), the International Organization for Standardization (ISO), and the International Electrotechnical Commission (IEC)</w:t>
      </w:r>
      <w:r w:rsidR="00DE094A" w:rsidRPr="00F30A97">
        <w:t>)</w:t>
      </w:r>
      <w:r w:rsidRPr="00F30A97">
        <w:t xml:space="preserve">, regional </w:t>
      </w:r>
      <w:r w:rsidR="00DE094A" w:rsidRPr="00F30A97">
        <w:t>(</w:t>
      </w:r>
      <w:r w:rsidRPr="00F30A97">
        <w:t>e.g., European Telecommunications Standards Institute (ETSI)</w:t>
      </w:r>
      <w:r w:rsidR="00DE094A" w:rsidRPr="00F30A97">
        <w:t>)</w:t>
      </w:r>
      <w:r w:rsidRPr="00F30A97">
        <w:t xml:space="preserve">, or national </w:t>
      </w:r>
      <w:r w:rsidR="00DE094A" w:rsidRPr="00F30A97">
        <w:t>(</w:t>
      </w:r>
      <w:r w:rsidRPr="00F30A97">
        <w:t>e.g., American National Standards Institute (ANSI)</w:t>
      </w:r>
      <w:r w:rsidR="00DE094A" w:rsidRPr="00F30A97">
        <w:t>)</w:t>
      </w:r>
      <w:r w:rsidRPr="00F30A97">
        <w:t xml:space="preserve"> scales. Alongside SDO-approved standards, other guidelines can be produced and brought into practice by non-SDOs (hereinafter, </w:t>
      </w:r>
      <w:r w:rsidRPr="00F30A97">
        <w:rPr>
          <w:i/>
        </w:rPr>
        <w:t>activities</w:t>
      </w:r>
      <w:r w:rsidRPr="00F30A97">
        <w:t xml:space="preserve">) [b-UNESCO]. Consequently, the standardization landscape is highly dynamic with many relevant stakeholders working on a diverse range of topics. In this </w:t>
      </w:r>
      <w:r w:rsidRPr="00F30A97">
        <w:lastRenderedPageBreak/>
        <w:t>scenario, it would be prudent to ensure sustained collaboration among these stakeholders to avoid duplication of efforts and to identify relevant gaps where standardization is required.</w:t>
      </w:r>
    </w:p>
    <w:p w14:paraId="44C7C018" w14:textId="2CF7D0DA" w:rsidR="0020782B" w:rsidRPr="00F30A97" w:rsidRDefault="0020782B" w:rsidP="00CE08CB">
      <w:pPr>
        <w:rPr>
          <w:color w:val="000000"/>
        </w:rPr>
      </w:pPr>
      <w:r w:rsidRPr="00F30A97">
        <w:t>The ITU is the United Nations specialized agency for ICTs. It also serves as an international SDO and the only one in the United Nations system.</w:t>
      </w:r>
      <w:r w:rsidR="00644FA2" w:rsidRPr="00F30A97">
        <w:t xml:space="preserve"> </w:t>
      </w:r>
      <w:r w:rsidRPr="00F30A97">
        <w:t>ITU</w:t>
      </w:r>
      <w:r w:rsidR="00644FA2" w:rsidRPr="00F30A97">
        <w:t>'</w:t>
      </w:r>
      <w:r w:rsidRPr="00F30A97">
        <w:t xml:space="preserve">s core standardization activities are carried out through its </w:t>
      </w:r>
      <w:r w:rsidRPr="00F30A97">
        <w:rPr>
          <w:color w:val="000000"/>
        </w:rPr>
        <w:t>Telecommunication Standardization Sector (ITU-T)</w:t>
      </w:r>
      <w:r w:rsidRPr="00F30A97">
        <w:t>. Within the ITU-T, F</w:t>
      </w:r>
      <w:r w:rsidRPr="00F30A97">
        <w:rPr>
          <w:color w:val="000000"/>
        </w:rPr>
        <w:t xml:space="preserve">ocus </w:t>
      </w:r>
      <w:r w:rsidRPr="00F30A97">
        <w:t>G</w:t>
      </w:r>
      <w:r w:rsidRPr="00F30A97">
        <w:rPr>
          <w:color w:val="000000"/>
        </w:rPr>
        <w:t>roups are a mechanism that can bring together internal and external experts to assist with the pre-standardization of specific applications of ICTs and other emerging technologies. For example, the Focus Group on AI for Natural Disaster Management (FG-AI4NDM) was est</w:t>
      </w:r>
      <w:r w:rsidRPr="00F30A97">
        <w:t>ablish</w:t>
      </w:r>
      <w:r w:rsidRPr="00F30A97">
        <w:rPr>
          <w:color w:val="000000"/>
        </w:rPr>
        <w:t xml:space="preserve">ed to explore the potential of AI for managing natural disasters and—in addition to its two official UN partners (World Meteorological Organization and UN Environment)—includes volunteers and experts from various sectors </w:t>
      </w:r>
      <w:r w:rsidR="00DE094A" w:rsidRPr="00F30A97">
        <w:rPr>
          <w:color w:val="000000"/>
        </w:rPr>
        <w:t>(</w:t>
      </w:r>
      <w:r w:rsidRPr="00F30A97">
        <w:rPr>
          <w:color w:val="000000"/>
        </w:rPr>
        <w:t>e.g., UN bodies (e.g., UN Climate Change; United Nations Educational, Scientific and Cultural Organization; UN Development Programme; and United Nations Office for Disaster Risk Reduction), intergovernmental organizations (e.g., European Commission, African Union), governmental agencies (e.g., National Aeronautics and Space Administration, British Geological Survey, and National Observatory of Athens), academic/research institutions, and the private sector (e.g., IBM, One Concern, and SpaceML)</w:t>
      </w:r>
      <w:r w:rsidR="00DE094A" w:rsidRPr="00F30A97">
        <w:rPr>
          <w:color w:val="000000"/>
        </w:rPr>
        <w:t>)</w:t>
      </w:r>
      <w:r w:rsidRPr="00F30A97">
        <w:rPr>
          <w:color w:val="000000"/>
        </w:rPr>
        <w:t xml:space="preserve">. </w:t>
      </w:r>
      <w:r w:rsidR="00C2623D" w:rsidRPr="00F30A97">
        <w:rPr>
          <w:color w:val="000000"/>
        </w:rPr>
        <w:t xml:space="preserve">The relationship between the FG-AI4NDM deliverables is depicted in Figure 1. </w:t>
      </w:r>
      <w:r w:rsidRPr="00F30A97">
        <w:rPr>
          <w:color w:val="000000"/>
        </w:rPr>
        <w:t>To avoid duplication of effort and to maximize synergies within the standardization and disaster management communit</w:t>
      </w:r>
      <w:r w:rsidRPr="00F30A97">
        <w:t>ies</w:t>
      </w:r>
      <w:r w:rsidRPr="00F30A97">
        <w:rPr>
          <w:color w:val="000000"/>
        </w:rPr>
        <w:t xml:space="preserve">, the FG-AI4NDM established a Working Group for Mapping AI-related Activities in Natural Disaster Management (WG-Roadmap). The </w:t>
      </w:r>
      <w:r w:rsidRPr="00F30A97">
        <w:t>aim</w:t>
      </w:r>
      <w:r w:rsidRPr="00F30A97">
        <w:rPr>
          <w:color w:val="000000"/>
        </w:rPr>
        <w:t xml:space="preserve"> of WG-Roadmap is to systematically survey past, present, and planned standardization activities in this domain, concentrating on SDOs and UN bodies. Through this survey, </w:t>
      </w:r>
      <w:r w:rsidRPr="00F30A97">
        <w:t xml:space="preserve">this technical report </w:t>
      </w:r>
      <w:r w:rsidRPr="00F30A97">
        <w:rPr>
          <w:color w:val="000000"/>
        </w:rPr>
        <w:t xml:space="preserve">aims to identify standardization trends, </w:t>
      </w:r>
      <w:r w:rsidRPr="00F30A97">
        <w:t>and underscore</w:t>
      </w:r>
      <w:r w:rsidRPr="00F30A97">
        <w:rPr>
          <w:color w:val="000000"/>
        </w:rPr>
        <w:t xml:space="preserve"> gaps that can be used to guide future standardization activities. </w:t>
      </w:r>
      <w:r w:rsidRPr="00F30A97">
        <w:t>This technical report builds on the work of the ITU-T Focus Group on Disaster Relief Systems, Network Resilience and Recovery, which completed its mandate in May 2014.</w:t>
      </w:r>
    </w:p>
    <w:p w14:paraId="3E213807" w14:textId="77777777" w:rsidR="0020782B" w:rsidRPr="00F30A97" w:rsidRDefault="0020782B" w:rsidP="00CE08CB">
      <w:pPr>
        <w:pStyle w:val="Figure"/>
        <w:rPr>
          <w:color w:val="000000"/>
        </w:rPr>
      </w:pPr>
      <w:r w:rsidRPr="00F30A97">
        <w:drawing>
          <wp:inline distT="0" distB="0" distL="0" distR="0" wp14:anchorId="60AFD178" wp14:editId="5403D936">
            <wp:extent cx="3437100" cy="4033442"/>
            <wp:effectExtent l="0" t="0" r="0" b="0"/>
            <wp:docPr id="52" name="image2.jpg" descr="A picture containing text, businesscar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picture containing text, businesscard&#10;&#10;Description automatically generated"/>
                    <pic:cNvPicPr preferRelativeResize="0"/>
                  </pic:nvPicPr>
                  <pic:blipFill>
                    <a:blip r:embed="rId19"/>
                    <a:srcRect/>
                    <a:stretch>
                      <a:fillRect/>
                    </a:stretch>
                  </pic:blipFill>
                  <pic:spPr>
                    <a:xfrm>
                      <a:off x="0" y="0"/>
                      <a:ext cx="3437100" cy="4033442"/>
                    </a:xfrm>
                    <a:prstGeom prst="rect">
                      <a:avLst/>
                    </a:prstGeom>
                    <a:ln/>
                  </pic:spPr>
                </pic:pic>
              </a:graphicData>
            </a:graphic>
          </wp:inline>
        </w:drawing>
      </w:r>
    </w:p>
    <w:p w14:paraId="1B6F402F" w14:textId="69BB56F3" w:rsidR="0020782B" w:rsidRPr="00F30A97" w:rsidRDefault="0020782B" w:rsidP="00CE08CB">
      <w:pPr>
        <w:pStyle w:val="FigureNoTitle"/>
      </w:pPr>
      <w:bookmarkStart w:id="37" w:name="_Toc122117082"/>
      <w:r w:rsidRPr="00F30A97">
        <w:t xml:space="preserve">Figure 1 </w:t>
      </w:r>
      <w:r w:rsidR="00A2641E" w:rsidRPr="00F30A97">
        <w:t>–</w:t>
      </w:r>
      <w:r w:rsidRPr="00F30A97">
        <w:t xml:space="preserve"> The relationship between the FG-AI4NDM deliverables and the Roadmap</w:t>
      </w:r>
      <w:bookmarkEnd w:id="37"/>
    </w:p>
    <w:p w14:paraId="15FE042C" w14:textId="2B10FEA4" w:rsidR="0020782B" w:rsidRPr="00F30A97" w:rsidRDefault="0020782B" w:rsidP="00CE08CB">
      <w:pPr>
        <w:rPr>
          <w:color w:val="000000"/>
        </w:rPr>
      </w:pPr>
      <w:r w:rsidRPr="00F30A97">
        <w:rPr>
          <w:color w:val="000000"/>
        </w:rPr>
        <w:t>This report opens by describing the methods</w:t>
      </w:r>
      <w:r w:rsidRPr="00F30A97">
        <w:t xml:space="preserve"> that were used to curate and </w:t>
      </w:r>
      <w:r w:rsidR="007421F6" w:rsidRPr="00F30A97">
        <w:t>analyse</w:t>
      </w:r>
      <w:r w:rsidRPr="00F30A97">
        <w:t xml:space="preserve"> the database of standards and activities. Curation involved the</w:t>
      </w:r>
      <w:r w:rsidRPr="00F30A97">
        <w:rPr>
          <w:color w:val="000000"/>
        </w:rPr>
        <w:t xml:space="preserve"> research of literature and online sources, distribution </w:t>
      </w:r>
      <w:r w:rsidRPr="00F30A97">
        <w:rPr>
          <w:color w:val="000000"/>
        </w:rPr>
        <w:lastRenderedPageBreak/>
        <w:t>of liaison statements, and circulation of an online questionnaire to relevant parties</w:t>
      </w:r>
      <w:r w:rsidRPr="00F30A97">
        <w:t xml:space="preserve">. To </w:t>
      </w:r>
      <w:r w:rsidR="007421F6" w:rsidRPr="00F30A97">
        <w:t>analyse</w:t>
      </w:r>
      <w:r w:rsidRPr="00F30A97">
        <w:t xml:space="preserve"> the standards, a</w:t>
      </w:r>
      <w:r w:rsidRPr="00F30A97">
        <w:rPr>
          <w:color w:val="000000"/>
        </w:rPr>
        <w:t xml:space="preserve"> qualitative data analysis software wa</w:t>
      </w:r>
      <w:r w:rsidRPr="00F30A97">
        <w:t xml:space="preserve">s applied </w:t>
      </w:r>
      <w:r w:rsidRPr="00F30A97">
        <w:rPr>
          <w:color w:val="000000"/>
        </w:rPr>
        <w:t xml:space="preserve">(Figure 2). </w:t>
      </w:r>
    </w:p>
    <w:p w14:paraId="4CF2CF32" w14:textId="2889A57D" w:rsidR="0020782B" w:rsidRPr="00F30A97" w:rsidRDefault="0020782B" w:rsidP="00CE08CB">
      <w:r w:rsidRPr="00F30A97">
        <w:t>This report</w:t>
      </w:r>
      <w:r w:rsidRPr="00F30A97">
        <w:rPr>
          <w:color w:val="000000"/>
        </w:rPr>
        <w:t xml:space="preserve"> presents the results of these methods, a database consisting of 79 contributions (45 standards and 34 activities), followed</w:t>
      </w:r>
      <w:r w:rsidRPr="00F30A97">
        <w:t xml:space="preserve"> by a discussion of </w:t>
      </w:r>
      <w:r w:rsidRPr="00F30A97">
        <w:rPr>
          <w:color w:val="000000"/>
        </w:rPr>
        <w:t xml:space="preserve">the main trends and gaps. </w:t>
      </w:r>
      <w:r w:rsidRPr="00F30A97">
        <w:t xml:space="preserve">An analysis of </w:t>
      </w:r>
      <w:r w:rsidRPr="00F30A97">
        <w:rPr>
          <w:color w:val="000000"/>
        </w:rPr>
        <w:t>the results</w:t>
      </w:r>
      <w:r w:rsidRPr="00F30A97">
        <w:t xml:space="preserve"> shows that existing</w:t>
      </w:r>
      <w:r w:rsidRPr="00F30A97">
        <w:rPr>
          <w:color w:val="000000"/>
        </w:rPr>
        <w:t xml:space="preserve"> standardization activities </w:t>
      </w:r>
      <w:r w:rsidRPr="00F30A97">
        <w:t>are</w:t>
      </w:r>
      <w:r w:rsidRPr="00F30A97">
        <w:rPr>
          <w:color w:val="000000"/>
        </w:rPr>
        <w:t xml:space="preserve"> mostly oriented to</w:t>
      </w:r>
      <w:r w:rsidRPr="00F30A97">
        <w:t>wards</w:t>
      </w:r>
      <w:r w:rsidRPr="00F30A97">
        <w:rPr>
          <w:color w:val="000000"/>
        </w:rPr>
        <w:t xml:space="preserve"> </w:t>
      </w:r>
      <w:r w:rsidR="00644FA2" w:rsidRPr="00F30A97">
        <w:t>"</w:t>
      </w:r>
      <w:r w:rsidRPr="00F30A97">
        <w:t>reactive</w:t>
      </w:r>
      <w:r w:rsidR="00644FA2" w:rsidRPr="00F30A97">
        <w:t>"</w:t>
      </w:r>
      <w:r w:rsidRPr="00F30A97">
        <w:t xml:space="preserve"> phases of the disaster management cycle and</w:t>
      </w:r>
      <w:r w:rsidRPr="00F30A97">
        <w:rPr>
          <w:color w:val="000000"/>
        </w:rPr>
        <w:t xml:space="preserve"> natural (as opposed to man-made)</w:t>
      </w:r>
      <w:r w:rsidRPr="00F30A97">
        <w:t xml:space="preserve"> disasters</w:t>
      </w:r>
      <w:r w:rsidRPr="00F30A97">
        <w:rPr>
          <w:color w:val="000000"/>
        </w:rPr>
        <w:t xml:space="preserve">, with </w:t>
      </w:r>
      <w:r w:rsidRPr="00F30A97">
        <w:t xml:space="preserve">geophysical </w:t>
      </w:r>
      <w:r w:rsidRPr="00F30A97">
        <w:rPr>
          <w:color w:val="000000"/>
        </w:rPr>
        <w:t xml:space="preserve">and hydrological hazards </w:t>
      </w:r>
      <w:r w:rsidRPr="00F30A97">
        <w:t>as front runners. T</w:t>
      </w:r>
      <w:r w:rsidRPr="00F30A97">
        <w:rPr>
          <w:color w:val="000000"/>
        </w:rPr>
        <w:t xml:space="preserve">he most prominent </w:t>
      </w:r>
      <w:r w:rsidRPr="00F30A97">
        <w:t xml:space="preserve">technology mentioned was not AI/ML, but </w:t>
      </w:r>
      <w:r w:rsidRPr="00F30A97">
        <w:rPr>
          <w:color w:val="000000"/>
        </w:rPr>
        <w:t>the Internet of Things (IoT). With regard to data, topics such as storage and privacy were common</w:t>
      </w:r>
      <w:r w:rsidRPr="00F30A97">
        <w:t>; and in terms of model</w:t>
      </w:r>
      <w:r w:rsidR="003A4727" w:rsidRPr="00F30A97">
        <w:t>l</w:t>
      </w:r>
      <w:r w:rsidRPr="00F30A97">
        <w:t>ing,</w:t>
      </w:r>
      <w:r w:rsidRPr="00F30A97">
        <w:rPr>
          <w:color w:val="000000"/>
        </w:rPr>
        <w:t xml:space="preserve"> </w:t>
      </w:r>
      <w:r w:rsidRPr="00F30A97">
        <w:t>scalability and validation were prevalent. In cases where AI-based methods were applied, supervised techniques seemed most common. Finally, it was found that operational implementation leaned toward forecasting rather than tools such as dashboards, decision support systems, or hazard/susceptibility maps.</w:t>
      </w:r>
    </w:p>
    <w:p w14:paraId="1A038862" w14:textId="3FA31092" w:rsidR="0020782B" w:rsidRPr="00F30A97" w:rsidRDefault="0020782B" w:rsidP="00CE08CB">
      <w:pPr>
        <w:rPr>
          <w:color w:val="000000"/>
        </w:rPr>
      </w:pPr>
      <w:r w:rsidRPr="00F30A97">
        <w:t>In comparison with ongoing focus group activities, it was found that many of the gaps in existing standards are being addressed through the use cases and technical reports being developed within the remit of FG-AI4NDM. However, it is also apparent that—as technology and standardization progresses</w:t>
      </w:r>
      <w:r w:rsidR="00A2641E" w:rsidRPr="00F30A97">
        <w:t xml:space="preserve"> – </w:t>
      </w:r>
      <w:r w:rsidRPr="00F30A97">
        <w:rPr>
          <w:color w:val="000000"/>
        </w:rPr>
        <w:t xml:space="preserve">this database of standards and related activities </w:t>
      </w:r>
      <w:r w:rsidRPr="00F30A97">
        <w:t>will</w:t>
      </w:r>
      <w:r w:rsidRPr="00F30A97">
        <w:rPr>
          <w:color w:val="000000"/>
        </w:rPr>
        <w:t xml:space="preserve"> need to </w:t>
      </w:r>
      <w:r w:rsidRPr="00F30A97">
        <w:t>be continuously u</w:t>
      </w:r>
      <w:r w:rsidRPr="00F30A97">
        <w:rPr>
          <w:color w:val="000000"/>
        </w:rPr>
        <w:t>pdated through leveraging the</w:t>
      </w:r>
      <w:r w:rsidRPr="00F30A97">
        <w:t xml:space="preserve"> </w:t>
      </w:r>
      <w:r w:rsidRPr="00F30A97">
        <w:rPr>
          <w:color w:val="000000"/>
        </w:rPr>
        <w:t xml:space="preserve">newly founded partnerships within the UN </w:t>
      </w:r>
      <w:r w:rsidRPr="00F30A97">
        <w:t>and SDO communities</w:t>
      </w:r>
      <w:r w:rsidRPr="00F30A97">
        <w:rPr>
          <w:color w:val="000000"/>
        </w:rPr>
        <w:t>.</w:t>
      </w:r>
    </w:p>
    <w:p w14:paraId="1493DB91" w14:textId="77777777" w:rsidR="0020782B" w:rsidRPr="00F30A97" w:rsidRDefault="0020782B" w:rsidP="00CE08CB">
      <w:pPr>
        <w:pStyle w:val="Figure"/>
        <w:rPr>
          <w:color w:val="000000"/>
        </w:rPr>
      </w:pPr>
      <w:r w:rsidRPr="00F30A97">
        <w:drawing>
          <wp:inline distT="0" distB="0" distL="0" distR="0" wp14:anchorId="32B0C6AF" wp14:editId="42C2E7CA">
            <wp:extent cx="2205125" cy="3663900"/>
            <wp:effectExtent l="0" t="0" r="0" b="0"/>
            <wp:docPr id="53" name="image12.jpg" descr="A picture containing text, businesscard, screensho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2.jpg" descr="A picture containing text, businesscard, screenshot&#10;&#10;Description automatically generated"/>
                    <pic:cNvPicPr preferRelativeResize="0"/>
                  </pic:nvPicPr>
                  <pic:blipFill>
                    <a:blip r:embed="rId20"/>
                    <a:srcRect/>
                    <a:stretch>
                      <a:fillRect/>
                    </a:stretch>
                  </pic:blipFill>
                  <pic:spPr>
                    <a:xfrm>
                      <a:off x="0" y="0"/>
                      <a:ext cx="2205125" cy="3663900"/>
                    </a:xfrm>
                    <a:prstGeom prst="rect">
                      <a:avLst/>
                    </a:prstGeom>
                    <a:ln/>
                  </pic:spPr>
                </pic:pic>
              </a:graphicData>
            </a:graphic>
          </wp:inline>
        </w:drawing>
      </w:r>
    </w:p>
    <w:p w14:paraId="075AF37D" w14:textId="28AA6209" w:rsidR="0020782B" w:rsidRPr="00F30A97" w:rsidRDefault="0020782B" w:rsidP="00CE08CB">
      <w:pPr>
        <w:pStyle w:val="FigureNoTitle"/>
      </w:pPr>
      <w:bookmarkStart w:id="38" w:name="_Toc122117083"/>
      <w:r w:rsidRPr="00F30A97">
        <w:t xml:space="preserve">Figure 2 </w:t>
      </w:r>
      <w:r w:rsidR="00A2641E" w:rsidRPr="00F30A97">
        <w:t>–</w:t>
      </w:r>
      <w:r w:rsidRPr="00F30A97">
        <w:t xml:space="preserve"> Key inputs and outputs of the roadmap</w:t>
      </w:r>
      <w:bookmarkEnd w:id="38"/>
    </w:p>
    <w:p w14:paraId="473BC386" w14:textId="5671C6A3" w:rsidR="0020782B" w:rsidRPr="00F30A97" w:rsidRDefault="00A2641E" w:rsidP="00CE08CB">
      <w:pPr>
        <w:pStyle w:val="Heading1"/>
        <w:rPr>
          <w:rFonts w:eastAsia="MS Mincho"/>
          <w:lang w:eastAsia="ja-JP" w:bidi="ar-DZ"/>
        </w:rPr>
      </w:pPr>
      <w:bookmarkStart w:id="39" w:name="_Toc122117099"/>
      <w:bookmarkStart w:id="40" w:name="_Toc122117116"/>
      <w:bookmarkStart w:id="41" w:name="_Toc126934273"/>
      <w:r w:rsidRPr="00F30A97">
        <w:rPr>
          <w:rFonts w:eastAsia="MS Mincho"/>
          <w:lang w:eastAsia="ja-JP" w:bidi="ar-DZ"/>
        </w:rPr>
        <w:t>5</w:t>
      </w:r>
      <w:r w:rsidRPr="00F30A97">
        <w:rPr>
          <w:rFonts w:eastAsia="MS Mincho"/>
          <w:lang w:eastAsia="ja-JP" w:bidi="ar-DZ"/>
        </w:rPr>
        <w:tab/>
      </w:r>
      <w:r w:rsidR="0020782B" w:rsidRPr="00F30A97">
        <w:rPr>
          <w:rFonts w:eastAsia="MS Mincho"/>
          <w:lang w:eastAsia="ja-JP" w:bidi="ar-DZ"/>
        </w:rPr>
        <w:t>Methods</w:t>
      </w:r>
      <w:bookmarkEnd w:id="39"/>
      <w:bookmarkEnd w:id="40"/>
      <w:bookmarkEnd w:id="41"/>
    </w:p>
    <w:p w14:paraId="5AC8BF99" w14:textId="2963A64C" w:rsidR="0020782B" w:rsidRPr="00F30A97" w:rsidRDefault="0020782B" w:rsidP="00CE08CB">
      <w:r w:rsidRPr="00F30A97">
        <w:t xml:space="preserve">As shown in Figure 2, the Roadmap is populated with information that was acquired using three methods. First, a survey of the existing literature and online resources provided an overview of the </w:t>
      </w:r>
      <w:r w:rsidRPr="00F30A97">
        <w:lastRenderedPageBreak/>
        <w:t>standardization landscape in this domain. To delve deeper, relevant SDOs and UN bodies</w:t>
      </w:r>
      <w:r w:rsidR="00A2641E" w:rsidRPr="00F30A97">
        <w:rPr>
          <w:rStyle w:val="FootnoteReference"/>
        </w:rPr>
        <w:footnoteReference w:id="2"/>
      </w:r>
      <w:r w:rsidRPr="00F30A97">
        <w:t xml:space="preserve"> were contacted directly via liaison statements containing a form to complete (Tables 1 and 2, respectively).</w:t>
      </w:r>
      <w:r w:rsidR="00644FA2" w:rsidRPr="00F30A97">
        <w:t xml:space="preserve"> </w:t>
      </w:r>
    </w:p>
    <w:p w14:paraId="52C2121F" w14:textId="3E3EFC9B" w:rsidR="00A2641E" w:rsidRPr="00F30A97" w:rsidRDefault="00A2641E" w:rsidP="00CE08CB">
      <w:pPr>
        <w:pStyle w:val="TableNoTitle"/>
      </w:pPr>
      <w:bookmarkStart w:id="42" w:name="_Toc122117077"/>
      <w:r w:rsidRPr="00F30A97">
        <w:t>Table 1 – The form distributed via liaison statement to relevant SDOs.</w:t>
      </w:r>
      <w:bookmarkEnd w:id="42"/>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713"/>
        <w:gridCol w:w="5926"/>
      </w:tblGrid>
      <w:tr w:rsidR="0020782B" w:rsidRPr="00F30A97" w14:paraId="7A7B3F2D" w14:textId="77777777" w:rsidTr="00A2641E">
        <w:trPr>
          <w:trHeight w:val="209"/>
          <w:jc w:val="center"/>
        </w:trPr>
        <w:tc>
          <w:tcPr>
            <w:tcW w:w="3713" w:type="dxa"/>
            <w:shd w:val="clear" w:color="auto" w:fill="auto"/>
            <w:tcMar>
              <w:top w:w="100" w:type="dxa"/>
              <w:left w:w="100" w:type="dxa"/>
              <w:bottom w:w="100" w:type="dxa"/>
              <w:right w:w="100" w:type="dxa"/>
            </w:tcMar>
          </w:tcPr>
          <w:p w14:paraId="626B3B34" w14:textId="77777777" w:rsidR="0020782B" w:rsidRPr="00F30A97" w:rsidRDefault="0020782B" w:rsidP="00CE08CB">
            <w:pPr>
              <w:pStyle w:val="Tablehead"/>
            </w:pPr>
            <w:r w:rsidRPr="00F30A97">
              <w:t>Category title</w:t>
            </w:r>
          </w:p>
        </w:tc>
        <w:tc>
          <w:tcPr>
            <w:tcW w:w="5926" w:type="dxa"/>
            <w:shd w:val="clear" w:color="auto" w:fill="auto"/>
            <w:tcMar>
              <w:top w:w="100" w:type="dxa"/>
              <w:left w:w="100" w:type="dxa"/>
              <w:bottom w:w="100" w:type="dxa"/>
              <w:right w:w="100" w:type="dxa"/>
            </w:tcMar>
          </w:tcPr>
          <w:p w14:paraId="46CB25F0" w14:textId="77777777" w:rsidR="0020782B" w:rsidRPr="00F30A97" w:rsidRDefault="0020782B" w:rsidP="00CE08CB">
            <w:pPr>
              <w:pStyle w:val="Tablehead"/>
            </w:pPr>
            <w:r w:rsidRPr="00F30A97">
              <w:t>Explanation</w:t>
            </w:r>
          </w:p>
        </w:tc>
      </w:tr>
      <w:tr w:rsidR="0020782B" w:rsidRPr="00F30A97" w14:paraId="489C1608" w14:textId="77777777" w:rsidTr="00A2641E">
        <w:trPr>
          <w:trHeight w:val="80"/>
          <w:jc w:val="center"/>
        </w:trPr>
        <w:tc>
          <w:tcPr>
            <w:tcW w:w="3713" w:type="dxa"/>
            <w:shd w:val="clear" w:color="auto" w:fill="auto"/>
            <w:tcMar>
              <w:top w:w="100" w:type="dxa"/>
              <w:left w:w="100" w:type="dxa"/>
              <w:bottom w:w="100" w:type="dxa"/>
              <w:right w:w="100" w:type="dxa"/>
            </w:tcMar>
          </w:tcPr>
          <w:p w14:paraId="65339D21" w14:textId="77777777" w:rsidR="0020782B" w:rsidRPr="00F30A97" w:rsidRDefault="0020782B" w:rsidP="00CE08CB">
            <w:pPr>
              <w:pStyle w:val="Tabletext"/>
            </w:pPr>
            <w:r w:rsidRPr="00F30A97">
              <w:t>Acronym</w:t>
            </w:r>
          </w:p>
        </w:tc>
        <w:tc>
          <w:tcPr>
            <w:tcW w:w="5926" w:type="dxa"/>
            <w:shd w:val="clear" w:color="auto" w:fill="auto"/>
            <w:tcMar>
              <w:top w:w="100" w:type="dxa"/>
              <w:left w:w="100" w:type="dxa"/>
              <w:bottom w:w="100" w:type="dxa"/>
              <w:right w:w="100" w:type="dxa"/>
            </w:tcMar>
          </w:tcPr>
          <w:p w14:paraId="081FD787" w14:textId="77777777" w:rsidR="0020782B" w:rsidRPr="00F30A97" w:rsidRDefault="0020782B" w:rsidP="00CE08CB">
            <w:pPr>
              <w:pStyle w:val="Tabletext"/>
            </w:pPr>
            <w:r w:rsidRPr="00F30A97">
              <w:t>Identifier for the standard</w:t>
            </w:r>
          </w:p>
        </w:tc>
      </w:tr>
      <w:tr w:rsidR="0020782B" w:rsidRPr="00F30A97" w14:paraId="6410A50F" w14:textId="77777777" w:rsidTr="00A2641E">
        <w:trPr>
          <w:trHeight w:val="18"/>
          <w:jc w:val="center"/>
        </w:trPr>
        <w:tc>
          <w:tcPr>
            <w:tcW w:w="3713" w:type="dxa"/>
            <w:shd w:val="clear" w:color="auto" w:fill="auto"/>
            <w:tcMar>
              <w:top w:w="100" w:type="dxa"/>
              <w:left w:w="100" w:type="dxa"/>
              <w:bottom w:w="100" w:type="dxa"/>
              <w:right w:w="100" w:type="dxa"/>
            </w:tcMar>
          </w:tcPr>
          <w:p w14:paraId="27060F65" w14:textId="77777777" w:rsidR="0020782B" w:rsidRPr="00F30A97" w:rsidRDefault="0020782B" w:rsidP="00CE08CB">
            <w:pPr>
              <w:pStyle w:val="Tabletext"/>
            </w:pPr>
            <w:r w:rsidRPr="00F30A97">
              <w:t>SDO</w:t>
            </w:r>
          </w:p>
        </w:tc>
        <w:tc>
          <w:tcPr>
            <w:tcW w:w="5926" w:type="dxa"/>
            <w:shd w:val="clear" w:color="auto" w:fill="auto"/>
            <w:tcMar>
              <w:top w:w="100" w:type="dxa"/>
              <w:left w:w="100" w:type="dxa"/>
              <w:bottom w:w="100" w:type="dxa"/>
              <w:right w:w="100" w:type="dxa"/>
            </w:tcMar>
          </w:tcPr>
          <w:p w14:paraId="2E894B0B" w14:textId="460590CD" w:rsidR="0020782B" w:rsidRPr="00F30A97" w:rsidRDefault="0020782B" w:rsidP="00CE08CB">
            <w:pPr>
              <w:pStyle w:val="Tabletext"/>
            </w:pPr>
            <w:r w:rsidRPr="00F30A97">
              <w:t>Official name of the standard</w:t>
            </w:r>
            <w:r w:rsidR="00D371CA" w:rsidRPr="00F30A97">
              <w:t>s</w:t>
            </w:r>
            <w:r w:rsidRPr="00F30A97">
              <w:t xml:space="preserve"> develop</w:t>
            </w:r>
            <w:r w:rsidR="00D371CA" w:rsidRPr="00F30A97">
              <w:t>ment</w:t>
            </w:r>
            <w:r w:rsidRPr="00F30A97">
              <w:t xml:space="preserve"> organization</w:t>
            </w:r>
          </w:p>
        </w:tc>
      </w:tr>
      <w:tr w:rsidR="0020782B" w:rsidRPr="00F30A97" w14:paraId="436E601A" w14:textId="77777777" w:rsidTr="00A2641E">
        <w:trPr>
          <w:trHeight w:val="18"/>
          <w:jc w:val="center"/>
        </w:trPr>
        <w:tc>
          <w:tcPr>
            <w:tcW w:w="3713" w:type="dxa"/>
            <w:shd w:val="clear" w:color="auto" w:fill="auto"/>
            <w:tcMar>
              <w:top w:w="100" w:type="dxa"/>
              <w:left w:w="100" w:type="dxa"/>
              <w:bottom w:w="100" w:type="dxa"/>
              <w:right w:w="100" w:type="dxa"/>
            </w:tcMar>
          </w:tcPr>
          <w:p w14:paraId="6D9915E6" w14:textId="77777777" w:rsidR="0020782B" w:rsidRPr="00F30A97" w:rsidRDefault="0020782B" w:rsidP="00CE08CB">
            <w:pPr>
              <w:pStyle w:val="Tabletext"/>
            </w:pPr>
            <w:r w:rsidRPr="00F30A97">
              <w:t>Title</w:t>
            </w:r>
          </w:p>
        </w:tc>
        <w:tc>
          <w:tcPr>
            <w:tcW w:w="5926" w:type="dxa"/>
            <w:shd w:val="clear" w:color="auto" w:fill="auto"/>
            <w:tcMar>
              <w:top w:w="100" w:type="dxa"/>
              <w:left w:w="100" w:type="dxa"/>
              <w:bottom w:w="100" w:type="dxa"/>
              <w:right w:w="100" w:type="dxa"/>
            </w:tcMar>
          </w:tcPr>
          <w:p w14:paraId="24EA1683" w14:textId="77777777" w:rsidR="0020782B" w:rsidRPr="00F30A97" w:rsidRDefault="0020782B" w:rsidP="00CE08CB">
            <w:pPr>
              <w:pStyle w:val="Tabletext"/>
            </w:pPr>
            <w:r w:rsidRPr="00F30A97">
              <w:t>Name of the standard</w:t>
            </w:r>
          </w:p>
        </w:tc>
      </w:tr>
      <w:tr w:rsidR="0020782B" w:rsidRPr="00F30A97" w14:paraId="591BA64A" w14:textId="77777777" w:rsidTr="00A2641E">
        <w:trPr>
          <w:trHeight w:val="558"/>
          <w:jc w:val="center"/>
        </w:trPr>
        <w:tc>
          <w:tcPr>
            <w:tcW w:w="3713" w:type="dxa"/>
            <w:shd w:val="clear" w:color="auto" w:fill="auto"/>
            <w:tcMar>
              <w:top w:w="100" w:type="dxa"/>
              <w:left w:w="100" w:type="dxa"/>
              <w:bottom w:w="100" w:type="dxa"/>
              <w:right w:w="100" w:type="dxa"/>
            </w:tcMar>
          </w:tcPr>
          <w:p w14:paraId="7C69AE57" w14:textId="77777777" w:rsidR="0020782B" w:rsidRPr="00F30A97" w:rsidRDefault="0020782B" w:rsidP="00CE08CB">
            <w:pPr>
              <w:pStyle w:val="Tabletext"/>
            </w:pPr>
            <w:r w:rsidRPr="00F30A97">
              <w:t>Description</w:t>
            </w:r>
          </w:p>
        </w:tc>
        <w:tc>
          <w:tcPr>
            <w:tcW w:w="5926" w:type="dxa"/>
            <w:shd w:val="clear" w:color="auto" w:fill="auto"/>
            <w:tcMar>
              <w:top w:w="100" w:type="dxa"/>
              <w:left w:w="100" w:type="dxa"/>
              <w:bottom w:w="100" w:type="dxa"/>
              <w:right w:w="100" w:type="dxa"/>
            </w:tcMar>
          </w:tcPr>
          <w:p w14:paraId="7D524B32" w14:textId="77777777" w:rsidR="0020782B" w:rsidRPr="00F30A97" w:rsidRDefault="0020782B" w:rsidP="00CE08CB">
            <w:pPr>
              <w:pStyle w:val="Tabletext"/>
            </w:pPr>
            <w:r w:rsidRPr="00F30A97">
              <w:t>Brief summary of the standard. Can include: To what does this standard apply? What is the context or problem being addressed? What are the goals of the standard?</w:t>
            </w:r>
          </w:p>
        </w:tc>
      </w:tr>
      <w:tr w:rsidR="0020782B" w:rsidRPr="00F30A97" w14:paraId="329949E0" w14:textId="77777777" w:rsidTr="00A2641E">
        <w:trPr>
          <w:trHeight w:val="317"/>
          <w:jc w:val="center"/>
        </w:trPr>
        <w:tc>
          <w:tcPr>
            <w:tcW w:w="3713" w:type="dxa"/>
            <w:shd w:val="clear" w:color="auto" w:fill="auto"/>
            <w:tcMar>
              <w:top w:w="100" w:type="dxa"/>
              <w:left w:w="100" w:type="dxa"/>
              <w:bottom w:w="100" w:type="dxa"/>
              <w:right w:w="100" w:type="dxa"/>
            </w:tcMar>
          </w:tcPr>
          <w:p w14:paraId="14C738BB" w14:textId="77777777" w:rsidR="0020782B" w:rsidRPr="00F30A97" w:rsidRDefault="0020782B" w:rsidP="00CE08CB">
            <w:pPr>
              <w:pStyle w:val="Tabletext"/>
            </w:pPr>
            <w:r w:rsidRPr="00F30A97">
              <w:t>Main disaster group</w:t>
            </w:r>
          </w:p>
        </w:tc>
        <w:tc>
          <w:tcPr>
            <w:tcW w:w="5926" w:type="dxa"/>
            <w:shd w:val="clear" w:color="auto" w:fill="auto"/>
            <w:tcMar>
              <w:top w:w="100" w:type="dxa"/>
              <w:left w:w="100" w:type="dxa"/>
              <w:bottom w:w="100" w:type="dxa"/>
              <w:right w:w="100" w:type="dxa"/>
            </w:tcMar>
          </w:tcPr>
          <w:p w14:paraId="39D81B3A" w14:textId="77777777" w:rsidR="0020782B" w:rsidRPr="00F30A97" w:rsidRDefault="0020782B" w:rsidP="00CE08CB">
            <w:pPr>
              <w:pStyle w:val="Tabletext"/>
            </w:pPr>
            <w:r w:rsidRPr="00F30A97">
              <w:t>Specifies whether the standard applies to natural disasters and/or other types of disasters</w:t>
            </w:r>
          </w:p>
        </w:tc>
      </w:tr>
      <w:tr w:rsidR="0020782B" w:rsidRPr="00F30A97" w14:paraId="66A9F9C2" w14:textId="77777777" w:rsidTr="00A2641E">
        <w:trPr>
          <w:trHeight w:val="639"/>
          <w:jc w:val="center"/>
        </w:trPr>
        <w:tc>
          <w:tcPr>
            <w:tcW w:w="3713" w:type="dxa"/>
            <w:shd w:val="clear" w:color="auto" w:fill="auto"/>
            <w:tcMar>
              <w:top w:w="100" w:type="dxa"/>
              <w:left w:w="100" w:type="dxa"/>
              <w:bottom w:w="100" w:type="dxa"/>
              <w:right w:w="100" w:type="dxa"/>
            </w:tcMar>
          </w:tcPr>
          <w:p w14:paraId="3DB3ECFE" w14:textId="77777777" w:rsidR="0020782B" w:rsidRPr="00F30A97" w:rsidRDefault="0020782B" w:rsidP="00CE08CB">
            <w:pPr>
              <w:pStyle w:val="Tabletext"/>
            </w:pPr>
            <w:r w:rsidRPr="00F30A97">
              <w:t>Disaster management phase</w:t>
            </w:r>
          </w:p>
        </w:tc>
        <w:tc>
          <w:tcPr>
            <w:tcW w:w="5926" w:type="dxa"/>
            <w:shd w:val="clear" w:color="auto" w:fill="auto"/>
            <w:tcMar>
              <w:top w:w="100" w:type="dxa"/>
              <w:left w:w="100" w:type="dxa"/>
              <w:bottom w:w="100" w:type="dxa"/>
              <w:right w:w="100" w:type="dxa"/>
            </w:tcMar>
          </w:tcPr>
          <w:p w14:paraId="3A97A537" w14:textId="77777777" w:rsidR="0020782B" w:rsidRPr="00F30A97" w:rsidRDefault="0020782B" w:rsidP="00CE08CB">
            <w:pPr>
              <w:pStyle w:val="Tabletext"/>
            </w:pPr>
            <w:r w:rsidRPr="00F30A97">
              <w:t>Specifies the phase of the disaster management cycle that is relevant for this standard (mitigation, preparedness, response, or recovery)</w:t>
            </w:r>
          </w:p>
        </w:tc>
      </w:tr>
      <w:tr w:rsidR="0020782B" w:rsidRPr="00F30A97" w14:paraId="348E7EF2" w14:textId="77777777" w:rsidTr="00A2641E">
        <w:trPr>
          <w:trHeight w:val="724"/>
          <w:jc w:val="center"/>
        </w:trPr>
        <w:tc>
          <w:tcPr>
            <w:tcW w:w="3713" w:type="dxa"/>
            <w:shd w:val="clear" w:color="auto" w:fill="auto"/>
            <w:tcMar>
              <w:top w:w="100" w:type="dxa"/>
              <w:left w:w="100" w:type="dxa"/>
              <w:bottom w:w="100" w:type="dxa"/>
              <w:right w:w="100" w:type="dxa"/>
            </w:tcMar>
          </w:tcPr>
          <w:p w14:paraId="21DF6BF5" w14:textId="77777777" w:rsidR="0020782B" w:rsidRPr="00F30A97" w:rsidRDefault="0020782B" w:rsidP="00CE08CB">
            <w:pPr>
              <w:pStyle w:val="Tabletext"/>
            </w:pPr>
            <w:r w:rsidRPr="00F30A97">
              <w:t>Relevant technologies</w:t>
            </w:r>
          </w:p>
        </w:tc>
        <w:tc>
          <w:tcPr>
            <w:tcW w:w="5926" w:type="dxa"/>
            <w:shd w:val="clear" w:color="auto" w:fill="auto"/>
            <w:tcMar>
              <w:top w:w="100" w:type="dxa"/>
              <w:left w:w="100" w:type="dxa"/>
              <w:bottom w:w="100" w:type="dxa"/>
              <w:right w:w="100" w:type="dxa"/>
            </w:tcMar>
          </w:tcPr>
          <w:p w14:paraId="133D5FBD" w14:textId="3F762116" w:rsidR="0020782B" w:rsidRPr="00F30A97" w:rsidRDefault="0020782B" w:rsidP="00CE08CB">
            <w:pPr>
              <w:pStyle w:val="Tabletext"/>
            </w:pPr>
            <w:r w:rsidRPr="00F30A97">
              <w:t>Indicates the types of technologies that are impacted by the standard. Includes artificial intelligence (AI), internet of things (IoT), unmanned aerial vehicles (UAV</w:t>
            </w:r>
            <w:r w:rsidR="00197C3B" w:rsidRPr="00F30A97">
              <w:t>s</w:t>
            </w:r>
            <w:r w:rsidRPr="00F30A97">
              <w:t>), and early warning systems</w:t>
            </w:r>
          </w:p>
        </w:tc>
      </w:tr>
      <w:tr w:rsidR="0020782B" w:rsidRPr="00F30A97" w14:paraId="2367A5B6" w14:textId="77777777" w:rsidTr="00A2641E">
        <w:trPr>
          <w:trHeight w:val="118"/>
          <w:jc w:val="center"/>
        </w:trPr>
        <w:tc>
          <w:tcPr>
            <w:tcW w:w="3713" w:type="dxa"/>
            <w:shd w:val="clear" w:color="auto" w:fill="auto"/>
            <w:tcMar>
              <w:top w:w="100" w:type="dxa"/>
              <w:left w:w="100" w:type="dxa"/>
              <w:bottom w:w="100" w:type="dxa"/>
              <w:right w:w="100" w:type="dxa"/>
            </w:tcMar>
          </w:tcPr>
          <w:p w14:paraId="59A8E6F9" w14:textId="77777777" w:rsidR="0020782B" w:rsidRPr="00F30A97" w:rsidRDefault="0020782B" w:rsidP="00CE08CB">
            <w:pPr>
              <w:pStyle w:val="Tabletext"/>
            </w:pPr>
            <w:r w:rsidRPr="00F30A97">
              <w:t>Status</w:t>
            </w:r>
          </w:p>
        </w:tc>
        <w:tc>
          <w:tcPr>
            <w:tcW w:w="5926" w:type="dxa"/>
            <w:shd w:val="clear" w:color="auto" w:fill="auto"/>
            <w:tcMar>
              <w:top w:w="100" w:type="dxa"/>
              <w:left w:w="100" w:type="dxa"/>
              <w:bottom w:w="100" w:type="dxa"/>
              <w:right w:w="100" w:type="dxa"/>
            </w:tcMar>
          </w:tcPr>
          <w:p w14:paraId="3FB1CF39" w14:textId="77777777" w:rsidR="0020782B" w:rsidRPr="00F30A97" w:rsidRDefault="0020782B" w:rsidP="00CE08CB">
            <w:pPr>
              <w:pStyle w:val="Tabletext"/>
            </w:pPr>
            <w:r w:rsidRPr="00F30A97">
              <w:t>What is the current status of the standard (to be submitted, submitted, accepted, etc.)?</w:t>
            </w:r>
          </w:p>
        </w:tc>
      </w:tr>
      <w:tr w:rsidR="0020782B" w:rsidRPr="00F30A97" w14:paraId="5D53C7A8" w14:textId="77777777" w:rsidTr="00A2641E">
        <w:trPr>
          <w:trHeight w:val="31"/>
          <w:jc w:val="center"/>
        </w:trPr>
        <w:tc>
          <w:tcPr>
            <w:tcW w:w="3713" w:type="dxa"/>
            <w:shd w:val="clear" w:color="auto" w:fill="auto"/>
            <w:tcMar>
              <w:top w:w="100" w:type="dxa"/>
              <w:left w:w="100" w:type="dxa"/>
              <w:bottom w:w="100" w:type="dxa"/>
              <w:right w:w="100" w:type="dxa"/>
            </w:tcMar>
          </w:tcPr>
          <w:p w14:paraId="5A4CEF16" w14:textId="77777777" w:rsidR="0020782B" w:rsidRPr="00F30A97" w:rsidRDefault="0020782B" w:rsidP="00CE08CB">
            <w:pPr>
              <w:pStyle w:val="Tabletext"/>
            </w:pPr>
            <w:r w:rsidRPr="00F30A97">
              <w:t>Link</w:t>
            </w:r>
          </w:p>
        </w:tc>
        <w:tc>
          <w:tcPr>
            <w:tcW w:w="5926" w:type="dxa"/>
            <w:shd w:val="clear" w:color="auto" w:fill="auto"/>
            <w:tcMar>
              <w:top w:w="100" w:type="dxa"/>
              <w:left w:w="100" w:type="dxa"/>
              <w:bottom w:w="100" w:type="dxa"/>
              <w:right w:w="100" w:type="dxa"/>
            </w:tcMar>
          </w:tcPr>
          <w:p w14:paraId="547D1321" w14:textId="77777777" w:rsidR="0020782B" w:rsidRPr="00F30A97" w:rsidRDefault="0020782B" w:rsidP="00CE08CB">
            <w:pPr>
              <w:pStyle w:val="Tabletext"/>
            </w:pPr>
            <w:r w:rsidRPr="00F30A97">
              <w:t>Provides a website where more detail can be found</w:t>
            </w:r>
          </w:p>
        </w:tc>
      </w:tr>
      <w:tr w:rsidR="0020782B" w:rsidRPr="00F30A97" w14:paraId="7620722F" w14:textId="77777777" w:rsidTr="00A2641E">
        <w:trPr>
          <w:trHeight w:val="18"/>
          <w:jc w:val="center"/>
        </w:trPr>
        <w:tc>
          <w:tcPr>
            <w:tcW w:w="3713" w:type="dxa"/>
            <w:shd w:val="clear" w:color="auto" w:fill="auto"/>
            <w:tcMar>
              <w:top w:w="100" w:type="dxa"/>
              <w:left w:w="100" w:type="dxa"/>
              <w:bottom w:w="100" w:type="dxa"/>
              <w:right w:w="100" w:type="dxa"/>
            </w:tcMar>
          </w:tcPr>
          <w:p w14:paraId="721F5CBB" w14:textId="77777777" w:rsidR="0020782B" w:rsidRPr="00F30A97" w:rsidRDefault="0020782B" w:rsidP="00CE08CB">
            <w:pPr>
              <w:pStyle w:val="Tabletext"/>
            </w:pPr>
            <w:r w:rsidRPr="00F30A97">
              <w:t>Contact</w:t>
            </w:r>
          </w:p>
        </w:tc>
        <w:tc>
          <w:tcPr>
            <w:tcW w:w="5926" w:type="dxa"/>
            <w:shd w:val="clear" w:color="auto" w:fill="auto"/>
            <w:tcMar>
              <w:top w:w="100" w:type="dxa"/>
              <w:left w:w="100" w:type="dxa"/>
              <w:bottom w:w="100" w:type="dxa"/>
              <w:right w:w="100" w:type="dxa"/>
            </w:tcMar>
          </w:tcPr>
          <w:p w14:paraId="383576EF" w14:textId="77777777" w:rsidR="0020782B" w:rsidRPr="00F30A97" w:rsidRDefault="0020782B" w:rsidP="00CE08CB">
            <w:pPr>
              <w:pStyle w:val="Tabletext"/>
            </w:pPr>
            <w:r w:rsidRPr="00F30A97">
              <w:t>Provides the name of a contact person to access more information</w:t>
            </w:r>
          </w:p>
        </w:tc>
      </w:tr>
    </w:tbl>
    <w:p w14:paraId="27758430" w14:textId="4A58118F" w:rsidR="00A2641E" w:rsidRPr="00F30A97" w:rsidRDefault="00A2641E" w:rsidP="00CE08CB">
      <w:pPr>
        <w:pStyle w:val="TableNoTitle"/>
      </w:pPr>
      <w:bookmarkStart w:id="43" w:name="_Toc122117078"/>
      <w:r w:rsidRPr="00F30A97">
        <w:lastRenderedPageBreak/>
        <w:t>Table 2 – The form distributed via liaison statement to relevant UN agencies</w:t>
      </w:r>
      <w:bookmarkEnd w:id="43"/>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174"/>
        <w:gridCol w:w="2959"/>
        <w:gridCol w:w="5506"/>
      </w:tblGrid>
      <w:tr w:rsidR="0020782B" w:rsidRPr="00F30A97" w14:paraId="5A258ADC" w14:textId="77777777" w:rsidTr="00520463">
        <w:trPr>
          <w:trHeight w:val="169"/>
          <w:jc w:val="center"/>
        </w:trPr>
        <w:tc>
          <w:tcPr>
            <w:tcW w:w="1155" w:type="dxa"/>
            <w:shd w:val="clear" w:color="auto" w:fill="auto"/>
            <w:tcMar>
              <w:top w:w="100" w:type="dxa"/>
              <w:left w:w="100" w:type="dxa"/>
              <w:bottom w:w="100" w:type="dxa"/>
              <w:right w:w="100" w:type="dxa"/>
            </w:tcMar>
          </w:tcPr>
          <w:p w14:paraId="2897454E" w14:textId="77777777" w:rsidR="0020782B" w:rsidRPr="00F30A97" w:rsidRDefault="0020782B" w:rsidP="00CE08CB">
            <w:pPr>
              <w:pStyle w:val="Tablehead"/>
              <w:keepLines/>
            </w:pPr>
            <w:r w:rsidRPr="00F30A97">
              <w:t>No.</w:t>
            </w:r>
          </w:p>
        </w:tc>
        <w:tc>
          <w:tcPr>
            <w:tcW w:w="2910" w:type="dxa"/>
            <w:shd w:val="clear" w:color="auto" w:fill="auto"/>
            <w:tcMar>
              <w:top w:w="100" w:type="dxa"/>
              <w:left w:w="100" w:type="dxa"/>
              <w:bottom w:w="100" w:type="dxa"/>
              <w:right w:w="100" w:type="dxa"/>
            </w:tcMar>
          </w:tcPr>
          <w:p w14:paraId="4E4A79D5" w14:textId="77777777" w:rsidR="0020782B" w:rsidRPr="00F30A97" w:rsidRDefault="0020782B" w:rsidP="00CE08CB">
            <w:pPr>
              <w:pStyle w:val="Tablehead"/>
              <w:keepLines/>
            </w:pPr>
            <w:r w:rsidRPr="00F30A97">
              <w:t>Category title</w:t>
            </w:r>
          </w:p>
        </w:tc>
        <w:tc>
          <w:tcPr>
            <w:tcW w:w="5415" w:type="dxa"/>
            <w:shd w:val="clear" w:color="auto" w:fill="auto"/>
            <w:tcMar>
              <w:top w:w="100" w:type="dxa"/>
              <w:left w:w="100" w:type="dxa"/>
              <w:bottom w:w="100" w:type="dxa"/>
              <w:right w:w="100" w:type="dxa"/>
            </w:tcMar>
          </w:tcPr>
          <w:p w14:paraId="1A30B892" w14:textId="77777777" w:rsidR="0020782B" w:rsidRPr="00F30A97" w:rsidRDefault="0020782B" w:rsidP="00CE08CB">
            <w:pPr>
              <w:pStyle w:val="Tablehead"/>
              <w:keepLines/>
            </w:pPr>
            <w:r w:rsidRPr="00F30A97">
              <w:t>Explanation</w:t>
            </w:r>
          </w:p>
        </w:tc>
      </w:tr>
      <w:tr w:rsidR="0020782B" w:rsidRPr="00F30A97" w14:paraId="76857AA5" w14:textId="77777777" w:rsidTr="00520463">
        <w:trPr>
          <w:trHeight w:val="125"/>
          <w:jc w:val="center"/>
        </w:trPr>
        <w:tc>
          <w:tcPr>
            <w:tcW w:w="1155" w:type="dxa"/>
            <w:shd w:val="clear" w:color="auto" w:fill="auto"/>
            <w:tcMar>
              <w:top w:w="100" w:type="dxa"/>
              <w:left w:w="100" w:type="dxa"/>
              <w:bottom w:w="100" w:type="dxa"/>
              <w:right w:w="100" w:type="dxa"/>
            </w:tcMar>
          </w:tcPr>
          <w:p w14:paraId="6D4D013F" w14:textId="6900D5F4" w:rsidR="0020782B" w:rsidRPr="00F30A97" w:rsidRDefault="0020782B" w:rsidP="00CE08CB">
            <w:pPr>
              <w:pStyle w:val="Tabletext"/>
              <w:keepNext/>
              <w:keepLines/>
              <w:jc w:val="center"/>
            </w:pPr>
            <w:r w:rsidRPr="00F30A97">
              <w:t>1</w:t>
            </w:r>
          </w:p>
        </w:tc>
        <w:tc>
          <w:tcPr>
            <w:tcW w:w="2910" w:type="dxa"/>
            <w:shd w:val="clear" w:color="auto" w:fill="auto"/>
            <w:tcMar>
              <w:top w:w="100" w:type="dxa"/>
              <w:left w:w="100" w:type="dxa"/>
              <w:bottom w:w="100" w:type="dxa"/>
              <w:right w:w="100" w:type="dxa"/>
            </w:tcMar>
          </w:tcPr>
          <w:p w14:paraId="3E35BA3C" w14:textId="77777777" w:rsidR="0020782B" w:rsidRPr="00F30A97" w:rsidRDefault="0020782B" w:rsidP="00CE08CB">
            <w:pPr>
              <w:pStyle w:val="Tabletext"/>
              <w:keepNext/>
              <w:keepLines/>
              <w:rPr>
                <w:szCs w:val="22"/>
              </w:rPr>
            </w:pPr>
            <w:r w:rsidRPr="00F30A97">
              <w:rPr>
                <w:szCs w:val="22"/>
              </w:rPr>
              <w:t>UN name</w:t>
            </w:r>
          </w:p>
        </w:tc>
        <w:tc>
          <w:tcPr>
            <w:tcW w:w="5415" w:type="dxa"/>
            <w:shd w:val="clear" w:color="auto" w:fill="auto"/>
            <w:tcMar>
              <w:top w:w="100" w:type="dxa"/>
              <w:left w:w="100" w:type="dxa"/>
              <w:bottom w:w="100" w:type="dxa"/>
              <w:right w:w="100" w:type="dxa"/>
            </w:tcMar>
          </w:tcPr>
          <w:p w14:paraId="2E365C73" w14:textId="77777777" w:rsidR="0020782B" w:rsidRPr="00F30A97" w:rsidRDefault="0020782B" w:rsidP="00CE08CB">
            <w:pPr>
              <w:pStyle w:val="Tabletext"/>
              <w:keepNext/>
              <w:keepLines/>
              <w:rPr>
                <w:szCs w:val="22"/>
              </w:rPr>
            </w:pPr>
            <w:r w:rsidRPr="00F30A97">
              <w:rPr>
                <w:szCs w:val="22"/>
              </w:rPr>
              <w:t>Official name of the UN body</w:t>
            </w:r>
          </w:p>
        </w:tc>
      </w:tr>
      <w:tr w:rsidR="0020782B" w:rsidRPr="00F30A97" w14:paraId="7314BF22" w14:textId="77777777" w:rsidTr="00520463">
        <w:trPr>
          <w:trHeight w:val="21"/>
          <w:jc w:val="center"/>
        </w:trPr>
        <w:tc>
          <w:tcPr>
            <w:tcW w:w="1155" w:type="dxa"/>
            <w:shd w:val="clear" w:color="auto" w:fill="auto"/>
            <w:tcMar>
              <w:top w:w="100" w:type="dxa"/>
              <w:left w:w="100" w:type="dxa"/>
              <w:bottom w:w="100" w:type="dxa"/>
              <w:right w:w="100" w:type="dxa"/>
            </w:tcMar>
          </w:tcPr>
          <w:p w14:paraId="79BF0818" w14:textId="601CCF00" w:rsidR="0020782B" w:rsidRPr="00F30A97" w:rsidRDefault="0020782B" w:rsidP="00CE08CB">
            <w:pPr>
              <w:pStyle w:val="Tabletext"/>
              <w:keepNext/>
              <w:keepLines/>
              <w:jc w:val="center"/>
            </w:pPr>
            <w:r w:rsidRPr="00F30A97">
              <w:t>2</w:t>
            </w:r>
          </w:p>
        </w:tc>
        <w:tc>
          <w:tcPr>
            <w:tcW w:w="2910" w:type="dxa"/>
            <w:shd w:val="clear" w:color="auto" w:fill="auto"/>
            <w:tcMar>
              <w:top w:w="100" w:type="dxa"/>
              <w:left w:w="100" w:type="dxa"/>
              <w:bottom w:w="100" w:type="dxa"/>
              <w:right w:w="100" w:type="dxa"/>
            </w:tcMar>
          </w:tcPr>
          <w:p w14:paraId="30A6802C" w14:textId="77777777" w:rsidR="0020782B" w:rsidRPr="00F30A97" w:rsidRDefault="0020782B" w:rsidP="00CE08CB">
            <w:pPr>
              <w:pStyle w:val="Tabletext"/>
              <w:keepNext/>
              <w:keepLines/>
              <w:rPr>
                <w:szCs w:val="22"/>
              </w:rPr>
            </w:pPr>
            <w:r w:rsidRPr="00F30A97">
              <w:rPr>
                <w:szCs w:val="22"/>
              </w:rPr>
              <w:t>UN acronym</w:t>
            </w:r>
          </w:p>
        </w:tc>
        <w:tc>
          <w:tcPr>
            <w:tcW w:w="5415" w:type="dxa"/>
            <w:shd w:val="clear" w:color="auto" w:fill="auto"/>
            <w:tcMar>
              <w:top w:w="100" w:type="dxa"/>
              <w:left w:w="100" w:type="dxa"/>
              <w:bottom w:w="100" w:type="dxa"/>
              <w:right w:w="100" w:type="dxa"/>
            </w:tcMar>
          </w:tcPr>
          <w:p w14:paraId="7E8FF0C5" w14:textId="77777777" w:rsidR="0020782B" w:rsidRPr="00F30A97" w:rsidRDefault="0020782B" w:rsidP="00CE08CB">
            <w:pPr>
              <w:pStyle w:val="Tabletext"/>
              <w:keepNext/>
              <w:keepLines/>
              <w:rPr>
                <w:szCs w:val="22"/>
              </w:rPr>
            </w:pPr>
            <w:r w:rsidRPr="00F30A97">
              <w:rPr>
                <w:szCs w:val="22"/>
              </w:rPr>
              <w:t>Acronym for the UN body</w:t>
            </w:r>
          </w:p>
        </w:tc>
      </w:tr>
      <w:tr w:rsidR="0020782B" w:rsidRPr="00F30A97" w14:paraId="6D3BB9BD" w14:textId="77777777" w:rsidTr="00520463">
        <w:trPr>
          <w:trHeight w:val="281"/>
          <w:jc w:val="center"/>
        </w:trPr>
        <w:tc>
          <w:tcPr>
            <w:tcW w:w="1155" w:type="dxa"/>
            <w:shd w:val="clear" w:color="auto" w:fill="auto"/>
            <w:tcMar>
              <w:top w:w="100" w:type="dxa"/>
              <w:left w:w="100" w:type="dxa"/>
              <w:bottom w:w="100" w:type="dxa"/>
              <w:right w:w="100" w:type="dxa"/>
            </w:tcMar>
          </w:tcPr>
          <w:p w14:paraId="7DF56812" w14:textId="4C3E1947" w:rsidR="0020782B" w:rsidRPr="00F30A97" w:rsidRDefault="0020782B" w:rsidP="00CE08CB">
            <w:pPr>
              <w:pStyle w:val="Tabletext"/>
              <w:keepNext/>
              <w:keepLines/>
              <w:jc w:val="center"/>
            </w:pPr>
            <w:r w:rsidRPr="00F30A97">
              <w:t>3</w:t>
            </w:r>
          </w:p>
        </w:tc>
        <w:tc>
          <w:tcPr>
            <w:tcW w:w="8325" w:type="dxa"/>
            <w:gridSpan w:val="2"/>
            <w:shd w:val="clear" w:color="auto" w:fill="auto"/>
            <w:tcMar>
              <w:top w:w="100" w:type="dxa"/>
              <w:left w:w="100" w:type="dxa"/>
              <w:bottom w:w="100" w:type="dxa"/>
              <w:right w:w="100" w:type="dxa"/>
            </w:tcMar>
          </w:tcPr>
          <w:p w14:paraId="4AA669F5" w14:textId="77777777" w:rsidR="0020782B" w:rsidRPr="00F30A97" w:rsidRDefault="0020782B" w:rsidP="00CE08CB">
            <w:pPr>
              <w:pStyle w:val="Tabletext"/>
              <w:keepNext/>
              <w:keepLines/>
              <w:rPr>
                <w:szCs w:val="22"/>
              </w:rPr>
            </w:pPr>
            <w:r w:rsidRPr="00F30A97">
              <w:rPr>
                <w:szCs w:val="22"/>
              </w:rPr>
              <w:t>Name of activity</w:t>
            </w:r>
          </w:p>
        </w:tc>
      </w:tr>
      <w:tr w:rsidR="0020782B" w:rsidRPr="00F30A97" w14:paraId="70763F28" w14:textId="77777777" w:rsidTr="00520463">
        <w:trPr>
          <w:trHeight w:val="61"/>
          <w:jc w:val="center"/>
        </w:trPr>
        <w:tc>
          <w:tcPr>
            <w:tcW w:w="1155" w:type="dxa"/>
            <w:shd w:val="clear" w:color="auto" w:fill="auto"/>
            <w:tcMar>
              <w:top w:w="100" w:type="dxa"/>
              <w:left w:w="100" w:type="dxa"/>
              <w:bottom w:w="100" w:type="dxa"/>
              <w:right w:w="100" w:type="dxa"/>
            </w:tcMar>
          </w:tcPr>
          <w:p w14:paraId="27516A6B" w14:textId="055C9050" w:rsidR="0020782B" w:rsidRPr="00F30A97" w:rsidRDefault="0020782B" w:rsidP="00CE08CB">
            <w:pPr>
              <w:pStyle w:val="Tabletext"/>
              <w:keepNext/>
              <w:keepLines/>
              <w:jc w:val="center"/>
            </w:pPr>
            <w:r w:rsidRPr="00F30A97">
              <w:t>4</w:t>
            </w:r>
          </w:p>
        </w:tc>
        <w:tc>
          <w:tcPr>
            <w:tcW w:w="2910" w:type="dxa"/>
            <w:shd w:val="clear" w:color="auto" w:fill="auto"/>
            <w:tcMar>
              <w:top w:w="100" w:type="dxa"/>
              <w:left w:w="100" w:type="dxa"/>
              <w:bottom w:w="100" w:type="dxa"/>
              <w:right w:w="100" w:type="dxa"/>
            </w:tcMar>
          </w:tcPr>
          <w:p w14:paraId="796C4DEE" w14:textId="77777777" w:rsidR="0020782B" w:rsidRPr="00F30A97" w:rsidRDefault="0020782B" w:rsidP="00CE08CB">
            <w:pPr>
              <w:pStyle w:val="Tabletext"/>
              <w:keepNext/>
              <w:keepLines/>
              <w:rPr>
                <w:szCs w:val="22"/>
              </w:rPr>
            </w:pPr>
            <w:r w:rsidRPr="00F30A97">
              <w:rPr>
                <w:szCs w:val="22"/>
              </w:rPr>
              <w:t xml:space="preserve">Name of department </w:t>
            </w:r>
          </w:p>
        </w:tc>
        <w:tc>
          <w:tcPr>
            <w:tcW w:w="5415" w:type="dxa"/>
            <w:shd w:val="clear" w:color="auto" w:fill="auto"/>
            <w:tcMar>
              <w:top w:w="100" w:type="dxa"/>
              <w:left w:w="100" w:type="dxa"/>
              <w:bottom w:w="100" w:type="dxa"/>
              <w:right w:w="100" w:type="dxa"/>
            </w:tcMar>
          </w:tcPr>
          <w:p w14:paraId="4AF6931B" w14:textId="77777777" w:rsidR="0020782B" w:rsidRPr="00F30A97" w:rsidRDefault="0020782B" w:rsidP="00CE08CB">
            <w:pPr>
              <w:pStyle w:val="Tabletext"/>
              <w:keepNext/>
              <w:keepLines/>
              <w:rPr>
                <w:szCs w:val="22"/>
              </w:rPr>
            </w:pPr>
            <w:r w:rsidRPr="00F30A97">
              <w:rPr>
                <w:szCs w:val="22"/>
              </w:rPr>
              <w:t xml:space="preserve">Part of the UN body that is responsible for activity </w:t>
            </w:r>
          </w:p>
        </w:tc>
      </w:tr>
      <w:tr w:rsidR="0020782B" w:rsidRPr="00F30A97" w14:paraId="34F51196" w14:textId="77777777" w:rsidTr="00520463">
        <w:trPr>
          <w:trHeight w:val="21"/>
          <w:jc w:val="center"/>
        </w:trPr>
        <w:tc>
          <w:tcPr>
            <w:tcW w:w="1155" w:type="dxa"/>
            <w:shd w:val="clear" w:color="auto" w:fill="auto"/>
            <w:tcMar>
              <w:top w:w="100" w:type="dxa"/>
              <w:left w:w="100" w:type="dxa"/>
              <w:bottom w:w="100" w:type="dxa"/>
              <w:right w:w="100" w:type="dxa"/>
            </w:tcMar>
          </w:tcPr>
          <w:p w14:paraId="0361E542" w14:textId="4B190688" w:rsidR="0020782B" w:rsidRPr="00F30A97" w:rsidRDefault="0020782B" w:rsidP="00CE08CB">
            <w:pPr>
              <w:pStyle w:val="Tabletext"/>
              <w:keepNext/>
              <w:keepLines/>
              <w:jc w:val="center"/>
            </w:pPr>
            <w:r w:rsidRPr="00F30A97">
              <w:t>5</w:t>
            </w:r>
          </w:p>
        </w:tc>
        <w:tc>
          <w:tcPr>
            <w:tcW w:w="2910" w:type="dxa"/>
            <w:shd w:val="clear" w:color="auto" w:fill="auto"/>
            <w:tcMar>
              <w:top w:w="100" w:type="dxa"/>
              <w:left w:w="100" w:type="dxa"/>
              <w:bottom w:w="100" w:type="dxa"/>
              <w:right w:w="100" w:type="dxa"/>
            </w:tcMar>
          </w:tcPr>
          <w:p w14:paraId="5DA4D50A" w14:textId="77777777" w:rsidR="0020782B" w:rsidRPr="00F30A97" w:rsidRDefault="0020782B" w:rsidP="00CE08CB">
            <w:pPr>
              <w:pStyle w:val="Tabletext"/>
              <w:keepNext/>
              <w:keepLines/>
              <w:rPr>
                <w:szCs w:val="22"/>
              </w:rPr>
            </w:pPr>
            <w:r w:rsidRPr="00F30A97">
              <w:rPr>
                <w:szCs w:val="22"/>
              </w:rPr>
              <w:t>Name of coordinator</w:t>
            </w:r>
          </w:p>
        </w:tc>
        <w:tc>
          <w:tcPr>
            <w:tcW w:w="5415" w:type="dxa"/>
            <w:shd w:val="clear" w:color="auto" w:fill="auto"/>
            <w:tcMar>
              <w:top w:w="100" w:type="dxa"/>
              <w:left w:w="100" w:type="dxa"/>
              <w:bottom w:w="100" w:type="dxa"/>
              <w:right w:w="100" w:type="dxa"/>
            </w:tcMar>
          </w:tcPr>
          <w:p w14:paraId="178DC617" w14:textId="77777777" w:rsidR="0020782B" w:rsidRPr="00F30A97" w:rsidRDefault="0020782B" w:rsidP="00CE08CB">
            <w:pPr>
              <w:pStyle w:val="Tabletext"/>
              <w:keepNext/>
              <w:keepLines/>
              <w:rPr>
                <w:szCs w:val="22"/>
              </w:rPr>
            </w:pPr>
            <w:r w:rsidRPr="00F30A97">
              <w:rPr>
                <w:szCs w:val="22"/>
              </w:rPr>
              <w:t>Name of person responsible for this activity or department</w:t>
            </w:r>
          </w:p>
        </w:tc>
      </w:tr>
      <w:tr w:rsidR="0020782B" w:rsidRPr="00F30A97" w14:paraId="0DAAF587" w14:textId="77777777" w:rsidTr="00520463">
        <w:trPr>
          <w:trHeight w:val="216"/>
          <w:jc w:val="center"/>
        </w:trPr>
        <w:tc>
          <w:tcPr>
            <w:tcW w:w="1155" w:type="dxa"/>
            <w:shd w:val="clear" w:color="auto" w:fill="auto"/>
            <w:tcMar>
              <w:top w:w="100" w:type="dxa"/>
              <w:left w:w="100" w:type="dxa"/>
              <w:bottom w:w="100" w:type="dxa"/>
              <w:right w:w="100" w:type="dxa"/>
            </w:tcMar>
          </w:tcPr>
          <w:p w14:paraId="38B067EE" w14:textId="1A1C7576" w:rsidR="0020782B" w:rsidRPr="00F30A97" w:rsidRDefault="0020782B" w:rsidP="00CE08CB">
            <w:pPr>
              <w:pStyle w:val="Tabletext"/>
              <w:jc w:val="center"/>
            </w:pPr>
            <w:r w:rsidRPr="00F30A97">
              <w:t>6</w:t>
            </w:r>
          </w:p>
        </w:tc>
        <w:tc>
          <w:tcPr>
            <w:tcW w:w="2910" w:type="dxa"/>
            <w:shd w:val="clear" w:color="auto" w:fill="auto"/>
            <w:tcMar>
              <w:top w:w="100" w:type="dxa"/>
              <w:left w:w="100" w:type="dxa"/>
              <w:bottom w:w="100" w:type="dxa"/>
              <w:right w:w="100" w:type="dxa"/>
            </w:tcMar>
          </w:tcPr>
          <w:p w14:paraId="628FF764" w14:textId="77777777" w:rsidR="0020782B" w:rsidRPr="00F30A97" w:rsidRDefault="0020782B" w:rsidP="00CE08CB">
            <w:pPr>
              <w:pStyle w:val="Tabletext"/>
              <w:rPr>
                <w:szCs w:val="22"/>
              </w:rPr>
            </w:pPr>
            <w:r w:rsidRPr="00F30A97">
              <w:rPr>
                <w:szCs w:val="22"/>
              </w:rPr>
              <w:t>Objectives</w:t>
            </w:r>
          </w:p>
        </w:tc>
        <w:tc>
          <w:tcPr>
            <w:tcW w:w="5415" w:type="dxa"/>
            <w:shd w:val="clear" w:color="auto" w:fill="auto"/>
            <w:tcMar>
              <w:top w:w="100" w:type="dxa"/>
              <w:left w:w="100" w:type="dxa"/>
              <w:bottom w:w="100" w:type="dxa"/>
              <w:right w:w="100" w:type="dxa"/>
            </w:tcMar>
          </w:tcPr>
          <w:p w14:paraId="4812A0AD" w14:textId="77777777" w:rsidR="0020782B" w:rsidRPr="00F30A97" w:rsidRDefault="0020782B" w:rsidP="00CE08CB">
            <w:pPr>
              <w:pStyle w:val="Tabletext"/>
              <w:rPr>
                <w:szCs w:val="22"/>
              </w:rPr>
            </w:pPr>
            <w:r w:rsidRPr="00F30A97">
              <w:rPr>
                <w:szCs w:val="22"/>
              </w:rPr>
              <w:t xml:space="preserve">A brief description of the objective(s) of the activity </w:t>
            </w:r>
          </w:p>
        </w:tc>
      </w:tr>
      <w:tr w:rsidR="0020782B" w:rsidRPr="00F30A97" w14:paraId="5A14E751" w14:textId="77777777" w:rsidTr="00520463">
        <w:trPr>
          <w:trHeight w:val="138"/>
          <w:jc w:val="center"/>
        </w:trPr>
        <w:tc>
          <w:tcPr>
            <w:tcW w:w="1155" w:type="dxa"/>
            <w:shd w:val="clear" w:color="auto" w:fill="auto"/>
            <w:tcMar>
              <w:top w:w="100" w:type="dxa"/>
              <w:left w:w="100" w:type="dxa"/>
              <w:bottom w:w="100" w:type="dxa"/>
              <w:right w:w="100" w:type="dxa"/>
            </w:tcMar>
          </w:tcPr>
          <w:p w14:paraId="7299E600" w14:textId="50D2F27A" w:rsidR="0020782B" w:rsidRPr="00F30A97" w:rsidRDefault="0020782B" w:rsidP="00CE08CB">
            <w:pPr>
              <w:pStyle w:val="Tabletext"/>
              <w:jc w:val="center"/>
            </w:pPr>
            <w:r w:rsidRPr="00F30A97">
              <w:t>7</w:t>
            </w:r>
          </w:p>
        </w:tc>
        <w:tc>
          <w:tcPr>
            <w:tcW w:w="2910" w:type="dxa"/>
            <w:shd w:val="clear" w:color="auto" w:fill="auto"/>
            <w:tcMar>
              <w:top w:w="100" w:type="dxa"/>
              <w:left w:w="100" w:type="dxa"/>
              <w:bottom w:w="100" w:type="dxa"/>
              <w:right w:w="100" w:type="dxa"/>
            </w:tcMar>
          </w:tcPr>
          <w:p w14:paraId="1519836A" w14:textId="77777777" w:rsidR="0020782B" w:rsidRPr="00F30A97" w:rsidRDefault="0020782B" w:rsidP="00CE08CB">
            <w:pPr>
              <w:pStyle w:val="Tabletext"/>
              <w:rPr>
                <w:szCs w:val="22"/>
              </w:rPr>
            </w:pPr>
            <w:r w:rsidRPr="00F30A97">
              <w:rPr>
                <w:szCs w:val="22"/>
              </w:rPr>
              <w:t>Type of natural hazard addressed</w:t>
            </w:r>
          </w:p>
        </w:tc>
        <w:tc>
          <w:tcPr>
            <w:tcW w:w="5415" w:type="dxa"/>
            <w:shd w:val="clear" w:color="auto" w:fill="auto"/>
            <w:tcMar>
              <w:top w:w="100" w:type="dxa"/>
              <w:left w:w="100" w:type="dxa"/>
              <w:bottom w:w="100" w:type="dxa"/>
              <w:right w:w="100" w:type="dxa"/>
            </w:tcMar>
          </w:tcPr>
          <w:p w14:paraId="0ED34543" w14:textId="77777777" w:rsidR="0020782B" w:rsidRPr="00F30A97" w:rsidRDefault="0020782B" w:rsidP="00CE08CB">
            <w:pPr>
              <w:pStyle w:val="Tabletext"/>
              <w:rPr>
                <w:szCs w:val="22"/>
              </w:rPr>
            </w:pPr>
            <w:r w:rsidRPr="00F30A97">
              <w:rPr>
                <w:szCs w:val="22"/>
              </w:rPr>
              <w:t>Atmospheric, hydrologic, oceanographic, biologic, or geophysical</w:t>
            </w:r>
          </w:p>
        </w:tc>
      </w:tr>
      <w:tr w:rsidR="0020782B" w:rsidRPr="00F30A97" w14:paraId="5C9A57FD" w14:textId="77777777" w:rsidTr="00520463">
        <w:trPr>
          <w:trHeight w:val="418"/>
          <w:jc w:val="center"/>
        </w:trPr>
        <w:tc>
          <w:tcPr>
            <w:tcW w:w="1155" w:type="dxa"/>
            <w:shd w:val="clear" w:color="auto" w:fill="auto"/>
            <w:tcMar>
              <w:top w:w="100" w:type="dxa"/>
              <w:left w:w="100" w:type="dxa"/>
              <w:bottom w:w="100" w:type="dxa"/>
              <w:right w:w="100" w:type="dxa"/>
            </w:tcMar>
          </w:tcPr>
          <w:p w14:paraId="6EFAEF4E" w14:textId="47AD1E84" w:rsidR="0020782B" w:rsidRPr="00F30A97" w:rsidRDefault="0020782B" w:rsidP="00CE08CB">
            <w:pPr>
              <w:pStyle w:val="Tabletext"/>
              <w:jc w:val="center"/>
            </w:pPr>
            <w:r w:rsidRPr="00F30A97">
              <w:t>8</w:t>
            </w:r>
          </w:p>
        </w:tc>
        <w:tc>
          <w:tcPr>
            <w:tcW w:w="2910" w:type="dxa"/>
            <w:shd w:val="clear" w:color="auto" w:fill="auto"/>
            <w:tcMar>
              <w:top w:w="100" w:type="dxa"/>
              <w:left w:w="100" w:type="dxa"/>
              <w:bottom w:w="100" w:type="dxa"/>
              <w:right w:w="100" w:type="dxa"/>
            </w:tcMar>
          </w:tcPr>
          <w:p w14:paraId="2BBB7E38" w14:textId="77777777" w:rsidR="0020782B" w:rsidRPr="00F30A97" w:rsidRDefault="0020782B" w:rsidP="00CE08CB">
            <w:pPr>
              <w:pStyle w:val="Tabletext"/>
              <w:rPr>
                <w:szCs w:val="22"/>
              </w:rPr>
            </w:pPr>
            <w:r w:rsidRPr="00F30A97">
              <w:rPr>
                <w:szCs w:val="22"/>
              </w:rPr>
              <w:t>Disaster management phase</w:t>
            </w:r>
          </w:p>
        </w:tc>
        <w:tc>
          <w:tcPr>
            <w:tcW w:w="5415" w:type="dxa"/>
            <w:shd w:val="clear" w:color="auto" w:fill="auto"/>
            <w:tcMar>
              <w:top w:w="100" w:type="dxa"/>
              <w:left w:w="100" w:type="dxa"/>
              <w:bottom w:w="100" w:type="dxa"/>
              <w:right w:w="100" w:type="dxa"/>
            </w:tcMar>
          </w:tcPr>
          <w:p w14:paraId="52E5FFFC" w14:textId="77777777" w:rsidR="0020782B" w:rsidRPr="00F30A97" w:rsidRDefault="0020782B" w:rsidP="00CE08CB">
            <w:pPr>
              <w:pStyle w:val="Tabletext"/>
              <w:rPr>
                <w:szCs w:val="22"/>
              </w:rPr>
            </w:pPr>
            <w:r w:rsidRPr="00F30A97">
              <w:rPr>
                <w:szCs w:val="22"/>
              </w:rPr>
              <w:t>The phase of the disaster management cycle covered by this activity</w:t>
            </w:r>
          </w:p>
        </w:tc>
      </w:tr>
      <w:tr w:rsidR="0020782B" w:rsidRPr="00F30A97" w14:paraId="77F3B5C1" w14:textId="77777777" w:rsidTr="00520463">
        <w:trPr>
          <w:trHeight w:val="400"/>
          <w:jc w:val="center"/>
        </w:trPr>
        <w:tc>
          <w:tcPr>
            <w:tcW w:w="1155" w:type="dxa"/>
            <w:shd w:val="clear" w:color="auto" w:fill="auto"/>
            <w:tcMar>
              <w:top w:w="100" w:type="dxa"/>
              <w:left w:w="100" w:type="dxa"/>
              <w:bottom w:w="100" w:type="dxa"/>
              <w:right w:w="100" w:type="dxa"/>
            </w:tcMar>
          </w:tcPr>
          <w:p w14:paraId="282E5EE7" w14:textId="577892E1" w:rsidR="0020782B" w:rsidRPr="00F30A97" w:rsidRDefault="0020782B" w:rsidP="00CE08CB">
            <w:pPr>
              <w:pStyle w:val="Tabletext"/>
              <w:jc w:val="center"/>
            </w:pPr>
            <w:r w:rsidRPr="00F30A97">
              <w:t>9</w:t>
            </w:r>
          </w:p>
        </w:tc>
        <w:tc>
          <w:tcPr>
            <w:tcW w:w="2910" w:type="dxa"/>
            <w:shd w:val="clear" w:color="auto" w:fill="auto"/>
            <w:tcMar>
              <w:top w:w="100" w:type="dxa"/>
              <w:left w:w="100" w:type="dxa"/>
              <w:bottom w:w="100" w:type="dxa"/>
              <w:right w:w="100" w:type="dxa"/>
            </w:tcMar>
          </w:tcPr>
          <w:p w14:paraId="15FB7D2B" w14:textId="77777777" w:rsidR="0020782B" w:rsidRPr="00F30A97" w:rsidRDefault="0020782B" w:rsidP="00CE08CB">
            <w:pPr>
              <w:pStyle w:val="Tabletext"/>
              <w:rPr>
                <w:szCs w:val="22"/>
              </w:rPr>
            </w:pPr>
            <w:r w:rsidRPr="00F30A97">
              <w:rPr>
                <w:szCs w:val="22"/>
              </w:rPr>
              <w:t>Timeframe for implementation</w:t>
            </w:r>
          </w:p>
        </w:tc>
        <w:tc>
          <w:tcPr>
            <w:tcW w:w="5415" w:type="dxa"/>
            <w:shd w:val="clear" w:color="auto" w:fill="auto"/>
            <w:tcMar>
              <w:top w:w="100" w:type="dxa"/>
              <w:left w:w="100" w:type="dxa"/>
              <w:bottom w:w="100" w:type="dxa"/>
              <w:right w:w="100" w:type="dxa"/>
            </w:tcMar>
          </w:tcPr>
          <w:p w14:paraId="6BFD8567" w14:textId="77777777" w:rsidR="0020782B" w:rsidRPr="00F30A97" w:rsidRDefault="0020782B" w:rsidP="00CE08CB">
            <w:pPr>
              <w:pStyle w:val="Tabletext"/>
              <w:rPr>
                <w:szCs w:val="22"/>
              </w:rPr>
            </w:pPr>
            <w:r w:rsidRPr="00F30A97">
              <w:rPr>
                <w:szCs w:val="22"/>
              </w:rPr>
              <w:t>Proposed timeline for completion of the activity</w:t>
            </w:r>
          </w:p>
        </w:tc>
      </w:tr>
      <w:tr w:rsidR="0020782B" w:rsidRPr="00F30A97" w14:paraId="1FF9974D" w14:textId="77777777" w:rsidTr="00520463">
        <w:trPr>
          <w:trHeight w:val="396"/>
          <w:jc w:val="center"/>
        </w:trPr>
        <w:tc>
          <w:tcPr>
            <w:tcW w:w="1155" w:type="dxa"/>
            <w:shd w:val="clear" w:color="auto" w:fill="auto"/>
            <w:tcMar>
              <w:top w:w="100" w:type="dxa"/>
              <w:left w:w="100" w:type="dxa"/>
              <w:bottom w:w="100" w:type="dxa"/>
              <w:right w:w="100" w:type="dxa"/>
            </w:tcMar>
          </w:tcPr>
          <w:p w14:paraId="5B909856" w14:textId="47A7B547" w:rsidR="0020782B" w:rsidRPr="00F30A97" w:rsidRDefault="0020782B" w:rsidP="00CE08CB">
            <w:pPr>
              <w:pStyle w:val="Tabletext"/>
              <w:jc w:val="center"/>
            </w:pPr>
            <w:r w:rsidRPr="00F30A97">
              <w:t>10</w:t>
            </w:r>
          </w:p>
        </w:tc>
        <w:tc>
          <w:tcPr>
            <w:tcW w:w="2910" w:type="dxa"/>
            <w:shd w:val="clear" w:color="auto" w:fill="auto"/>
            <w:tcMar>
              <w:top w:w="100" w:type="dxa"/>
              <w:left w:w="100" w:type="dxa"/>
              <w:bottom w:w="100" w:type="dxa"/>
              <w:right w:w="100" w:type="dxa"/>
            </w:tcMar>
          </w:tcPr>
          <w:p w14:paraId="5530F262" w14:textId="77777777" w:rsidR="0020782B" w:rsidRPr="00F30A97" w:rsidRDefault="0020782B" w:rsidP="00CE08CB">
            <w:pPr>
              <w:pStyle w:val="Tabletext"/>
              <w:rPr>
                <w:szCs w:val="22"/>
              </w:rPr>
            </w:pPr>
            <w:r w:rsidRPr="00F30A97">
              <w:rPr>
                <w:szCs w:val="22"/>
              </w:rPr>
              <w:t>Status</w:t>
            </w:r>
          </w:p>
        </w:tc>
        <w:tc>
          <w:tcPr>
            <w:tcW w:w="5415" w:type="dxa"/>
            <w:shd w:val="clear" w:color="auto" w:fill="auto"/>
            <w:tcMar>
              <w:top w:w="100" w:type="dxa"/>
              <w:left w:w="100" w:type="dxa"/>
              <w:bottom w:w="100" w:type="dxa"/>
              <w:right w:w="100" w:type="dxa"/>
            </w:tcMar>
          </w:tcPr>
          <w:p w14:paraId="51CF7CF5" w14:textId="77777777" w:rsidR="0020782B" w:rsidRPr="00F30A97" w:rsidRDefault="0020782B" w:rsidP="00CE08CB">
            <w:pPr>
              <w:pStyle w:val="Tabletext"/>
              <w:rPr>
                <w:szCs w:val="22"/>
              </w:rPr>
            </w:pPr>
            <w:r w:rsidRPr="00F30A97">
              <w:rPr>
                <w:szCs w:val="22"/>
              </w:rPr>
              <w:t>Present status of the activity</w:t>
            </w:r>
            <w:r w:rsidRPr="00F30A97">
              <w:rPr>
                <w:sz w:val="18"/>
                <w:szCs w:val="18"/>
              </w:rPr>
              <w:t xml:space="preserve"> </w:t>
            </w:r>
            <w:r w:rsidRPr="00F30A97">
              <w:rPr>
                <w:szCs w:val="22"/>
              </w:rPr>
              <w:t>(e.g., planned, ongoing, completed, under submission for approval)</w:t>
            </w:r>
          </w:p>
        </w:tc>
      </w:tr>
      <w:tr w:rsidR="0020782B" w:rsidRPr="00F30A97" w14:paraId="05BA01BD" w14:textId="77777777" w:rsidTr="00520463">
        <w:trPr>
          <w:trHeight w:val="408"/>
          <w:jc w:val="center"/>
        </w:trPr>
        <w:tc>
          <w:tcPr>
            <w:tcW w:w="1155" w:type="dxa"/>
            <w:shd w:val="clear" w:color="auto" w:fill="auto"/>
            <w:tcMar>
              <w:top w:w="100" w:type="dxa"/>
              <w:left w:w="100" w:type="dxa"/>
              <w:bottom w:w="100" w:type="dxa"/>
              <w:right w:w="100" w:type="dxa"/>
            </w:tcMar>
          </w:tcPr>
          <w:p w14:paraId="452E25B6" w14:textId="07E24215" w:rsidR="0020782B" w:rsidRPr="00F30A97" w:rsidRDefault="0020782B" w:rsidP="00CE08CB">
            <w:pPr>
              <w:pStyle w:val="Tabletext"/>
              <w:jc w:val="center"/>
            </w:pPr>
            <w:r w:rsidRPr="00F30A97">
              <w:t>11</w:t>
            </w:r>
          </w:p>
        </w:tc>
        <w:tc>
          <w:tcPr>
            <w:tcW w:w="2910" w:type="dxa"/>
            <w:shd w:val="clear" w:color="auto" w:fill="auto"/>
            <w:tcMar>
              <w:top w:w="100" w:type="dxa"/>
              <w:left w:w="100" w:type="dxa"/>
              <w:bottom w:w="100" w:type="dxa"/>
              <w:right w:w="100" w:type="dxa"/>
            </w:tcMar>
          </w:tcPr>
          <w:p w14:paraId="16698E90" w14:textId="77777777" w:rsidR="0020782B" w:rsidRPr="00F30A97" w:rsidRDefault="0020782B" w:rsidP="00CE08CB">
            <w:pPr>
              <w:pStyle w:val="Tabletext"/>
              <w:rPr>
                <w:szCs w:val="22"/>
              </w:rPr>
            </w:pPr>
            <w:r w:rsidRPr="00F30A97">
              <w:rPr>
                <w:szCs w:val="22"/>
              </w:rPr>
              <w:t>Output</w:t>
            </w:r>
          </w:p>
        </w:tc>
        <w:tc>
          <w:tcPr>
            <w:tcW w:w="5415" w:type="dxa"/>
            <w:shd w:val="clear" w:color="auto" w:fill="auto"/>
            <w:tcMar>
              <w:top w:w="100" w:type="dxa"/>
              <w:left w:w="100" w:type="dxa"/>
              <w:bottom w:w="100" w:type="dxa"/>
              <w:right w:w="100" w:type="dxa"/>
            </w:tcMar>
          </w:tcPr>
          <w:p w14:paraId="6A8EDCD0" w14:textId="77777777" w:rsidR="0020782B" w:rsidRPr="00F30A97" w:rsidRDefault="0020782B" w:rsidP="00CE08CB">
            <w:pPr>
              <w:pStyle w:val="Tabletext"/>
              <w:rPr>
                <w:szCs w:val="22"/>
              </w:rPr>
            </w:pPr>
            <w:r w:rsidRPr="00F30A97">
              <w:rPr>
                <w:szCs w:val="22"/>
              </w:rPr>
              <w:t>The output of this department (e.g., technologies, databases, events, or publications)</w:t>
            </w:r>
          </w:p>
        </w:tc>
      </w:tr>
      <w:tr w:rsidR="0020782B" w:rsidRPr="00F30A97" w14:paraId="4A9A3B3A" w14:textId="77777777" w:rsidTr="00520463">
        <w:trPr>
          <w:trHeight w:val="21"/>
          <w:jc w:val="center"/>
        </w:trPr>
        <w:tc>
          <w:tcPr>
            <w:tcW w:w="1155" w:type="dxa"/>
            <w:shd w:val="clear" w:color="auto" w:fill="auto"/>
            <w:tcMar>
              <w:top w:w="100" w:type="dxa"/>
              <w:left w:w="100" w:type="dxa"/>
              <w:bottom w:w="100" w:type="dxa"/>
              <w:right w:w="100" w:type="dxa"/>
            </w:tcMar>
          </w:tcPr>
          <w:p w14:paraId="4BE171E5" w14:textId="0E0DD894" w:rsidR="0020782B" w:rsidRPr="00F30A97" w:rsidRDefault="0020782B" w:rsidP="00CE08CB">
            <w:pPr>
              <w:pStyle w:val="Tabletext"/>
              <w:jc w:val="center"/>
            </w:pPr>
            <w:r w:rsidRPr="00F30A97">
              <w:t>12</w:t>
            </w:r>
          </w:p>
        </w:tc>
        <w:tc>
          <w:tcPr>
            <w:tcW w:w="2910" w:type="dxa"/>
            <w:shd w:val="clear" w:color="auto" w:fill="auto"/>
            <w:tcMar>
              <w:top w:w="100" w:type="dxa"/>
              <w:left w:w="100" w:type="dxa"/>
              <w:bottom w:w="100" w:type="dxa"/>
              <w:right w:w="100" w:type="dxa"/>
            </w:tcMar>
          </w:tcPr>
          <w:p w14:paraId="22DB4DE9" w14:textId="77777777" w:rsidR="0020782B" w:rsidRPr="00F30A97" w:rsidRDefault="0020782B" w:rsidP="00CE08CB">
            <w:pPr>
              <w:pStyle w:val="Tabletext"/>
              <w:rPr>
                <w:szCs w:val="22"/>
              </w:rPr>
            </w:pPr>
            <w:r w:rsidRPr="00F30A97">
              <w:rPr>
                <w:szCs w:val="22"/>
              </w:rPr>
              <w:t>Link</w:t>
            </w:r>
          </w:p>
        </w:tc>
        <w:tc>
          <w:tcPr>
            <w:tcW w:w="5415" w:type="dxa"/>
            <w:shd w:val="clear" w:color="auto" w:fill="auto"/>
            <w:tcMar>
              <w:top w:w="100" w:type="dxa"/>
              <w:left w:w="100" w:type="dxa"/>
              <w:bottom w:w="100" w:type="dxa"/>
              <w:right w:w="100" w:type="dxa"/>
            </w:tcMar>
          </w:tcPr>
          <w:p w14:paraId="5248B6D0" w14:textId="77777777" w:rsidR="0020782B" w:rsidRPr="00F30A97" w:rsidRDefault="0020782B" w:rsidP="00CE08CB">
            <w:pPr>
              <w:pStyle w:val="Tabletext"/>
              <w:rPr>
                <w:szCs w:val="22"/>
              </w:rPr>
            </w:pPr>
            <w:r w:rsidRPr="00F30A97">
              <w:rPr>
                <w:szCs w:val="22"/>
              </w:rPr>
              <w:t>A website where more detail can be found</w:t>
            </w:r>
          </w:p>
        </w:tc>
      </w:tr>
      <w:tr w:rsidR="0020782B" w:rsidRPr="00F30A97" w14:paraId="10952E22" w14:textId="77777777" w:rsidTr="00520463">
        <w:trPr>
          <w:trHeight w:val="660"/>
          <w:jc w:val="center"/>
        </w:trPr>
        <w:tc>
          <w:tcPr>
            <w:tcW w:w="1155" w:type="dxa"/>
            <w:shd w:val="clear" w:color="auto" w:fill="auto"/>
            <w:tcMar>
              <w:top w:w="100" w:type="dxa"/>
              <w:left w:w="100" w:type="dxa"/>
              <w:bottom w:w="100" w:type="dxa"/>
              <w:right w:w="100" w:type="dxa"/>
            </w:tcMar>
          </w:tcPr>
          <w:p w14:paraId="19DF0EF8" w14:textId="443A5B0A" w:rsidR="0020782B" w:rsidRPr="00F30A97" w:rsidRDefault="0020782B" w:rsidP="00CE08CB">
            <w:pPr>
              <w:pStyle w:val="Tabletext"/>
              <w:jc w:val="center"/>
            </w:pPr>
            <w:r w:rsidRPr="00F30A97">
              <w:t>13</w:t>
            </w:r>
          </w:p>
        </w:tc>
        <w:tc>
          <w:tcPr>
            <w:tcW w:w="2910" w:type="dxa"/>
            <w:shd w:val="clear" w:color="auto" w:fill="auto"/>
            <w:tcMar>
              <w:top w:w="100" w:type="dxa"/>
              <w:left w:w="100" w:type="dxa"/>
              <w:bottom w:w="100" w:type="dxa"/>
              <w:right w:w="100" w:type="dxa"/>
            </w:tcMar>
          </w:tcPr>
          <w:p w14:paraId="1D4DECFA" w14:textId="77777777" w:rsidR="0020782B" w:rsidRPr="00F30A97" w:rsidRDefault="0020782B" w:rsidP="00CE08CB">
            <w:pPr>
              <w:pStyle w:val="Tabletext"/>
              <w:rPr>
                <w:szCs w:val="22"/>
              </w:rPr>
            </w:pPr>
            <w:r w:rsidRPr="00F30A97">
              <w:rPr>
                <w:szCs w:val="22"/>
              </w:rPr>
              <w:t>Contact</w:t>
            </w:r>
          </w:p>
        </w:tc>
        <w:tc>
          <w:tcPr>
            <w:tcW w:w="5415" w:type="dxa"/>
            <w:shd w:val="clear" w:color="auto" w:fill="auto"/>
            <w:tcMar>
              <w:top w:w="100" w:type="dxa"/>
              <w:left w:w="100" w:type="dxa"/>
              <w:bottom w:w="100" w:type="dxa"/>
              <w:right w:w="100" w:type="dxa"/>
            </w:tcMar>
          </w:tcPr>
          <w:p w14:paraId="51890517" w14:textId="77777777" w:rsidR="0020782B" w:rsidRPr="00F30A97" w:rsidRDefault="0020782B" w:rsidP="00CE08CB">
            <w:pPr>
              <w:pStyle w:val="Tabletext"/>
              <w:rPr>
                <w:szCs w:val="22"/>
              </w:rPr>
            </w:pPr>
            <w:r w:rsidRPr="00F30A97">
              <w:rPr>
                <w:szCs w:val="22"/>
              </w:rPr>
              <w:t>The name of a contact person who could provide more information</w:t>
            </w:r>
          </w:p>
        </w:tc>
      </w:tr>
      <w:tr w:rsidR="0020782B" w:rsidRPr="00F30A97" w14:paraId="797AAB66" w14:textId="77777777" w:rsidTr="00520463">
        <w:trPr>
          <w:trHeight w:val="595"/>
          <w:jc w:val="center"/>
        </w:trPr>
        <w:tc>
          <w:tcPr>
            <w:tcW w:w="1155" w:type="dxa"/>
            <w:shd w:val="clear" w:color="auto" w:fill="auto"/>
            <w:tcMar>
              <w:top w:w="100" w:type="dxa"/>
              <w:left w:w="100" w:type="dxa"/>
              <w:bottom w:w="100" w:type="dxa"/>
              <w:right w:w="100" w:type="dxa"/>
            </w:tcMar>
          </w:tcPr>
          <w:p w14:paraId="46177B9C" w14:textId="0DC36E18" w:rsidR="0020782B" w:rsidRPr="00F30A97" w:rsidRDefault="0020782B" w:rsidP="00CE08CB">
            <w:pPr>
              <w:pStyle w:val="Tabletext"/>
              <w:jc w:val="center"/>
            </w:pPr>
            <w:r w:rsidRPr="00F30A97">
              <w:t>14</w:t>
            </w:r>
          </w:p>
        </w:tc>
        <w:tc>
          <w:tcPr>
            <w:tcW w:w="8325" w:type="dxa"/>
            <w:gridSpan w:val="2"/>
            <w:shd w:val="clear" w:color="auto" w:fill="auto"/>
            <w:tcMar>
              <w:top w:w="100" w:type="dxa"/>
              <w:left w:w="100" w:type="dxa"/>
              <w:bottom w:w="100" w:type="dxa"/>
              <w:right w:w="100" w:type="dxa"/>
            </w:tcMar>
          </w:tcPr>
          <w:p w14:paraId="0DEDDE6D" w14:textId="77777777" w:rsidR="0020782B" w:rsidRPr="00F30A97" w:rsidRDefault="0020782B" w:rsidP="00CE08CB">
            <w:pPr>
              <w:pStyle w:val="Tabletext"/>
              <w:rPr>
                <w:szCs w:val="22"/>
              </w:rPr>
            </w:pPr>
            <w:r w:rsidRPr="00F30A97">
              <w:rPr>
                <w:szCs w:val="22"/>
              </w:rPr>
              <w:t>Name of activity</w:t>
            </w:r>
          </w:p>
        </w:tc>
      </w:tr>
    </w:tbl>
    <w:p w14:paraId="2D1BC53A" w14:textId="72F9F829" w:rsidR="0020782B" w:rsidRPr="00F30A97" w:rsidRDefault="0020782B" w:rsidP="00CE08CB">
      <w:r w:rsidRPr="00F30A97">
        <w:t>To supplement the inputs acquired through the completed liaison statements, an online form</w:t>
      </w:r>
      <w:r w:rsidRPr="00F30A97">
        <w:rPr>
          <w:vertAlign w:val="superscript"/>
        </w:rPr>
        <w:footnoteReference w:id="3"/>
      </w:r>
      <w:r w:rsidRPr="00F30A97">
        <w:t xml:space="preserve"> was developed using SurveyMonkey and distributed to key networks.</w:t>
      </w:r>
      <w:r w:rsidR="00644FA2" w:rsidRPr="00F30A97">
        <w:t xml:space="preserve"> </w:t>
      </w:r>
    </w:p>
    <w:p w14:paraId="1D6A04FC" w14:textId="76865165" w:rsidR="0020782B" w:rsidRPr="00F30A97" w:rsidRDefault="0020782B" w:rsidP="00CE08CB">
      <w:r w:rsidRPr="00F30A97">
        <w:t xml:space="preserve">For the analysis, this </w:t>
      </w:r>
      <w:r w:rsidR="00520463" w:rsidRPr="00F30A97">
        <w:t>R</w:t>
      </w:r>
      <w:r w:rsidRPr="00F30A97">
        <w:t xml:space="preserve">eport focuses on the standards (rather than activities). These standards were coded and </w:t>
      </w:r>
      <w:r w:rsidR="007421F6" w:rsidRPr="00F30A97">
        <w:t>analyse</w:t>
      </w:r>
      <w:r w:rsidRPr="00F30A97">
        <w:t xml:space="preserve">d with </w:t>
      </w:r>
      <w:r w:rsidR="00C2623D" w:rsidRPr="00F30A97">
        <w:t>a data analysis</w:t>
      </w:r>
      <w:r w:rsidRPr="00F30A97">
        <w:t xml:space="preserve"> software. With the guidance of the other Working Groups (WG</w:t>
      </w:r>
      <w:r w:rsidR="00747A7E" w:rsidRPr="00F30A97">
        <w:t>s</w:t>
      </w:r>
      <w:r w:rsidRPr="00F30A97">
        <w:t>) of the FG-AI4NDM and the final version of the Glossary, key terms (relating to the respective focus areas of the Working Groups) were selected. The software then searched the text in all 42 publicly available standards documents (indicated by asterisk in Table 3), and, for each term, returned a count of the standards in which the term appeared at least once. In the figures below, this count is expressed as a percentage of the total number of standards (42).</w:t>
      </w:r>
      <w:r w:rsidR="00644FA2" w:rsidRPr="00F30A97">
        <w:t xml:space="preserve"> </w:t>
      </w:r>
    </w:p>
    <w:p w14:paraId="074DF2E5" w14:textId="1AF476F7" w:rsidR="0020782B" w:rsidRPr="00F30A97" w:rsidRDefault="00520463" w:rsidP="00CE08CB">
      <w:pPr>
        <w:pStyle w:val="Heading1"/>
      </w:pPr>
      <w:bookmarkStart w:id="44" w:name="_Toc122117100"/>
      <w:bookmarkStart w:id="45" w:name="_Toc122117117"/>
      <w:bookmarkStart w:id="46" w:name="_Toc126934274"/>
      <w:r w:rsidRPr="00F30A97">
        <w:rPr>
          <w:rFonts w:eastAsia="MS Mincho"/>
          <w:lang w:eastAsia="ja-JP" w:bidi="ar-DZ"/>
        </w:rPr>
        <w:lastRenderedPageBreak/>
        <w:t>6</w:t>
      </w:r>
      <w:r w:rsidRPr="00F30A97">
        <w:rPr>
          <w:rFonts w:eastAsia="MS Mincho"/>
          <w:lang w:eastAsia="ja-JP" w:bidi="ar-DZ"/>
        </w:rPr>
        <w:tab/>
      </w:r>
      <w:r w:rsidR="0020782B" w:rsidRPr="00F30A97">
        <w:rPr>
          <w:rFonts w:eastAsia="MS Mincho"/>
          <w:lang w:eastAsia="ja-JP" w:bidi="ar-DZ"/>
        </w:rPr>
        <w:t>Results</w:t>
      </w:r>
      <w:bookmarkEnd w:id="44"/>
      <w:bookmarkEnd w:id="45"/>
      <w:bookmarkEnd w:id="46"/>
    </w:p>
    <w:p w14:paraId="546BE945" w14:textId="4AC729BA" w:rsidR="0020782B" w:rsidRPr="00F30A97" w:rsidRDefault="0020782B" w:rsidP="00CE08CB">
      <w:r w:rsidRPr="00F30A97">
        <w:t xml:space="preserve">Through the survey, liaison statements, and online form, 45 </w:t>
      </w:r>
      <w:r w:rsidR="00C2623D" w:rsidRPr="00F30A97">
        <w:rPr>
          <w:rStyle w:val="FootnoteReference"/>
        </w:rPr>
        <w:footnoteReference w:id="4"/>
      </w:r>
      <w:r w:rsidRPr="00F30A97">
        <w:t xml:space="preserve">standards could be identified (Table 3). These came from SDOs including ISO, IEC, IEEE, ETSI, and ASTAP, with two-thirds of the standards (30) coming from the ITU </w:t>
      </w:r>
      <w:r w:rsidR="00DE094A" w:rsidRPr="00F30A97">
        <w:t>(</w:t>
      </w:r>
      <w:r w:rsidRPr="00F30A97">
        <w:t>primarily, ITU-T (17) and ITU-R (13)</w:t>
      </w:r>
      <w:r w:rsidR="00CE08CB" w:rsidRPr="00F30A97">
        <w:t>)</w:t>
      </w:r>
      <w:r w:rsidRPr="00F30A97">
        <w:t xml:space="preserve">. Across the United Nations system, 34 activities in this domain were also identified. Several sister UN agencies such as the WFP, UNDP, WMO, and UNU provided information on projects in the context of disaster reconnaissance (after a disaster strikes). However, many of these activities are not technology-centric; focusing more on the relationship between emergency response and humanitarian aid, with human personnel responsible for interventions. </w:t>
      </w:r>
      <w:r w:rsidR="00C2623D" w:rsidRPr="00F30A97">
        <w:t xml:space="preserve"> </w:t>
      </w:r>
    </w:p>
    <w:p w14:paraId="4AE0F11B" w14:textId="77777777" w:rsidR="0020782B" w:rsidRPr="00F30A97" w:rsidRDefault="0020782B" w:rsidP="00CE08CB">
      <w:r w:rsidRPr="00F30A97">
        <w:t>Liaison statements sent proved to be an effective channel for inviting inputs to the roadmap. Additionally, individual research carried out within WG-Roadmap also yielded positive results in terms of gathering inputs from online databases for different SDOs given in Tables 3 and 4.</w:t>
      </w:r>
    </w:p>
    <w:tbl>
      <w:tblPr>
        <w:tblpPr w:leftFromText="180" w:rightFromText="180" w:vertAnchor="text" w:tblpY="1"/>
        <w:tblOverlap w:val="never"/>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2410"/>
        <w:gridCol w:w="1276"/>
        <w:gridCol w:w="2567"/>
        <w:gridCol w:w="1538"/>
      </w:tblGrid>
      <w:tr w:rsidR="00520463" w:rsidRPr="00F30A97" w14:paraId="2420C6AA" w14:textId="77777777" w:rsidTr="0004021B">
        <w:trPr>
          <w:trHeight w:val="290"/>
          <w:tblHeader/>
        </w:trPr>
        <w:tc>
          <w:tcPr>
            <w:tcW w:w="9629" w:type="dxa"/>
            <w:gridSpan w:val="5"/>
            <w:tcBorders>
              <w:top w:val="nil"/>
              <w:left w:val="nil"/>
              <w:right w:val="nil"/>
            </w:tcBorders>
            <w:shd w:val="clear" w:color="auto" w:fill="auto"/>
          </w:tcPr>
          <w:p w14:paraId="55C29025" w14:textId="73807C7A" w:rsidR="00520463" w:rsidRPr="00F30A97" w:rsidRDefault="00520463">
            <w:pPr>
              <w:pStyle w:val="TableNoTitle"/>
            </w:pPr>
            <w:bookmarkStart w:id="47" w:name="_Toc122117079"/>
            <w:r w:rsidRPr="00F30A97">
              <w:t>Table 3 – Standards</w:t>
            </w:r>
            <w:r w:rsidR="00C2623D" w:rsidRPr="00F30A97">
              <w:t>-based Outcomes</w:t>
            </w:r>
            <w:r w:rsidRPr="00F30A97">
              <w:t xml:space="preserve"> from SDOs</w:t>
            </w:r>
            <w:r w:rsidRPr="00F30A97">
              <w:rPr>
                <w:rStyle w:val="FootnoteReference"/>
              </w:rPr>
              <w:footnoteReference w:id="5"/>
            </w:r>
            <w:bookmarkEnd w:id="47"/>
          </w:p>
        </w:tc>
      </w:tr>
      <w:tr w:rsidR="0020782B" w:rsidRPr="00F30A97" w14:paraId="6B9E8485" w14:textId="77777777" w:rsidTr="0004021B">
        <w:trPr>
          <w:trHeight w:val="290"/>
          <w:tblHeader/>
        </w:trPr>
        <w:tc>
          <w:tcPr>
            <w:tcW w:w="1838" w:type="dxa"/>
            <w:shd w:val="clear" w:color="auto" w:fill="auto"/>
          </w:tcPr>
          <w:p w14:paraId="1C38EE58" w14:textId="4F1469E7" w:rsidR="0020782B" w:rsidRPr="00F30A97" w:rsidRDefault="00520463">
            <w:pPr>
              <w:pStyle w:val="Tablehead"/>
            </w:pPr>
            <w:bookmarkStart w:id="48" w:name="_Hlk123163821"/>
            <w:r w:rsidRPr="00F30A97">
              <w:t>Acronym</w:t>
            </w:r>
          </w:p>
        </w:tc>
        <w:tc>
          <w:tcPr>
            <w:tcW w:w="2410" w:type="dxa"/>
            <w:shd w:val="clear" w:color="auto" w:fill="auto"/>
          </w:tcPr>
          <w:p w14:paraId="4F1C62BC" w14:textId="620C9663" w:rsidR="0020782B" w:rsidRPr="00F30A97" w:rsidRDefault="00520463">
            <w:pPr>
              <w:pStyle w:val="Tablehead"/>
            </w:pPr>
            <w:r w:rsidRPr="00F30A97">
              <w:t>SDO/organization</w:t>
            </w:r>
          </w:p>
        </w:tc>
        <w:tc>
          <w:tcPr>
            <w:tcW w:w="1276" w:type="dxa"/>
            <w:shd w:val="clear" w:color="auto" w:fill="auto"/>
          </w:tcPr>
          <w:p w14:paraId="0F04AC0E" w14:textId="7A2D2045" w:rsidR="0020782B" w:rsidRPr="00F30A97" w:rsidRDefault="00520463">
            <w:pPr>
              <w:pStyle w:val="Tablehead"/>
            </w:pPr>
            <w:r w:rsidRPr="00F30A97">
              <w:t>Related group</w:t>
            </w:r>
          </w:p>
        </w:tc>
        <w:tc>
          <w:tcPr>
            <w:tcW w:w="2567" w:type="dxa"/>
            <w:shd w:val="clear" w:color="auto" w:fill="auto"/>
          </w:tcPr>
          <w:p w14:paraId="41493BD3" w14:textId="088F7820" w:rsidR="0020782B" w:rsidRPr="00F30A97" w:rsidRDefault="00520463">
            <w:pPr>
              <w:pStyle w:val="Tablehead"/>
            </w:pPr>
            <w:r w:rsidRPr="00F30A97">
              <w:t>Title</w:t>
            </w:r>
          </w:p>
        </w:tc>
        <w:tc>
          <w:tcPr>
            <w:tcW w:w="1538" w:type="dxa"/>
            <w:shd w:val="clear" w:color="auto" w:fill="auto"/>
          </w:tcPr>
          <w:p w14:paraId="3188E3F9" w14:textId="33134E2F" w:rsidR="0020782B" w:rsidRPr="00F30A97" w:rsidRDefault="00520463">
            <w:pPr>
              <w:pStyle w:val="Tablehead"/>
            </w:pPr>
            <w:r w:rsidRPr="00F30A97">
              <w:t>Status</w:t>
            </w:r>
          </w:p>
        </w:tc>
      </w:tr>
      <w:tr w:rsidR="0020782B" w:rsidRPr="00F30A97" w14:paraId="5BFEDBF7" w14:textId="77777777" w:rsidTr="0004021B">
        <w:trPr>
          <w:trHeight w:val="290"/>
        </w:trPr>
        <w:tc>
          <w:tcPr>
            <w:tcW w:w="1838" w:type="dxa"/>
            <w:shd w:val="clear" w:color="auto" w:fill="auto"/>
            <w:vAlign w:val="center"/>
          </w:tcPr>
          <w:p w14:paraId="3B4EE3F1" w14:textId="77777777" w:rsidR="0020782B" w:rsidRPr="00F30A97" w:rsidRDefault="0020782B">
            <w:pPr>
              <w:pStyle w:val="Tabletext"/>
              <w:rPr>
                <w:sz w:val="20"/>
              </w:rPr>
            </w:pPr>
            <w:bookmarkStart w:id="49" w:name="_Hlk123160531"/>
            <w:r w:rsidRPr="00F30A97">
              <w:rPr>
                <w:color w:val="000000"/>
                <w:sz w:val="20"/>
              </w:rPr>
              <w:t> </w:t>
            </w:r>
          </w:p>
        </w:tc>
        <w:tc>
          <w:tcPr>
            <w:tcW w:w="2410" w:type="dxa"/>
            <w:shd w:val="clear" w:color="auto" w:fill="auto"/>
            <w:vAlign w:val="center"/>
          </w:tcPr>
          <w:p w14:paraId="5C8B77AE" w14:textId="77777777" w:rsidR="0020782B" w:rsidRPr="00F30A97" w:rsidRDefault="0020782B">
            <w:pPr>
              <w:pStyle w:val="Tabletext"/>
              <w:rPr>
                <w:sz w:val="20"/>
              </w:rPr>
            </w:pPr>
            <w:r w:rsidRPr="00F30A97">
              <w:rPr>
                <w:color w:val="000000"/>
                <w:sz w:val="20"/>
              </w:rPr>
              <w:t>ASTAP</w:t>
            </w:r>
          </w:p>
        </w:tc>
        <w:tc>
          <w:tcPr>
            <w:tcW w:w="1276" w:type="dxa"/>
            <w:shd w:val="clear" w:color="auto" w:fill="auto"/>
            <w:vAlign w:val="center"/>
          </w:tcPr>
          <w:p w14:paraId="6D7B33F6" w14:textId="77777777" w:rsidR="0020782B" w:rsidRPr="00F30A97" w:rsidRDefault="0020782B">
            <w:pPr>
              <w:pStyle w:val="Tabletext"/>
              <w:rPr>
                <w:sz w:val="20"/>
              </w:rPr>
            </w:pPr>
            <w:r w:rsidRPr="00F30A97">
              <w:rPr>
                <w:color w:val="000000"/>
                <w:sz w:val="20"/>
              </w:rPr>
              <w:t>EG DRMRS</w:t>
            </w:r>
          </w:p>
        </w:tc>
        <w:tc>
          <w:tcPr>
            <w:tcW w:w="2567" w:type="dxa"/>
            <w:shd w:val="clear" w:color="auto" w:fill="auto"/>
            <w:vAlign w:val="center"/>
          </w:tcPr>
          <w:p w14:paraId="2A8557D5" w14:textId="350F62AF" w:rsidR="0020782B" w:rsidRPr="00F30A97" w:rsidRDefault="0020782B">
            <w:pPr>
              <w:pStyle w:val="Tabletext"/>
              <w:rPr>
                <w:sz w:val="20"/>
              </w:rPr>
            </w:pPr>
            <w:r w:rsidRPr="00F30A97">
              <w:rPr>
                <w:color w:val="000000"/>
                <w:sz w:val="20"/>
              </w:rPr>
              <w:t xml:space="preserve">Report </w:t>
            </w:r>
            <w:r w:rsidR="00644FA2" w:rsidRPr="00F30A97">
              <w:rPr>
                <w:color w:val="000000"/>
                <w:sz w:val="20"/>
              </w:rPr>
              <w:t>"</w:t>
            </w:r>
            <w:r w:rsidRPr="00F30A97">
              <w:rPr>
                <w:color w:val="000000"/>
                <w:sz w:val="20"/>
              </w:rPr>
              <w:t>Local-area resilient information sharing and communication systems</w:t>
            </w:r>
            <w:r w:rsidR="00644FA2" w:rsidRPr="00F30A97">
              <w:rPr>
                <w:color w:val="000000"/>
                <w:sz w:val="20"/>
              </w:rPr>
              <w:t>"</w:t>
            </w:r>
            <w:r w:rsidRPr="00F30A97">
              <w:rPr>
                <w:color w:val="000000"/>
                <w:sz w:val="20"/>
              </w:rPr>
              <w:t xml:space="preserve"> </w:t>
            </w:r>
          </w:p>
        </w:tc>
        <w:tc>
          <w:tcPr>
            <w:tcW w:w="1538" w:type="dxa"/>
            <w:shd w:val="clear" w:color="auto" w:fill="auto"/>
            <w:vAlign w:val="center"/>
          </w:tcPr>
          <w:p w14:paraId="58875CC5" w14:textId="77777777" w:rsidR="0020782B" w:rsidRPr="00F30A97" w:rsidRDefault="0020782B">
            <w:pPr>
              <w:pStyle w:val="Tabletext"/>
              <w:rPr>
                <w:sz w:val="20"/>
              </w:rPr>
            </w:pPr>
            <w:r w:rsidRPr="00F30A97">
              <w:rPr>
                <w:color w:val="000000"/>
                <w:sz w:val="20"/>
              </w:rPr>
              <w:t xml:space="preserve">Under Study </w:t>
            </w:r>
          </w:p>
        </w:tc>
      </w:tr>
      <w:tr w:rsidR="0020782B" w:rsidRPr="00F30A97" w14:paraId="7AEB4789" w14:textId="77777777" w:rsidTr="0004021B">
        <w:trPr>
          <w:trHeight w:val="290"/>
        </w:trPr>
        <w:tc>
          <w:tcPr>
            <w:tcW w:w="1838" w:type="dxa"/>
            <w:shd w:val="clear" w:color="auto" w:fill="auto"/>
            <w:vAlign w:val="center"/>
          </w:tcPr>
          <w:p w14:paraId="5B4969DF" w14:textId="77777777" w:rsidR="0020782B" w:rsidRPr="00F30A97" w:rsidRDefault="0020782B">
            <w:pPr>
              <w:pStyle w:val="Tabletext"/>
              <w:rPr>
                <w:sz w:val="20"/>
              </w:rPr>
            </w:pPr>
            <w:r w:rsidRPr="00F30A97">
              <w:rPr>
                <w:color w:val="000000"/>
                <w:sz w:val="20"/>
              </w:rPr>
              <w:t>ETSI TR 102 445*</w:t>
            </w:r>
          </w:p>
        </w:tc>
        <w:tc>
          <w:tcPr>
            <w:tcW w:w="2410" w:type="dxa"/>
            <w:shd w:val="clear" w:color="auto" w:fill="auto"/>
            <w:vAlign w:val="center"/>
          </w:tcPr>
          <w:p w14:paraId="2A6F735E" w14:textId="77777777" w:rsidR="0020782B" w:rsidRPr="00F30A97" w:rsidRDefault="0020782B">
            <w:pPr>
              <w:pStyle w:val="Tabletext"/>
              <w:rPr>
                <w:sz w:val="20"/>
              </w:rPr>
            </w:pPr>
            <w:r w:rsidRPr="00F30A97">
              <w:rPr>
                <w:color w:val="000000"/>
                <w:sz w:val="20"/>
              </w:rPr>
              <w:t>ETSI</w:t>
            </w:r>
          </w:p>
        </w:tc>
        <w:tc>
          <w:tcPr>
            <w:tcW w:w="1276" w:type="dxa"/>
            <w:shd w:val="clear" w:color="auto" w:fill="auto"/>
            <w:vAlign w:val="center"/>
          </w:tcPr>
          <w:p w14:paraId="10A9B172" w14:textId="77777777" w:rsidR="0020782B" w:rsidRPr="00F30A97" w:rsidRDefault="0020782B">
            <w:pPr>
              <w:pStyle w:val="Tabletext"/>
              <w:rPr>
                <w:sz w:val="20"/>
              </w:rPr>
            </w:pPr>
            <w:r w:rsidRPr="00F30A97">
              <w:rPr>
                <w:color w:val="000000"/>
                <w:sz w:val="20"/>
              </w:rPr>
              <w:t>EMTEL</w:t>
            </w:r>
          </w:p>
        </w:tc>
        <w:tc>
          <w:tcPr>
            <w:tcW w:w="2567" w:type="dxa"/>
            <w:shd w:val="clear" w:color="auto" w:fill="auto"/>
            <w:vAlign w:val="center"/>
          </w:tcPr>
          <w:p w14:paraId="59092327" w14:textId="77777777" w:rsidR="0020782B" w:rsidRPr="00F30A97" w:rsidRDefault="0020782B">
            <w:pPr>
              <w:pStyle w:val="Tabletext"/>
              <w:rPr>
                <w:sz w:val="20"/>
              </w:rPr>
            </w:pPr>
            <w:r w:rsidRPr="00F30A97">
              <w:rPr>
                <w:color w:val="000000"/>
                <w:sz w:val="20"/>
              </w:rPr>
              <w:t>Emergency Communications (EMTEL); Overview of Emergency Communications Network Resilience and Preparedness</w:t>
            </w:r>
          </w:p>
        </w:tc>
        <w:tc>
          <w:tcPr>
            <w:tcW w:w="1538" w:type="dxa"/>
            <w:shd w:val="clear" w:color="auto" w:fill="auto"/>
            <w:vAlign w:val="center"/>
          </w:tcPr>
          <w:p w14:paraId="4E96669C" w14:textId="77777777" w:rsidR="0020782B" w:rsidRPr="00F30A97" w:rsidRDefault="0020782B">
            <w:pPr>
              <w:pStyle w:val="Tabletext"/>
              <w:rPr>
                <w:sz w:val="20"/>
              </w:rPr>
            </w:pPr>
            <w:r w:rsidRPr="00F30A97">
              <w:rPr>
                <w:color w:val="000000"/>
                <w:sz w:val="20"/>
              </w:rPr>
              <w:t>Published</w:t>
            </w:r>
          </w:p>
        </w:tc>
      </w:tr>
      <w:tr w:rsidR="0020782B" w:rsidRPr="00F30A97" w14:paraId="2E59A267" w14:textId="77777777" w:rsidTr="0004021B">
        <w:trPr>
          <w:trHeight w:val="290"/>
        </w:trPr>
        <w:tc>
          <w:tcPr>
            <w:tcW w:w="1838" w:type="dxa"/>
            <w:shd w:val="clear" w:color="auto" w:fill="auto"/>
            <w:vAlign w:val="center"/>
          </w:tcPr>
          <w:p w14:paraId="2F243CF2" w14:textId="77777777" w:rsidR="0020782B" w:rsidRPr="00F30A97" w:rsidRDefault="0020782B">
            <w:pPr>
              <w:pStyle w:val="Tabletext"/>
              <w:rPr>
                <w:sz w:val="20"/>
              </w:rPr>
            </w:pPr>
            <w:r w:rsidRPr="00F30A97">
              <w:rPr>
                <w:color w:val="000000"/>
                <w:sz w:val="20"/>
              </w:rPr>
              <w:t>ETSI TR 102 641*</w:t>
            </w:r>
          </w:p>
        </w:tc>
        <w:tc>
          <w:tcPr>
            <w:tcW w:w="2410" w:type="dxa"/>
            <w:shd w:val="clear" w:color="auto" w:fill="auto"/>
            <w:vAlign w:val="center"/>
          </w:tcPr>
          <w:p w14:paraId="1C42D23A" w14:textId="77777777" w:rsidR="0020782B" w:rsidRPr="00F30A97" w:rsidRDefault="0020782B">
            <w:pPr>
              <w:pStyle w:val="Tabletext"/>
              <w:rPr>
                <w:sz w:val="20"/>
              </w:rPr>
            </w:pPr>
            <w:r w:rsidRPr="00F30A97">
              <w:rPr>
                <w:color w:val="000000"/>
                <w:sz w:val="20"/>
              </w:rPr>
              <w:t>ETSI</w:t>
            </w:r>
          </w:p>
        </w:tc>
        <w:tc>
          <w:tcPr>
            <w:tcW w:w="1276" w:type="dxa"/>
            <w:shd w:val="clear" w:color="auto" w:fill="auto"/>
            <w:vAlign w:val="center"/>
          </w:tcPr>
          <w:p w14:paraId="4A87CB65" w14:textId="77777777" w:rsidR="0020782B" w:rsidRPr="00F30A97" w:rsidRDefault="0020782B">
            <w:pPr>
              <w:pStyle w:val="Tabletext"/>
              <w:rPr>
                <w:sz w:val="20"/>
              </w:rPr>
            </w:pPr>
            <w:r w:rsidRPr="00F30A97">
              <w:rPr>
                <w:color w:val="000000"/>
                <w:sz w:val="20"/>
              </w:rPr>
              <w:t>EMTEL</w:t>
            </w:r>
          </w:p>
        </w:tc>
        <w:tc>
          <w:tcPr>
            <w:tcW w:w="2567" w:type="dxa"/>
            <w:shd w:val="clear" w:color="auto" w:fill="auto"/>
            <w:vAlign w:val="center"/>
          </w:tcPr>
          <w:p w14:paraId="5692B0BD" w14:textId="77777777" w:rsidR="0020782B" w:rsidRPr="00F30A97" w:rsidRDefault="0020782B">
            <w:pPr>
              <w:pStyle w:val="Tabletext"/>
              <w:rPr>
                <w:sz w:val="20"/>
              </w:rPr>
            </w:pPr>
            <w:r w:rsidRPr="00F30A97">
              <w:rPr>
                <w:color w:val="000000"/>
                <w:sz w:val="20"/>
              </w:rPr>
              <w:t>Satellite Earth Stations and Systems (SES); Overview of present satellite emergency communications resources</w:t>
            </w:r>
          </w:p>
        </w:tc>
        <w:tc>
          <w:tcPr>
            <w:tcW w:w="1538" w:type="dxa"/>
            <w:shd w:val="clear" w:color="auto" w:fill="auto"/>
            <w:vAlign w:val="center"/>
          </w:tcPr>
          <w:p w14:paraId="549334B3" w14:textId="77777777" w:rsidR="0020782B" w:rsidRPr="00F30A97" w:rsidRDefault="0020782B">
            <w:pPr>
              <w:pStyle w:val="Tabletext"/>
              <w:rPr>
                <w:sz w:val="20"/>
              </w:rPr>
            </w:pPr>
            <w:r w:rsidRPr="00F30A97">
              <w:rPr>
                <w:color w:val="000000"/>
                <w:sz w:val="20"/>
              </w:rPr>
              <w:t>Published</w:t>
            </w:r>
          </w:p>
        </w:tc>
      </w:tr>
      <w:tr w:rsidR="0020782B" w:rsidRPr="00F30A97" w14:paraId="24943212" w14:textId="77777777" w:rsidTr="0004021B">
        <w:trPr>
          <w:trHeight w:val="290"/>
        </w:trPr>
        <w:tc>
          <w:tcPr>
            <w:tcW w:w="1838" w:type="dxa"/>
            <w:shd w:val="clear" w:color="auto" w:fill="auto"/>
            <w:vAlign w:val="center"/>
          </w:tcPr>
          <w:p w14:paraId="3FB8080F" w14:textId="77777777" w:rsidR="0020782B" w:rsidRPr="00F30A97" w:rsidRDefault="0020782B">
            <w:pPr>
              <w:pStyle w:val="Tabletext"/>
              <w:rPr>
                <w:sz w:val="20"/>
              </w:rPr>
            </w:pPr>
            <w:r w:rsidRPr="00F30A97">
              <w:rPr>
                <w:color w:val="000000"/>
                <w:sz w:val="20"/>
              </w:rPr>
              <w:t>ETSI TR 103 582*</w:t>
            </w:r>
          </w:p>
        </w:tc>
        <w:tc>
          <w:tcPr>
            <w:tcW w:w="2410" w:type="dxa"/>
            <w:shd w:val="clear" w:color="auto" w:fill="auto"/>
            <w:vAlign w:val="center"/>
          </w:tcPr>
          <w:p w14:paraId="1219FB99" w14:textId="77777777" w:rsidR="0020782B" w:rsidRPr="00F30A97" w:rsidRDefault="0020782B">
            <w:pPr>
              <w:pStyle w:val="Tabletext"/>
              <w:rPr>
                <w:sz w:val="20"/>
              </w:rPr>
            </w:pPr>
            <w:r w:rsidRPr="00F30A97">
              <w:rPr>
                <w:color w:val="000000"/>
                <w:sz w:val="20"/>
              </w:rPr>
              <w:t>ETSI</w:t>
            </w:r>
          </w:p>
        </w:tc>
        <w:tc>
          <w:tcPr>
            <w:tcW w:w="1276" w:type="dxa"/>
            <w:shd w:val="clear" w:color="auto" w:fill="auto"/>
            <w:vAlign w:val="center"/>
          </w:tcPr>
          <w:p w14:paraId="09D5CF63" w14:textId="77777777" w:rsidR="0020782B" w:rsidRPr="00F30A97" w:rsidRDefault="0020782B">
            <w:pPr>
              <w:pStyle w:val="Tabletext"/>
              <w:rPr>
                <w:sz w:val="20"/>
              </w:rPr>
            </w:pPr>
            <w:r w:rsidRPr="00F30A97">
              <w:rPr>
                <w:color w:val="000000"/>
                <w:sz w:val="20"/>
              </w:rPr>
              <w:t>EMTEL</w:t>
            </w:r>
          </w:p>
        </w:tc>
        <w:tc>
          <w:tcPr>
            <w:tcW w:w="2567" w:type="dxa"/>
            <w:shd w:val="clear" w:color="auto" w:fill="auto"/>
            <w:vAlign w:val="center"/>
          </w:tcPr>
          <w:p w14:paraId="6A81C248" w14:textId="77777777" w:rsidR="0020782B" w:rsidRPr="00F30A97" w:rsidRDefault="0020782B">
            <w:pPr>
              <w:pStyle w:val="Tabletext"/>
              <w:rPr>
                <w:sz w:val="20"/>
              </w:rPr>
            </w:pPr>
            <w:r w:rsidRPr="00F30A97">
              <w:rPr>
                <w:color w:val="000000"/>
                <w:sz w:val="20"/>
              </w:rPr>
              <w:t>Study of use cases and communications involving IoT devices in provision of emergency situations</w:t>
            </w:r>
          </w:p>
        </w:tc>
        <w:tc>
          <w:tcPr>
            <w:tcW w:w="1538" w:type="dxa"/>
            <w:shd w:val="clear" w:color="auto" w:fill="auto"/>
            <w:vAlign w:val="center"/>
          </w:tcPr>
          <w:p w14:paraId="0F0742A3" w14:textId="77777777" w:rsidR="0020782B" w:rsidRPr="00F30A97" w:rsidRDefault="0020782B">
            <w:pPr>
              <w:pStyle w:val="Tabletext"/>
              <w:rPr>
                <w:sz w:val="20"/>
              </w:rPr>
            </w:pPr>
            <w:r w:rsidRPr="00F30A97">
              <w:rPr>
                <w:color w:val="000000"/>
                <w:sz w:val="20"/>
              </w:rPr>
              <w:t>Published</w:t>
            </w:r>
          </w:p>
        </w:tc>
      </w:tr>
      <w:tr w:rsidR="0020782B" w:rsidRPr="00F30A97" w14:paraId="7F38A3DE" w14:textId="77777777" w:rsidTr="0004021B">
        <w:trPr>
          <w:trHeight w:val="290"/>
        </w:trPr>
        <w:tc>
          <w:tcPr>
            <w:tcW w:w="1838" w:type="dxa"/>
            <w:shd w:val="clear" w:color="auto" w:fill="auto"/>
            <w:vAlign w:val="center"/>
          </w:tcPr>
          <w:p w14:paraId="6451A19F" w14:textId="77777777" w:rsidR="0020782B" w:rsidRPr="00F30A97" w:rsidRDefault="0020782B">
            <w:pPr>
              <w:pStyle w:val="Tabletext"/>
              <w:rPr>
                <w:sz w:val="20"/>
              </w:rPr>
            </w:pPr>
            <w:r w:rsidRPr="00F30A97">
              <w:rPr>
                <w:color w:val="000000"/>
                <w:sz w:val="20"/>
              </w:rPr>
              <w:t>ETSI TS 102 182*</w:t>
            </w:r>
          </w:p>
        </w:tc>
        <w:tc>
          <w:tcPr>
            <w:tcW w:w="2410" w:type="dxa"/>
            <w:shd w:val="clear" w:color="auto" w:fill="auto"/>
            <w:vAlign w:val="center"/>
          </w:tcPr>
          <w:p w14:paraId="2AB23CBC" w14:textId="77777777" w:rsidR="0020782B" w:rsidRPr="00F30A97" w:rsidRDefault="0020782B">
            <w:pPr>
              <w:pStyle w:val="Tabletext"/>
              <w:rPr>
                <w:sz w:val="20"/>
              </w:rPr>
            </w:pPr>
            <w:r w:rsidRPr="00F30A97">
              <w:rPr>
                <w:color w:val="000000"/>
                <w:sz w:val="20"/>
              </w:rPr>
              <w:t>ETSI</w:t>
            </w:r>
          </w:p>
        </w:tc>
        <w:tc>
          <w:tcPr>
            <w:tcW w:w="1276" w:type="dxa"/>
            <w:shd w:val="clear" w:color="auto" w:fill="auto"/>
            <w:vAlign w:val="center"/>
          </w:tcPr>
          <w:p w14:paraId="12D0C853" w14:textId="77777777" w:rsidR="0020782B" w:rsidRPr="00F30A97" w:rsidRDefault="0020782B">
            <w:pPr>
              <w:pStyle w:val="Tabletext"/>
              <w:rPr>
                <w:sz w:val="20"/>
              </w:rPr>
            </w:pPr>
            <w:r w:rsidRPr="00F30A97">
              <w:rPr>
                <w:color w:val="000000"/>
                <w:sz w:val="20"/>
              </w:rPr>
              <w:t>EMTEL</w:t>
            </w:r>
          </w:p>
        </w:tc>
        <w:tc>
          <w:tcPr>
            <w:tcW w:w="2567" w:type="dxa"/>
            <w:shd w:val="clear" w:color="auto" w:fill="auto"/>
            <w:vAlign w:val="center"/>
          </w:tcPr>
          <w:p w14:paraId="6EA1CB53" w14:textId="77777777" w:rsidR="0020782B" w:rsidRPr="00F30A97" w:rsidRDefault="0020782B">
            <w:pPr>
              <w:pStyle w:val="Tabletext"/>
              <w:rPr>
                <w:sz w:val="20"/>
              </w:rPr>
            </w:pPr>
            <w:r w:rsidRPr="00F30A97">
              <w:rPr>
                <w:color w:val="000000"/>
                <w:sz w:val="20"/>
              </w:rPr>
              <w:t>Emergency Communications (EMTEL); Requirements for communications from authorities/organizations to individuals, groups or the general public during emergencies</w:t>
            </w:r>
          </w:p>
        </w:tc>
        <w:tc>
          <w:tcPr>
            <w:tcW w:w="1538" w:type="dxa"/>
            <w:shd w:val="clear" w:color="auto" w:fill="auto"/>
            <w:vAlign w:val="center"/>
          </w:tcPr>
          <w:p w14:paraId="500231AD" w14:textId="77777777" w:rsidR="0020782B" w:rsidRPr="00F30A97" w:rsidRDefault="0020782B">
            <w:pPr>
              <w:pStyle w:val="Tabletext"/>
              <w:rPr>
                <w:sz w:val="20"/>
              </w:rPr>
            </w:pPr>
            <w:r w:rsidRPr="00F30A97">
              <w:rPr>
                <w:color w:val="000000"/>
                <w:sz w:val="20"/>
              </w:rPr>
              <w:t>Published</w:t>
            </w:r>
          </w:p>
        </w:tc>
      </w:tr>
      <w:tr w:rsidR="0020782B" w:rsidRPr="00F30A97" w14:paraId="718C4489" w14:textId="77777777" w:rsidTr="0004021B">
        <w:trPr>
          <w:trHeight w:val="290"/>
        </w:trPr>
        <w:tc>
          <w:tcPr>
            <w:tcW w:w="1838" w:type="dxa"/>
            <w:shd w:val="clear" w:color="auto" w:fill="auto"/>
            <w:vAlign w:val="center"/>
          </w:tcPr>
          <w:p w14:paraId="3AF37CAD" w14:textId="77777777" w:rsidR="0020782B" w:rsidRPr="00F30A97" w:rsidRDefault="0020782B">
            <w:pPr>
              <w:pStyle w:val="Tabletext"/>
              <w:rPr>
                <w:sz w:val="20"/>
              </w:rPr>
            </w:pPr>
            <w:r w:rsidRPr="00F30A97">
              <w:rPr>
                <w:color w:val="000000"/>
                <w:sz w:val="20"/>
              </w:rPr>
              <w:t>ETSI TS 102 900*</w:t>
            </w:r>
          </w:p>
        </w:tc>
        <w:tc>
          <w:tcPr>
            <w:tcW w:w="2410" w:type="dxa"/>
            <w:shd w:val="clear" w:color="auto" w:fill="auto"/>
            <w:vAlign w:val="center"/>
          </w:tcPr>
          <w:p w14:paraId="2A02CA99" w14:textId="77777777" w:rsidR="0020782B" w:rsidRPr="00F30A97" w:rsidRDefault="0020782B">
            <w:pPr>
              <w:pStyle w:val="Tabletext"/>
              <w:rPr>
                <w:sz w:val="20"/>
              </w:rPr>
            </w:pPr>
            <w:r w:rsidRPr="00F30A97">
              <w:rPr>
                <w:color w:val="000000"/>
                <w:sz w:val="20"/>
              </w:rPr>
              <w:t>ETSI</w:t>
            </w:r>
          </w:p>
        </w:tc>
        <w:tc>
          <w:tcPr>
            <w:tcW w:w="1276" w:type="dxa"/>
            <w:shd w:val="clear" w:color="auto" w:fill="auto"/>
            <w:vAlign w:val="center"/>
          </w:tcPr>
          <w:p w14:paraId="48230994" w14:textId="77777777" w:rsidR="0020782B" w:rsidRPr="00F30A97" w:rsidRDefault="0020782B">
            <w:pPr>
              <w:pStyle w:val="Tabletext"/>
              <w:rPr>
                <w:sz w:val="20"/>
              </w:rPr>
            </w:pPr>
            <w:r w:rsidRPr="00F30A97">
              <w:rPr>
                <w:color w:val="000000"/>
                <w:sz w:val="20"/>
              </w:rPr>
              <w:t>EMTEL</w:t>
            </w:r>
          </w:p>
        </w:tc>
        <w:tc>
          <w:tcPr>
            <w:tcW w:w="2567" w:type="dxa"/>
            <w:shd w:val="clear" w:color="auto" w:fill="auto"/>
            <w:vAlign w:val="center"/>
          </w:tcPr>
          <w:p w14:paraId="03333CE0" w14:textId="77777777" w:rsidR="0020782B" w:rsidRPr="00F30A97" w:rsidRDefault="0020782B">
            <w:pPr>
              <w:pStyle w:val="Tabletext"/>
              <w:rPr>
                <w:sz w:val="20"/>
              </w:rPr>
            </w:pPr>
            <w:r w:rsidRPr="00F30A97">
              <w:rPr>
                <w:color w:val="000000"/>
                <w:sz w:val="20"/>
              </w:rPr>
              <w:t>Emergency Communications (EMTEL); European Public Warning System (EU-ALERT) using the Cell Broadcast Service</w:t>
            </w:r>
          </w:p>
        </w:tc>
        <w:tc>
          <w:tcPr>
            <w:tcW w:w="1538" w:type="dxa"/>
            <w:shd w:val="clear" w:color="auto" w:fill="auto"/>
            <w:vAlign w:val="center"/>
          </w:tcPr>
          <w:p w14:paraId="5FB30323" w14:textId="77777777" w:rsidR="0020782B" w:rsidRPr="00F30A97" w:rsidRDefault="0020782B">
            <w:pPr>
              <w:pStyle w:val="Tabletext"/>
              <w:rPr>
                <w:sz w:val="20"/>
              </w:rPr>
            </w:pPr>
            <w:r w:rsidRPr="00F30A97">
              <w:rPr>
                <w:color w:val="000000"/>
                <w:sz w:val="20"/>
              </w:rPr>
              <w:t>Published</w:t>
            </w:r>
          </w:p>
        </w:tc>
      </w:tr>
      <w:tr w:rsidR="0020782B" w:rsidRPr="00F30A97" w14:paraId="7DE24C01" w14:textId="77777777" w:rsidTr="0004021B">
        <w:trPr>
          <w:trHeight w:val="290"/>
        </w:trPr>
        <w:tc>
          <w:tcPr>
            <w:tcW w:w="1838" w:type="dxa"/>
            <w:shd w:val="clear" w:color="auto" w:fill="auto"/>
            <w:vAlign w:val="center"/>
          </w:tcPr>
          <w:p w14:paraId="2D2E1F0D" w14:textId="77777777" w:rsidR="0020782B" w:rsidRPr="00F30A97" w:rsidRDefault="0020782B">
            <w:pPr>
              <w:pStyle w:val="Tabletext"/>
              <w:rPr>
                <w:sz w:val="20"/>
              </w:rPr>
            </w:pPr>
            <w:r w:rsidRPr="00F30A97">
              <w:rPr>
                <w:color w:val="000000"/>
                <w:sz w:val="20"/>
              </w:rPr>
              <w:t>ETSI TS 102 181 v1.3.1*</w:t>
            </w:r>
          </w:p>
        </w:tc>
        <w:tc>
          <w:tcPr>
            <w:tcW w:w="2410" w:type="dxa"/>
            <w:shd w:val="clear" w:color="auto" w:fill="auto"/>
          </w:tcPr>
          <w:p w14:paraId="5D6A031F" w14:textId="77777777" w:rsidR="0020782B" w:rsidRPr="00F30A97" w:rsidRDefault="0020782B">
            <w:pPr>
              <w:pStyle w:val="Tabletext"/>
              <w:rPr>
                <w:sz w:val="20"/>
              </w:rPr>
            </w:pPr>
            <w:r w:rsidRPr="00F30A97">
              <w:rPr>
                <w:color w:val="000000"/>
                <w:sz w:val="20"/>
              </w:rPr>
              <w:t>ETSI</w:t>
            </w:r>
          </w:p>
        </w:tc>
        <w:tc>
          <w:tcPr>
            <w:tcW w:w="1276" w:type="dxa"/>
            <w:shd w:val="clear" w:color="auto" w:fill="auto"/>
            <w:vAlign w:val="center"/>
          </w:tcPr>
          <w:p w14:paraId="4706AE74" w14:textId="77777777" w:rsidR="0020782B" w:rsidRPr="00F30A97" w:rsidRDefault="0020782B">
            <w:pPr>
              <w:pStyle w:val="Tabletext"/>
              <w:rPr>
                <w:sz w:val="20"/>
              </w:rPr>
            </w:pPr>
            <w:r w:rsidRPr="00F30A97">
              <w:rPr>
                <w:color w:val="000000"/>
                <w:sz w:val="20"/>
              </w:rPr>
              <w:t>EMTEL</w:t>
            </w:r>
          </w:p>
        </w:tc>
        <w:tc>
          <w:tcPr>
            <w:tcW w:w="2567" w:type="dxa"/>
            <w:shd w:val="clear" w:color="auto" w:fill="auto"/>
            <w:vAlign w:val="center"/>
          </w:tcPr>
          <w:p w14:paraId="665F6B16" w14:textId="77777777" w:rsidR="0020782B" w:rsidRPr="00F30A97" w:rsidRDefault="0020782B">
            <w:pPr>
              <w:pStyle w:val="Tabletext"/>
              <w:rPr>
                <w:sz w:val="20"/>
              </w:rPr>
            </w:pPr>
            <w:r w:rsidRPr="00F30A97">
              <w:rPr>
                <w:color w:val="000000"/>
                <w:sz w:val="20"/>
              </w:rPr>
              <w:t xml:space="preserve">Emergency Communications (EMTEL); Requirements for communication between </w:t>
            </w:r>
            <w:r w:rsidRPr="00F30A97">
              <w:rPr>
                <w:color w:val="000000"/>
                <w:sz w:val="20"/>
              </w:rPr>
              <w:lastRenderedPageBreak/>
              <w:t>authorities/organizations during emergencies</w:t>
            </w:r>
          </w:p>
        </w:tc>
        <w:tc>
          <w:tcPr>
            <w:tcW w:w="1538" w:type="dxa"/>
            <w:shd w:val="clear" w:color="auto" w:fill="auto"/>
            <w:vAlign w:val="center"/>
          </w:tcPr>
          <w:p w14:paraId="759C07C0" w14:textId="77777777" w:rsidR="0020782B" w:rsidRPr="00F30A97" w:rsidRDefault="0020782B">
            <w:pPr>
              <w:pStyle w:val="Tabletext"/>
              <w:rPr>
                <w:sz w:val="20"/>
              </w:rPr>
            </w:pPr>
            <w:r w:rsidRPr="00F30A97">
              <w:rPr>
                <w:color w:val="000000"/>
                <w:sz w:val="20"/>
              </w:rPr>
              <w:lastRenderedPageBreak/>
              <w:t>Published</w:t>
            </w:r>
          </w:p>
        </w:tc>
      </w:tr>
      <w:tr w:rsidR="0020782B" w:rsidRPr="00F30A97" w14:paraId="5CB77A3F" w14:textId="77777777" w:rsidTr="0004021B">
        <w:trPr>
          <w:trHeight w:val="290"/>
        </w:trPr>
        <w:tc>
          <w:tcPr>
            <w:tcW w:w="1838" w:type="dxa"/>
            <w:shd w:val="clear" w:color="auto" w:fill="auto"/>
            <w:vAlign w:val="center"/>
          </w:tcPr>
          <w:p w14:paraId="6D8ABAEC" w14:textId="77777777" w:rsidR="0020782B" w:rsidRPr="00F30A97" w:rsidRDefault="0020782B">
            <w:pPr>
              <w:pStyle w:val="Tabletext"/>
              <w:rPr>
                <w:sz w:val="20"/>
              </w:rPr>
            </w:pPr>
            <w:r w:rsidRPr="00F30A97">
              <w:rPr>
                <w:color w:val="000000"/>
                <w:sz w:val="20"/>
              </w:rPr>
              <w:t>ETSI TS 103 625*</w:t>
            </w:r>
          </w:p>
        </w:tc>
        <w:tc>
          <w:tcPr>
            <w:tcW w:w="2410" w:type="dxa"/>
            <w:shd w:val="clear" w:color="auto" w:fill="auto"/>
            <w:vAlign w:val="center"/>
          </w:tcPr>
          <w:p w14:paraId="7E31D39C" w14:textId="77777777" w:rsidR="0020782B" w:rsidRPr="00F30A97" w:rsidRDefault="0020782B">
            <w:pPr>
              <w:pStyle w:val="Tabletext"/>
              <w:rPr>
                <w:sz w:val="20"/>
              </w:rPr>
            </w:pPr>
            <w:r w:rsidRPr="00F30A97">
              <w:rPr>
                <w:color w:val="000000"/>
                <w:sz w:val="20"/>
              </w:rPr>
              <w:t>ETSI</w:t>
            </w:r>
          </w:p>
        </w:tc>
        <w:tc>
          <w:tcPr>
            <w:tcW w:w="1276" w:type="dxa"/>
            <w:shd w:val="clear" w:color="auto" w:fill="auto"/>
            <w:vAlign w:val="center"/>
          </w:tcPr>
          <w:p w14:paraId="58900CD1" w14:textId="77777777" w:rsidR="0020782B" w:rsidRPr="00F30A97" w:rsidRDefault="0020782B">
            <w:pPr>
              <w:pStyle w:val="Tabletext"/>
              <w:rPr>
                <w:sz w:val="20"/>
              </w:rPr>
            </w:pPr>
            <w:r w:rsidRPr="00F30A97">
              <w:rPr>
                <w:color w:val="000000"/>
                <w:sz w:val="20"/>
              </w:rPr>
              <w:t>EMTEL</w:t>
            </w:r>
          </w:p>
        </w:tc>
        <w:tc>
          <w:tcPr>
            <w:tcW w:w="2567" w:type="dxa"/>
            <w:shd w:val="clear" w:color="auto" w:fill="auto"/>
            <w:vAlign w:val="center"/>
          </w:tcPr>
          <w:p w14:paraId="2948A597" w14:textId="77777777" w:rsidR="0020782B" w:rsidRPr="00F30A97" w:rsidRDefault="0020782B">
            <w:pPr>
              <w:pStyle w:val="Tabletext"/>
              <w:rPr>
                <w:sz w:val="20"/>
              </w:rPr>
            </w:pPr>
            <w:r w:rsidRPr="00F30A97">
              <w:rPr>
                <w:color w:val="000000"/>
                <w:sz w:val="20"/>
              </w:rPr>
              <w:t>Emergency Communications (EMTEL); Transporting Handset Location to PSAPs for Emergency Calls - Advanced Mobile Location</w:t>
            </w:r>
          </w:p>
        </w:tc>
        <w:tc>
          <w:tcPr>
            <w:tcW w:w="1538" w:type="dxa"/>
            <w:shd w:val="clear" w:color="auto" w:fill="auto"/>
            <w:vAlign w:val="center"/>
          </w:tcPr>
          <w:p w14:paraId="63054867" w14:textId="77777777" w:rsidR="0020782B" w:rsidRPr="00F30A97" w:rsidRDefault="0020782B">
            <w:pPr>
              <w:pStyle w:val="Tabletext"/>
              <w:rPr>
                <w:sz w:val="20"/>
              </w:rPr>
            </w:pPr>
            <w:r w:rsidRPr="00F30A97">
              <w:rPr>
                <w:color w:val="000000"/>
                <w:sz w:val="20"/>
              </w:rPr>
              <w:t>Published</w:t>
            </w:r>
          </w:p>
        </w:tc>
      </w:tr>
      <w:tr w:rsidR="0020782B" w:rsidRPr="00F30A97" w14:paraId="66C9AA18" w14:textId="77777777" w:rsidTr="0004021B">
        <w:trPr>
          <w:trHeight w:val="290"/>
        </w:trPr>
        <w:tc>
          <w:tcPr>
            <w:tcW w:w="1838" w:type="dxa"/>
            <w:shd w:val="clear" w:color="auto" w:fill="auto"/>
            <w:vAlign w:val="center"/>
          </w:tcPr>
          <w:p w14:paraId="05D9B322" w14:textId="77777777" w:rsidR="0020782B" w:rsidRPr="00F30A97" w:rsidRDefault="0020782B">
            <w:pPr>
              <w:pStyle w:val="Tabletext"/>
              <w:rPr>
                <w:sz w:val="20"/>
              </w:rPr>
            </w:pPr>
            <w:r w:rsidRPr="00F30A97">
              <w:rPr>
                <w:color w:val="000000"/>
                <w:sz w:val="20"/>
              </w:rPr>
              <w:t xml:space="preserve">IEC 63152:2020* </w:t>
            </w:r>
          </w:p>
        </w:tc>
        <w:tc>
          <w:tcPr>
            <w:tcW w:w="2410" w:type="dxa"/>
            <w:shd w:val="clear" w:color="auto" w:fill="auto"/>
            <w:vAlign w:val="center"/>
          </w:tcPr>
          <w:p w14:paraId="0BB9D694" w14:textId="77777777" w:rsidR="0020782B" w:rsidRPr="00F30A97" w:rsidRDefault="0020782B">
            <w:pPr>
              <w:pStyle w:val="Tabletext"/>
              <w:rPr>
                <w:sz w:val="20"/>
              </w:rPr>
            </w:pPr>
            <w:r w:rsidRPr="00F30A97">
              <w:rPr>
                <w:color w:val="000000"/>
                <w:sz w:val="20"/>
              </w:rPr>
              <w:t>IEC</w:t>
            </w:r>
          </w:p>
        </w:tc>
        <w:tc>
          <w:tcPr>
            <w:tcW w:w="1276" w:type="dxa"/>
            <w:shd w:val="clear" w:color="auto" w:fill="auto"/>
            <w:vAlign w:val="center"/>
          </w:tcPr>
          <w:p w14:paraId="73699A38" w14:textId="77777777" w:rsidR="0020782B" w:rsidRPr="00F30A97" w:rsidRDefault="0020782B">
            <w:pPr>
              <w:pStyle w:val="Tabletext"/>
              <w:rPr>
                <w:sz w:val="20"/>
              </w:rPr>
            </w:pPr>
            <w:r w:rsidRPr="00F30A97">
              <w:rPr>
                <w:color w:val="000000"/>
                <w:sz w:val="20"/>
              </w:rPr>
              <w:t> </w:t>
            </w:r>
          </w:p>
        </w:tc>
        <w:tc>
          <w:tcPr>
            <w:tcW w:w="2567" w:type="dxa"/>
            <w:shd w:val="clear" w:color="auto" w:fill="auto"/>
            <w:vAlign w:val="center"/>
          </w:tcPr>
          <w:p w14:paraId="354E47DC" w14:textId="77777777" w:rsidR="0020782B" w:rsidRPr="00F30A97" w:rsidRDefault="0020782B">
            <w:pPr>
              <w:pStyle w:val="Tabletext"/>
              <w:rPr>
                <w:sz w:val="20"/>
              </w:rPr>
            </w:pPr>
            <w:r w:rsidRPr="00F30A97">
              <w:rPr>
                <w:color w:val="000000"/>
                <w:sz w:val="20"/>
              </w:rPr>
              <w:t>Smart cities - City service continuity against disasters - The role of the electrical supply</w:t>
            </w:r>
          </w:p>
        </w:tc>
        <w:tc>
          <w:tcPr>
            <w:tcW w:w="1538" w:type="dxa"/>
            <w:shd w:val="clear" w:color="auto" w:fill="auto"/>
            <w:vAlign w:val="center"/>
          </w:tcPr>
          <w:p w14:paraId="1727A3F5" w14:textId="77777777" w:rsidR="0020782B" w:rsidRPr="00F30A97" w:rsidRDefault="0020782B">
            <w:pPr>
              <w:pStyle w:val="Tabletext"/>
              <w:rPr>
                <w:sz w:val="20"/>
              </w:rPr>
            </w:pPr>
            <w:r w:rsidRPr="00F30A97">
              <w:rPr>
                <w:color w:val="000000"/>
                <w:sz w:val="20"/>
              </w:rPr>
              <w:t>Published</w:t>
            </w:r>
          </w:p>
        </w:tc>
      </w:tr>
      <w:tr w:rsidR="0020782B" w:rsidRPr="00F30A97" w14:paraId="3BF10F05" w14:textId="77777777" w:rsidTr="0004021B">
        <w:trPr>
          <w:trHeight w:val="290"/>
        </w:trPr>
        <w:tc>
          <w:tcPr>
            <w:tcW w:w="1838" w:type="dxa"/>
            <w:shd w:val="clear" w:color="auto" w:fill="auto"/>
            <w:vAlign w:val="center"/>
          </w:tcPr>
          <w:p w14:paraId="618F4E7B" w14:textId="77777777" w:rsidR="0020782B" w:rsidRPr="00F30A97" w:rsidRDefault="0020782B">
            <w:pPr>
              <w:pStyle w:val="Tabletext"/>
              <w:rPr>
                <w:sz w:val="20"/>
              </w:rPr>
            </w:pPr>
            <w:r w:rsidRPr="00F30A97">
              <w:rPr>
                <w:color w:val="000000"/>
                <w:sz w:val="20"/>
              </w:rPr>
              <w:t>IEEE 1716-2014</w:t>
            </w:r>
          </w:p>
        </w:tc>
        <w:tc>
          <w:tcPr>
            <w:tcW w:w="2410" w:type="dxa"/>
            <w:shd w:val="clear" w:color="auto" w:fill="auto"/>
            <w:vAlign w:val="center"/>
          </w:tcPr>
          <w:p w14:paraId="51C2B6E0" w14:textId="77777777" w:rsidR="0020782B" w:rsidRPr="00F30A97" w:rsidRDefault="0020782B">
            <w:pPr>
              <w:pStyle w:val="Tabletext"/>
              <w:rPr>
                <w:sz w:val="20"/>
              </w:rPr>
            </w:pPr>
            <w:r w:rsidRPr="00F30A97">
              <w:rPr>
                <w:color w:val="000000"/>
                <w:sz w:val="20"/>
              </w:rPr>
              <w:t>IEEE</w:t>
            </w:r>
          </w:p>
        </w:tc>
        <w:tc>
          <w:tcPr>
            <w:tcW w:w="1276" w:type="dxa"/>
            <w:shd w:val="clear" w:color="auto" w:fill="auto"/>
            <w:vAlign w:val="center"/>
          </w:tcPr>
          <w:p w14:paraId="35EE8252" w14:textId="77777777" w:rsidR="0020782B" w:rsidRPr="00F30A97" w:rsidRDefault="0020782B">
            <w:pPr>
              <w:pStyle w:val="Tabletext"/>
              <w:rPr>
                <w:sz w:val="20"/>
              </w:rPr>
            </w:pPr>
            <w:r w:rsidRPr="00F30A97">
              <w:rPr>
                <w:color w:val="000000"/>
                <w:sz w:val="20"/>
              </w:rPr>
              <w:t> </w:t>
            </w:r>
          </w:p>
        </w:tc>
        <w:tc>
          <w:tcPr>
            <w:tcW w:w="2567" w:type="dxa"/>
            <w:shd w:val="clear" w:color="auto" w:fill="auto"/>
            <w:vAlign w:val="center"/>
          </w:tcPr>
          <w:p w14:paraId="1A0A608E" w14:textId="77777777" w:rsidR="0020782B" w:rsidRPr="00F30A97" w:rsidRDefault="0020782B">
            <w:pPr>
              <w:pStyle w:val="Tabletext"/>
              <w:rPr>
                <w:sz w:val="20"/>
              </w:rPr>
            </w:pPr>
            <w:r w:rsidRPr="00F30A97">
              <w:rPr>
                <w:color w:val="000000"/>
                <w:sz w:val="20"/>
              </w:rPr>
              <w:t>IEEE Recommended Practice for Managing Natural Disaster Impact on Key Electrical Systems and Installations in Petroleum and Chemical Facilities</w:t>
            </w:r>
          </w:p>
        </w:tc>
        <w:tc>
          <w:tcPr>
            <w:tcW w:w="1538" w:type="dxa"/>
            <w:shd w:val="clear" w:color="auto" w:fill="auto"/>
            <w:vAlign w:val="center"/>
          </w:tcPr>
          <w:p w14:paraId="1B26D61E" w14:textId="77777777" w:rsidR="0020782B" w:rsidRPr="00F30A97" w:rsidRDefault="0020782B">
            <w:pPr>
              <w:pStyle w:val="Tabletext"/>
              <w:rPr>
                <w:sz w:val="20"/>
              </w:rPr>
            </w:pPr>
            <w:r w:rsidRPr="00F30A97">
              <w:rPr>
                <w:color w:val="000000"/>
                <w:sz w:val="20"/>
              </w:rPr>
              <w:t>Published</w:t>
            </w:r>
          </w:p>
        </w:tc>
      </w:tr>
      <w:tr w:rsidR="0020782B" w:rsidRPr="00F30A97" w14:paraId="4FAF80CB" w14:textId="77777777" w:rsidTr="0004021B">
        <w:trPr>
          <w:trHeight w:val="290"/>
        </w:trPr>
        <w:tc>
          <w:tcPr>
            <w:tcW w:w="1838" w:type="dxa"/>
            <w:shd w:val="clear" w:color="auto" w:fill="auto"/>
            <w:vAlign w:val="center"/>
          </w:tcPr>
          <w:p w14:paraId="29DA0FA7" w14:textId="77777777" w:rsidR="0020782B" w:rsidRPr="00F30A97" w:rsidRDefault="0020782B">
            <w:pPr>
              <w:pStyle w:val="Tabletext"/>
              <w:rPr>
                <w:sz w:val="20"/>
              </w:rPr>
            </w:pPr>
            <w:r w:rsidRPr="00F30A97">
              <w:rPr>
                <w:color w:val="000000"/>
                <w:sz w:val="20"/>
              </w:rPr>
              <w:t> </w:t>
            </w:r>
          </w:p>
        </w:tc>
        <w:tc>
          <w:tcPr>
            <w:tcW w:w="2410" w:type="dxa"/>
            <w:shd w:val="clear" w:color="auto" w:fill="auto"/>
            <w:vAlign w:val="center"/>
          </w:tcPr>
          <w:p w14:paraId="2D975588" w14:textId="77777777" w:rsidR="0020782B" w:rsidRPr="00F30A97" w:rsidRDefault="0020782B">
            <w:pPr>
              <w:pStyle w:val="Tabletext"/>
              <w:rPr>
                <w:sz w:val="20"/>
              </w:rPr>
            </w:pPr>
            <w:r w:rsidRPr="00F30A97">
              <w:rPr>
                <w:color w:val="000000"/>
                <w:sz w:val="20"/>
              </w:rPr>
              <w:t>IEEE</w:t>
            </w:r>
          </w:p>
        </w:tc>
        <w:tc>
          <w:tcPr>
            <w:tcW w:w="1276" w:type="dxa"/>
            <w:shd w:val="clear" w:color="auto" w:fill="auto"/>
            <w:vAlign w:val="center"/>
          </w:tcPr>
          <w:p w14:paraId="21B91069" w14:textId="77777777" w:rsidR="0020782B" w:rsidRPr="00F30A97" w:rsidRDefault="0020782B">
            <w:pPr>
              <w:pStyle w:val="Tabletext"/>
              <w:rPr>
                <w:sz w:val="20"/>
              </w:rPr>
            </w:pPr>
            <w:r w:rsidRPr="00F30A97">
              <w:rPr>
                <w:color w:val="000000"/>
                <w:sz w:val="20"/>
              </w:rPr>
              <w:t> </w:t>
            </w:r>
          </w:p>
        </w:tc>
        <w:tc>
          <w:tcPr>
            <w:tcW w:w="2567" w:type="dxa"/>
            <w:shd w:val="clear" w:color="auto" w:fill="auto"/>
            <w:vAlign w:val="center"/>
          </w:tcPr>
          <w:p w14:paraId="53B742FE" w14:textId="77777777" w:rsidR="0020782B" w:rsidRPr="00F30A97" w:rsidRDefault="0020782B">
            <w:pPr>
              <w:pStyle w:val="Tabletext"/>
              <w:rPr>
                <w:sz w:val="20"/>
              </w:rPr>
            </w:pPr>
            <w:r w:rsidRPr="00F30A97">
              <w:rPr>
                <w:color w:val="000000"/>
                <w:sz w:val="20"/>
              </w:rPr>
              <w:t xml:space="preserve">User inclusive </w:t>
            </w:r>
            <w:r w:rsidRPr="00F30A97">
              <w:rPr>
                <w:sz w:val="20"/>
              </w:rPr>
              <w:t>crowdsourcing</w:t>
            </w:r>
            <w:r w:rsidRPr="00F30A97">
              <w:rPr>
                <w:color w:val="000000"/>
                <w:sz w:val="20"/>
              </w:rPr>
              <w:t xml:space="preserve"> disaster reporting system: Reporting and forecast</w:t>
            </w:r>
          </w:p>
        </w:tc>
        <w:tc>
          <w:tcPr>
            <w:tcW w:w="1538" w:type="dxa"/>
            <w:shd w:val="clear" w:color="auto" w:fill="auto"/>
            <w:vAlign w:val="center"/>
          </w:tcPr>
          <w:p w14:paraId="3891E29D" w14:textId="77777777" w:rsidR="0020782B" w:rsidRPr="00F30A97" w:rsidRDefault="0020782B">
            <w:pPr>
              <w:pStyle w:val="Tabletext"/>
              <w:rPr>
                <w:sz w:val="20"/>
              </w:rPr>
            </w:pPr>
            <w:r w:rsidRPr="00F30A97">
              <w:rPr>
                <w:color w:val="000000"/>
                <w:sz w:val="20"/>
              </w:rPr>
              <w:t>Published</w:t>
            </w:r>
          </w:p>
        </w:tc>
      </w:tr>
      <w:tr w:rsidR="0020782B" w:rsidRPr="00F30A97" w14:paraId="59935452" w14:textId="77777777" w:rsidTr="0004021B">
        <w:trPr>
          <w:trHeight w:val="290"/>
        </w:trPr>
        <w:tc>
          <w:tcPr>
            <w:tcW w:w="1838" w:type="dxa"/>
            <w:shd w:val="clear" w:color="auto" w:fill="auto"/>
            <w:vAlign w:val="center"/>
          </w:tcPr>
          <w:p w14:paraId="1AECCAD5" w14:textId="77777777" w:rsidR="0020782B" w:rsidRPr="00F30A97" w:rsidRDefault="0020782B">
            <w:pPr>
              <w:pStyle w:val="Tabletext"/>
              <w:rPr>
                <w:sz w:val="20"/>
              </w:rPr>
            </w:pPr>
            <w:r w:rsidRPr="00F30A97">
              <w:rPr>
                <w:color w:val="000000"/>
                <w:sz w:val="20"/>
              </w:rPr>
              <w:t>ISO 22301:2019*</w:t>
            </w:r>
          </w:p>
        </w:tc>
        <w:tc>
          <w:tcPr>
            <w:tcW w:w="2410" w:type="dxa"/>
            <w:shd w:val="clear" w:color="auto" w:fill="auto"/>
            <w:vAlign w:val="center"/>
          </w:tcPr>
          <w:p w14:paraId="092E141D" w14:textId="77777777" w:rsidR="0020782B" w:rsidRPr="00F30A97" w:rsidRDefault="0020782B">
            <w:pPr>
              <w:pStyle w:val="Tabletext"/>
              <w:rPr>
                <w:sz w:val="20"/>
              </w:rPr>
            </w:pPr>
            <w:r w:rsidRPr="00F30A97">
              <w:rPr>
                <w:color w:val="000000"/>
                <w:sz w:val="20"/>
              </w:rPr>
              <w:t>ISO</w:t>
            </w:r>
          </w:p>
        </w:tc>
        <w:tc>
          <w:tcPr>
            <w:tcW w:w="1276" w:type="dxa"/>
            <w:shd w:val="clear" w:color="auto" w:fill="auto"/>
            <w:vAlign w:val="center"/>
          </w:tcPr>
          <w:p w14:paraId="47C661FE" w14:textId="77777777" w:rsidR="0020782B" w:rsidRPr="00F30A97" w:rsidRDefault="0020782B">
            <w:pPr>
              <w:pStyle w:val="Tabletext"/>
              <w:rPr>
                <w:sz w:val="20"/>
              </w:rPr>
            </w:pPr>
            <w:r w:rsidRPr="00F30A97">
              <w:rPr>
                <w:color w:val="000000"/>
                <w:sz w:val="20"/>
              </w:rPr>
              <w:t> </w:t>
            </w:r>
          </w:p>
        </w:tc>
        <w:tc>
          <w:tcPr>
            <w:tcW w:w="2567" w:type="dxa"/>
            <w:shd w:val="clear" w:color="auto" w:fill="auto"/>
            <w:vAlign w:val="center"/>
          </w:tcPr>
          <w:p w14:paraId="20AA35BA" w14:textId="77777777" w:rsidR="0020782B" w:rsidRPr="00F30A97" w:rsidRDefault="0020782B">
            <w:pPr>
              <w:pStyle w:val="Tabletext"/>
              <w:rPr>
                <w:sz w:val="20"/>
              </w:rPr>
            </w:pPr>
            <w:r w:rsidRPr="00F30A97">
              <w:rPr>
                <w:color w:val="000000"/>
                <w:sz w:val="20"/>
              </w:rPr>
              <w:t>Security and resilience — Business continuity management systems — Requirements</w:t>
            </w:r>
          </w:p>
        </w:tc>
        <w:tc>
          <w:tcPr>
            <w:tcW w:w="1538" w:type="dxa"/>
            <w:shd w:val="clear" w:color="auto" w:fill="auto"/>
            <w:vAlign w:val="center"/>
          </w:tcPr>
          <w:p w14:paraId="3CDBDBFD" w14:textId="77777777" w:rsidR="0020782B" w:rsidRPr="00F30A97" w:rsidRDefault="0020782B">
            <w:pPr>
              <w:pStyle w:val="Tabletext"/>
              <w:rPr>
                <w:sz w:val="20"/>
              </w:rPr>
            </w:pPr>
            <w:r w:rsidRPr="00F30A97">
              <w:rPr>
                <w:color w:val="000000"/>
                <w:sz w:val="20"/>
              </w:rPr>
              <w:t>Published</w:t>
            </w:r>
          </w:p>
        </w:tc>
      </w:tr>
      <w:tr w:rsidR="0020782B" w:rsidRPr="00F30A97" w14:paraId="232C4A22" w14:textId="77777777" w:rsidTr="0004021B">
        <w:trPr>
          <w:trHeight w:val="290"/>
        </w:trPr>
        <w:tc>
          <w:tcPr>
            <w:tcW w:w="1838" w:type="dxa"/>
            <w:shd w:val="clear" w:color="auto" w:fill="auto"/>
            <w:vAlign w:val="center"/>
          </w:tcPr>
          <w:p w14:paraId="0416BEB6" w14:textId="77777777" w:rsidR="0020782B" w:rsidRPr="00F30A97" w:rsidRDefault="0020782B">
            <w:pPr>
              <w:pStyle w:val="Tabletext"/>
              <w:rPr>
                <w:sz w:val="20"/>
              </w:rPr>
            </w:pPr>
            <w:r w:rsidRPr="00F30A97">
              <w:rPr>
                <w:color w:val="000000"/>
                <w:sz w:val="20"/>
              </w:rPr>
              <w:t>ISO 22320:2018*</w:t>
            </w:r>
          </w:p>
        </w:tc>
        <w:tc>
          <w:tcPr>
            <w:tcW w:w="2410" w:type="dxa"/>
            <w:shd w:val="clear" w:color="auto" w:fill="auto"/>
            <w:vAlign w:val="center"/>
          </w:tcPr>
          <w:p w14:paraId="779EF553" w14:textId="77777777" w:rsidR="0020782B" w:rsidRPr="00F30A97" w:rsidRDefault="0020782B">
            <w:pPr>
              <w:pStyle w:val="Tabletext"/>
              <w:rPr>
                <w:sz w:val="20"/>
              </w:rPr>
            </w:pPr>
            <w:r w:rsidRPr="00F30A97">
              <w:rPr>
                <w:color w:val="000000"/>
                <w:sz w:val="20"/>
              </w:rPr>
              <w:t>ISO</w:t>
            </w:r>
          </w:p>
        </w:tc>
        <w:tc>
          <w:tcPr>
            <w:tcW w:w="1276" w:type="dxa"/>
            <w:shd w:val="clear" w:color="auto" w:fill="auto"/>
            <w:vAlign w:val="center"/>
          </w:tcPr>
          <w:p w14:paraId="28366D9C" w14:textId="77777777" w:rsidR="0020782B" w:rsidRPr="00F30A97" w:rsidRDefault="0020782B">
            <w:pPr>
              <w:pStyle w:val="Tabletext"/>
              <w:rPr>
                <w:sz w:val="20"/>
              </w:rPr>
            </w:pPr>
            <w:r w:rsidRPr="00F30A97">
              <w:rPr>
                <w:color w:val="000000"/>
                <w:sz w:val="20"/>
              </w:rPr>
              <w:t> </w:t>
            </w:r>
          </w:p>
        </w:tc>
        <w:tc>
          <w:tcPr>
            <w:tcW w:w="2567" w:type="dxa"/>
            <w:shd w:val="clear" w:color="auto" w:fill="auto"/>
            <w:vAlign w:val="center"/>
          </w:tcPr>
          <w:p w14:paraId="4B17C845" w14:textId="77777777" w:rsidR="0020782B" w:rsidRPr="00F30A97" w:rsidRDefault="0020782B">
            <w:pPr>
              <w:pStyle w:val="Tabletext"/>
              <w:rPr>
                <w:sz w:val="20"/>
              </w:rPr>
            </w:pPr>
            <w:r w:rsidRPr="00F30A97">
              <w:rPr>
                <w:color w:val="000000"/>
                <w:sz w:val="20"/>
              </w:rPr>
              <w:t>Security and resilience — Emergency management — Guidelines for incident management</w:t>
            </w:r>
          </w:p>
        </w:tc>
        <w:tc>
          <w:tcPr>
            <w:tcW w:w="1538" w:type="dxa"/>
            <w:shd w:val="clear" w:color="auto" w:fill="auto"/>
            <w:vAlign w:val="center"/>
          </w:tcPr>
          <w:p w14:paraId="6A6AEDA9" w14:textId="77777777" w:rsidR="0020782B" w:rsidRPr="00F30A97" w:rsidRDefault="0020782B">
            <w:pPr>
              <w:pStyle w:val="Tabletext"/>
              <w:rPr>
                <w:sz w:val="20"/>
              </w:rPr>
            </w:pPr>
            <w:r w:rsidRPr="00F30A97">
              <w:rPr>
                <w:color w:val="000000"/>
                <w:sz w:val="20"/>
              </w:rPr>
              <w:t>Published</w:t>
            </w:r>
          </w:p>
        </w:tc>
      </w:tr>
      <w:tr w:rsidR="0020782B" w:rsidRPr="00F30A97" w14:paraId="64E5FC56" w14:textId="77777777" w:rsidTr="0004021B">
        <w:trPr>
          <w:trHeight w:val="290"/>
        </w:trPr>
        <w:tc>
          <w:tcPr>
            <w:tcW w:w="1838" w:type="dxa"/>
            <w:shd w:val="clear" w:color="auto" w:fill="auto"/>
            <w:vAlign w:val="center"/>
          </w:tcPr>
          <w:p w14:paraId="7524B6BE" w14:textId="77777777" w:rsidR="0020782B" w:rsidRPr="00F30A97" w:rsidRDefault="0020782B">
            <w:pPr>
              <w:pStyle w:val="Tabletext"/>
              <w:rPr>
                <w:sz w:val="20"/>
              </w:rPr>
            </w:pPr>
            <w:r w:rsidRPr="00F30A97">
              <w:rPr>
                <w:color w:val="000000"/>
                <w:sz w:val="20"/>
              </w:rPr>
              <w:t>ISO/IEC 27031:2011(en)*</w:t>
            </w:r>
          </w:p>
        </w:tc>
        <w:tc>
          <w:tcPr>
            <w:tcW w:w="2410" w:type="dxa"/>
            <w:shd w:val="clear" w:color="auto" w:fill="auto"/>
            <w:vAlign w:val="center"/>
          </w:tcPr>
          <w:p w14:paraId="1C83804D" w14:textId="77777777" w:rsidR="0020782B" w:rsidRPr="00F30A97" w:rsidRDefault="0020782B">
            <w:pPr>
              <w:pStyle w:val="Tabletext"/>
              <w:rPr>
                <w:sz w:val="20"/>
              </w:rPr>
            </w:pPr>
            <w:r w:rsidRPr="00F30A97">
              <w:rPr>
                <w:color w:val="000000"/>
                <w:sz w:val="20"/>
              </w:rPr>
              <w:t>ISO</w:t>
            </w:r>
          </w:p>
        </w:tc>
        <w:tc>
          <w:tcPr>
            <w:tcW w:w="1276" w:type="dxa"/>
            <w:shd w:val="clear" w:color="auto" w:fill="auto"/>
            <w:vAlign w:val="center"/>
          </w:tcPr>
          <w:p w14:paraId="7BDDC563" w14:textId="77777777" w:rsidR="0020782B" w:rsidRPr="00F30A97" w:rsidRDefault="0020782B">
            <w:pPr>
              <w:pStyle w:val="Tabletext"/>
              <w:rPr>
                <w:sz w:val="20"/>
              </w:rPr>
            </w:pPr>
            <w:r w:rsidRPr="00F30A97">
              <w:rPr>
                <w:color w:val="000000"/>
                <w:sz w:val="20"/>
              </w:rPr>
              <w:t> </w:t>
            </w:r>
          </w:p>
        </w:tc>
        <w:tc>
          <w:tcPr>
            <w:tcW w:w="2567" w:type="dxa"/>
            <w:shd w:val="clear" w:color="auto" w:fill="auto"/>
            <w:vAlign w:val="center"/>
          </w:tcPr>
          <w:p w14:paraId="05EA68BF" w14:textId="77777777" w:rsidR="0020782B" w:rsidRPr="00F30A97" w:rsidRDefault="0020782B">
            <w:pPr>
              <w:pStyle w:val="Tabletext"/>
              <w:rPr>
                <w:sz w:val="20"/>
              </w:rPr>
            </w:pPr>
            <w:r w:rsidRPr="00F30A97">
              <w:rPr>
                <w:color w:val="000000"/>
                <w:sz w:val="20"/>
              </w:rPr>
              <w:t>Information technology — Security techniques — Guidelines for information and communication technology readiness for business continuity</w:t>
            </w:r>
          </w:p>
        </w:tc>
        <w:tc>
          <w:tcPr>
            <w:tcW w:w="1538" w:type="dxa"/>
            <w:shd w:val="clear" w:color="auto" w:fill="auto"/>
            <w:vAlign w:val="center"/>
          </w:tcPr>
          <w:p w14:paraId="0CC10B95" w14:textId="77777777" w:rsidR="0020782B" w:rsidRPr="00F30A97" w:rsidRDefault="0020782B">
            <w:pPr>
              <w:pStyle w:val="Tabletext"/>
              <w:rPr>
                <w:sz w:val="20"/>
              </w:rPr>
            </w:pPr>
            <w:r w:rsidRPr="00F30A97">
              <w:rPr>
                <w:color w:val="000000"/>
                <w:sz w:val="20"/>
              </w:rPr>
              <w:t>Published</w:t>
            </w:r>
          </w:p>
        </w:tc>
      </w:tr>
      <w:tr w:rsidR="0020782B" w:rsidRPr="00F30A97" w14:paraId="001987F8" w14:textId="77777777" w:rsidTr="0004021B">
        <w:trPr>
          <w:trHeight w:val="290"/>
        </w:trPr>
        <w:tc>
          <w:tcPr>
            <w:tcW w:w="1838" w:type="dxa"/>
            <w:shd w:val="clear" w:color="auto" w:fill="auto"/>
            <w:vAlign w:val="center"/>
          </w:tcPr>
          <w:p w14:paraId="660E6BB2" w14:textId="77777777" w:rsidR="0020782B" w:rsidRPr="00F30A97" w:rsidRDefault="0020782B">
            <w:pPr>
              <w:pStyle w:val="Tabletext"/>
              <w:rPr>
                <w:sz w:val="20"/>
              </w:rPr>
            </w:pPr>
            <w:r w:rsidRPr="00F30A97">
              <w:rPr>
                <w:color w:val="000000"/>
                <w:sz w:val="20"/>
              </w:rPr>
              <w:t>ISO 21110:2019(en)*</w:t>
            </w:r>
          </w:p>
        </w:tc>
        <w:tc>
          <w:tcPr>
            <w:tcW w:w="2410" w:type="dxa"/>
            <w:shd w:val="clear" w:color="auto" w:fill="auto"/>
            <w:vAlign w:val="center"/>
          </w:tcPr>
          <w:p w14:paraId="5246808D" w14:textId="77777777" w:rsidR="0020782B" w:rsidRPr="00F30A97" w:rsidRDefault="0020782B">
            <w:pPr>
              <w:pStyle w:val="Tabletext"/>
              <w:rPr>
                <w:sz w:val="20"/>
              </w:rPr>
            </w:pPr>
            <w:r w:rsidRPr="00F30A97">
              <w:rPr>
                <w:color w:val="000000"/>
                <w:sz w:val="20"/>
              </w:rPr>
              <w:t xml:space="preserve">ISO </w:t>
            </w:r>
          </w:p>
        </w:tc>
        <w:tc>
          <w:tcPr>
            <w:tcW w:w="1276" w:type="dxa"/>
            <w:shd w:val="clear" w:color="auto" w:fill="auto"/>
            <w:vAlign w:val="center"/>
          </w:tcPr>
          <w:p w14:paraId="75BE88D8" w14:textId="77777777" w:rsidR="0020782B" w:rsidRPr="00F30A97" w:rsidRDefault="0020782B">
            <w:pPr>
              <w:pStyle w:val="Tabletext"/>
              <w:rPr>
                <w:sz w:val="20"/>
              </w:rPr>
            </w:pPr>
            <w:r w:rsidRPr="00F30A97">
              <w:rPr>
                <w:color w:val="000000"/>
                <w:sz w:val="20"/>
              </w:rPr>
              <w:t> </w:t>
            </w:r>
          </w:p>
        </w:tc>
        <w:tc>
          <w:tcPr>
            <w:tcW w:w="2567" w:type="dxa"/>
            <w:shd w:val="clear" w:color="auto" w:fill="auto"/>
            <w:vAlign w:val="center"/>
          </w:tcPr>
          <w:p w14:paraId="2994CEB1" w14:textId="77777777" w:rsidR="0020782B" w:rsidRPr="00F30A97" w:rsidRDefault="0020782B">
            <w:pPr>
              <w:pStyle w:val="Tabletext"/>
              <w:rPr>
                <w:sz w:val="20"/>
              </w:rPr>
            </w:pPr>
            <w:r w:rsidRPr="00F30A97">
              <w:rPr>
                <w:color w:val="000000"/>
                <w:sz w:val="20"/>
              </w:rPr>
              <w:t>Information and documentation — Emergency preparedness and response</w:t>
            </w:r>
          </w:p>
        </w:tc>
        <w:tc>
          <w:tcPr>
            <w:tcW w:w="1538" w:type="dxa"/>
            <w:shd w:val="clear" w:color="auto" w:fill="auto"/>
            <w:vAlign w:val="center"/>
          </w:tcPr>
          <w:p w14:paraId="4CCA1878" w14:textId="77777777" w:rsidR="0020782B" w:rsidRPr="00F30A97" w:rsidRDefault="0020782B">
            <w:pPr>
              <w:pStyle w:val="Tabletext"/>
              <w:rPr>
                <w:sz w:val="20"/>
              </w:rPr>
            </w:pPr>
            <w:r w:rsidRPr="00F30A97">
              <w:rPr>
                <w:color w:val="000000"/>
                <w:sz w:val="20"/>
              </w:rPr>
              <w:t>Published</w:t>
            </w:r>
          </w:p>
        </w:tc>
      </w:tr>
      <w:tr w:rsidR="0020782B" w:rsidRPr="00F30A97" w14:paraId="25D5E21F" w14:textId="77777777" w:rsidTr="0004021B">
        <w:trPr>
          <w:trHeight w:val="290"/>
        </w:trPr>
        <w:tc>
          <w:tcPr>
            <w:tcW w:w="1838" w:type="dxa"/>
            <w:shd w:val="clear" w:color="auto" w:fill="auto"/>
            <w:vAlign w:val="center"/>
          </w:tcPr>
          <w:p w14:paraId="6E81D66F" w14:textId="77777777" w:rsidR="0020782B" w:rsidRPr="00F30A97" w:rsidRDefault="0020782B">
            <w:pPr>
              <w:pStyle w:val="Tabletext"/>
              <w:rPr>
                <w:sz w:val="20"/>
              </w:rPr>
            </w:pPr>
            <w:r w:rsidRPr="00F30A97">
              <w:rPr>
                <w:color w:val="000000"/>
                <w:sz w:val="20"/>
              </w:rPr>
              <w:t xml:space="preserve"> ITU-R M.1637*</w:t>
            </w:r>
          </w:p>
        </w:tc>
        <w:tc>
          <w:tcPr>
            <w:tcW w:w="2410" w:type="dxa"/>
            <w:shd w:val="clear" w:color="auto" w:fill="auto"/>
            <w:vAlign w:val="center"/>
          </w:tcPr>
          <w:p w14:paraId="060C5A03" w14:textId="77777777" w:rsidR="0020782B" w:rsidRPr="00F30A97" w:rsidRDefault="0020782B">
            <w:pPr>
              <w:pStyle w:val="Tabletext"/>
              <w:rPr>
                <w:sz w:val="20"/>
              </w:rPr>
            </w:pPr>
            <w:r w:rsidRPr="00F30A97">
              <w:rPr>
                <w:color w:val="000000"/>
                <w:sz w:val="20"/>
              </w:rPr>
              <w:t>ITU-R</w:t>
            </w:r>
          </w:p>
        </w:tc>
        <w:tc>
          <w:tcPr>
            <w:tcW w:w="1276" w:type="dxa"/>
            <w:shd w:val="clear" w:color="auto" w:fill="auto"/>
            <w:vAlign w:val="center"/>
          </w:tcPr>
          <w:p w14:paraId="22E5E5C1" w14:textId="77777777" w:rsidR="0020782B" w:rsidRPr="00F30A97" w:rsidRDefault="0020782B">
            <w:pPr>
              <w:pStyle w:val="Tabletext"/>
              <w:rPr>
                <w:sz w:val="20"/>
              </w:rPr>
            </w:pPr>
            <w:r w:rsidRPr="00F30A97">
              <w:rPr>
                <w:color w:val="000000"/>
                <w:sz w:val="20"/>
              </w:rPr>
              <w:t>SG5</w:t>
            </w:r>
          </w:p>
        </w:tc>
        <w:tc>
          <w:tcPr>
            <w:tcW w:w="2567" w:type="dxa"/>
            <w:shd w:val="clear" w:color="auto" w:fill="auto"/>
            <w:vAlign w:val="center"/>
          </w:tcPr>
          <w:p w14:paraId="68ABED96" w14:textId="77777777" w:rsidR="0020782B" w:rsidRPr="00F30A97" w:rsidRDefault="0020782B">
            <w:pPr>
              <w:pStyle w:val="Tabletext"/>
              <w:rPr>
                <w:sz w:val="20"/>
              </w:rPr>
            </w:pPr>
            <w:r w:rsidRPr="00F30A97">
              <w:rPr>
                <w:color w:val="000000"/>
                <w:sz w:val="20"/>
              </w:rPr>
              <w:t>Global cross-border circulation of radiocommunication equipment for use in emergency and disaster relief situations</w:t>
            </w:r>
          </w:p>
        </w:tc>
        <w:tc>
          <w:tcPr>
            <w:tcW w:w="1538" w:type="dxa"/>
            <w:shd w:val="clear" w:color="auto" w:fill="auto"/>
            <w:vAlign w:val="center"/>
          </w:tcPr>
          <w:p w14:paraId="26C6707B" w14:textId="77777777" w:rsidR="0020782B" w:rsidRPr="00F30A97" w:rsidRDefault="0020782B">
            <w:pPr>
              <w:pStyle w:val="Tabletext"/>
              <w:rPr>
                <w:sz w:val="20"/>
              </w:rPr>
            </w:pPr>
            <w:r w:rsidRPr="00F30A97">
              <w:rPr>
                <w:color w:val="000000"/>
                <w:sz w:val="20"/>
              </w:rPr>
              <w:t>Published</w:t>
            </w:r>
          </w:p>
        </w:tc>
      </w:tr>
      <w:tr w:rsidR="0020782B" w:rsidRPr="00F30A97" w14:paraId="5C06D627" w14:textId="77777777" w:rsidTr="0004021B">
        <w:trPr>
          <w:trHeight w:val="290"/>
        </w:trPr>
        <w:tc>
          <w:tcPr>
            <w:tcW w:w="1838" w:type="dxa"/>
            <w:shd w:val="clear" w:color="auto" w:fill="auto"/>
            <w:vAlign w:val="center"/>
          </w:tcPr>
          <w:p w14:paraId="19508506" w14:textId="77777777" w:rsidR="0020782B" w:rsidRPr="00F30A97" w:rsidRDefault="0020782B">
            <w:pPr>
              <w:pStyle w:val="Tabletext"/>
              <w:rPr>
                <w:sz w:val="20"/>
              </w:rPr>
            </w:pPr>
            <w:r w:rsidRPr="00F30A97">
              <w:rPr>
                <w:color w:val="000000"/>
                <w:sz w:val="20"/>
              </w:rPr>
              <w:t>ITU-R F.1105-4*</w:t>
            </w:r>
          </w:p>
        </w:tc>
        <w:tc>
          <w:tcPr>
            <w:tcW w:w="2410" w:type="dxa"/>
            <w:shd w:val="clear" w:color="auto" w:fill="auto"/>
            <w:vAlign w:val="center"/>
          </w:tcPr>
          <w:p w14:paraId="410BEEC7" w14:textId="77777777" w:rsidR="0020782B" w:rsidRPr="00F30A97" w:rsidRDefault="0020782B">
            <w:pPr>
              <w:pStyle w:val="Tabletext"/>
              <w:rPr>
                <w:sz w:val="20"/>
              </w:rPr>
            </w:pPr>
            <w:r w:rsidRPr="00F30A97">
              <w:rPr>
                <w:color w:val="000000"/>
                <w:sz w:val="20"/>
              </w:rPr>
              <w:t>ITU-R</w:t>
            </w:r>
          </w:p>
        </w:tc>
        <w:tc>
          <w:tcPr>
            <w:tcW w:w="1276" w:type="dxa"/>
            <w:shd w:val="clear" w:color="auto" w:fill="auto"/>
            <w:vAlign w:val="center"/>
          </w:tcPr>
          <w:p w14:paraId="01D41998" w14:textId="77777777" w:rsidR="0020782B" w:rsidRPr="00F30A97" w:rsidRDefault="0020782B">
            <w:pPr>
              <w:pStyle w:val="Tabletext"/>
              <w:rPr>
                <w:sz w:val="20"/>
              </w:rPr>
            </w:pPr>
            <w:r w:rsidRPr="00F30A97">
              <w:rPr>
                <w:color w:val="000000"/>
                <w:sz w:val="20"/>
              </w:rPr>
              <w:t>SG5</w:t>
            </w:r>
          </w:p>
        </w:tc>
        <w:tc>
          <w:tcPr>
            <w:tcW w:w="2567" w:type="dxa"/>
            <w:shd w:val="clear" w:color="auto" w:fill="auto"/>
            <w:vAlign w:val="center"/>
          </w:tcPr>
          <w:p w14:paraId="40E692C4" w14:textId="77777777" w:rsidR="0020782B" w:rsidRPr="00F30A97" w:rsidRDefault="0020782B">
            <w:pPr>
              <w:pStyle w:val="Tabletext"/>
              <w:rPr>
                <w:sz w:val="20"/>
              </w:rPr>
            </w:pPr>
            <w:r w:rsidRPr="00F30A97">
              <w:rPr>
                <w:color w:val="000000"/>
                <w:sz w:val="20"/>
              </w:rPr>
              <w:t>Fixed wireless systems for disaster mitigation and relief operations</w:t>
            </w:r>
          </w:p>
        </w:tc>
        <w:tc>
          <w:tcPr>
            <w:tcW w:w="1538" w:type="dxa"/>
            <w:shd w:val="clear" w:color="auto" w:fill="auto"/>
            <w:vAlign w:val="center"/>
          </w:tcPr>
          <w:p w14:paraId="68994C09" w14:textId="77777777" w:rsidR="0020782B" w:rsidRPr="00F30A97" w:rsidRDefault="0020782B">
            <w:pPr>
              <w:pStyle w:val="Tabletext"/>
              <w:rPr>
                <w:sz w:val="20"/>
              </w:rPr>
            </w:pPr>
            <w:r w:rsidRPr="00F30A97">
              <w:rPr>
                <w:color w:val="000000"/>
                <w:sz w:val="20"/>
              </w:rPr>
              <w:t>Published</w:t>
            </w:r>
          </w:p>
        </w:tc>
      </w:tr>
      <w:tr w:rsidR="0020782B" w:rsidRPr="00F30A97" w14:paraId="4BEE9080" w14:textId="77777777" w:rsidTr="0004021B">
        <w:trPr>
          <w:trHeight w:val="290"/>
        </w:trPr>
        <w:tc>
          <w:tcPr>
            <w:tcW w:w="1838" w:type="dxa"/>
            <w:shd w:val="clear" w:color="auto" w:fill="auto"/>
            <w:vAlign w:val="center"/>
          </w:tcPr>
          <w:p w14:paraId="0D526AB1" w14:textId="77777777" w:rsidR="0020782B" w:rsidRPr="00F30A97" w:rsidRDefault="0020782B">
            <w:pPr>
              <w:pStyle w:val="Tabletext"/>
              <w:rPr>
                <w:sz w:val="20"/>
              </w:rPr>
            </w:pPr>
            <w:r w:rsidRPr="00F30A97">
              <w:rPr>
                <w:color w:val="000000"/>
                <w:sz w:val="20"/>
              </w:rPr>
              <w:t>ITU-R M.1826-1*</w:t>
            </w:r>
          </w:p>
        </w:tc>
        <w:tc>
          <w:tcPr>
            <w:tcW w:w="2410" w:type="dxa"/>
            <w:shd w:val="clear" w:color="auto" w:fill="auto"/>
            <w:vAlign w:val="center"/>
          </w:tcPr>
          <w:p w14:paraId="2DD3B795" w14:textId="77777777" w:rsidR="0020782B" w:rsidRPr="00F30A97" w:rsidRDefault="0020782B">
            <w:pPr>
              <w:pStyle w:val="Tabletext"/>
              <w:rPr>
                <w:sz w:val="20"/>
              </w:rPr>
            </w:pPr>
            <w:r w:rsidRPr="00F30A97">
              <w:rPr>
                <w:color w:val="000000"/>
                <w:sz w:val="20"/>
              </w:rPr>
              <w:t>ITU-R</w:t>
            </w:r>
          </w:p>
        </w:tc>
        <w:tc>
          <w:tcPr>
            <w:tcW w:w="1276" w:type="dxa"/>
            <w:shd w:val="clear" w:color="auto" w:fill="auto"/>
            <w:vAlign w:val="center"/>
          </w:tcPr>
          <w:p w14:paraId="2E369A35" w14:textId="77777777" w:rsidR="0020782B" w:rsidRPr="00F30A97" w:rsidRDefault="0020782B">
            <w:pPr>
              <w:pStyle w:val="Tabletext"/>
              <w:rPr>
                <w:sz w:val="20"/>
              </w:rPr>
            </w:pPr>
            <w:r w:rsidRPr="00F30A97">
              <w:rPr>
                <w:color w:val="000000"/>
                <w:sz w:val="20"/>
              </w:rPr>
              <w:t>SG5</w:t>
            </w:r>
          </w:p>
        </w:tc>
        <w:tc>
          <w:tcPr>
            <w:tcW w:w="2567" w:type="dxa"/>
            <w:shd w:val="clear" w:color="auto" w:fill="auto"/>
            <w:vAlign w:val="center"/>
          </w:tcPr>
          <w:p w14:paraId="7FC6BD3D" w14:textId="77777777" w:rsidR="0020782B" w:rsidRPr="00F30A97" w:rsidRDefault="0020782B">
            <w:pPr>
              <w:pStyle w:val="Tabletext"/>
              <w:rPr>
                <w:sz w:val="20"/>
              </w:rPr>
            </w:pPr>
            <w:r w:rsidRPr="00F30A97">
              <w:rPr>
                <w:color w:val="000000"/>
                <w:sz w:val="20"/>
              </w:rPr>
              <w:t xml:space="preserve">Harmonized frequency channel plan for broadband public protection and disaster relief operations at 4 </w:t>
            </w:r>
            <w:r w:rsidRPr="00F30A97">
              <w:rPr>
                <w:color w:val="000000"/>
                <w:sz w:val="20"/>
              </w:rPr>
              <w:lastRenderedPageBreak/>
              <w:t>940-4 990 MHz in Regions 2 and 3</w:t>
            </w:r>
          </w:p>
        </w:tc>
        <w:tc>
          <w:tcPr>
            <w:tcW w:w="1538" w:type="dxa"/>
            <w:shd w:val="clear" w:color="auto" w:fill="auto"/>
            <w:vAlign w:val="center"/>
          </w:tcPr>
          <w:p w14:paraId="0656D323" w14:textId="77777777" w:rsidR="0020782B" w:rsidRPr="00F30A97" w:rsidRDefault="0020782B">
            <w:pPr>
              <w:pStyle w:val="Tabletext"/>
              <w:rPr>
                <w:sz w:val="20"/>
              </w:rPr>
            </w:pPr>
            <w:r w:rsidRPr="00F30A97">
              <w:rPr>
                <w:color w:val="000000"/>
                <w:sz w:val="20"/>
              </w:rPr>
              <w:lastRenderedPageBreak/>
              <w:t>Published</w:t>
            </w:r>
          </w:p>
        </w:tc>
      </w:tr>
      <w:tr w:rsidR="0020782B" w:rsidRPr="00F30A97" w14:paraId="4FA5BC43" w14:textId="77777777" w:rsidTr="0004021B">
        <w:trPr>
          <w:trHeight w:val="290"/>
        </w:trPr>
        <w:tc>
          <w:tcPr>
            <w:tcW w:w="1838" w:type="dxa"/>
            <w:shd w:val="clear" w:color="auto" w:fill="auto"/>
            <w:vAlign w:val="center"/>
          </w:tcPr>
          <w:p w14:paraId="1A2A4D7A" w14:textId="77777777" w:rsidR="0020782B" w:rsidRPr="00F30A97" w:rsidRDefault="0020782B">
            <w:pPr>
              <w:pStyle w:val="Tabletext"/>
              <w:rPr>
                <w:sz w:val="20"/>
              </w:rPr>
            </w:pPr>
            <w:r w:rsidRPr="00F30A97">
              <w:rPr>
                <w:color w:val="000000"/>
                <w:sz w:val="20"/>
              </w:rPr>
              <w:t>ITU-R M.2009-2*</w:t>
            </w:r>
          </w:p>
        </w:tc>
        <w:tc>
          <w:tcPr>
            <w:tcW w:w="2410" w:type="dxa"/>
            <w:shd w:val="clear" w:color="auto" w:fill="auto"/>
            <w:vAlign w:val="center"/>
          </w:tcPr>
          <w:p w14:paraId="63EB0607" w14:textId="77777777" w:rsidR="0020782B" w:rsidRPr="00F30A97" w:rsidRDefault="0020782B">
            <w:pPr>
              <w:pStyle w:val="Tabletext"/>
              <w:rPr>
                <w:sz w:val="20"/>
              </w:rPr>
            </w:pPr>
            <w:r w:rsidRPr="00F30A97">
              <w:rPr>
                <w:color w:val="000000"/>
                <w:sz w:val="20"/>
              </w:rPr>
              <w:t>ITU-R</w:t>
            </w:r>
          </w:p>
        </w:tc>
        <w:tc>
          <w:tcPr>
            <w:tcW w:w="1276" w:type="dxa"/>
            <w:shd w:val="clear" w:color="auto" w:fill="auto"/>
            <w:vAlign w:val="center"/>
          </w:tcPr>
          <w:p w14:paraId="4A532A09" w14:textId="77777777" w:rsidR="0020782B" w:rsidRPr="00F30A97" w:rsidRDefault="0020782B">
            <w:pPr>
              <w:pStyle w:val="Tabletext"/>
              <w:rPr>
                <w:sz w:val="20"/>
              </w:rPr>
            </w:pPr>
            <w:r w:rsidRPr="00F30A97">
              <w:rPr>
                <w:color w:val="000000"/>
                <w:sz w:val="20"/>
              </w:rPr>
              <w:t> </w:t>
            </w:r>
          </w:p>
        </w:tc>
        <w:tc>
          <w:tcPr>
            <w:tcW w:w="2567" w:type="dxa"/>
            <w:shd w:val="clear" w:color="auto" w:fill="auto"/>
            <w:vAlign w:val="center"/>
          </w:tcPr>
          <w:p w14:paraId="73807FE5" w14:textId="77777777" w:rsidR="0020782B" w:rsidRPr="00F30A97" w:rsidRDefault="0020782B">
            <w:pPr>
              <w:pStyle w:val="Tabletext"/>
              <w:rPr>
                <w:sz w:val="20"/>
              </w:rPr>
            </w:pPr>
            <w:r w:rsidRPr="00F30A97">
              <w:rPr>
                <w:color w:val="000000"/>
                <w:sz w:val="20"/>
              </w:rPr>
              <w:t>Radio interface standards for use by public protection and disaster relief operations in accordance with Resolution 646 (Rev.WRC-15)</w:t>
            </w:r>
          </w:p>
        </w:tc>
        <w:tc>
          <w:tcPr>
            <w:tcW w:w="1538" w:type="dxa"/>
            <w:shd w:val="clear" w:color="auto" w:fill="auto"/>
            <w:vAlign w:val="center"/>
          </w:tcPr>
          <w:p w14:paraId="23B77239" w14:textId="77777777" w:rsidR="0020782B" w:rsidRPr="00F30A97" w:rsidRDefault="0020782B">
            <w:pPr>
              <w:pStyle w:val="Tabletext"/>
              <w:rPr>
                <w:sz w:val="20"/>
              </w:rPr>
            </w:pPr>
            <w:r w:rsidRPr="00F30A97">
              <w:rPr>
                <w:color w:val="000000"/>
                <w:sz w:val="20"/>
              </w:rPr>
              <w:t>Published</w:t>
            </w:r>
          </w:p>
        </w:tc>
      </w:tr>
      <w:tr w:rsidR="0020782B" w:rsidRPr="00F30A97" w14:paraId="39CACE3B" w14:textId="77777777" w:rsidTr="0004021B">
        <w:trPr>
          <w:trHeight w:val="290"/>
        </w:trPr>
        <w:tc>
          <w:tcPr>
            <w:tcW w:w="1838" w:type="dxa"/>
            <w:shd w:val="clear" w:color="auto" w:fill="auto"/>
            <w:vAlign w:val="center"/>
          </w:tcPr>
          <w:p w14:paraId="24344217" w14:textId="77777777" w:rsidR="0020782B" w:rsidRPr="00F30A97" w:rsidRDefault="0020782B">
            <w:pPr>
              <w:pStyle w:val="Tabletext"/>
              <w:rPr>
                <w:sz w:val="20"/>
              </w:rPr>
            </w:pPr>
            <w:r w:rsidRPr="00F30A97">
              <w:rPr>
                <w:color w:val="000000"/>
                <w:sz w:val="20"/>
              </w:rPr>
              <w:t>ITU-R M.2015-2*</w:t>
            </w:r>
          </w:p>
        </w:tc>
        <w:tc>
          <w:tcPr>
            <w:tcW w:w="2410" w:type="dxa"/>
            <w:shd w:val="clear" w:color="auto" w:fill="auto"/>
            <w:vAlign w:val="center"/>
          </w:tcPr>
          <w:p w14:paraId="03D8277A" w14:textId="77777777" w:rsidR="0020782B" w:rsidRPr="00F30A97" w:rsidRDefault="0020782B">
            <w:pPr>
              <w:pStyle w:val="Tabletext"/>
              <w:rPr>
                <w:sz w:val="20"/>
              </w:rPr>
            </w:pPr>
            <w:r w:rsidRPr="00F30A97">
              <w:rPr>
                <w:color w:val="000000"/>
                <w:sz w:val="20"/>
              </w:rPr>
              <w:t>ITU-R</w:t>
            </w:r>
          </w:p>
        </w:tc>
        <w:tc>
          <w:tcPr>
            <w:tcW w:w="1276" w:type="dxa"/>
            <w:shd w:val="clear" w:color="auto" w:fill="auto"/>
            <w:vAlign w:val="center"/>
          </w:tcPr>
          <w:p w14:paraId="166F32DD" w14:textId="77777777" w:rsidR="0020782B" w:rsidRPr="00F30A97" w:rsidRDefault="0020782B">
            <w:pPr>
              <w:pStyle w:val="Tabletext"/>
              <w:rPr>
                <w:sz w:val="20"/>
              </w:rPr>
            </w:pPr>
            <w:r w:rsidRPr="00F30A97">
              <w:rPr>
                <w:color w:val="000000"/>
                <w:sz w:val="20"/>
              </w:rPr>
              <w:t>SG5</w:t>
            </w:r>
          </w:p>
        </w:tc>
        <w:tc>
          <w:tcPr>
            <w:tcW w:w="2567" w:type="dxa"/>
            <w:shd w:val="clear" w:color="auto" w:fill="auto"/>
            <w:vAlign w:val="center"/>
          </w:tcPr>
          <w:p w14:paraId="42FEFCF6" w14:textId="77777777" w:rsidR="0020782B" w:rsidRPr="00F30A97" w:rsidRDefault="0020782B">
            <w:pPr>
              <w:pStyle w:val="Tabletext"/>
              <w:rPr>
                <w:sz w:val="20"/>
              </w:rPr>
            </w:pPr>
            <w:r w:rsidRPr="00F30A97">
              <w:rPr>
                <w:color w:val="000000"/>
                <w:sz w:val="20"/>
              </w:rPr>
              <w:t> Frequency arrangements for public protection and disaster relief radiocommunication systems in accordance with Resolution 646 (Rev.WRC-15)</w:t>
            </w:r>
          </w:p>
        </w:tc>
        <w:tc>
          <w:tcPr>
            <w:tcW w:w="1538" w:type="dxa"/>
            <w:shd w:val="clear" w:color="auto" w:fill="auto"/>
            <w:vAlign w:val="center"/>
          </w:tcPr>
          <w:p w14:paraId="4B3B3771" w14:textId="77777777" w:rsidR="0020782B" w:rsidRPr="00F30A97" w:rsidRDefault="0020782B">
            <w:pPr>
              <w:pStyle w:val="Tabletext"/>
              <w:rPr>
                <w:sz w:val="20"/>
              </w:rPr>
            </w:pPr>
            <w:r w:rsidRPr="00F30A97">
              <w:rPr>
                <w:color w:val="000000"/>
                <w:sz w:val="20"/>
              </w:rPr>
              <w:t>Published</w:t>
            </w:r>
          </w:p>
        </w:tc>
      </w:tr>
      <w:tr w:rsidR="0020782B" w:rsidRPr="00F30A97" w14:paraId="3AF9D29C" w14:textId="77777777" w:rsidTr="0004021B">
        <w:trPr>
          <w:trHeight w:val="290"/>
        </w:trPr>
        <w:tc>
          <w:tcPr>
            <w:tcW w:w="1838" w:type="dxa"/>
            <w:shd w:val="clear" w:color="auto" w:fill="auto"/>
            <w:vAlign w:val="center"/>
          </w:tcPr>
          <w:p w14:paraId="345681A7" w14:textId="77777777" w:rsidR="0020782B" w:rsidRPr="00F30A97" w:rsidRDefault="0020782B">
            <w:pPr>
              <w:pStyle w:val="Tabletext"/>
              <w:rPr>
                <w:sz w:val="20"/>
              </w:rPr>
            </w:pPr>
            <w:r w:rsidRPr="00F30A97">
              <w:rPr>
                <w:color w:val="000000"/>
                <w:sz w:val="20"/>
              </w:rPr>
              <w:t>M.2291-1 (11/2016)*</w:t>
            </w:r>
          </w:p>
        </w:tc>
        <w:tc>
          <w:tcPr>
            <w:tcW w:w="2410" w:type="dxa"/>
            <w:shd w:val="clear" w:color="auto" w:fill="auto"/>
            <w:vAlign w:val="center"/>
          </w:tcPr>
          <w:p w14:paraId="75B8C3CC" w14:textId="77777777" w:rsidR="0020782B" w:rsidRPr="00F30A97" w:rsidRDefault="0020782B">
            <w:pPr>
              <w:pStyle w:val="Tabletext"/>
              <w:rPr>
                <w:sz w:val="20"/>
              </w:rPr>
            </w:pPr>
            <w:r w:rsidRPr="00F30A97">
              <w:rPr>
                <w:color w:val="000000"/>
                <w:sz w:val="20"/>
              </w:rPr>
              <w:t>ITU-R</w:t>
            </w:r>
          </w:p>
        </w:tc>
        <w:tc>
          <w:tcPr>
            <w:tcW w:w="1276" w:type="dxa"/>
            <w:shd w:val="clear" w:color="auto" w:fill="auto"/>
            <w:vAlign w:val="center"/>
          </w:tcPr>
          <w:p w14:paraId="4C3C6B09" w14:textId="77777777" w:rsidR="0020782B" w:rsidRPr="00F30A97" w:rsidRDefault="0020782B">
            <w:pPr>
              <w:pStyle w:val="Tabletext"/>
              <w:rPr>
                <w:sz w:val="20"/>
              </w:rPr>
            </w:pPr>
            <w:r w:rsidRPr="00F30A97">
              <w:rPr>
                <w:color w:val="000000"/>
                <w:sz w:val="20"/>
              </w:rPr>
              <w:t> </w:t>
            </w:r>
          </w:p>
        </w:tc>
        <w:tc>
          <w:tcPr>
            <w:tcW w:w="2567" w:type="dxa"/>
            <w:shd w:val="clear" w:color="auto" w:fill="auto"/>
            <w:vAlign w:val="center"/>
          </w:tcPr>
          <w:p w14:paraId="44E310E9" w14:textId="4DF775DA" w:rsidR="0020782B" w:rsidRPr="00F30A97" w:rsidRDefault="0020782B">
            <w:pPr>
              <w:pStyle w:val="Tabletext"/>
              <w:rPr>
                <w:sz w:val="20"/>
              </w:rPr>
            </w:pPr>
            <w:r w:rsidRPr="00F30A97">
              <w:rPr>
                <w:color w:val="000000"/>
                <w:sz w:val="20"/>
              </w:rPr>
              <w:t>The use of International Mobile Telecommunications for broadband public protection and disaster relief applications</w:t>
            </w:r>
            <w:r w:rsidR="00644FA2" w:rsidRPr="00F30A97">
              <w:rPr>
                <w:color w:val="000000"/>
                <w:sz w:val="20"/>
              </w:rPr>
              <w:t xml:space="preserve"> </w:t>
            </w:r>
          </w:p>
        </w:tc>
        <w:tc>
          <w:tcPr>
            <w:tcW w:w="1538" w:type="dxa"/>
            <w:shd w:val="clear" w:color="auto" w:fill="auto"/>
            <w:vAlign w:val="center"/>
          </w:tcPr>
          <w:p w14:paraId="560C8FE9" w14:textId="77777777" w:rsidR="0020782B" w:rsidRPr="00F30A97" w:rsidRDefault="0020782B">
            <w:pPr>
              <w:pStyle w:val="Tabletext"/>
              <w:rPr>
                <w:sz w:val="20"/>
              </w:rPr>
            </w:pPr>
            <w:r w:rsidRPr="00F30A97">
              <w:rPr>
                <w:color w:val="000000"/>
                <w:sz w:val="20"/>
              </w:rPr>
              <w:t>Published</w:t>
            </w:r>
          </w:p>
        </w:tc>
      </w:tr>
      <w:tr w:rsidR="0020782B" w:rsidRPr="00F30A97" w14:paraId="020E6B46" w14:textId="77777777" w:rsidTr="0004021B">
        <w:trPr>
          <w:trHeight w:val="290"/>
        </w:trPr>
        <w:tc>
          <w:tcPr>
            <w:tcW w:w="1838" w:type="dxa"/>
            <w:shd w:val="clear" w:color="auto" w:fill="auto"/>
            <w:vAlign w:val="center"/>
          </w:tcPr>
          <w:p w14:paraId="1D1172E8" w14:textId="77777777" w:rsidR="0020782B" w:rsidRPr="00F30A97" w:rsidRDefault="0020782B">
            <w:pPr>
              <w:pStyle w:val="Tabletext"/>
              <w:rPr>
                <w:sz w:val="20"/>
              </w:rPr>
            </w:pPr>
            <w:r w:rsidRPr="00F30A97">
              <w:rPr>
                <w:color w:val="000000"/>
                <w:sz w:val="20"/>
              </w:rPr>
              <w:t>Report M.2085-1*</w:t>
            </w:r>
          </w:p>
        </w:tc>
        <w:tc>
          <w:tcPr>
            <w:tcW w:w="2410" w:type="dxa"/>
            <w:shd w:val="clear" w:color="auto" w:fill="auto"/>
            <w:vAlign w:val="center"/>
          </w:tcPr>
          <w:p w14:paraId="4171E5A7" w14:textId="77777777" w:rsidR="0020782B" w:rsidRPr="00F30A97" w:rsidRDefault="0020782B">
            <w:pPr>
              <w:pStyle w:val="Tabletext"/>
              <w:rPr>
                <w:sz w:val="20"/>
              </w:rPr>
            </w:pPr>
            <w:r w:rsidRPr="00F30A97">
              <w:rPr>
                <w:color w:val="000000"/>
                <w:sz w:val="20"/>
              </w:rPr>
              <w:t>ITU-R</w:t>
            </w:r>
          </w:p>
        </w:tc>
        <w:tc>
          <w:tcPr>
            <w:tcW w:w="1276" w:type="dxa"/>
            <w:shd w:val="clear" w:color="auto" w:fill="auto"/>
            <w:vAlign w:val="center"/>
          </w:tcPr>
          <w:p w14:paraId="49841A6C" w14:textId="77777777" w:rsidR="0020782B" w:rsidRPr="00F30A97" w:rsidRDefault="0020782B">
            <w:pPr>
              <w:pStyle w:val="Tabletext"/>
              <w:rPr>
                <w:sz w:val="20"/>
              </w:rPr>
            </w:pPr>
            <w:r w:rsidRPr="00F30A97">
              <w:rPr>
                <w:color w:val="000000"/>
                <w:sz w:val="20"/>
              </w:rPr>
              <w:t> </w:t>
            </w:r>
          </w:p>
        </w:tc>
        <w:tc>
          <w:tcPr>
            <w:tcW w:w="2567" w:type="dxa"/>
            <w:shd w:val="clear" w:color="auto" w:fill="auto"/>
            <w:vAlign w:val="center"/>
          </w:tcPr>
          <w:p w14:paraId="6BF68A82" w14:textId="77777777" w:rsidR="0020782B" w:rsidRPr="00F30A97" w:rsidRDefault="0020782B">
            <w:pPr>
              <w:pStyle w:val="Tabletext"/>
              <w:rPr>
                <w:sz w:val="20"/>
              </w:rPr>
            </w:pPr>
            <w:r w:rsidRPr="00F30A97">
              <w:rPr>
                <w:color w:val="000000"/>
                <w:sz w:val="20"/>
              </w:rPr>
              <w:t>Role of the amateur and amateur-satellite services in support of disaster mitigation and relief</w:t>
            </w:r>
          </w:p>
        </w:tc>
        <w:tc>
          <w:tcPr>
            <w:tcW w:w="1538" w:type="dxa"/>
            <w:shd w:val="clear" w:color="auto" w:fill="auto"/>
            <w:vAlign w:val="center"/>
          </w:tcPr>
          <w:p w14:paraId="6C2C7EEE" w14:textId="77777777" w:rsidR="0020782B" w:rsidRPr="00F30A97" w:rsidRDefault="0020782B">
            <w:pPr>
              <w:pStyle w:val="Tabletext"/>
              <w:rPr>
                <w:sz w:val="20"/>
              </w:rPr>
            </w:pPr>
            <w:r w:rsidRPr="00F30A97">
              <w:rPr>
                <w:color w:val="000000"/>
                <w:sz w:val="20"/>
              </w:rPr>
              <w:t>Published</w:t>
            </w:r>
          </w:p>
        </w:tc>
      </w:tr>
      <w:tr w:rsidR="0020782B" w:rsidRPr="00F30A97" w14:paraId="2BC228D9" w14:textId="77777777" w:rsidTr="0004021B">
        <w:trPr>
          <w:trHeight w:val="290"/>
        </w:trPr>
        <w:tc>
          <w:tcPr>
            <w:tcW w:w="1838" w:type="dxa"/>
            <w:shd w:val="clear" w:color="auto" w:fill="auto"/>
            <w:vAlign w:val="center"/>
          </w:tcPr>
          <w:p w14:paraId="7E3604D0" w14:textId="77777777" w:rsidR="0020782B" w:rsidRPr="00F30A97" w:rsidRDefault="0020782B">
            <w:pPr>
              <w:pStyle w:val="Tabletext"/>
              <w:rPr>
                <w:sz w:val="20"/>
              </w:rPr>
            </w:pPr>
            <w:r w:rsidRPr="00F30A97">
              <w:rPr>
                <w:color w:val="000000"/>
                <w:sz w:val="20"/>
              </w:rPr>
              <w:t>Report M.2377-1*</w:t>
            </w:r>
          </w:p>
        </w:tc>
        <w:tc>
          <w:tcPr>
            <w:tcW w:w="2410" w:type="dxa"/>
            <w:shd w:val="clear" w:color="auto" w:fill="auto"/>
            <w:vAlign w:val="center"/>
          </w:tcPr>
          <w:p w14:paraId="79639C18" w14:textId="77777777" w:rsidR="0020782B" w:rsidRPr="00F30A97" w:rsidRDefault="0020782B">
            <w:pPr>
              <w:pStyle w:val="Tabletext"/>
              <w:rPr>
                <w:sz w:val="20"/>
              </w:rPr>
            </w:pPr>
            <w:r w:rsidRPr="00F30A97">
              <w:rPr>
                <w:color w:val="000000"/>
                <w:sz w:val="20"/>
              </w:rPr>
              <w:t>ITU-R</w:t>
            </w:r>
          </w:p>
        </w:tc>
        <w:tc>
          <w:tcPr>
            <w:tcW w:w="1276" w:type="dxa"/>
            <w:shd w:val="clear" w:color="auto" w:fill="auto"/>
            <w:vAlign w:val="center"/>
          </w:tcPr>
          <w:p w14:paraId="7D683149" w14:textId="77777777" w:rsidR="0020782B" w:rsidRPr="00F30A97" w:rsidRDefault="0020782B">
            <w:pPr>
              <w:pStyle w:val="Tabletext"/>
              <w:rPr>
                <w:sz w:val="20"/>
              </w:rPr>
            </w:pPr>
            <w:r w:rsidRPr="00F30A97">
              <w:rPr>
                <w:color w:val="000000"/>
                <w:sz w:val="20"/>
              </w:rPr>
              <w:t>SG5</w:t>
            </w:r>
          </w:p>
        </w:tc>
        <w:tc>
          <w:tcPr>
            <w:tcW w:w="2567" w:type="dxa"/>
            <w:shd w:val="clear" w:color="auto" w:fill="auto"/>
            <w:vAlign w:val="center"/>
          </w:tcPr>
          <w:p w14:paraId="2137C55E" w14:textId="77777777" w:rsidR="0020782B" w:rsidRPr="00F30A97" w:rsidRDefault="0020782B">
            <w:pPr>
              <w:pStyle w:val="Tabletext"/>
              <w:rPr>
                <w:sz w:val="20"/>
              </w:rPr>
            </w:pPr>
            <w:r w:rsidRPr="00F30A97">
              <w:rPr>
                <w:color w:val="000000"/>
                <w:sz w:val="20"/>
              </w:rPr>
              <w:t>Radiocommunication objectives and requirements for Public Protection and Disaster Relief (PPDR)</w:t>
            </w:r>
          </w:p>
        </w:tc>
        <w:tc>
          <w:tcPr>
            <w:tcW w:w="1538" w:type="dxa"/>
            <w:shd w:val="clear" w:color="auto" w:fill="auto"/>
            <w:vAlign w:val="center"/>
          </w:tcPr>
          <w:p w14:paraId="739B66C2" w14:textId="77777777" w:rsidR="0020782B" w:rsidRPr="00F30A97" w:rsidRDefault="0020782B">
            <w:pPr>
              <w:pStyle w:val="Tabletext"/>
              <w:rPr>
                <w:sz w:val="20"/>
              </w:rPr>
            </w:pPr>
            <w:r w:rsidRPr="00F30A97">
              <w:rPr>
                <w:color w:val="000000"/>
                <w:sz w:val="20"/>
              </w:rPr>
              <w:t>Published</w:t>
            </w:r>
          </w:p>
        </w:tc>
      </w:tr>
      <w:tr w:rsidR="0020782B" w:rsidRPr="00F30A97" w14:paraId="36916A13" w14:textId="77777777" w:rsidTr="0004021B">
        <w:trPr>
          <w:trHeight w:val="290"/>
        </w:trPr>
        <w:tc>
          <w:tcPr>
            <w:tcW w:w="1838" w:type="dxa"/>
            <w:shd w:val="clear" w:color="auto" w:fill="auto"/>
            <w:vAlign w:val="center"/>
          </w:tcPr>
          <w:p w14:paraId="52A5D6C9" w14:textId="77777777" w:rsidR="0020782B" w:rsidRPr="00F30A97" w:rsidRDefault="0020782B">
            <w:pPr>
              <w:pStyle w:val="Tabletext"/>
              <w:rPr>
                <w:sz w:val="20"/>
              </w:rPr>
            </w:pPr>
            <w:r w:rsidRPr="00F30A97">
              <w:rPr>
                <w:color w:val="000000"/>
                <w:sz w:val="20"/>
              </w:rPr>
              <w:t>Report RS.2178*</w:t>
            </w:r>
          </w:p>
        </w:tc>
        <w:tc>
          <w:tcPr>
            <w:tcW w:w="2410" w:type="dxa"/>
            <w:shd w:val="clear" w:color="auto" w:fill="auto"/>
            <w:vAlign w:val="center"/>
          </w:tcPr>
          <w:p w14:paraId="3F2DC193" w14:textId="77777777" w:rsidR="0020782B" w:rsidRPr="00F30A97" w:rsidRDefault="0020782B">
            <w:pPr>
              <w:pStyle w:val="Tabletext"/>
              <w:rPr>
                <w:sz w:val="20"/>
              </w:rPr>
            </w:pPr>
            <w:r w:rsidRPr="00F30A97">
              <w:rPr>
                <w:color w:val="000000"/>
                <w:sz w:val="20"/>
              </w:rPr>
              <w:t>ITU-R</w:t>
            </w:r>
          </w:p>
        </w:tc>
        <w:tc>
          <w:tcPr>
            <w:tcW w:w="1276" w:type="dxa"/>
            <w:shd w:val="clear" w:color="auto" w:fill="auto"/>
            <w:vAlign w:val="center"/>
          </w:tcPr>
          <w:p w14:paraId="5967F519" w14:textId="77777777" w:rsidR="0020782B" w:rsidRPr="00F30A97" w:rsidRDefault="0020782B">
            <w:pPr>
              <w:pStyle w:val="Tabletext"/>
              <w:rPr>
                <w:sz w:val="20"/>
              </w:rPr>
            </w:pPr>
            <w:r w:rsidRPr="00F30A97">
              <w:rPr>
                <w:color w:val="000000"/>
                <w:sz w:val="20"/>
              </w:rPr>
              <w:t>SG7</w:t>
            </w:r>
          </w:p>
        </w:tc>
        <w:tc>
          <w:tcPr>
            <w:tcW w:w="2567" w:type="dxa"/>
            <w:shd w:val="clear" w:color="auto" w:fill="auto"/>
            <w:vAlign w:val="center"/>
          </w:tcPr>
          <w:p w14:paraId="0432B1FA" w14:textId="77777777" w:rsidR="0020782B" w:rsidRPr="00F30A97" w:rsidRDefault="0020782B">
            <w:pPr>
              <w:pStyle w:val="Tabletext"/>
              <w:rPr>
                <w:sz w:val="20"/>
              </w:rPr>
            </w:pPr>
            <w:r w:rsidRPr="00F30A97">
              <w:rPr>
                <w:color w:val="000000"/>
                <w:sz w:val="20"/>
              </w:rPr>
              <w:t xml:space="preserve">The essential role and global importance of radio spectrum use for </w:t>
            </w:r>
            <w:r w:rsidRPr="00F30A97">
              <w:rPr>
                <w:sz w:val="20"/>
              </w:rPr>
              <w:t>e</w:t>
            </w:r>
            <w:r w:rsidRPr="00F30A97">
              <w:rPr>
                <w:color w:val="000000"/>
                <w:sz w:val="20"/>
              </w:rPr>
              <w:t>arth observations and for related applications</w:t>
            </w:r>
          </w:p>
        </w:tc>
        <w:tc>
          <w:tcPr>
            <w:tcW w:w="1538" w:type="dxa"/>
            <w:shd w:val="clear" w:color="auto" w:fill="auto"/>
            <w:vAlign w:val="center"/>
          </w:tcPr>
          <w:p w14:paraId="27E27AE5" w14:textId="77777777" w:rsidR="0020782B" w:rsidRPr="00F30A97" w:rsidRDefault="0020782B">
            <w:pPr>
              <w:pStyle w:val="Tabletext"/>
              <w:rPr>
                <w:sz w:val="20"/>
              </w:rPr>
            </w:pPr>
            <w:r w:rsidRPr="00F30A97">
              <w:rPr>
                <w:color w:val="000000"/>
                <w:sz w:val="20"/>
              </w:rPr>
              <w:t>Published</w:t>
            </w:r>
          </w:p>
        </w:tc>
      </w:tr>
      <w:tr w:rsidR="0020782B" w:rsidRPr="00F30A97" w14:paraId="6744D6F2" w14:textId="77777777" w:rsidTr="0004021B">
        <w:trPr>
          <w:trHeight w:val="290"/>
        </w:trPr>
        <w:tc>
          <w:tcPr>
            <w:tcW w:w="1838" w:type="dxa"/>
            <w:shd w:val="clear" w:color="auto" w:fill="auto"/>
            <w:vAlign w:val="center"/>
          </w:tcPr>
          <w:p w14:paraId="039F2E4D" w14:textId="77777777" w:rsidR="0020782B" w:rsidRPr="00F30A97" w:rsidRDefault="0020782B">
            <w:pPr>
              <w:pStyle w:val="Tabletext"/>
              <w:rPr>
                <w:sz w:val="20"/>
              </w:rPr>
            </w:pPr>
            <w:r w:rsidRPr="00F30A97">
              <w:rPr>
                <w:color w:val="000000"/>
                <w:sz w:val="20"/>
              </w:rPr>
              <w:t> M.1042-3*</w:t>
            </w:r>
          </w:p>
        </w:tc>
        <w:tc>
          <w:tcPr>
            <w:tcW w:w="2410" w:type="dxa"/>
            <w:shd w:val="clear" w:color="auto" w:fill="auto"/>
            <w:vAlign w:val="center"/>
          </w:tcPr>
          <w:p w14:paraId="0CBFF9D2" w14:textId="77777777" w:rsidR="0020782B" w:rsidRPr="00F30A97" w:rsidRDefault="0020782B">
            <w:pPr>
              <w:pStyle w:val="Tabletext"/>
              <w:rPr>
                <w:sz w:val="20"/>
              </w:rPr>
            </w:pPr>
            <w:r w:rsidRPr="00F30A97">
              <w:rPr>
                <w:color w:val="000000"/>
                <w:sz w:val="20"/>
              </w:rPr>
              <w:t xml:space="preserve">ITU-R </w:t>
            </w:r>
          </w:p>
        </w:tc>
        <w:tc>
          <w:tcPr>
            <w:tcW w:w="1276" w:type="dxa"/>
            <w:shd w:val="clear" w:color="auto" w:fill="auto"/>
            <w:vAlign w:val="center"/>
          </w:tcPr>
          <w:p w14:paraId="3BDFA975" w14:textId="77777777" w:rsidR="0020782B" w:rsidRPr="00F30A97" w:rsidRDefault="0020782B">
            <w:pPr>
              <w:pStyle w:val="Tabletext"/>
              <w:rPr>
                <w:sz w:val="20"/>
              </w:rPr>
            </w:pPr>
            <w:r w:rsidRPr="00F30A97">
              <w:rPr>
                <w:color w:val="000000"/>
                <w:sz w:val="20"/>
              </w:rPr>
              <w:t>SG5</w:t>
            </w:r>
          </w:p>
        </w:tc>
        <w:tc>
          <w:tcPr>
            <w:tcW w:w="2567" w:type="dxa"/>
            <w:shd w:val="clear" w:color="auto" w:fill="auto"/>
            <w:vAlign w:val="center"/>
          </w:tcPr>
          <w:p w14:paraId="0E74C1E0" w14:textId="77777777" w:rsidR="0020782B" w:rsidRPr="00F30A97" w:rsidRDefault="0020782B">
            <w:pPr>
              <w:pStyle w:val="Tabletext"/>
              <w:rPr>
                <w:sz w:val="20"/>
              </w:rPr>
            </w:pPr>
            <w:r w:rsidRPr="00F30A97">
              <w:rPr>
                <w:color w:val="000000"/>
                <w:sz w:val="20"/>
              </w:rPr>
              <w:t>Disaster communications in the amateur and amateur-satellite services</w:t>
            </w:r>
          </w:p>
        </w:tc>
        <w:tc>
          <w:tcPr>
            <w:tcW w:w="1538" w:type="dxa"/>
            <w:shd w:val="clear" w:color="auto" w:fill="auto"/>
            <w:vAlign w:val="center"/>
          </w:tcPr>
          <w:p w14:paraId="303E7615" w14:textId="77777777" w:rsidR="0020782B" w:rsidRPr="00F30A97" w:rsidRDefault="0020782B">
            <w:pPr>
              <w:pStyle w:val="Tabletext"/>
              <w:rPr>
                <w:sz w:val="20"/>
              </w:rPr>
            </w:pPr>
            <w:r w:rsidRPr="00F30A97">
              <w:rPr>
                <w:color w:val="000000"/>
                <w:sz w:val="20"/>
              </w:rPr>
              <w:t>Published</w:t>
            </w:r>
          </w:p>
        </w:tc>
      </w:tr>
      <w:tr w:rsidR="0020782B" w:rsidRPr="00F30A97" w14:paraId="10C8DB88" w14:textId="77777777" w:rsidTr="0004021B">
        <w:trPr>
          <w:trHeight w:val="290"/>
        </w:trPr>
        <w:tc>
          <w:tcPr>
            <w:tcW w:w="1838" w:type="dxa"/>
            <w:shd w:val="clear" w:color="auto" w:fill="auto"/>
            <w:vAlign w:val="center"/>
          </w:tcPr>
          <w:p w14:paraId="56F70184" w14:textId="77777777" w:rsidR="0020782B" w:rsidRPr="00F30A97" w:rsidRDefault="0020782B">
            <w:pPr>
              <w:pStyle w:val="Tabletext"/>
              <w:rPr>
                <w:sz w:val="20"/>
              </w:rPr>
            </w:pPr>
            <w:r w:rsidRPr="00F30A97">
              <w:rPr>
                <w:color w:val="000000"/>
                <w:sz w:val="20"/>
              </w:rPr>
              <w:t>BO.1774-2*</w:t>
            </w:r>
          </w:p>
        </w:tc>
        <w:tc>
          <w:tcPr>
            <w:tcW w:w="2410" w:type="dxa"/>
            <w:shd w:val="clear" w:color="auto" w:fill="auto"/>
            <w:vAlign w:val="center"/>
          </w:tcPr>
          <w:p w14:paraId="5D020B9A" w14:textId="77777777" w:rsidR="0020782B" w:rsidRPr="00F30A97" w:rsidRDefault="0020782B">
            <w:pPr>
              <w:pStyle w:val="Tabletext"/>
              <w:rPr>
                <w:sz w:val="20"/>
              </w:rPr>
            </w:pPr>
            <w:r w:rsidRPr="00F30A97">
              <w:rPr>
                <w:color w:val="000000"/>
                <w:sz w:val="20"/>
              </w:rPr>
              <w:t xml:space="preserve">ITU-R </w:t>
            </w:r>
          </w:p>
        </w:tc>
        <w:tc>
          <w:tcPr>
            <w:tcW w:w="1276" w:type="dxa"/>
            <w:shd w:val="clear" w:color="auto" w:fill="auto"/>
            <w:vAlign w:val="center"/>
          </w:tcPr>
          <w:p w14:paraId="32840D4E" w14:textId="77777777" w:rsidR="0020782B" w:rsidRPr="00F30A97" w:rsidRDefault="0020782B">
            <w:pPr>
              <w:pStyle w:val="Tabletext"/>
              <w:rPr>
                <w:sz w:val="20"/>
              </w:rPr>
            </w:pPr>
            <w:r w:rsidRPr="00F30A97">
              <w:rPr>
                <w:color w:val="000000"/>
                <w:sz w:val="20"/>
              </w:rPr>
              <w:t>SG6</w:t>
            </w:r>
          </w:p>
        </w:tc>
        <w:tc>
          <w:tcPr>
            <w:tcW w:w="2567" w:type="dxa"/>
            <w:shd w:val="clear" w:color="auto" w:fill="auto"/>
            <w:vAlign w:val="center"/>
          </w:tcPr>
          <w:p w14:paraId="0EFF3491" w14:textId="77777777" w:rsidR="0020782B" w:rsidRPr="00F30A97" w:rsidRDefault="0020782B">
            <w:pPr>
              <w:pStyle w:val="Tabletext"/>
              <w:rPr>
                <w:sz w:val="20"/>
              </w:rPr>
            </w:pPr>
            <w:r w:rsidRPr="00F30A97">
              <w:rPr>
                <w:color w:val="000000"/>
                <w:sz w:val="20"/>
              </w:rPr>
              <w:t>Use of satellite and terrestrial broadcast infrastructures for public warning, disaster mitigation and relief</w:t>
            </w:r>
          </w:p>
        </w:tc>
        <w:tc>
          <w:tcPr>
            <w:tcW w:w="1538" w:type="dxa"/>
            <w:shd w:val="clear" w:color="auto" w:fill="auto"/>
            <w:vAlign w:val="center"/>
          </w:tcPr>
          <w:p w14:paraId="6F90603C" w14:textId="77777777" w:rsidR="0020782B" w:rsidRPr="00F30A97" w:rsidRDefault="0020782B">
            <w:pPr>
              <w:pStyle w:val="Tabletext"/>
              <w:rPr>
                <w:sz w:val="20"/>
              </w:rPr>
            </w:pPr>
            <w:r w:rsidRPr="00F30A97">
              <w:rPr>
                <w:color w:val="000000"/>
                <w:sz w:val="20"/>
              </w:rPr>
              <w:t>Published</w:t>
            </w:r>
          </w:p>
        </w:tc>
      </w:tr>
      <w:tr w:rsidR="0020782B" w:rsidRPr="00F30A97" w14:paraId="0CF08277" w14:textId="77777777" w:rsidTr="0004021B">
        <w:trPr>
          <w:trHeight w:val="290"/>
        </w:trPr>
        <w:tc>
          <w:tcPr>
            <w:tcW w:w="1838" w:type="dxa"/>
            <w:shd w:val="clear" w:color="auto" w:fill="auto"/>
            <w:vAlign w:val="center"/>
          </w:tcPr>
          <w:p w14:paraId="049A9C18" w14:textId="77777777" w:rsidR="0020782B" w:rsidRPr="00F30A97" w:rsidRDefault="0020782B">
            <w:pPr>
              <w:pStyle w:val="Tabletext"/>
              <w:rPr>
                <w:sz w:val="20"/>
              </w:rPr>
            </w:pPr>
            <w:r w:rsidRPr="00F30A97">
              <w:rPr>
                <w:color w:val="000000"/>
                <w:sz w:val="20"/>
              </w:rPr>
              <w:t>Report M.2415-0*</w:t>
            </w:r>
          </w:p>
        </w:tc>
        <w:tc>
          <w:tcPr>
            <w:tcW w:w="2410" w:type="dxa"/>
            <w:shd w:val="clear" w:color="auto" w:fill="auto"/>
            <w:vAlign w:val="center"/>
          </w:tcPr>
          <w:p w14:paraId="3A62F439" w14:textId="77777777" w:rsidR="0020782B" w:rsidRPr="00F30A97" w:rsidRDefault="0020782B">
            <w:pPr>
              <w:pStyle w:val="Tabletext"/>
              <w:rPr>
                <w:sz w:val="20"/>
              </w:rPr>
            </w:pPr>
            <w:r w:rsidRPr="00F30A97">
              <w:rPr>
                <w:color w:val="000000"/>
                <w:sz w:val="20"/>
              </w:rPr>
              <w:t xml:space="preserve">ITU-R </w:t>
            </w:r>
          </w:p>
        </w:tc>
        <w:tc>
          <w:tcPr>
            <w:tcW w:w="1276" w:type="dxa"/>
            <w:shd w:val="clear" w:color="auto" w:fill="auto"/>
            <w:vAlign w:val="center"/>
          </w:tcPr>
          <w:p w14:paraId="01400EB2" w14:textId="77777777" w:rsidR="0020782B" w:rsidRPr="00F30A97" w:rsidRDefault="0020782B">
            <w:pPr>
              <w:pStyle w:val="Tabletext"/>
              <w:rPr>
                <w:sz w:val="20"/>
              </w:rPr>
            </w:pPr>
            <w:r w:rsidRPr="00F30A97">
              <w:rPr>
                <w:color w:val="000000"/>
                <w:sz w:val="20"/>
              </w:rPr>
              <w:t>SG5</w:t>
            </w:r>
          </w:p>
        </w:tc>
        <w:tc>
          <w:tcPr>
            <w:tcW w:w="2567" w:type="dxa"/>
            <w:shd w:val="clear" w:color="auto" w:fill="auto"/>
            <w:vAlign w:val="center"/>
          </w:tcPr>
          <w:p w14:paraId="118069EE" w14:textId="77777777" w:rsidR="0020782B" w:rsidRPr="00F30A97" w:rsidRDefault="0020782B">
            <w:pPr>
              <w:pStyle w:val="Tabletext"/>
              <w:rPr>
                <w:sz w:val="20"/>
              </w:rPr>
            </w:pPr>
            <w:r w:rsidRPr="00F30A97">
              <w:rPr>
                <w:color w:val="000000"/>
                <w:sz w:val="20"/>
              </w:rPr>
              <w:t>Spectrum needs for Public Protection and Disaster Relief</w:t>
            </w:r>
          </w:p>
        </w:tc>
        <w:tc>
          <w:tcPr>
            <w:tcW w:w="1538" w:type="dxa"/>
            <w:shd w:val="clear" w:color="auto" w:fill="auto"/>
            <w:vAlign w:val="center"/>
          </w:tcPr>
          <w:p w14:paraId="066C89D6" w14:textId="77777777" w:rsidR="0020782B" w:rsidRPr="00F30A97" w:rsidRDefault="0020782B">
            <w:pPr>
              <w:pStyle w:val="Tabletext"/>
              <w:rPr>
                <w:sz w:val="20"/>
              </w:rPr>
            </w:pPr>
            <w:r w:rsidRPr="00F30A97">
              <w:rPr>
                <w:color w:val="000000"/>
                <w:sz w:val="20"/>
              </w:rPr>
              <w:t>Published</w:t>
            </w:r>
          </w:p>
        </w:tc>
      </w:tr>
      <w:tr w:rsidR="0020782B" w:rsidRPr="00F30A97" w14:paraId="1325DF09" w14:textId="77777777" w:rsidTr="0004021B">
        <w:trPr>
          <w:trHeight w:val="290"/>
        </w:trPr>
        <w:tc>
          <w:tcPr>
            <w:tcW w:w="1838" w:type="dxa"/>
            <w:shd w:val="clear" w:color="auto" w:fill="auto"/>
            <w:vAlign w:val="center"/>
          </w:tcPr>
          <w:p w14:paraId="01C9D568" w14:textId="77777777" w:rsidR="0020782B" w:rsidRPr="00F30A97" w:rsidRDefault="0020782B">
            <w:pPr>
              <w:pStyle w:val="Tabletext"/>
              <w:rPr>
                <w:sz w:val="20"/>
              </w:rPr>
            </w:pPr>
            <w:r w:rsidRPr="00F30A97">
              <w:rPr>
                <w:color w:val="000000"/>
                <w:sz w:val="20"/>
              </w:rPr>
              <w:t>RS.1859-1*</w:t>
            </w:r>
          </w:p>
        </w:tc>
        <w:tc>
          <w:tcPr>
            <w:tcW w:w="2410" w:type="dxa"/>
            <w:shd w:val="clear" w:color="auto" w:fill="auto"/>
            <w:vAlign w:val="center"/>
          </w:tcPr>
          <w:p w14:paraId="370C9B29" w14:textId="77777777" w:rsidR="0020782B" w:rsidRPr="00F30A97" w:rsidRDefault="0020782B">
            <w:pPr>
              <w:pStyle w:val="Tabletext"/>
              <w:rPr>
                <w:sz w:val="20"/>
              </w:rPr>
            </w:pPr>
            <w:r w:rsidRPr="00F30A97">
              <w:rPr>
                <w:color w:val="000000"/>
                <w:sz w:val="20"/>
              </w:rPr>
              <w:t xml:space="preserve">ITU-R </w:t>
            </w:r>
          </w:p>
        </w:tc>
        <w:tc>
          <w:tcPr>
            <w:tcW w:w="1276" w:type="dxa"/>
            <w:shd w:val="clear" w:color="auto" w:fill="auto"/>
            <w:vAlign w:val="center"/>
          </w:tcPr>
          <w:p w14:paraId="79A941B5" w14:textId="77777777" w:rsidR="0020782B" w:rsidRPr="00F30A97" w:rsidRDefault="0020782B">
            <w:pPr>
              <w:pStyle w:val="Tabletext"/>
              <w:rPr>
                <w:sz w:val="20"/>
              </w:rPr>
            </w:pPr>
            <w:r w:rsidRPr="00F30A97">
              <w:rPr>
                <w:color w:val="000000"/>
                <w:sz w:val="20"/>
              </w:rPr>
              <w:t>SG7</w:t>
            </w:r>
          </w:p>
        </w:tc>
        <w:tc>
          <w:tcPr>
            <w:tcW w:w="2567" w:type="dxa"/>
            <w:shd w:val="clear" w:color="auto" w:fill="auto"/>
            <w:vAlign w:val="center"/>
          </w:tcPr>
          <w:p w14:paraId="6D4AB2B0" w14:textId="77777777" w:rsidR="0020782B" w:rsidRPr="00F30A97" w:rsidRDefault="0020782B">
            <w:pPr>
              <w:pStyle w:val="Tabletext"/>
              <w:rPr>
                <w:sz w:val="20"/>
              </w:rPr>
            </w:pPr>
            <w:r w:rsidRPr="00F30A97">
              <w:rPr>
                <w:color w:val="000000"/>
                <w:sz w:val="20"/>
              </w:rPr>
              <w:t>Use of remote sensing systems for data collection to be used in the event of natural disasters and similar emergencies</w:t>
            </w:r>
          </w:p>
        </w:tc>
        <w:tc>
          <w:tcPr>
            <w:tcW w:w="1538" w:type="dxa"/>
            <w:shd w:val="clear" w:color="auto" w:fill="auto"/>
            <w:vAlign w:val="center"/>
          </w:tcPr>
          <w:p w14:paraId="65B6068B" w14:textId="77777777" w:rsidR="0020782B" w:rsidRPr="00F30A97" w:rsidRDefault="0020782B">
            <w:pPr>
              <w:pStyle w:val="Tabletext"/>
              <w:rPr>
                <w:sz w:val="20"/>
              </w:rPr>
            </w:pPr>
            <w:r w:rsidRPr="00F30A97">
              <w:rPr>
                <w:color w:val="000000"/>
                <w:sz w:val="20"/>
              </w:rPr>
              <w:t>Published</w:t>
            </w:r>
          </w:p>
        </w:tc>
      </w:tr>
      <w:tr w:rsidR="0020782B" w:rsidRPr="00F30A97" w14:paraId="1D247235" w14:textId="77777777" w:rsidTr="0004021B">
        <w:trPr>
          <w:trHeight w:val="290"/>
        </w:trPr>
        <w:tc>
          <w:tcPr>
            <w:tcW w:w="1838" w:type="dxa"/>
            <w:shd w:val="clear" w:color="auto" w:fill="auto"/>
            <w:vAlign w:val="center"/>
          </w:tcPr>
          <w:p w14:paraId="2EEA1C42" w14:textId="107C9B99" w:rsidR="0020782B" w:rsidRPr="00F30A97" w:rsidRDefault="0020782B">
            <w:pPr>
              <w:pStyle w:val="Tabletext"/>
              <w:rPr>
                <w:sz w:val="20"/>
              </w:rPr>
            </w:pPr>
            <w:r w:rsidRPr="00F30A97">
              <w:rPr>
                <w:color w:val="000000"/>
                <w:sz w:val="20"/>
              </w:rPr>
              <w:t>ITU-T Y.4468*</w:t>
            </w:r>
          </w:p>
        </w:tc>
        <w:tc>
          <w:tcPr>
            <w:tcW w:w="2410" w:type="dxa"/>
            <w:shd w:val="clear" w:color="auto" w:fill="auto"/>
            <w:vAlign w:val="center"/>
          </w:tcPr>
          <w:p w14:paraId="664AEE76" w14:textId="77777777" w:rsidR="0020782B" w:rsidRPr="00F30A97" w:rsidRDefault="0020782B">
            <w:pPr>
              <w:pStyle w:val="Tabletext"/>
              <w:rPr>
                <w:sz w:val="20"/>
              </w:rPr>
            </w:pPr>
            <w:r w:rsidRPr="00F30A97">
              <w:rPr>
                <w:color w:val="000000"/>
                <w:sz w:val="20"/>
              </w:rPr>
              <w:t>ITU-T</w:t>
            </w:r>
          </w:p>
        </w:tc>
        <w:tc>
          <w:tcPr>
            <w:tcW w:w="1276" w:type="dxa"/>
            <w:shd w:val="clear" w:color="auto" w:fill="auto"/>
            <w:vAlign w:val="center"/>
          </w:tcPr>
          <w:p w14:paraId="63AB0094" w14:textId="77777777" w:rsidR="0020782B" w:rsidRPr="00F30A97" w:rsidRDefault="0020782B">
            <w:pPr>
              <w:pStyle w:val="Tabletext"/>
              <w:rPr>
                <w:sz w:val="20"/>
              </w:rPr>
            </w:pPr>
            <w:r w:rsidRPr="00F30A97">
              <w:rPr>
                <w:color w:val="000000"/>
                <w:sz w:val="20"/>
              </w:rPr>
              <w:t>SG20</w:t>
            </w:r>
          </w:p>
        </w:tc>
        <w:tc>
          <w:tcPr>
            <w:tcW w:w="2567" w:type="dxa"/>
            <w:shd w:val="clear" w:color="auto" w:fill="auto"/>
            <w:vAlign w:val="center"/>
          </w:tcPr>
          <w:p w14:paraId="32421432" w14:textId="77777777" w:rsidR="0020782B" w:rsidRPr="00F30A97" w:rsidRDefault="0020782B">
            <w:pPr>
              <w:pStyle w:val="Tabletext"/>
              <w:rPr>
                <w:sz w:val="20"/>
              </w:rPr>
            </w:pPr>
            <w:r w:rsidRPr="00F30A97">
              <w:rPr>
                <w:color w:val="000000"/>
                <w:sz w:val="20"/>
              </w:rPr>
              <w:t>Minimum set of data transfer protocol for automotive emergency response system</w:t>
            </w:r>
          </w:p>
        </w:tc>
        <w:tc>
          <w:tcPr>
            <w:tcW w:w="1538" w:type="dxa"/>
            <w:shd w:val="clear" w:color="auto" w:fill="auto"/>
            <w:vAlign w:val="center"/>
          </w:tcPr>
          <w:p w14:paraId="2C0D8141" w14:textId="77777777" w:rsidR="0020782B" w:rsidRPr="00F30A97" w:rsidRDefault="0020782B">
            <w:pPr>
              <w:pStyle w:val="Tabletext"/>
              <w:rPr>
                <w:sz w:val="20"/>
              </w:rPr>
            </w:pPr>
            <w:r w:rsidRPr="00F30A97">
              <w:rPr>
                <w:color w:val="000000"/>
                <w:sz w:val="20"/>
              </w:rPr>
              <w:t>Published (Approved)</w:t>
            </w:r>
          </w:p>
        </w:tc>
      </w:tr>
      <w:tr w:rsidR="0020782B" w:rsidRPr="00F30A97" w14:paraId="26D902E3" w14:textId="77777777" w:rsidTr="0004021B">
        <w:trPr>
          <w:trHeight w:val="290"/>
        </w:trPr>
        <w:tc>
          <w:tcPr>
            <w:tcW w:w="1838" w:type="dxa"/>
            <w:shd w:val="clear" w:color="auto" w:fill="auto"/>
            <w:vAlign w:val="center"/>
          </w:tcPr>
          <w:p w14:paraId="1A3E1BB2" w14:textId="77777777" w:rsidR="0020782B" w:rsidRPr="00F30A97" w:rsidRDefault="0020782B">
            <w:pPr>
              <w:pStyle w:val="Tabletext"/>
              <w:rPr>
                <w:sz w:val="20"/>
              </w:rPr>
            </w:pPr>
            <w:r w:rsidRPr="00F30A97">
              <w:rPr>
                <w:sz w:val="20"/>
              </w:rPr>
              <w:lastRenderedPageBreak/>
              <w:t>Technical Report</w:t>
            </w:r>
          </w:p>
        </w:tc>
        <w:tc>
          <w:tcPr>
            <w:tcW w:w="2410" w:type="dxa"/>
            <w:shd w:val="clear" w:color="auto" w:fill="auto"/>
            <w:vAlign w:val="center"/>
          </w:tcPr>
          <w:p w14:paraId="5BB9373B" w14:textId="77777777" w:rsidR="0020782B" w:rsidRPr="00F30A97" w:rsidRDefault="0020782B">
            <w:pPr>
              <w:pStyle w:val="Tabletext"/>
              <w:rPr>
                <w:sz w:val="20"/>
              </w:rPr>
            </w:pPr>
            <w:r w:rsidRPr="00F30A97">
              <w:rPr>
                <w:color w:val="000000"/>
                <w:sz w:val="20"/>
              </w:rPr>
              <w:t>ITU-T</w:t>
            </w:r>
          </w:p>
        </w:tc>
        <w:tc>
          <w:tcPr>
            <w:tcW w:w="1276" w:type="dxa"/>
            <w:shd w:val="clear" w:color="auto" w:fill="auto"/>
            <w:vAlign w:val="center"/>
          </w:tcPr>
          <w:p w14:paraId="6B88BBC8" w14:textId="77777777" w:rsidR="0020782B" w:rsidRPr="00F30A97" w:rsidRDefault="0020782B">
            <w:pPr>
              <w:pStyle w:val="Tabletext"/>
              <w:rPr>
                <w:sz w:val="20"/>
              </w:rPr>
            </w:pPr>
            <w:r w:rsidRPr="00F30A97">
              <w:rPr>
                <w:color w:val="000000"/>
                <w:sz w:val="20"/>
              </w:rPr>
              <w:t>FG-SSC</w:t>
            </w:r>
          </w:p>
        </w:tc>
        <w:tc>
          <w:tcPr>
            <w:tcW w:w="2567" w:type="dxa"/>
            <w:shd w:val="clear" w:color="auto" w:fill="auto"/>
            <w:vAlign w:val="center"/>
          </w:tcPr>
          <w:p w14:paraId="7798D054" w14:textId="77777777" w:rsidR="0020782B" w:rsidRPr="00F30A97" w:rsidRDefault="0020782B">
            <w:pPr>
              <w:pStyle w:val="Tabletext"/>
              <w:rPr>
                <w:sz w:val="20"/>
              </w:rPr>
            </w:pPr>
            <w:r w:rsidRPr="00F30A97">
              <w:rPr>
                <w:sz w:val="20"/>
              </w:rPr>
              <w:t>Standardization roadmap for smart sustainable cities</w:t>
            </w:r>
          </w:p>
        </w:tc>
        <w:tc>
          <w:tcPr>
            <w:tcW w:w="1538" w:type="dxa"/>
            <w:shd w:val="clear" w:color="auto" w:fill="auto"/>
            <w:vAlign w:val="center"/>
          </w:tcPr>
          <w:p w14:paraId="3C7D1D47" w14:textId="77777777" w:rsidR="0020782B" w:rsidRPr="00F30A97" w:rsidRDefault="0020782B">
            <w:pPr>
              <w:pStyle w:val="Tabletext"/>
              <w:rPr>
                <w:sz w:val="20"/>
              </w:rPr>
            </w:pPr>
            <w:r w:rsidRPr="00F30A97">
              <w:rPr>
                <w:sz w:val="20"/>
              </w:rPr>
              <w:t>Published</w:t>
            </w:r>
          </w:p>
        </w:tc>
      </w:tr>
      <w:tr w:rsidR="0020782B" w:rsidRPr="00F30A97" w14:paraId="4FD1168C" w14:textId="77777777" w:rsidTr="0004021B">
        <w:trPr>
          <w:trHeight w:val="290"/>
        </w:trPr>
        <w:tc>
          <w:tcPr>
            <w:tcW w:w="1838" w:type="dxa"/>
            <w:shd w:val="clear" w:color="auto" w:fill="auto"/>
            <w:vAlign w:val="center"/>
          </w:tcPr>
          <w:p w14:paraId="6E508CFD" w14:textId="77777777" w:rsidR="0020782B" w:rsidRPr="00F30A97" w:rsidRDefault="0020782B">
            <w:pPr>
              <w:pStyle w:val="Tabletext"/>
              <w:rPr>
                <w:sz w:val="20"/>
              </w:rPr>
            </w:pPr>
            <w:r w:rsidRPr="00F30A97">
              <w:rPr>
                <w:color w:val="000000"/>
                <w:sz w:val="20"/>
              </w:rPr>
              <w:t>HSTP-DIS-UAV*</w:t>
            </w:r>
          </w:p>
        </w:tc>
        <w:tc>
          <w:tcPr>
            <w:tcW w:w="2410" w:type="dxa"/>
            <w:shd w:val="clear" w:color="auto" w:fill="auto"/>
            <w:vAlign w:val="center"/>
          </w:tcPr>
          <w:p w14:paraId="233DAD8A" w14:textId="77777777" w:rsidR="0020782B" w:rsidRPr="00F30A97" w:rsidRDefault="0020782B">
            <w:pPr>
              <w:pStyle w:val="Tabletext"/>
              <w:rPr>
                <w:sz w:val="20"/>
              </w:rPr>
            </w:pPr>
            <w:r w:rsidRPr="00F30A97">
              <w:rPr>
                <w:color w:val="000000"/>
                <w:sz w:val="20"/>
              </w:rPr>
              <w:t>ITU-T</w:t>
            </w:r>
          </w:p>
        </w:tc>
        <w:tc>
          <w:tcPr>
            <w:tcW w:w="1276" w:type="dxa"/>
            <w:shd w:val="clear" w:color="auto" w:fill="auto"/>
            <w:vAlign w:val="center"/>
          </w:tcPr>
          <w:p w14:paraId="103742B4" w14:textId="77777777" w:rsidR="0020782B" w:rsidRPr="00F30A97" w:rsidRDefault="0020782B">
            <w:pPr>
              <w:pStyle w:val="Tabletext"/>
              <w:rPr>
                <w:sz w:val="20"/>
              </w:rPr>
            </w:pPr>
            <w:r w:rsidRPr="00F30A97">
              <w:rPr>
                <w:color w:val="000000"/>
                <w:sz w:val="20"/>
              </w:rPr>
              <w:t>SG16</w:t>
            </w:r>
          </w:p>
        </w:tc>
        <w:tc>
          <w:tcPr>
            <w:tcW w:w="2567" w:type="dxa"/>
            <w:shd w:val="clear" w:color="auto" w:fill="auto"/>
            <w:vAlign w:val="center"/>
          </w:tcPr>
          <w:p w14:paraId="3306B661" w14:textId="77777777" w:rsidR="0020782B" w:rsidRPr="00F30A97" w:rsidRDefault="0020782B">
            <w:pPr>
              <w:pStyle w:val="Tabletext"/>
              <w:rPr>
                <w:sz w:val="20"/>
              </w:rPr>
            </w:pPr>
            <w:r w:rsidRPr="00F30A97">
              <w:rPr>
                <w:color w:val="000000"/>
                <w:sz w:val="20"/>
              </w:rPr>
              <w:t>Use cases and service scenarios of disaster information service using unmanned aerial vehicles</w:t>
            </w:r>
          </w:p>
        </w:tc>
        <w:tc>
          <w:tcPr>
            <w:tcW w:w="1538" w:type="dxa"/>
            <w:shd w:val="clear" w:color="auto" w:fill="auto"/>
            <w:vAlign w:val="center"/>
          </w:tcPr>
          <w:p w14:paraId="238F698D" w14:textId="77777777" w:rsidR="0020782B" w:rsidRPr="00F30A97" w:rsidRDefault="0020782B">
            <w:pPr>
              <w:pStyle w:val="Tabletext"/>
              <w:rPr>
                <w:sz w:val="20"/>
              </w:rPr>
            </w:pPr>
            <w:r w:rsidRPr="00F30A97">
              <w:rPr>
                <w:color w:val="000000"/>
                <w:sz w:val="20"/>
              </w:rPr>
              <w:t>Published (Agreed)</w:t>
            </w:r>
          </w:p>
        </w:tc>
      </w:tr>
      <w:tr w:rsidR="0020782B" w:rsidRPr="00F30A97" w14:paraId="28974016" w14:textId="77777777" w:rsidTr="0004021B">
        <w:trPr>
          <w:trHeight w:val="290"/>
        </w:trPr>
        <w:tc>
          <w:tcPr>
            <w:tcW w:w="1838" w:type="dxa"/>
            <w:shd w:val="clear" w:color="auto" w:fill="auto"/>
            <w:vAlign w:val="center"/>
          </w:tcPr>
          <w:p w14:paraId="235AC7E9" w14:textId="77777777" w:rsidR="0020782B" w:rsidRPr="00F30A97" w:rsidRDefault="0020782B">
            <w:pPr>
              <w:pStyle w:val="Tabletext"/>
              <w:rPr>
                <w:sz w:val="20"/>
              </w:rPr>
            </w:pPr>
            <w:r w:rsidRPr="00F30A97">
              <w:rPr>
                <w:color w:val="000000"/>
                <w:sz w:val="20"/>
              </w:rPr>
              <w:t>ITU-T L.300-series Sup.35*</w:t>
            </w:r>
          </w:p>
        </w:tc>
        <w:tc>
          <w:tcPr>
            <w:tcW w:w="2410" w:type="dxa"/>
            <w:shd w:val="clear" w:color="auto" w:fill="auto"/>
            <w:vAlign w:val="center"/>
          </w:tcPr>
          <w:p w14:paraId="6CB40152" w14:textId="77777777" w:rsidR="0020782B" w:rsidRPr="00F30A97" w:rsidRDefault="0020782B">
            <w:pPr>
              <w:pStyle w:val="Tabletext"/>
              <w:rPr>
                <w:sz w:val="20"/>
              </w:rPr>
            </w:pPr>
            <w:r w:rsidRPr="00F30A97">
              <w:rPr>
                <w:color w:val="000000"/>
                <w:sz w:val="20"/>
              </w:rPr>
              <w:t>ITU-T</w:t>
            </w:r>
          </w:p>
        </w:tc>
        <w:tc>
          <w:tcPr>
            <w:tcW w:w="1276" w:type="dxa"/>
            <w:shd w:val="clear" w:color="auto" w:fill="auto"/>
            <w:vAlign w:val="center"/>
          </w:tcPr>
          <w:p w14:paraId="50A39229" w14:textId="77777777" w:rsidR="0020782B" w:rsidRPr="00F30A97" w:rsidRDefault="0020782B">
            <w:pPr>
              <w:pStyle w:val="Tabletext"/>
              <w:rPr>
                <w:sz w:val="20"/>
              </w:rPr>
            </w:pPr>
            <w:r w:rsidRPr="00F30A97">
              <w:rPr>
                <w:color w:val="000000"/>
                <w:sz w:val="20"/>
              </w:rPr>
              <w:t>SG15</w:t>
            </w:r>
          </w:p>
        </w:tc>
        <w:tc>
          <w:tcPr>
            <w:tcW w:w="2567" w:type="dxa"/>
            <w:shd w:val="clear" w:color="auto" w:fill="auto"/>
            <w:vAlign w:val="center"/>
          </w:tcPr>
          <w:p w14:paraId="2E2B13F9" w14:textId="77777777" w:rsidR="0020782B" w:rsidRPr="00F30A97" w:rsidRDefault="0020782B">
            <w:pPr>
              <w:pStyle w:val="Tabletext"/>
              <w:rPr>
                <w:sz w:val="20"/>
              </w:rPr>
            </w:pPr>
            <w:r w:rsidRPr="00F30A97">
              <w:rPr>
                <w:color w:val="000000"/>
                <w:sz w:val="20"/>
              </w:rPr>
              <w:t>Framework of disaster management for network resilience and recovery</w:t>
            </w:r>
          </w:p>
        </w:tc>
        <w:tc>
          <w:tcPr>
            <w:tcW w:w="1538" w:type="dxa"/>
            <w:shd w:val="clear" w:color="auto" w:fill="auto"/>
            <w:vAlign w:val="center"/>
          </w:tcPr>
          <w:p w14:paraId="45AA1292" w14:textId="77777777" w:rsidR="0020782B" w:rsidRPr="00F30A97" w:rsidRDefault="0020782B">
            <w:pPr>
              <w:pStyle w:val="Tabletext"/>
              <w:rPr>
                <w:sz w:val="20"/>
              </w:rPr>
            </w:pPr>
            <w:r w:rsidRPr="00F30A97">
              <w:rPr>
                <w:color w:val="000000"/>
                <w:sz w:val="20"/>
              </w:rPr>
              <w:t>Published (Agreed)</w:t>
            </w:r>
          </w:p>
        </w:tc>
      </w:tr>
      <w:tr w:rsidR="0020782B" w:rsidRPr="00F30A97" w14:paraId="5A448855" w14:textId="77777777" w:rsidTr="0004021B">
        <w:trPr>
          <w:trHeight w:val="290"/>
        </w:trPr>
        <w:tc>
          <w:tcPr>
            <w:tcW w:w="1838" w:type="dxa"/>
            <w:shd w:val="clear" w:color="auto" w:fill="auto"/>
            <w:vAlign w:val="center"/>
          </w:tcPr>
          <w:p w14:paraId="4D8245B0" w14:textId="77777777" w:rsidR="0020782B" w:rsidRPr="00F30A97" w:rsidRDefault="0020782B">
            <w:pPr>
              <w:pStyle w:val="Tabletext"/>
              <w:rPr>
                <w:sz w:val="20"/>
              </w:rPr>
            </w:pPr>
            <w:r w:rsidRPr="00F30A97">
              <w:rPr>
                <w:color w:val="000000"/>
                <w:sz w:val="20"/>
              </w:rPr>
              <w:t xml:space="preserve">ITU-T L.SRDT_adaptation* </w:t>
            </w:r>
          </w:p>
        </w:tc>
        <w:tc>
          <w:tcPr>
            <w:tcW w:w="2410" w:type="dxa"/>
            <w:shd w:val="clear" w:color="auto" w:fill="auto"/>
            <w:vAlign w:val="center"/>
          </w:tcPr>
          <w:p w14:paraId="19B84589" w14:textId="77777777" w:rsidR="0020782B" w:rsidRPr="00F30A97" w:rsidRDefault="0020782B">
            <w:pPr>
              <w:pStyle w:val="Tabletext"/>
              <w:rPr>
                <w:sz w:val="20"/>
              </w:rPr>
            </w:pPr>
            <w:r w:rsidRPr="00F30A97">
              <w:rPr>
                <w:color w:val="000000"/>
                <w:sz w:val="20"/>
              </w:rPr>
              <w:t>ITU-T</w:t>
            </w:r>
          </w:p>
        </w:tc>
        <w:tc>
          <w:tcPr>
            <w:tcW w:w="1276" w:type="dxa"/>
            <w:shd w:val="clear" w:color="auto" w:fill="auto"/>
            <w:vAlign w:val="center"/>
          </w:tcPr>
          <w:p w14:paraId="4D504F04" w14:textId="77777777" w:rsidR="0020782B" w:rsidRPr="00F30A97" w:rsidRDefault="0020782B">
            <w:pPr>
              <w:pStyle w:val="Tabletext"/>
              <w:rPr>
                <w:sz w:val="20"/>
              </w:rPr>
            </w:pPr>
            <w:r w:rsidRPr="00F30A97">
              <w:rPr>
                <w:color w:val="000000"/>
                <w:sz w:val="20"/>
              </w:rPr>
              <w:t>SG5</w:t>
            </w:r>
          </w:p>
        </w:tc>
        <w:tc>
          <w:tcPr>
            <w:tcW w:w="2567" w:type="dxa"/>
            <w:shd w:val="clear" w:color="auto" w:fill="auto"/>
            <w:vAlign w:val="center"/>
          </w:tcPr>
          <w:p w14:paraId="1CF439C7" w14:textId="77777777" w:rsidR="0020782B" w:rsidRPr="00F30A97" w:rsidRDefault="0020782B">
            <w:pPr>
              <w:pStyle w:val="Tabletext"/>
              <w:rPr>
                <w:sz w:val="20"/>
              </w:rPr>
            </w:pPr>
            <w:r w:rsidRPr="00F30A97">
              <w:rPr>
                <w:color w:val="000000"/>
                <w:sz w:val="20"/>
              </w:rPr>
              <w:t>Sustainable and Resilient Digital Technologies for Adaptation to Climate Change</w:t>
            </w:r>
          </w:p>
        </w:tc>
        <w:tc>
          <w:tcPr>
            <w:tcW w:w="1538" w:type="dxa"/>
            <w:shd w:val="clear" w:color="auto" w:fill="auto"/>
            <w:vAlign w:val="center"/>
          </w:tcPr>
          <w:p w14:paraId="60593B4B" w14:textId="77777777" w:rsidR="0020782B" w:rsidRPr="00F30A97" w:rsidRDefault="0020782B">
            <w:pPr>
              <w:pStyle w:val="Tabletext"/>
              <w:rPr>
                <w:sz w:val="20"/>
              </w:rPr>
            </w:pPr>
            <w:r w:rsidRPr="00F30A97">
              <w:rPr>
                <w:color w:val="000000"/>
                <w:sz w:val="20"/>
              </w:rPr>
              <w:t>Under-development</w:t>
            </w:r>
          </w:p>
        </w:tc>
      </w:tr>
      <w:tr w:rsidR="0020782B" w:rsidRPr="00F30A97" w14:paraId="47528507" w14:textId="77777777" w:rsidTr="0004021B">
        <w:trPr>
          <w:trHeight w:val="290"/>
        </w:trPr>
        <w:tc>
          <w:tcPr>
            <w:tcW w:w="1838" w:type="dxa"/>
            <w:shd w:val="clear" w:color="auto" w:fill="auto"/>
            <w:vAlign w:val="center"/>
          </w:tcPr>
          <w:p w14:paraId="122F07CA" w14:textId="77777777" w:rsidR="0020782B" w:rsidRPr="00F30A97" w:rsidRDefault="0020782B">
            <w:pPr>
              <w:pStyle w:val="Tabletext"/>
              <w:rPr>
                <w:sz w:val="20"/>
              </w:rPr>
            </w:pPr>
            <w:r w:rsidRPr="00F30A97">
              <w:rPr>
                <w:color w:val="000000"/>
                <w:sz w:val="20"/>
              </w:rPr>
              <w:t>ITU-T Q.3060*</w:t>
            </w:r>
          </w:p>
        </w:tc>
        <w:tc>
          <w:tcPr>
            <w:tcW w:w="2410" w:type="dxa"/>
            <w:shd w:val="clear" w:color="auto" w:fill="auto"/>
            <w:vAlign w:val="center"/>
          </w:tcPr>
          <w:p w14:paraId="314A7ADE" w14:textId="77777777" w:rsidR="0020782B" w:rsidRPr="00F30A97" w:rsidRDefault="0020782B">
            <w:pPr>
              <w:pStyle w:val="Tabletext"/>
              <w:rPr>
                <w:sz w:val="20"/>
              </w:rPr>
            </w:pPr>
            <w:r w:rsidRPr="00F30A97">
              <w:rPr>
                <w:color w:val="000000"/>
                <w:sz w:val="20"/>
              </w:rPr>
              <w:t>ITU-T</w:t>
            </w:r>
          </w:p>
        </w:tc>
        <w:tc>
          <w:tcPr>
            <w:tcW w:w="1276" w:type="dxa"/>
            <w:shd w:val="clear" w:color="auto" w:fill="auto"/>
            <w:vAlign w:val="center"/>
          </w:tcPr>
          <w:p w14:paraId="1158701E" w14:textId="77777777" w:rsidR="0020782B" w:rsidRPr="00F30A97" w:rsidRDefault="0020782B">
            <w:pPr>
              <w:pStyle w:val="Tabletext"/>
              <w:rPr>
                <w:sz w:val="20"/>
              </w:rPr>
            </w:pPr>
            <w:r w:rsidRPr="00F30A97">
              <w:rPr>
                <w:color w:val="000000"/>
                <w:sz w:val="20"/>
              </w:rPr>
              <w:t>SG11</w:t>
            </w:r>
          </w:p>
        </w:tc>
        <w:tc>
          <w:tcPr>
            <w:tcW w:w="2567" w:type="dxa"/>
            <w:shd w:val="clear" w:color="auto" w:fill="auto"/>
            <w:vAlign w:val="center"/>
          </w:tcPr>
          <w:p w14:paraId="08D1DDBB" w14:textId="77777777" w:rsidR="0020782B" w:rsidRPr="00F30A97" w:rsidRDefault="0020782B">
            <w:pPr>
              <w:pStyle w:val="Tabletext"/>
              <w:rPr>
                <w:sz w:val="20"/>
              </w:rPr>
            </w:pPr>
            <w:r w:rsidRPr="00F30A97">
              <w:rPr>
                <w:sz w:val="20"/>
              </w:rPr>
              <w:t>Signaling</w:t>
            </w:r>
            <w:r w:rsidRPr="00F30A97">
              <w:rPr>
                <w:color w:val="000000"/>
                <w:sz w:val="20"/>
              </w:rPr>
              <w:t xml:space="preserve"> architecture of the fast deployment emergency telecommunication network to be used in a natural disaster</w:t>
            </w:r>
          </w:p>
        </w:tc>
        <w:tc>
          <w:tcPr>
            <w:tcW w:w="1538" w:type="dxa"/>
            <w:shd w:val="clear" w:color="auto" w:fill="auto"/>
            <w:vAlign w:val="center"/>
          </w:tcPr>
          <w:p w14:paraId="76341690" w14:textId="77777777" w:rsidR="0020782B" w:rsidRPr="00F30A97" w:rsidRDefault="0020782B">
            <w:pPr>
              <w:pStyle w:val="Tabletext"/>
              <w:rPr>
                <w:sz w:val="20"/>
              </w:rPr>
            </w:pPr>
            <w:r w:rsidRPr="00F30A97">
              <w:rPr>
                <w:color w:val="000000"/>
                <w:sz w:val="20"/>
              </w:rPr>
              <w:t>Consented</w:t>
            </w:r>
          </w:p>
        </w:tc>
      </w:tr>
      <w:tr w:rsidR="0020782B" w:rsidRPr="00F30A97" w14:paraId="4651BE3E" w14:textId="77777777" w:rsidTr="0004021B">
        <w:trPr>
          <w:trHeight w:val="290"/>
        </w:trPr>
        <w:tc>
          <w:tcPr>
            <w:tcW w:w="1838" w:type="dxa"/>
            <w:shd w:val="clear" w:color="auto" w:fill="auto"/>
            <w:vAlign w:val="center"/>
          </w:tcPr>
          <w:p w14:paraId="43C63AFB" w14:textId="77777777" w:rsidR="0020782B" w:rsidRPr="00F30A97" w:rsidRDefault="0020782B">
            <w:pPr>
              <w:pStyle w:val="Tabletext"/>
              <w:rPr>
                <w:sz w:val="20"/>
              </w:rPr>
            </w:pPr>
            <w:r w:rsidRPr="00F30A97">
              <w:rPr>
                <w:color w:val="000000"/>
                <w:sz w:val="20"/>
              </w:rPr>
              <w:t>Q.Sig_Req_ETS_IMS_roaming*</w:t>
            </w:r>
          </w:p>
        </w:tc>
        <w:tc>
          <w:tcPr>
            <w:tcW w:w="2410" w:type="dxa"/>
            <w:shd w:val="clear" w:color="auto" w:fill="auto"/>
            <w:vAlign w:val="center"/>
          </w:tcPr>
          <w:p w14:paraId="26D17611" w14:textId="77777777" w:rsidR="0020782B" w:rsidRPr="00F30A97" w:rsidRDefault="0020782B">
            <w:pPr>
              <w:pStyle w:val="Tabletext"/>
              <w:rPr>
                <w:sz w:val="20"/>
              </w:rPr>
            </w:pPr>
            <w:r w:rsidRPr="00F30A97">
              <w:rPr>
                <w:color w:val="000000"/>
                <w:sz w:val="20"/>
              </w:rPr>
              <w:t>ITU-T</w:t>
            </w:r>
          </w:p>
        </w:tc>
        <w:tc>
          <w:tcPr>
            <w:tcW w:w="1276" w:type="dxa"/>
            <w:shd w:val="clear" w:color="auto" w:fill="auto"/>
            <w:vAlign w:val="center"/>
          </w:tcPr>
          <w:p w14:paraId="4CAB3D92" w14:textId="77777777" w:rsidR="0020782B" w:rsidRPr="00F30A97" w:rsidRDefault="0020782B">
            <w:pPr>
              <w:pStyle w:val="Tabletext"/>
              <w:rPr>
                <w:sz w:val="20"/>
              </w:rPr>
            </w:pPr>
            <w:r w:rsidRPr="00F30A97">
              <w:rPr>
                <w:color w:val="000000"/>
                <w:sz w:val="20"/>
              </w:rPr>
              <w:t>SG11</w:t>
            </w:r>
          </w:p>
        </w:tc>
        <w:tc>
          <w:tcPr>
            <w:tcW w:w="2567" w:type="dxa"/>
            <w:shd w:val="clear" w:color="auto" w:fill="auto"/>
            <w:vAlign w:val="center"/>
          </w:tcPr>
          <w:p w14:paraId="6065EA3F" w14:textId="77777777" w:rsidR="0020782B" w:rsidRPr="00F30A97" w:rsidRDefault="0020782B">
            <w:pPr>
              <w:pStyle w:val="Tabletext"/>
              <w:rPr>
                <w:sz w:val="20"/>
              </w:rPr>
            </w:pPr>
            <w:r w:rsidRPr="00F30A97">
              <w:rPr>
                <w:sz w:val="20"/>
              </w:rPr>
              <w:t>Signaling</w:t>
            </w:r>
            <w:r w:rsidRPr="00F30A97">
              <w:rPr>
                <w:color w:val="000000"/>
                <w:sz w:val="20"/>
              </w:rPr>
              <w:t xml:space="preserve"> requirements for emergency telecommunication service in IMS roaming environment</w:t>
            </w:r>
          </w:p>
        </w:tc>
        <w:tc>
          <w:tcPr>
            <w:tcW w:w="1538" w:type="dxa"/>
            <w:shd w:val="clear" w:color="auto" w:fill="auto"/>
            <w:vAlign w:val="center"/>
          </w:tcPr>
          <w:p w14:paraId="40D8556B" w14:textId="77777777" w:rsidR="0020782B" w:rsidRPr="00F30A97" w:rsidRDefault="0020782B">
            <w:pPr>
              <w:pStyle w:val="Tabletext"/>
              <w:rPr>
                <w:sz w:val="20"/>
              </w:rPr>
            </w:pPr>
            <w:r w:rsidRPr="00F30A97">
              <w:rPr>
                <w:color w:val="000000"/>
                <w:sz w:val="20"/>
              </w:rPr>
              <w:t>Under-Study</w:t>
            </w:r>
          </w:p>
        </w:tc>
      </w:tr>
      <w:tr w:rsidR="0020782B" w:rsidRPr="00F30A97" w14:paraId="157BF990" w14:textId="77777777" w:rsidTr="0004021B">
        <w:trPr>
          <w:trHeight w:val="290"/>
        </w:trPr>
        <w:tc>
          <w:tcPr>
            <w:tcW w:w="1838" w:type="dxa"/>
            <w:shd w:val="clear" w:color="auto" w:fill="auto"/>
            <w:vAlign w:val="center"/>
          </w:tcPr>
          <w:p w14:paraId="48FC183B" w14:textId="77777777" w:rsidR="0020782B" w:rsidRPr="00F30A97" w:rsidRDefault="0020782B">
            <w:pPr>
              <w:pStyle w:val="Tabletext"/>
              <w:rPr>
                <w:sz w:val="20"/>
              </w:rPr>
            </w:pPr>
            <w:r w:rsidRPr="00F30A97">
              <w:rPr>
                <w:color w:val="000000"/>
                <w:sz w:val="20"/>
              </w:rPr>
              <w:t>Y.KPI-Flood*</w:t>
            </w:r>
          </w:p>
        </w:tc>
        <w:tc>
          <w:tcPr>
            <w:tcW w:w="2410" w:type="dxa"/>
            <w:shd w:val="clear" w:color="auto" w:fill="auto"/>
            <w:vAlign w:val="center"/>
          </w:tcPr>
          <w:p w14:paraId="0A3A62C2" w14:textId="77777777" w:rsidR="0020782B" w:rsidRPr="00F30A97" w:rsidRDefault="0020782B">
            <w:pPr>
              <w:pStyle w:val="Tabletext"/>
              <w:rPr>
                <w:sz w:val="20"/>
              </w:rPr>
            </w:pPr>
            <w:r w:rsidRPr="00F30A97">
              <w:rPr>
                <w:color w:val="000000"/>
                <w:sz w:val="20"/>
              </w:rPr>
              <w:t>ITU-T</w:t>
            </w:r>
          </w:p>
        </w:tc>
        <w:tc>
          <w:tcPr>
            <w:tcW w:w="1276" w:type="dxa"/>
            <w:shd w:val="clear" w:color="auto" w:fill="auto"/>
            <w:vAlign w:val="center"/>
          </w:tcPr>
          <w:p w14:paraId="7CEB5F59" w14:textId="77777777" w:rsidR="0020782B" w:rsidRPr="00F30A97" w:rsidRDefault="0020782B">
            <w:pPr>
              <w:pStyle w:val="Tabletext"/>
              <w:rPr>
                <w:sz w:val="20"/>
              </w:rPr>
            </w:pPr>
            <w:r w:rsidRPr="00F30A97">
              <w:rPr>
                <w:color w:val="000000"/>
                <w:sz w:val="20"/>
              </w:rPr>
              <w:t>SG20</w:t>
            </w:r>
          </w:p>
        </w:tc>
        <w:tc>
          <w:tcPr>
            <w:tcW w:w="2567" w:type="dxa"/>
            <w:shd w:val="clear" w:color="auto" w:fill="auto"/>
            <w:vAlign w:val="center"/>
          </w:tcPr>
          <w:p w14:paraId="6CB5E658" w14:textId="77777777" w:rsidR="0020782B" w:rsidRPr="00F30A97" w:rsidRDefault="0020782B">
            <w:pPr>
              <w:pStyle w:val="Tabletext"/>
              <w:rPr>
                <w:sz w:val="20"/>
              </w:rPr>
            </w:pPr>
            <w:r w:rsidRPr="00F30A97">
              <w:rPr>
                <w:color w:val="000000"/>
                <w:sz w:val="20"/>
              </w:rPr>
              <w:t>Key Performance Indicators of ICT based Urban Flood Disaster Prevention and Mitigation Capability</w:t>
            </w:r>
          </w:p>
        </w:tc>
        <w:tc>
          <w:tcPr>
            <w:tcW w:w="1538" w:type="dxa"/>
            <w:shd w:val="clear" w:color="auto" w:fill="auto"/>
            <w:vAlign w:val="center"/>
          </w:tcPr>
          <w:p w14:paraId="1952B87B" w14:textId="77777777" w:rsidR="0020782B" w:rsidRPr="00F30A97" w:rsidRDefault="0020782B">
            <w:pPr>
              <w:pStyle w:val="Tabletext"/>
              <w:rPr>
                <w:sz w:val="20"/>
              </w:rPr>
            </w:pPr>
            <w:r w:rsidRPr="00F30A97">
              <w:rPr>
                <w:color w:val="000000"/>
                <w:sz w:val="20"/>
              </w:rPr>
              <w:t>Under-Study</w:t>
            </w:r>
          </w:p>
        </w:tc>
      </w:tr>
      <w:tr w:rsidR="00A156C3" w:rsidRPr="00F30A97" w14:paraId="4AD6C503" w14:textId="77777777" w:rsidTr="0004021B">
        <w:trPr>
          <w:trHeight w:val="290"/>
        </w:trPr>
        <w:tc>
          <w:tcPr>
            <w:tcW w:w="1838" w:type="dxa"/>
            <w:shd w:val="clear" w:color="auto" w:fill="auto"/>
            <w:vAlign w:val="center"/>
          </w:tcPr>
          <w:p w14:paraId="5021C99A" w14:textId="77777777" w:rsidR="0020782B" w:rsidRPr="00F30A97" w:rsidRDefault="0020782B">
            <w:pPr>
              <w:pStyle w:val="Tabletext"/>
              <w:rPr>
                <w:sz w:val="20"/>
              </w:rPr>
            </w:pPr>
            <w:r w:rsidRPr="00F30A97">
              <w:rPr>
                <w:sz w:val="20"/>
              </w:rPr>
              <w:t>Y.sup.aisr*</w:t>
            </w:r>
          </w:p>
        </w:tc>
        <w:tc>
          <w:tcPr>
            <w:tcW w:w="2410" w:type="dxa"/>
            <w:shd w:val="clear" w:color="auto" w:fill="auto"/>
            <w:vAlign w:val="center"/>
          </w:tcPr>
          <w:p w14:paraId="3B3FECF1" w14:textId="4C485CE4" w:rsidR="0020782B" w:rsidRPr="00F30A97" w:rsidRDefault="0020782B">
            <w:pPr>
              <w:pStyle w:val="Tabletext"/>
              <w:rPr>
                <w:sz w:val="20"/>
              </w:rPr>
            </w:pPr>
            <w:r w:rsidRPr="00F30A97">
              <w:rPr>
                <w:sz w:val="20"/>
              </w:rPr>
              <w:t>ITU-T</w:t>
            </w:r>
          </w:p>
        </w:tc>
        <w:tc>
          <w:tcPr>
            <w:tcW w:w="1276" w:type="dxa"/>
            <w:shd w:val="clear" w:color="auto" w:fill="auto"/>
            <w:vAlign w:val="center"/>
          </w:tcPr>
          <w:p w14:paraId="1E71A4C8" w14:textId="77777777" w:rsidR="0020782B" w:rsidRPr="00F30A97" w:rsidRDefault="0020782B">
            <w:pPr>
              <w:pStyle w:val="Tabletext"/>
              <w:rPr>
                <w:sz w:val="20"/>
              </w:rPr>
            </w:pPr>
            <w:r w:rsidRPr="00F30A97">
              <w:rPr>
                <w:sz w:val="20"/>
              </w:rPr>
              <w:t>SG13</w:t>
            </w:r>
          </w:p>
        </w:tc>
        <w:tc>
          <w:tcPr>
            <w:tcW w:w="2567" w:type="dxa"/>
            <w:shd w:val="clear" w:color="auto" w:fill="auto"/>
            <w:vAlign w:val="center"/>
          </w:tcPr>
          <w:p w14:paraId="08CB4E39" w14:textId="77777777" w:rsidR="0020782B" w:rsidRPr="00F30A97" w:rsidRDefault="0020782B">
            <w:pPr>
              <w:pStyle w:val="Tabletext"/>
              <w:rPr>
                <w:sz w:val="20"/>
              </w:rPr>
            </w:pPr>
            <w:r w:rsidRPr="00F30A97">
              <w:rPr>
                <w:sz w:val="20"/>
              </w:rPr>
              <w:t xml:space="preserve">Artificial intelligence standardization roadmap </w:t>
            </w:r>
          </w:p>
        </w:tc>
        <w:tc>
          <w:tcPr>
            <w:tcW w:w="1538" w:type="dxa"/>
            <w:shd w:val="clear" w:color="auto" w:fill="auto"/>
            <w:vAlign w:val="center"/>
          </w:tcPr>
          <w:p w14:paraId="7A8491B5" w14:textId="77777777" w:rsidR="0020782B" w:rsidRPr="00F30A97" w:rsidRDefault="0020782B">
            <w:pPr>
              <w:pStyle w:val="Tabletext"/>
              <w:rPr>
                <w:sz w:val="20"/>
              </w:rPr>
            </w:pPr>
            <w:r w:rsidRPr="00F30A97">
              <w:rPr>
                <w:sz w:val="20"/>
              </w:rPr>
              <w:t>Under-Study</w:t>
            </w:r>
          </w:p>
        </w:tc>
      </w:tr>
      <w:tr w:rsidR="0020782B" w:rsidRPr="00F30A97" w14:paraId="0A6BCEC9" w14:textId="77777777" w:rsidTr="0004021B">
        <w:trPr>
          <w:trHeight w:val="290"/>
        </w:trPr>
        <w:tc>
          <w:tcPr>
            <w:tcW w:w="1838" w:type="dxa"/>
            <w:shd w:val="clear" w:color="auto" w:fill="auto"/>
            <w:vAlign w:val="center"/>
          </w:tcPr>
          <w:p w14:paraId="2C50F276" w14:textId="77777777" w:rsidR="0020782B" w:rsidRPr="00F30A97" w:rsidRDefault="0020782B">
            <w:pPr>
              <w:pStyle w:val="Tabletext"/>
              <w:rPr>
                <w:sz w:val="20"/>
              </w:rPr>
            </w:pPr>
            <w:r w:rsidRPr="00F30A97">
              <w:rPr>
                <w:color w:val="000000"/>
                <w:sz w:val="20"/>
              </w:rPr>
              <w:t xml:space="preserve"> ITU-T E.102*</w:t>
            </w:r>
          </w:p>
        </w:tc>
        <w:tc>
          <w:tcPr>
            <w:tcW w:w="2410" w:type="dxa"/>
            <w:shd w:val="clear" w:color="auto" w:fill="auto"/>
            <w:vAlign w:val="center"/>
          </w:tcPr>
          <w:p w14:paraId="387261B3" w14:textId="77777777" w:rsidR="0020782B" w:rsidRPr="00F30A97" w:rsidRDefault="0020782B">
            <w:pPr>
              <w:pStyle w:val="Tabletext"/>
              <w:rPr>
                <w:sz w:val="20"/>
              </w:rPr>
            </w:pPr>
            <w:r w:rsidRPr="00F30A97">
              <w:rPr>
                <w:color w:val="000000"/>
                <w:sz w:val="20"/>
              </w:rPr>
              <w:t xml:space="preserve">ITU-T </w:t>
            </w:r>
          </w:p>
        </w:tc>
        <w:tc>
          <w:tcPr>
            <w:tcW w:w="1276" w:type="dxa"/>
            <w:shd w:val="clear" w:color="auto" w:fill="auto"/>
            <w:vAlign w:val="center"/>
          </w:tcPr>
          <w:p w14:paraId="171AD8C9" w14:textId="77777777" w:rsidR="0020782B" w:rsidRPr="00F30A97" w:rsidRDefault="0020782B">
            <w:pPr>
              <w:pStyle w:val="Tabletext"/>
              <w:rPr>
                <w:sz w:val="20"/>
              </w:rPr>
            </w:pPr>
            <w:r w:rsidRPr="00F30A97">
              <w:rPr>
                <w:color w:val="000000"/>
                <w:sz w:val="20"/>
              </w:rPr>
              <w:t>SG2</w:t>
            </w:r>
          </w:p>
        </w:tc>
        <w:tc>
          <w:tcPr>
            <w:tcW w:w="2567" w:type="dxa"/>
            <w:shd w:val="clear" w:color="auto" w:fill="auto"/>
            <w:vAlign w:val="center"/>
          </w:tcPr>
          <w:p w14:paraId="7BFB58CE" w14:textId="77777777" w:rsidR="0020782B" w:rsidRPr="00F30A97" w:rsidRDefault="0020782B">
            <w:pPr>
              <w:pStyle w:val="Tabletext"/>
              <w:rPr>
                <w:sz w:val="20"/>
              </w:rPr>
            </w:pPr>
            <w:r w:rsidRPr="00F30A97">
              <w:rPr>
                <w:color w:val="000000"/>
                <w:sz w:val="20"/>
              </w:rPr>
              <w:t>Terms and definitions for disaster relief systems, network resilience and recovery</w:t>
            </w:r>
          </w:p>
        </w:tc>
        <w:tc>
          <w:tcPr>
            <w:tcW w:w="1538" w:type="dxa"/>
            <w:shd w:val="clear" w:color="auto" w:fill="auto"/>
            <w:vAlign w:val="center"/>
          </w:tcPr>
          <w:p w14:paraId="748AC31B" w14:textId="77777777" w:rsidR="0020782B" w:rsidRPr="00F30A97" w:rsidRDefault="0020782B">
            <w:pPr>
              <w:pStyle w:val="Tabletext"/>
              <w:rPr>
                <w:sz w:val="20"/>
              </w:rPr>
            </w:pPr>
            <w:r w:rsidRPr="00F30A97">
              <w:rPr>
                <w:color w:val="000000"/>
                <w:sz w:val="20"/>
              </w:rPr>
              <w:t>Published (Approved)</w:t>
            </w:r>
          </w:p>
        </w:tc>
      </w:tr>
      <w:tr w:rsidR="0020782B" w:rsidRPr="00F30A97" w14:paraId="25E13CBE" w14:textId="77777777" w:rsidTr="0004021B">
        <w:trPr>
          <w:trHeight w:val="290"/>
        </w:trPr>
        <w:tc>
          <w:tcPr>
            <w:tcW w:w="1838" w:type="dxa"/>
            <w:shd w:val="clear" w:color="auto" w:fill="auto"/>
            <w:vAlign w:val="center"/>
          </w:tcPr>
          <w:p w14:paraId="64E89EC1" w14:textId="77777777" w:rsidR="0020782B" w:rsidRPr="00F30A97" w:rsidRDefault="0020782B">
            <w:pPr>
              <w:pStyle w:val="Tabletext"/>
              <w:rPr>
                <w:sz w:val="20"/>
              </w:rPr>
            </w:pPr>
            <w:r w:rsidRPr="00F30A97">
              <w:rPr>
                <w:color w:val="000000"/>
                <w:sz w:val="20"/>
              </w:rPr>
              <w:t xml:space="preserve"> ITU-T Y.4467*</w:t>
            </w:r>
          </w:p>
        </w:tc>
        <w:tc>
          <w:tcPr>
            <w:tcW w:w="2410" w:type="dxa"/>
            <w:shd w:val="clear" w:color="auto" w:fill="auto"/>
            <w:vAlign w:val="center"/>
          </w:tcPr>
          <w:p w14:paraId="4B1F329F" w14:textId="77777777" w:rsidR="0020782B" w:rsidRPr="00F30A97" w:rsidRDefault="0020782B">
            <w:pPr>
              <w:pStyle w:val="Tabletext"/>
              <w:rPr>
                <w:sz w:val="20"/>
              </w:rPr>
            </w:pPr>
            <w:r w:rsidRPr="00F30A97">
              <w:rPr>
                <w:color w:val="000000"/>
                <w:sz w:val="20"/>
              </w:rPr>
              <w:t xml:space="preserve">ITU-T </w:t>
            </w:r>
          </w:p>
        </w:tc>
        <w:tc>
          <w:tcPr>
            <w:tcW w:w="1276" w:type="dxa"/>
            <w:shd w:val="clear" w:color="auto" w:fill="auto"/>
            <w:vAlign w:val="center"/>
          </w:tcPr>
          <w:p w14:paraId="06E5D5CE" w14:textId="77777777" w:rsidR="0020782B" w:rsidRPr="00F30A97" w:rsidRDefault="0020782B">
            <w:pPr>
              <w:pStyle w:val="Tabletext"/>
              <w:rPr>
                <w:sz w:val="20"/>
              </w:rPr>
            </w:pPr>
            <w:r w:rsidRPr="00F30A97">
              <w:rPr>
                <w:color w:val="000000"/>
                <w:sz w:val="20"/>
              </w:rPr>
              <w:t>SG20</w:t>
            </w:r>
          </w:p>
        </w:tc>
        <w:tc>
          <w:tcPr>
            <w:tcW w:w="2567" w:type="dxa"/>
            <w:shd w:val="clear" w:color="auto" w:fill="auto"/>
            <w:vAlign w:val="center"/>
          </w:tcPr>
          <w:p w14:paraId="3A4803B9" w14:textId="77777777" w:rsidR="0020782B" w:rsidRPr="00F30A97" w:rsidRDefault="0020782B">
            <w:pPr>
              <w:pStyle w:val="Tabletext"/>
              <w:rPr>
                <w:sz w:val="20"/>
              </w:rPr>
            </w:pPr>
            <w:r w:rsidRPr="00F30A97">
              <w:rPr>
                <w:color w:val="000000"/>
                <w:sz w:val="20"/>
              </w:rPr>
              <w:t>Minimum set of data structure for automotive emergency response system</w:t>
            </w:r>
          </w:p>
        </w:tc>
        <w:tc>
          <w:tcPr>
            <w:tcW w:w="1538" w:type="dxa"/>
            <w:shd w:val="clear" w:color="auto" w:fill="auto"/>
            <w:vAlign w:val="center"/>
          </w:tcPr>
          <w:p w14:paraId="77C39969" w14:textId="77777777" w:rsidR="0020782B" w:rsidRPr="00F30A97" w:rsidRDefault="0020782B">
            <w:pPr>
              <w:pStyle w:val="Tabletext"/>
              <w:rPr>
                <w:sz w:val="20"/>
              </w:rPr>
            </w:pPr>
            <w:r w:rsidRPr="00F30A97">
              <w:rPr>
                <w:color w:val="000000"/>
                <w:sz w:val="20"/>
              </w:rPr>
              <w:t>Published (Approved)</w:t>
            </w:r>
          </w:p>
        </w:tc>
      </w:tr>
      <w:tr w:rsidR="0020782B" w:rsidRPr="00F30A97" w14:paraId="68DEDF76" w14:textId="77777777" w:rsidTr="0004021B">
        <w:trPr>
          <w:trHeight w:val="290"/>
        </w:trPr>
        <w:tc>
          <w:tcPr>
            <w:tcW w:w="1838" w:type="dxa"/>
            <w:shd w:val="clear" w:color="auto" w:fill="auto"/>
            <w:vAlign w:val="center"/>
          </w:tcPr>
          <w:p w14:paraId="4CE41891" w14:textId="77777777" w:rsidR="0020782B" w:rsidRPr="00F30A97" w:rsidRDefault="0020782B">
            <w:pPr>
              <w:pStyle w:val="Tabletext"/>
              <w:rPr>
                <w:sz w:val="20"/>
              </w:rPr>
            </w:pPr>
            <w:r w:rsidRPr="00F30A97">
              <w:rPr>
                <w:color w:val="000000"/>
                <w:sz w:val="20"/>
              </w:rPr>
              <w:t>ITU-T E.119*</w:t>
            </w:r>
          </w:p>
        </w:tc>
        <w:tc>
          <w:tcPr>
            <w:tcW w:w="2410" w:type="dxa"/>
            <w:shd w:val="clear" w:color="auto" w:fill="auto"/>
            <w:vAlign w:val="center"/>
          </w:tcPr>
          <w:p w14:paraId="658F60D2" w14:textId="77777777" w:rsidR="0020782B" w:rsidRPr="00F30A97" w:rsidRDefault="0020782B">
            <w:pPr>
              <w:pStyle w:val="Tabletext"/>
              <w:rPr>
                <w:sz w:val="20"/>
              </w:rPr>
            </w:pPr>
            <w:r w:rsidRPr="00F30A97">
              <w:rPr>
                <w:color w:val="000000"/>
                <w:sz w:val="20"/>
              </w:rPr>
              <w:t xml:space="preserve">ITU-T </w:t>
            </w:r>
          </w:p>
        </w:tc>
        <w:tc>
          <w:tcPr>
            <w:tcW w:w="1276" w:type="dxa"/>
            <w:shd w:val="clear" w:color="auto" w:fill="auto"/>
            <w:vAlign w:val="center"/>
          </w:tcPr>
          <w:p w14:paraId="48823294" w14:textId="77777777" w:rsidR="0020782B" w:rsidRPr="00F30A97" w:rsidRDefault="0020782B">
            <w:pPr>
              <w:pStyle w:val="Tabletext"/>
              <w:rPr>
                <w:sz w:val="20"/>
              </w:rPr>
            </w:pPr>
            <w:r w:rsidRPr="00F30A97">
              <w:rPr>
                <w:color w:val="000000"/>
                <w:sz w:val="20"/>
              </w:rPr>
              <w:t>SG2</w:t>
            </w:r>
          </w:p>
        </w:tc>
        <w:tc>
          <w:tcPr>
            <w:tcW w:w="2567" w:type="dxa"/>
            <w:shd w:val="clear" w:color="auto" w:fill="auto"/>
            <w:vAlign w:val="center"/>
          </w:tcPr>
          <w:p w14:paraId="45DB2CE2" w14:textId="77777777" w:rsidR="0020782B" w:rsidRPr="00F30A97" w:rsidRDefault="0020782B">
            <w:pPr>
              <w:pStyle w:val="Tabletext"/>
              <w:rPr>
                <w:sz w:val="20"/>
              </w:rPr>
            </w:pPr>
            <w:r w:rsidRPr="00F30A97">
              <w:rPr>
                <w:color w:val="000000"/>
                <w:sz w:val="20"/>
              </w:rPr>
              <w:t xml:space="preserve"> Requirements for safety confirmation and broadcast message service for disaster relief</w:t>
            </w:r>
          </w:p>
        </w:tc>
        <w:tc>
          <w:tcPr>
            <w:tcW w:w="1538" w:type="dxa"/>
            <w:shd w:val="clear" w:color="auto" w:fill="auto"/>
            <w:vAlign w:val="center"/>
          </w:tcPr>
          <w:p w14:paraId="0455C122" w14:textId="77777777" w:rsidR="0020782B" w:rsidRPr="00F30A97" w:rsidRDefault="0020782B">
            <w:pPr>
              <w:pStyle w:val="Tabletext"/>
              <w:rPr>
                <w:sz w:val="20"/>
              </w:rPr>
            </w:pPr>
            <w:r w:rsidRPr="00F30A97">
              <w:rPr>
                <w:color w:val="000000"/>
                <w:sz w:val="20"/>
              </w:rPr>
              <w:t>Published (Approved)</w:t>
            </w:r>
          </w:p>
        </w:tc>
      </w:tr>
      <w:tr w:rsidR="0020782B" w:rsidRPr="00F30A97" w14:paraId="53C631A4" w14:textId="77777777" w:rsidTr="0004021B">
        <w:trPr>
          <w:trHeight w:val="290"/>
        </w:trPr>
        <w:tc>
          <w:tcPr>
            <w:tcW w:w="1838" w:type="dxa"/>
            <w:shd w:val="clear" w:color="auto" w:fill="auto"/>
            <w:vAlign w:val="center"/>
          </w:tcPr>
          <w:p w14:paraId="492F8EDA" w14:textId="77777777" w:rsidR="0020782B" w:rsidRPr="00F30A97" w:rsidRDefault="0020782B">
            <w:pPr>
              <w:pStyle w:val="Tabletext"/>
              <w:rPr>
                <w:sz w:val="20"/>
              </w:rPr>
            </w:pPr>
            <w:r w:rsidRPr="00F30A97">
              <w:rPr>
                <w:color w:val="000000"/>
                <w:sz w:val="20"/>
              </w:rPr>
              <w:t>ITU-T E.Suppl.1 to ITU-T E.100 series*</w:t>
            </w:r>
          </w:p>
        </w:tc>
        <w:tc>
          <w:tcPr>
            <w:tcW w:w="2410" w:type="dxa"/>
            <w:shd w:val="clear" w:color="auto" w:fill="auto"/>
            <w:vAlign w:val="center"/>
          </w:tcPr>
          <w:p w14:paraId="40882AFF" w14:textId="77777777" w:rsidR="0020782B" w:rsidRPr="00F30A97" w:rsidRDefault="0020782B">
            <w:pPr>
              <w:pStyle w:val="Tabletext"/>
              <w:rPr>
                <w:sz w:val="20"/>
              </w:rPr>
            </w:pPr>
            <w:r w:rsidRPr="00F30A97">
              <w:rPr>
                <w:color w:val="000000"/>
                <w:sz w:val="20"/>
              </w:rPr>
              <w:t xml:space="preserve">ITU-T </w:t>
            </w:r>
          </w:p>
        </w:tc>
        <w:tc>
          <w:tcPr>
            <w:tcW w:w="1276" w:type="dxa"/>
            <w:shd w:val="clear" w:color="auto" w:fill="auto"/>
            <w:vAlign w:val="center"/>
          </w:tcPr>
          <w:p w14:paraId="42E63E65" w14:textId="77777777" w:rsidR="0020782B" w:rsidRPr="00F30A97" w:rsidRDefault="0020782B">
            <w:pPr>
              <w:pStyle w:val="Tabletext"/>
              <w:rPr>
                <w:sz w:val="20"/>
              </w:rPr>
            </w:pPr>
            <w:r w:rsidRPr="00F30A97">
              <w:rPr>
                <w:color w:val="000000"/>
                <w:sz w:val="20"/>
              </w:rPr>
              <w:t>SG2</w:t>
            </w:r>
          </w:p>
        </w:tc>
        <w:tc>
          <w:tcPr>
            <w:tcW w:w="2567" w:type="dxa"/>
            <w:shd w:val="clear" w:color="auto" w:fill="auto"/>
            <w:vAlign w:val="center"/>
          </w:tcPr>
          <w:p w14:paraId="15F486A8" w14:textId="77777777" w:rsidR="0020782B" w:rsidRPr="00F30A97" w:rsidRDefault="0020782B">
            <w:pPr>
              <w:pStyle w:val="Tabletext"/>
              <w:rPr>
                <w:sz w:val="20"/>
              </w:rPr>
            </w:pPr>
            <w:r w:rsidRPr="00F30A97">
              <w:rPr>
                <w:color w:val="000000"/>
                <w:sz w:val="20"/>
              </w:rPr>
              <w:t xml:space="preserve"> Framework of disaster management for disaster relief system</w:t>
            </w:r>
          </w:p>
        </w:tc>
        <w:tc>
          <w:tcPr>
            <w:tcW w:w="1538" w:type="dxa"/>
            <w:shd w:val="clear" w:color="auto" w:fill="auto"/>
            <w:vAlign w:val="center"/>
          </w:tcPr>
          <w:p w14:paraId="60DE85F7" w14:textId="77777777" w:rsidR="0020782B" w:rsidRPr="00F30A97" w:rsidRDefault="0020782B">
            <w:pPr>
              <w:pStyle w:val="Tabletext"/>
              <w:rPr>
                <w:sz w:val="20"/>
              </w:rPr>
            </w:pPr>
            <w:r w:rsidRPr="00F30A97">
              <w:rPr>
                <w:color w:val="000000"/>
                <w:sz w:val="20"/>
              </w:rPr>
              <w:t>Published (Agreed)</w:t>
            </w:r>
          </w:p>
        </w:tc>
      </w:tr>
      <w:tr w:rsidR="0020782B" w:rsidRPr="00F30A97" w14:paraId="26C99B3E" w14:textId="77777777" w:rsidTr="0004021B">
        <w:trPr>
          <w:trHeight w:val="290"/>
        </w:trPr>
        <w:tc>
          <w:tcPr>
            <w:tcW w:w="1838" w:type="dxa"/>
            <w:shd w:val="clear" w:color="auto" w:fill="auto"/>
            <w:vAlign w:val="center"/>
          </w:tcPr>
          <w:p w14:paraId="756B4368" w14:textId="77777777" w:rsidR="0020782B" w:rsidRPr="00F30A97" w:rsidRDefault="0020782B">
            <w:pPr>
              <w:pStyle w:val="Tabletext"/>
              <w:rPr>
                <w:sz w:val="20"/>
              </w:rPr>
            </w:pPr>
            <w:r w:rsidRPr="00F30A97">
              <w:rPr>
                <w:color w:val="000000"/>
                <w:sz w:val="20"/>
              </w:rPr>
              <w:t>ITU-T H.785.0*</w:t>
            </w:r>
          </w:p>
        </w:tc>
        <w:tc>
          <w:tcPr>
            <w:tcW w:w="2410" w:type="dxa"/>
            <w:shd w:val="clear" w:color="auto" w:fill="auto"/>
            <w:vAlign w:val="center"/>
          </w:tcPr>
          <w:p w14:paraId="2F05DD06" w14:textId="77777777" w:rsidR="0020782B" w:rsidRPr="00F30A97" w:rsidRDefault="0020782B">
            <w:pPr>
              <w:pStyle w:val="Tabletext"/>
              <w:rPr>
                <w:sz w:val="20"/>
              </w:rPr>
            </w:pPr>
            <w:r w:rsidRPr="00F30A97">
              <w:rPr>
                <w:color w:val="000000"/>
                <w:sz w:val="20"/>
              </w:rPr>
              <w:t xml:space="preserve">ITU-T </w:t>
            </w:r>
          </w:p>
        </w:tc>
        <w:tc>
          <w:tcPr>
            <w:tcW w:w="1276" w:type="dxa"/>
            <w:shd w:val="clear" w:color="auto" w:fill="auto"/>
            <w:vAlign w:val="center"/>
          </w:tcPr>
          <w:p w14:paraId="0EFD0CEB" w14:textId="77777777" w:rsidR="0020782B" w:rsidRPr="00F30A97" w:rsidRDefault="0020782B">
            <w:pPr>
              <w:pStyle w:val="Tabletext"/>
              <w:rPr>
                <w:sz w:val="20"/>
              </w:rPr>
            </w:pPr>
            <w:r w:rsidRPr="00F30A97">
              <w:rPr>
                <w:color w:val="000000"/>
                <w:sz w:val="20"/>
              </w:rPr>
              <w:t>SG16</w:t>
            </w:r>
          </w:p>
        </w:tc>
        <w:tc>
          <w:tcPr>
            <w:tcW w:w="2567" w:type="dxa"/>
            <w:shd w:val="clear" w:color="auto" w:fill="auto"/>
            <w:vAlign w:val="center"/>
          </w:tcPr>
          <w:p w14:paraId="1CE54FC4" w14:textId="77777777" w:rsidR="0020782B" w:rsidRPr="00F30A97" w:rsidRDefault="0020782B">
            <w:pPr>
              <w:pStyle w:val="Tabletext"/>
              <w:rPr>
                <w:sz w:val="20"/>
              </w:rPr>
            </w:pPr>
            <w:r w:rsidRPr="00F30A97">
              <w:rPr>
                <w:color w:val="000000"/>
                <w:sz w:val="20"/>
              </w:rPr>
              <w:t>Digital signage: Requirements for disaster information services</w:t>
            </w:r>
          </w:p>
        </w:tc>
        <w:tc>
          <w:tcPr>
            <w:tcW w:w="1538" w:type="dxa"/>
            <w:shd w:val="clear" w:color="auto" w:fill="auto"/>
            <w:vAlign w:val="center"/>
          </w:tcPr>
          <w:p w14:paraId="2431D51E" w14:textId="77777777" w:rsidR="0020782B" w:rsidRPr="00F30A97" w:rsidRDefault="0020782B">
            <w:pPr>
              <w:pStyle w:val="Tabletext"/>
              <w:rPr>
                <w:sz w:val="20"/>
              </w:rPr>
            </w:pPr>
            <w:r w:rsidRPr="00F30A97">
              <w:rPr>
                <w:color w:val="000000"/>
                <w:sz w:val="20"/>
              </w:rPr>
              <w:t>Published</w:t>
            </w:r>
          </w:p>
        </w:tc>
      </w:tr>
      <w:tr w:rsidR="0020782B" w:rsidRPr="00F30A97" w14:paraId="49A33CD7" w14:textId="77777777" w:rsidTr="0004021B">
        <w:trPr>
          <w:trHeight w:val="290"/>
        </w:trPr>
        <w:tc>
          <w:tcPr>
            <w:tcW w:w="1838" w:type="dxa"/>
            <w:shd w:val="clear" w:color="auto" w:fill="auto"/>
            <w:vAlign w:val="center"/>
          </w:tcPr>
          <w:p w14:paraId="1F556DF8" w14:textId="77777777" w:rsidR="0020782B" w:rsidRPr="00F30A97" w:rsidRDefault="0020782B">
            <w:pPr>
              <w:pStyle w:val="Tabletext"/>
              <w:rPr>
                <w:sz w:val="20"/>
              </w:rPr>
            </w:pPr>
            <w:r w:rsidRPr="00F30A97">
              <w:rPr>
                <w:color w:val="000000"/>
                <w:sz w:val="20"/>
              </w:rPr>
              <w:t>ITU-T Y.4119*</w:t>
            </w:r>
          </w:p>
        </w:tc>
        <w:tc>
          <w:tcPr>
            <w:tcW w:w="2410" w:type="dxa"/>
            <w:shd w:val="clear" w:color="auto" w:fill="auto"/>
            <w:vAlign w:val="center"/>
          </w:tcPr>
          <w:p w14:paraId="2B6891C5" w14:textId="77777777" w:rsidR="0020782B" w:rsidRPr="00F30A97" w:rsidRDefault="0020782B">
            <w:pPr>
              <w:pStyle w:val="Tabletext"/>
              <w:rPr>
                <w:sz w:val="20"/>
              </w:rPr>
            </w:pPr>
            <w:r w:rsidRPr="00F30A97">
              <w:rPr>
                <w:color w:val="000000"/>
                <w:sz w:val="20"/>
              </w:rPr>
              <w:t xml:space="preserve">ITU-T </w:t>
            </w:r>
          </w:p>
        </w:tc>
        <w:tc>
          <w:tcPr>
            <w:tcW w:w="1276" w:type="dxa"/>
            <w:shd w:val="clear" w:color="auto" w:fill="auto"/>
            <w:vAlign w:val="center"/>
          </w:tcPr>
          <w:p w14:paraId="65AD01C3" w14:textId="77777777" w:rsidR="0020782B" w:rsidRPr="00F30A97" w:rsidRDefault="0020782B">
            <w:pPr>
              <w:pStyle w:val="Tabletext"/>
              <w:rPr>
                <w:sz w:val="20"/>
              </w:rPr>
            </w:pPr>
            <w:r w:rsidRPr="00F30A97">
              <w:rPr>
                <w:color w:val="000000"/>
                <w:sz w:val="20"/>
              </w:rPr>
              <w:t>SG20</w:t>
            </w:r>
          </w:p>
        </w:tc>
        <w:tc>
          <w:tcPr>
            <w:tcW w:w="2567" w:type="dxa"/>
            <w:shd w:val="clear" w:color="auto" w:fill="auto"/>
            <w:vAlign w:val="center"/>
          </w:tcPr>
          <w:p w14:paraId="392995D1" w14:textId="77777777" w:rsidR="0020782B" w:rsidRPr="00F30A97" w:rsidRDefault="0020782B">
            <w:pPr>
              <w:pStyle w:val="Tabletext"/>
              <w:rPr>
                <w:sz w:val="20"/>
              </w:rPr>
            </w:pPr>
            <w:r w:rsidRPr="00F30A97">
              <w:rPr>
                <w:color w:val="000000"/>
                <w:sz w:val="20"/>
              </w:rPr>
              <w:t xml:space="preserve"> Requirements and capability framework for IoT-based automotive emergency response system</w:t>
            </w:r>
          </w:p>
        </w:tc>
        <w:tc>
          <w:tcPr>
            <w:tcW w:w="1538" w:type="dxa"/>
            <w:shd w:val="clear" w:color="auto" w:fill="auto"/>
            <w:vAlign w:val="center"/>
          </w:tcPr>
          <w:p w14:paraId="0B65560F" w14:textId="77777777" w:rsidR="0020782B" w:rsidRPr="00F30A97" w:rsidRDefault="0020782B">
            <w:pPr>
              <w:pStyle w:val="Tabletext"/>
              <w:rPr>
                <w:sz w:val="20"/>
              </w:rPr>
            </w:pPr>
            <w:r w:rsidRPr="00F30A97">
              <w:rPr>
                <w:color w:val="000000"/>
                <w:sz w:val="20"/>
              </w:rPr>
              <w:t>Published (Approved)</w:t>
            </w:r>
          </w:p>
        </w:tc>
      </w:tr>
      <w:tr w:rsidR="0020782B" w:rsidRPr="00F30A97" w14:paraId="2D87B7F3" w14:textId="77777777" w:rsidTr="0004021B">
        <w:trPr>
          <w:trHeight w:val="290"/>
        </w:trPr>
        <w:tc>
          <w:tcPr>
            <w:tcW w:w="1838" w:type="dxa"/>
            <w:shd w:val="clear" w:color="auto" w:fill="auto"/>
            <w:vAlign w:val="center"/>
          </w:tcPr>
          <w:p w14:paraId="1661D136" w14:textId="77777777" w:rsidR="0020782B" w:rsidRPr="00F30A97" w:rsidRDefault="0020782B">
            <w:pPr>
              <w:pStyle w:val="Tabletext"/>
              <w:rPr>
                <w:sz w:val="20"/>
              </w:rPr>
            </w:pPr>
            <w:r w:rsidRPr="00F30A97">
              <w:rPr>
                <w:color w:val="000000"/>
                <w:sz w:val="20"/>
              </w:rPr>
              <w:lastRenderedPageBreak/>
              <w:t>Y.RA-PHE*</w:t>
            </w:r>
          </w:p>
        </w:tc>
        <w:tc>
          <w:tcPr>
            <w:tcW w:w="2410" w:type="dxa"/>
            <w:shd w:val="clear" w:color="auto" w:fill="auto"/>
            <w:vAlign w:val="center"/>
          </w:tcPr>
          <w:p w14:paraId="41A3B492" w14:textId="77777777" w:rsidR="0020782B" w:rsidRPr="00F30A97" w:rsidRDefault="0020782B">
            <w:pPr>
              <w:pStyle w:val="Tabletext"/>
              <w:rPr>
                <w:sz w:val="20"/>
              </w:rPr>
            </w:pPr>
            <w:r w:rsidRPr="00F30A97">
              <w:rPr>
                <w:color w:val="000000"/>
                <w:sz w:val="20"/>
              </w:rPr>
              <w:t xml:space="preserve">ITU-T </w:t>
            </w:r>
          </w:p>
        </w:tc>
        <w:tc>
          <w:tcPr>
            <w:tcW w:w="1276" w:type="dxa"/>
            <w:shd w:val="clear" w:color="auto" w:fill="auto"/>
            <w:vAlign w:val="center"/>
          </w:tcPr>
          <w:p w14:paraId="40532878" w14:textId="77777777" w:rsidR="0020782B" w:rsidRPr="00F30A97" w:rsidRDefault="0020782B">
            <w:pPr>
              <w:pStyle w:val="Tabletext"/>
              <w:rPr>
                <w:sz w:val="20"/>
              </w:rPr>
            </w:pPr>
            <w:r w:rsidRPr="00F30A97">
              <w:rPr>
                <w:color w:val="000000"/>
                <w:sz w:val="20"/>
              </w:rPr>
              <w:t>SG20</w:t>
            </w:r>
          </w:p>
        </w:tc>
        <w:tc>
          <w:tcPr>
            <w:tcW w:w="2567" w:type="dxa"/>
            <w:shd w:val="clear" w:color="auto" w:fill="auto"/>
            <w:vAlign w:val="center"/>
          </w:tcPr>
          <w:p w14:paraId="51445EDB" w14:textId="77777777" w:rsidR="0020782B" w:rsidRPr="00F30A97" w:rsidRDefault="0020782B">
            <w:pPr>
              <w:pStyle w:val="Tabletext"/>
              <w:rPr>
                <w:sz w:val="20"/>
              </w:rPr>
            </w:pPr>
            <w:r w:rsidRPr="00F30A97">
              <w:rPr>
                <w:color w:val="000000"/>
                <w:sz w:val="20"/>
              </w:rPr>
              <w:t>Requirements and reference architecture of smart service for public health emergency</w:t>
            </w:r>
          </w:p>
        </w:tc>
        <w:tc>
          <w:tcPr>
            <w:tcW w:w="1538" w:type="dxa"/>
            <w:shd w:val="clear" w:color="auto" w:fill="auto"/>
            <w:vAlign w:val="center"/>
          </w:tcPr>
          <w:p w14:paraId="46F7DA8A" w14:textId="77777777" w:rsidR="0020782B" w:rsidRPr="00F30A97" w:rsidRDefault="0020782B">
            <w:pPr>
              <w:pStyle w:val="Tabletext"/>
              <w:rPr>
                <w:sz w:val="20"/>
              </w:rPr>
            </w:pPr>
            <w:r w:rsidRPr="00F30A97">
              <w:rPr>
                <w:color w:val="000000"/>
                <w:sz w:val="20"/>
              </w:rPr>
              <w:t>Under Study</w:t>
            </w:r>
          </w:p>
        </w:tc>
      </w:tr>
      <w:tr w:rsidR="0020782B" w:rsidRPr="00F30A97" w14:paraId="745B3D64" w14:textId="77777777" w:rsidTr="0004021B">
        <w:trPr>
          <w:trHeight w:val="290"/>
        </w:trPr>
        <w:tc>
          <w:tcPr>
            <w:tcW w:w="1838" w:type="dxa"/>
            <w:shd w:val="clear" w:color="auto" w:fill="auto"/>
            <w:vAlign w:val="center"/>
          </w:tcPr>
          <w:p w14:paraId="4AA8BA9F" w14:textId="77777777" w:rsidR="0020782B" w:rsidRPr="00F30A97" w:rsidRDefault="0020782B">
            <w:pPr>
              <w:pStyle w:val="Tabletext"/>
              <w:rPr>
                <w:sz w:val="20"/>
              </w:rPr>
            </w:pPr>
            <w:r w:rsidRPr="00F30A97">
              <w:rPr>
                <w:color w:val="000000"/>
                <w:sz w:val="20"/>
              </w:rPr>
              <w:t>Y.smart-evacuation*</w:t>
            </w:r>
          </w:p>
        </w:tc>
        <w:tc>
          <w:tcPr>
            <w:tcW w:w="2410" w:type="dxa"/>
            <w:shd w:val="clear" w:color="auto" w:fill="auto"/>
            <w:vAlign w:val="center"/>
          </w:tcPr>
          <w:p w14:paraId="460C3B54" w14:textId="77777777" w:rsidR="0020782B" w:rsidRPr="00F30A97" w:rsidRDefault="0020782B">
            <w:pPr>
              <w:pStyle w:val="Tabletext"/>
              <w:rPr>
                <w:sz w:val="20"/>
              </w:rPr>
            </w:pPr>
            <w:r w:rsidRPr="00F30A97">
              <w:rPr>
                <w:color w:val="000000"/>
                <w:sz w:val="20"/>
              </w:rPr>
              <w:t xml:space="preserve">ITU-T </w:t>
            </w:r>
          </w:p>
        </w:tc>
        <w:tc>
          <w:tcPr>
            <w:tcW w:w="1276" w:type="dxa"/>
            <w:shd w:val="clear" w:color="auto" w:fill="auto"/>
            <w:vAlign w:val="center"/>
          </w:tcPr>
          <w:p w14:paraId="5E4CEFFD" w14:textId="77777777" w:rsidR="0020782B" w:rsidRPr="00F30A97" w:rsidRDefault="0020782B">
            <w:pPr>
              <w:pStyle w:val="Tabletext"/>
              <w:rPr>
                <w:sz w:val="20"/>
              </w:rPr>
            </w:pPr>
            <w:r w:rsidRPr="00F30A97">
              <w:rPr>
                <w:color w:val="000000"/>
                <w:sz w:val="20"/>
              </w:rPr>
              <w:t>SG20</w:t>
            </w:r>
          </w:p>
        </w:tc>
        <w:tc>
          <w:tcPr>
            <w:tcW w:w="2567" w:type="dxa"/>
            <w:shd w:val="clear" w:color="auto" w:fill="auto"/>
            <w:vAlign w:val="center"/>
          </w:tcPr>
          <w:p w14:paraId="489F9B05" w14:textId="77777777" w:rsidR="0020782B" w:rsidRPr="00F30A97" w:rsidRDefault="0020782B">
            <w:pPr>
              <w:pStyle w:val="Tabletext"/>
              <w:rPr>
                <w:sz w:val="20"/>
              </w:rPr>
            </w:pPr>
            <w:r w:rsidRPr="00F30A97">
              <w:rPr>
                <w:color w:val="000000"/>
                <w:sz w:val="20"/>
              </w:rPr>
              <w:t>Framework of Smart Evacuation during emergencies in smart cities and communities</w:t>
            </w:r>
          </w:p>
        </w:tc>
        <w:tc>
          <w:tcPr>
            <w:tcW w:w="1538" w:type="dxa"/>
            <w:shd w:val="clear" w:color="auto" w:fill="auto"/>
            <w:vAlign w:val="center"/>
          </w:tcPr>
          <w:p w14:paraId="2E0AEE0D" w14:textId="77777777" w:rsidR="0020782B" w:rsidRPr="00F30A97" w:rsidRDefault="0020782B">
            <w:pPr>
              <w:pStyle w:val="Tabletext"/>
              <w:rPr>
                <w:sz w:val="20"/>
                <w:highlight w:val="yellow"/>
              </w:rPr>
            </w:pPr>
            <w:r w:rsidRPr="00F30A97">
              <w:rPr>
                <w:color w:val="000000"/>
                <w:sz w:val="20"/>
              </w:rPr>
              <w:t xml:space="preserve">Under-Study </w:t>
            </w:r>
          </w:p>
        </w:tc>
      </w:tr>
    </w:tbl>
    <w:bookmarkEnd w:id="48"/>
    <w:bookmarkEnd w:id="49"/>
    <w:p w14:paraId="6B4F08E8" w14:textId="15119766" w:rsidR="0020782B" w:rsidRPr="00F30A97" w:rsidRDefault="00C2623D" w:rsidP="00CE08CB">
      <w:pPr>
        <w:rPr>
          <w:highlight w:val="yellow"/>
        </w:rPr>
      </w:pPr>
      <w:r w:rsidRPr="00F30A97">
        <w:rPr>
          <w:highlight w:val="yellow"/>
        </w:rPr>
        <w:br w:type="textWrapping" w:clear="all"/>
      </w:r>
    </w:p>
    <w:tbl>
      <w:tblPr>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3"/>
        <w:gridCol w:w="1474"/>
        <w:gridCol w:w="1725"/>
        <w:gridCol w:w="3765"/>
        <w:gridCol w:w="1365"/>
      </w:tblGrid>
      <w:tr w:rsidR="00A156C3" w:rsidRPr="00F30A97" w14:paraId="6BDFAEF5" w14:textId="77777777" w:rsidTr="00A156C3">
        <w:trPr>
          <w:trHeight w:val="290"/>
          <w:tblHeader/>
        </w:trPr>
        <w:tc>
          <w:tcPr>
            <w:tcW w:w="9622" w:type="dxa"/>
            <w:gridSpan w:val="5"/>
            <w:tcBorders>
              <w:top w:val="nil"/>
              <w:left w:val="nil"/>
              <w:right w:val="nil"/>
            </w:tcBorders>
            <w:shd w:val="clear" w:color="auto" w:fill="auto"/>
          </w:tcPr>
          <w:p w14:paraId="713A7D24" w14:textId="225C23CF" w:rsidR="00A156C3" w:rsidRPr="00F30A97" w:rsidRDefault="00A156C3" w:rsidP="00CE08CB">
            <w:pPr>
              <w:pStyle w:val="TableNotitle0"/>
              <w:rPr>
                <w:sz w:val="20"/>
              </w:rPr>
            </w:pPr>
            <w:bookmarkStart w:id="50" w:name="_Toc122117080"/>
            <w:r w:rsidRPr="00F30A97">
              <w:t>Table 4 – UN activities related to the use of AI (and complementary technologies) for natural disaster management</w:t>
            </w:r>
            <w:bookmarkEnd w:id="50"/>
          </w:p>
        </w:tc>
      </w:tr>
      <w:tr w:rsidR="0020782B" w:rsidRPr="00F30A97" w14:paraId="7AC491CC" w14:textId="77777777" w:rsidTr="00A156C3">
        <w:trPr>
          <w:trHeight w:val="290"/>
          <w:tblHeader/>
        </w:trPr>
        <w:tc>
          <w:tcPr>
            <w:tcW w:w="1293" w:type="dxa"/>
            <w:shd w:val="clear" w:color="auto" w:fill="auto"/>
          </w:tcPr>
          <w:p w14:paraId="5215958E" w14:textId="32D0F4BB" w:rsidR="0020782B" w:rsidRPr="00F30A97" w:rsidRDefault="00A156C3" w:rsidP="00CE08CB">
            <w:pPr>
              <w:pStyle w:val="Tablehead"/>
              <w:rPr>
                <w:sz w:val="20"/>
              </w:rPr>
            </w:pPr>
            <w:r w:rsidRPr="00F30A97">
              <w:rPr>
                <w:sz w:val="20"/>
              </w:rPr>
              <w:t>Acronym</w:t>
            </w:r>
          </w:p>
        </w:tc>
        <w:tc>
          <w:tcPr>
            <w:tcW w:w="1474" w:type="dxa"/>
            <w:shd w:val="clear" w:color="auto" w:fill="auto"/>
          </w:tcPr>
          <w:p w14:paraId="21174A5F" w14:textId="548562D9" w:rsidR="0020782B" w:rsidRPr="00F30A97" w:rsidRDefault="00A156C3" w:rsidP="00CE08CB">
            <w:pPr>
              <w:pStyle w:val="Tablehead"/>
              <w:rPr>
                <w:sz w:val="20"/>
              </w:rPr>
            </w:pPr>
            <w:r w:rsidRPr="00F30A97">
              <w:rPr>
                <w:sz w:val="20"/>
              </w:rPr>
              <w:t>UN entity</w:t>
            </w:r>
          </w:p>
        </w:tc>
        <w:tc>
          <w:tcPr>
            <w:tcW w:w="1725" w:type="dxa"/>
            <w:shd w:val="clear" w:color="auto" w:fill="auto"/>
          </w:tcPr>
          <w:p w14:paraId="158CD390" w14:textId="4CCA0736" w:rsidR="0020782B" w:rsidRPr="00F30A97" w:rsidRDefault="00A156C3" w:rsidP="00CE08CB">
            <w:pPr>
              <w:pStyle w:val="Tablehead"/>
              <w:rPr>
                <w:sz w:val="20"/>
              </w:rPr>
            </w:pPr>
            <w:r w:rsidRPr="00F30A97">
              <w:rPr>
                <w:sz w:val="20"/>
              </w:rPr>
              <w:t>Name of Department</w:t>
            </w:r>
          </w:p>
        </w:tc>
        <w:tc>
          <w:tcPr>
            <w:tcW w:w="3765" w:type="dxa"/>
            <w:shd w:val="clear" w:color="auto" w:fill="auto"/>
          </w:tcPr>
          <w:p w14:paraId="569D05DD" w14:textId="52007081" w:rsidR="0020782B" w:rsidRPr="00F30A97" w:rsidRDefault="00A156C3" w:rsidP="00CE08CB">
            <w:pPr>
              <w:pStyle w:val="Tablehead"/>
              <w:rPr>
                <w:sz w:val="20"/>
              </w:rPr>
            </w:pPr>
            <w:r w:rsidRPr="00F30A97">
              <w:rPr>
                <w:sz w:val="20"/>
              </w:rPr>
              <w:t>Objective</w:t>
            </w:r>
          </w:p>
        </w:tc>
        <w:tc>
          <w:tcPr>
            <w:tcW w:w="1365" w:type="dxa"/>
            <w:shd w:val="clear" w:color="auto" w:fill="auto"/>
          </w:tcPr>
          <w:p w14:paraId="60F6E538" w14:textId="049A0FB3" w:rsidR="0020782B" w:rsidRPr="00F30A97" w:rsidRDefault="00A156C3" w:rsidP="00CE08CB">
            <w:pPr>
              <w:pStyle w:val="Tablehead"/>
              <w:rPr>
                <w:sz w:val="20"/>
              </w:rPr>
            </w:pPr>
            <w:r w:rsidRPr="00F30A97">
              <w:rPr>
                <w:sz w:val="20"/>
              </w:rPr>
              <w:t>Status</w:t>
            </w:r>
          </w:p>
        </w:tc>
      </w:tr>
      <w:tr w:rsidR="0020782B" w:rsidRPr="00F30A97" w14:paraId="1A38BB11" w14:textId="77777777" w:rsidTr="00A156C3">
        <w:trPr>
          <w:trHeight w:val="290"/>
        </w:trPr>
        <w:tc>
          <w:tcPr>
            <w:tcW w:w="1293" w:type="dxa"/>
            <w:shd w:val="clear" w:color="auto" w:fill="auto"/>
          </w:tcPr>
          <w:p w14:paraId="621A33FF" w14:textId="77777777" w:rsidR="0020782B" w:rsidRPr="00F30A97" w:rsidRDefault="0020782B" w:rsidP="00CE08CB">
            <w:pPr>
              <w:pStyle w:val="Tabletext"/>
              <w:rPr>
                <w:sz w:val="20"/>
              </w:rPr>
            </w:pPr>
            <w:r w:rsidRPr="00F30A97">
              <w:rPr>
                <w:sz w:val="20"/>
              </w:rPr>
              <w:t>FAO</w:t>
            </w:r>
          </w:p>
        </w:tc>
        <w:tc>
          <w:tcPr>
            <w:tcW w:w="1474" w:type="dxa"/>
            <w:shd w:val="clear" w:color="auto" w:fill="auto"/>
          </w:tcPr>
          <w:p w14:paraId="2249A544" w14:textId="7D42EF0F" w:rsidR="0020782B" w:rsidRPr="00F30A97" w:rsidRDefault="0020782B" w:rsidP="00CE08CB">
            <w:pPr>
              <w:pStyle w:val="Tabletext"/>
              <w:rPr>
                <w:sz w:val="20"/>
              </w:rPr>
            </w:pPr>
            <w:r w:rsidRPr="00F30A97">
              <w:rPr>
                <w:sz w:val="20"/>
              </w:rPr>
              <w:t>Food and Agriculture Organi</w:t>
            </w:r>
            <w:r w:rsidR="001244EB" w:rsidRPr="00F30A97">
              <w:rPr>
                <w:sz w:val="20"/>
              </w:rPr>
              <w:t>z</w:t>
            </w:r>
            <w:r w:rsidRPr="00F30A97">
              <w:rPr>
                <w:sz w:val="20"/>
              </w:rPr>
              <w:t>ation</w:t>
            </w:r>
          </w:p>
        </w:tc>
        <w:tc>
          <w:tcPr>
            <w:tcW w:w="1725" w:type="dxa"/>
            <w:shd w:val="clear" w:color="auto" w:fill="auto"/>
          </w:tcPr>
          <w:p w14:paraId="7E55DD31" w14:textId="77777777" w:rsidR="0020782B" w:rsidRPr="00F30A97" w:rsidRDefault="0020782B" w:rsidP="00CE08CB">
            <w:pPr>
              <w:pStyle w:val="Tabletext"/>
              <w:rPr>
                <w:sz w:val="20"/>
              </w:rPr>
            </w:pPr>
            <w:r w:rsidRPr="00F30A97">
              <w:rPr>
                <w:sz w:val="20"/>
              </w:rPr>
              <w:t>Plant Production &amp; Protection Division</w:t>
            </w:r>
          </w:p>
        </w:tc>
        <w:tc>
          <w:tcPr>
            <w:tcW w:w="3765" w:type="dxa"/>
            <w:shd w:val="clear" w:color="auto" w:fill="auto"/>
          </w:tcPr>
          <w:p w14:paraId="3F13A98C" w14:textId="77777777" w:rsidR="0020782B" w:rsidRPr="00F30A97" w:rsidRDefault="0020782B" w:rsidP="00CE08CB">
            <w:pPr>
              <w:pStyle w:val="Tabletext"/>
              <w:rPr>
                <w:sz w:val="20"/>
              </w:rPr>
            </w:pPr>
            <w:r w:rsidRPr="00F30A97">
              <w:rPr>
                <w:sz w:val="20"/>
              </w:rPr>
              <w:t>Combines an online monitoring platform for mapping data collected by the FAMEWS mobile app whenever fields are scouted, or pheromone traps are checked for FAW. The platform provides a real-time situation overview with maps and analytics of FAW infestations at global, country and sub-country levels. The FAMEWS mobile app enables data collection of scouting data, which can be collected manually or through an image recognition model which provides immediate advice on FAW infestation. The global monitoring platform and the mobile are designed to expand with the evolving needs of farmers, analysts and decision-makers. Both are freely accessible and are helping reduce crop yield losses and risk of further introduction and spread of FAW.</w:t>
            </w:r>
          </w:p>
        </w:tc>
        <w:tc>
          <w:tcPr>
            <w:tcW w:w="1365" w:type="dxa"/>
            <w:shd w:val="clear" w:color="auto" w:fill="auto"/>
          </w:tcPr>
          <w:p w14:paraId="705C265D" w14:textId="77777777" w:rsidR="0020782B" w:rsidRPr="00F30A97" w:rsidRDefault="0020782B" w:rsidP="00CE08CB">
            <w:pPr>
              <w:pStyle w:val="Tabletext"/>
              <w:rPr>
                <w:sz w:val="20"/>
              </w:rPr>
            </w:pPr>
            <w:r w:rsidRPr="00F30A97">
              <w:rPr>
                <w:sz w:val="20"/>
              </w:rPr>
              <w:t>Ending 2022</w:t>
            </w:r>
          </w:p>
        </w:tc>
      </w:tr>
      <w:tr w:rsidR="0020782B" w:rsidRPr="00F30A97" w14:paraId="6602DFED" w14:textId="77777777" w:rsidTr="00A156C3">
        <w:trPr>
          <w:trHeight w:val="290"/>
        </w:trPr>
        <w:tc>
          <w:tcPr>
            <w:tcW w:w="1293" w:type="dxa"/>
            <w:shd w:val="clear" w:color="auto" w:fill="auto"/>
          </w:tcPr>
          <w:p w14:paraId="0D6D49A1" w14:textId="77777777" w:rsidR="0020782B" w:rsidRPr="00F30A97" w:rsidRDefault="0020782B" w:rsidP="00CE08CB">
            <w:pPr>
              <w:pStyle w:val="Tabletext"/>
              <w:rPr>
                <w:sz w:val="20"/>
              </w:rPr>
            </w:pPr>
            <w:r w:rsidRPr="00F30A97">
              <w:rPr>
                <w:sz w:val="20"/>
              </w:rPr>
              <w:t>IOM</w:t>
            </w:r>
          </w:p>
        </w:tc>
        <w:tc>
          <w:tcPr>
            <w:tcW w:w="1474" w:type="dxa"/>
            <w:shd w:val="clear" w:color="auto" w:fill="auto"/>
          </w:tcPr>
          <w:p w14:paraId="34AE5FC9" w14:textId="0BDA1654" w:rsidR="0020782B" w:rsidRPr="00F30A97" w:rsidRDefault="0020782B" w:rsidP="00CE08CB">
            <w:pPr>
              <w:pStyle w:val="Tabletext"/>
              <w:rPr>
                <w:sz w:val="20"/>
              </w:rPr>
            </w:pPr>
            <w:r w:rsidRPr="00F30A97">
              <w:rPr>
                <w:sz w:val="20"/>
              </w:rPr>
              <w:t>International Organi</w:t>
            </w:r>
            <w:r w:rsidR="001244EB" w:rsidRPr="00F30A97">
              <w:rPr>
                <w:sz w:val="20"/>
              </w:rPr>
              <w:t>z</w:t>
            </w:r>
            <w:r w:rsidRPr="00F30A97">
              <w:rPr>
                <w:sz w:val="20"/>
              </w:rPr>
              <w:t>ation for Migration</w:t>
            </w:r>
          </w:p>
        </w:tc>
        <w:tc>
          <w:tcPr>
            <w:tcW w:w="1725" w:type="dxa"/>
            <w:shd w:val="clear" w:color="auto" w:fill="auto"/>
          </w:tcPr>
          <w:p w14:paraId="209D61A3" w14:textId="77777777" w:rsidR="0020782B" w:rsidRPr="00F30A97" w:rsidRDefault="0020782B" w:rsidP="00CE08CB">
            <w:pPr>
              <w:pStyle w:val="Tabletext"/>
              <w:rPr>
                <w:sz w:val="20"/>
              </w:rPr>
            </w:pPr>
            <w:r w:rsidRPr="00F30A97">
              <w:rPr>
                <w:sz w:val="20"/>
              </w:rPr>
              <w:t>Displacement Tracking Matrix Global Team</w:t>
            </w:r>
          </w:p>
        </w:tc>
        <w:tc>
          <w:tcPr>
            <w:tcW w:w="3765" w:type="dxa"/>
            <w:shd w:val="clear" w:color="auto" w:fill="auto"/>
          </w:tcPr>
          <w:p w14:paraId="50B765DB" w14:textId="77777777" w:rsidR="0020782B" w:rsidRPr="00F30A97" w:rsidRDefault="0020782B" w:rsidP="00CE08CB">
            <w:pPr>
              <w:pStyle w:val="Tabletext"/>
              <w:rPr>
                <w:sz w:val="20"/>
              </w:rPr>
            </w:pPr>
            <w:r w:rsidRPr="00F30A97">
              <w:rPr>
                <w:sz w:val="20"/>
              </w:rPr>
              <w:t xml:space="preserve">DTM Global team Applies AI in Anomaly detection on migration data, and contextualisation of these data using #IDETECT, Rural / urban land classifications of displacement settings from DTMs central data warehouse, quality control routines (based on usual statistics, time-series models, NLP, aerial image recognition, etc.). AI is also applied in analysis of Drone imagery in displacement camps to facilitate a data-driven response to crisis severity measures on living conditions in camps during natural disasters. </w:t>
            </w:r>
          </w:p>
        </w:tc>
        <w:tc>
          <w:tcPr>
            <w:tcW w:w="1365" w:type="dxa"/>
            <w:shd w:val="clear" w:color="auto" w:fill="auto"/>
          </w:tcPr>
          <w:p w14:paraId="26CB72E1" w14:textId="77777777" w:rsidR="0020782B" w:rsidRPr="00F30A97" w:rsidRDefault="0020782B" w:rsidP="00CE08CB">
            <w:pPr>
              <w:pStyle w:val="Tabletext"/>
              <w:rPr>
                <w:sz w:val="20"/>
              </w:rPr>
            </w:pPr>
            <w:r w:rsidRPr="00F30A97">
              <w:rPr>
                <w:sz w:val="20"/>
              </w:rPr>
              <w:t>Ongoing</w:t>
            </w:r>
          </w:p>
        </w:tc>
      </w:tr>
      <w:tr w:rsidR="0020782B" w:rsidRPr="00F30A97" w14:paraId="4980E0B4" w14:textId="77777777" w:rsidTr="00A156C3">
        <w:trPr>
          <w:trHeight w:val="290"/>
        </w:trPr>
        <w:tc>
          <w:tcPr>
            <w:tcW w:w="1293" w:type="dxa"/>
            <w:shd w:val="clear" w:color="auto" w:fill="auto"/>
          </w:tcPr>
          <w:p w14:paraId="17557E29" w14:textId="77777777" w:rsidR="0020782B" w:rsidRPr="00F30A97" w:rsidRDefault="0020782B" w:rsidP="00CE08CB">
            <w:pPr>
              <w:pStyle w:val="Tabletext"/>
              <w:rPr>
                <w:sz w:val="20"/>
              </w:rPr>
            </w:pPr>
            <w:r w:rsidRPr="00F30A97">
              <w:rPr>
                <w:sz w:val="20"/>
              </w:rPr>
              <w:t>IOM</w:t>
            </w:r>
          </w:p>
        </w:tc>
        <w:tc>
          <w:tcPr>
            <w:tcW w:w="1474" w:type="dxa"/>
            <w:shd w:val="clear" w:color="auto" w:fill="auto"/>
          </w:tcPr>
          <w:p w14:paraId="45D5B66C" w14:textId="48973C01" w:rsidR="0020782B" w:rsidRPr="00F30A97" w:rsidRDefault="0020782B" w:rsidP="00CE08CB">
            <w:pPr>
              <w:pStyle w:val="Tabletext"/>
              <w:rPr>
                <w:sz w:val="20"/>
              </w:rPr>
            </w:pPr>
            <w:r w:rsidRPr="00F30A97">
              <w:rPr>
                <w:sz w:val="20"/>
              </w:rPr>
              <w:t>International Organi</w:t>
            </w:r>
            <w:r w:rsidR="001244EB" w:rsidRPr="00F30A97">
              <w:rPr>
                <w:sz w:val="20"/>
              </w:rPr>
              <w:t>z</w:t>
            </w:r>
            <w:r w:rsidRPr="00F30A97">
              <w:rPr>
                <w:sz w:val="20"/>
              </w:rPr>
              <w:t>ation for Migration</w:t>
            </w:r>
          </w:p>
        </w:tc>
        <w:tc>
          <w:tcPr>
            <w:tcW w:w="1725" w:type="dxa"/>
            <w:shd w:val="clear" w:color="auto" w:fill="auto"/>
          </w:tcPr>
          <w:p w14:paraId="32C42AAC" w14:textId="77777777" w:rsidR="0020782B" w:rsidRPr="00F30A97" w:rsidRDefault="0020782B" w:rsidP="00CE08CB">
            <w:pPr>
              <w:pStyle w:val="Tabletext"/>
              <w:rPr>
                <w:sz w:val="20"/>
              </w:rPr>
            </w:pPr>
            <w:r w:rsidRPr="00F30A97">
              <w:rPr>
                <w:sz w:val="20"/>
              </w:rPr>
              <w:t>Displacement Tracking Matrix Global Team</w:t>
            </w:r>
          </w:p>
        </w:tc>
        <w:tc>
          <w:tcPr>
            <w:tcW w:w="3765" w:type="dxa"/>
            <w:shd w:val="clear" w:color="auto" w:fill="auto"/>
          </w:tcPr>
          <w:p w14:paraId="2AA5CF5E" w14:textId="77777777" w:rsidR="0020782B" w:rsidRPr="00F30A97" w:rsidRDefault="0020782B" w:rsidP="00CE08CB">
            <w:pPr>
              <w:pStyle w:val="Tabletext"/>
              <w:rPr>
                <w:sz w:val="20"/>
              </w:rPr>
            </w:pPr>
            <w:r w:rsidRPr="00F30A97">
              <w:rPr>
                <w:sz w:val="20"/>
              </w:rPr>
              <w:t xml:space="preserve">This project, pilots a novel form of Collective Intelligence (CI) by enabling returnees in Iraq to validate and improve data collection processes and analysis related to conditions in their local area. In doing so, the CI methodology allows for </w:t>
            </w:r>
            <w:r w:rsidRPr="00F30A97">
              <w:rPr>
                <w:sz w:val="20"/>
              </w:rPr>
              <w:lastRenderedPageBreak/>
              <w:t xml:space="preserve">more meaningful participation by affected populations than typically afforded and improves accountability and transparency. By collecting data through digital channels, this initiative examined whether a larger and more diverse cross-section of returnees could be engaged to validate findings from key informant (KI) data collection. Using GPS technology, location-specific conclusions drawn from existing data collection activities were shared with affected communities to confirm, reject and provide open-ended, qualitative input. To aid in classification of text-based responses, an AI trained model was included in the analysis. This project used the Valence Aware Dictionary and Sentiment Reasoner (VADER) algorithm to classify feedback messages in the survey based on its polarity (negative, neutral and positive) and on the intensity of the polarity categories. </w:t>
            </w:r>
          </w:p>
        </w:tc>
        <w:tc>
          <w:tcPr>
            <w:tcW w:w="1365" w:type="dxa"/>
            <w:shd w:val="clear" w:color="auto" w:fill="auto"/>
          </w:tcPr>
          <w:p w14:paraId="36111C8B" w14:textId="77777777" w:rsidR="0020782B" w:rsidRPr="00F30A97" w:rsidRDefault="0020782B" w:rsidP="00CE08CB">
            <w:pPr>
              <w:pStyle w:val="Tabletext"/>
              <w:rPr>
                <w:sz w:val="20"/>
              </w:rPr>
            </w:pPr>
            <w:r w:rsidRPr="00F30A97">
              <w:rPr>
                <w:sz w:val="20"/>
              </w:rPr>
              <w:lastRenderedPageBreak/>
              <w:t>Ended</w:t>
            </w:r>
          </w:p>
        </w:tc>
      </w:tr>
      <w:tr w:rsidR="0020782B" w:rsidRPr="00F30A97" w14:paraId="65F8A82D" w14:textId="77777777" w:rsidTr="00A156C3">
        <w:trPr>
          <w:trHeight w:val="290"/>
        </w:trPr>
        <w:tc>
          <w:tcPr>
            <w:tcW w:w="1293" w:type="dxa"/>
            <w:shd w:val="clear" w:color="auto" w:fill="auto"/>
          </w:tcPr>
          <w:p w14:paraId="70393BEB" w14:textId="77777777" w:rsidR="0020782B" w:rsidRPr="00F30A97" w:rsidRDefault="0020782B" w:rsidP="00CE08CB">
            <w:pPr>
              <w:pStyle w:val="Tabletext"/>
              <w:rPr>
                <w:sz w:val="20"/>
              </w:rPr>
            </w:pPr>
            <w:r w:rsidRPr="00F30A97">
              <w:rPr>
                <w:sz w:val="20"/>
              </w:rPr>
              <w:t xml:space="preserve">UNDP </w:t>
            </w:r>
          </w:p>
        </w:tc>
        <w:tc>
          <w:tcPr>
            <w:tcW w:w="1474" w:type="dxa"/>
            <w:shd w:val="clear" w:color="auto" w:fill="auto"/>
          </w:tcPr>
          <w:p w14:paraId="5EBCA11A" w14:textId="77777777" w:rsidR="0020782B" w:rsidRPr="00F30A97" w:rsidRDefault="0020782B" w:rsidP="00CE08CB">
            <w:pPr>
              <w:pStyle w:val="Tabletext"/>
              <w:rPr>
                <w:sz w:val="20"/>
              </w:rPr>
            </w:pPr>
            <w:r w:rsidRPr="00F30A97">
              <w:rPr>
                <w:sz w:val="20"/>
              </w:rPr>
              <w:t>United Nations Development Programme</w:t>
            </w:r>
          </w:p>
        </w:tc>
        <w:tc>
          <w:tcPr>
            <w:tcW w:w="1725" w:type="dxa"/>
            <w:shd w:val="clear" w:color="auto" w:fill="auto"/>
          </w:tcPr>
          <w:p w14:paraId="057D50AB" w14:textId="77777777" w:rsidR="0020782B" w:rsidRPr="00F30A97" w:rsidRDefault="0020782B" w:rsidP="00CE08CB">
            <w:pPr>
              <w:pStyle w:val="Tabletext"/>
              <w:rPr>
                <w:sz w:val="20"/>
              </w:rPr>
            </w:pPr>
            <w:r w:rsidRPr="00F30A97">
              <w:rPr>
                <w:sz w:val="20"/>
              </w:rPr>
              <w:t>Crisis Bureau</w:t>
            </w:r>
          </w:p>
        </w:tc>
        <w:tc>
          <w:tcPr>
            <w:tcW w:w="3765" w:type="dxa"/>
            <w:shd w:val="clear" w:color="auto" w:fill="auto"/>
          </w:tcPr>
          <w:p w14:paraId="338C6B04" w14:textId="75467679" w:rsidR="0020782B" w:rsidRPr="00F30A97" w:rsidRDefault="0020782B" w:rsidP="00CE08CB">
            <w:pPr>
              <w:pStyle w:val="Tabletext"/>
              <w:rPr>
                <w:sz w:val="20"/>
              </w:rPr>
            </w:pPr>
            <w:r w:rsidRPr="00F30A97">
              <w:rPr>
                <w:sz w:val="20"/>
              </w:rPr>
              <w:t xml:space="preserve">Following hurricane Iota in Columbia, the UNDP contributed its Household and Building Damage Assessment toolkit which provides real time visual, interactive and dynamic reports. Along with the diagnostic methodology, UNDP is making use of mixed realities (Augmented Reality and Virtual Reality), using 360 cameras and drones to complement the data collected and thus link experts, allies and members of government in an immersive experience that allows them to </w:t>
            </w:r>
            <w:r w:rsidR="00644FA2" w:rsidRPr="00F30A97">
              <w:rPr>
                <w:sz w:val="20"/>
              </w:rPr>
              <w:t>"</w:t>
            </w:r>
            <w:r w:rsidRPr="00F30A97">
              <w:rPr>
                <w:sz w:val="20"/>
              </w:rPr>
              <w:t>live reality</w:t>
            </w:r>
            <w:r w:rsidR="00644FA2" w:rsidRPr="00F30A97">
              <w:rPr>
                <w:sz w:val="20"/>
              </w:rPr>
              <w:t>"</w:t>
            </w:r>
            <w:r w:rsidRPr="00F30A97">
              <w:rPr>
                <w:sz w:val="20"/>
              </w:rPr>
              <w:t xml:space="preserve"> through which the archipelago is passing. This tool, called </w:t>
            </w:r>
            <w:r w:rsidR="00644FA2" w:rsidRPr="00F30A97">
              <w:rPr>
                <w:sz w:val="20"/>
              </w:rPr>
              <w:t>"</w:t>
            </w:r>
            <w:r w:rsidRPr="00F30A97">
              <w:rPr>
                <w:sz w:val="20"/>
              </w:rPr>
              <w:t>Augmented Development</w:t>
            </w:r>
            <w:r w:rsidR="00644FA2" w:rsidRPr="00F30A97">
              <w:rPr>
                <w:sz w:val="20"/>
              </w:rPr>
              <w:t>"</w:t>
            </w:r>
            <w:r w:rsidRPr="00F30A97">
              <w:rPr>
                <w:sz w:val="20"/>
              </w:rPr>
              <w:t xml:space="preserve"> seeks to accurately monitor the diagnosis and recovery process, as well as to make more accurate and faster decisions without the need for the time, resources and logistics required for the displacement of the team.</w:t>
            </w:r>
            <w:r w:rsidR="00644FA2" w:rsidRPr="00F30A97">
              <w:rPr>
                <w:sz w:val="20"/>
              </w:rPr>
              <w:t xml:space="preserve"> </w:t>
            </w:r>
            <w:r w:rsidRPr="00F30A97">
              <w:rPr>
                <w:sz w:val="20"/>
              </w:rPr>
              <w:t xml:space="preserve"> </w:t>
            </w:r>
          </w:p>
        </w:tc>
        <w:tc>
          <w:tcPr>
            <w:tcW w:w="1365" w:type="dxa"/>
            <w:shd w:val="clear" w:color="auto" w:fill="auto"/>
          </w:tcPr>
          <w:p w14:paraId="2CF24974" w14:textId="77777777" w:rsidR="0020782B" w:rsidRPr="00F30A97" w:rsidRDefault="0020782B" w:rsidP="00CE08CB">
            <w:pPr>
              <w:pStyle w:val="Tabletext"/>
              <w:rPr>
                <w:sz w:val="20"/>
              </w:rPr>
            </w:pPr>
            <w:r w:rsidRPr="00F30A97">
              <w:rPr>
                <w:sz w:val="20"/>
              </w:rPr>
              <w:t>Ended 2020</w:t>
            </w:r>
          </w:p>
        </w:tc>
      </w:tr>
      <w:tr w:rsidR="0020782B" w:rsidRPr="00F30A97" w14:paraId="607C5DA1" w14:textId="77777777" w:rsidTr="00A156C3">
        <w:trPr>
          <w:trHeight w:val="290"/>
        </w:trPr>
        <w:tc>
          <w:tcPr>
            <w:tcW w:w="1293" w:type="dxa"/>
            <w:shd w:val="clear" w:color="auto" w:fill="auto"/>
          </w:tcPr>
          <w:p w14:paraId="0F58B9AA" w14:textId="77777777" w:rsidR="0020782B" w:rsidRPr="00F30A97" w:rsidRDefault="0020782B" w:rsidP="00CE08CB">
            <w:pPr>
              <w:pStyle w:val="Tabletext"/>
              <w:rPr>
                <w:sz w:val="20"/>
              </w:rPr>
            </w:pPr>
            <w:r w:rsidRPr="00F30A97">
              <w:rPr>
                <w:sz w:val="20"/>
              </w:rPr>
              <w:t xml:space="preserve">UNDP </w:t>
            </w:r>
          </w:p>
        </w:tc>
        <w:tc>
          <w:tcPr>
            <w:tcW w:w="1474" w:type="dxa"/>
            <w:shd w:val="clear" w:color="auto" w:fill="auto"/>
          </w:tcPr>
          <w:p w14:paraId="59D77723" w14:textId="77777777" w:rsidR="0020782B" w:rsidRPr="00F30A97" w:rsidRDefault="0020782B" w:rsidP="00CE08CB">
            <w:pPr>
              <w:pStyle w:val="Tabletext"/>
              <w:rPr>
                <w:sz w:val="20"/>
              </w:rPr>
            </w:pPr>
            <w:r w:rsidRPr="00F30A97">
              <w:rPr>
                <w:sz w:val="20"/>
              </w:rPr>
              <w:t>United Nations Development Programme</w:t>
            </w:r>
          </w:p>
        </w:tc>
        <w:tc>
          <w:tcPr>
            <w:tcW w:w="1725" w:type="dxa"/>
            <w:shd w:val="clear" w:color="auto" w:fill="auto"/>
          </w:tcPr>
          <w:p w14:paraId="3A026563" w14:textId="77777777" w:rsidR="0020782B" w:rsidRPr="00F30A97" w:rsidRDefault="0020782B" w:rsidP="00CE08CB">
            <w:pPr>
              <w:pStyle w:val="Tabletext"/>
              <w:rPr>
                <w:sz w:val="20"/>
              </w:rPr>
            </w:pPr>
            <w:r w:rsidRPr="00F30A97">
              <w:rPr>
                <w:sz w:val="20"/>
              </w:rPr>
              <w:t>Crisis Bureau</w:t>
            </w:r>
          </w:p>
        </w:tc>
        <w:tc>
          <w:tcPr>
            <w:tcW w:w="3765" w:type="dxa"/>
            <w:shd w:val="clear" w:color="auto" w:fill="auto"/>
          </w:tcPr>
          <w:p w14:paraId="08F8617B" w14:textId="15CDBCD1" w:rsidR="0020782B" w:rsidRPr="00F30A97" w:rsidRDefault="0020782B" w:rsidP="00CE08CB">
            <w:pPr>
              <w:pStyle w:val="Tabletext"/>
              <w:rPr>
                <w:sz w:val="20"/>
              </w:rPr>
            </w:pPr>
            <w:r w:rsidRPr="00F30A97">
              <w:rPr>
                <w:sz w:val="20"/>
              </w:rPr>
              <w:t>UNDP in Timor-Leste enlisted support from UNDP</w:t>
            </w:r>
            <w:r w:rsidR="00644FA2" w:rsidRPr="00F30A97">
              <w:rPr>
                <w:sz w:val="20"/>
              </w:rPr>
              <w:t>'</w:t>
            </w:r>
            <w:r w:rsidRPr="00F30A97">
              <w:rPr>
                <w:sz w:val="20"/>
              </w:rPr>
              <w:t>s SURGE Data Hub for the Household and Building Damage Assessment (HBDA) Toolkit, a key instrument to collect evidence and information to support authorities in crisis-affected countries. In Timor-Leste, the HBDA facilitated a framework for the assessment of flood and landslide damage on residential and non-residential infrastructures, as well as livelihood impacts, needs and conditions of disaster-affected households. The HBDA</w:t>
            </w:r>
            <w:r w:rsidR="00644FA2" w:rsidRPr="00F30A97">
              <w:rPr>
                <w:sz w:val="20"/>
              </w:rPr>
              <w:t>'</w:t>
            </w:r>
            <w:r w:rsidRPr="00F30A97">
              <w:rPr>
                <w:sz w:val="20"/>
              </w:rPr>
              <w:t>s survey was tailored to the country</w:t>
            </w:r>
            <w:r w:rsidR="00644FA2" w:rsidRPr="00F30A97">
              <w:rPr>
                <w:sz w:val="20"/>
              </w:rPr>
              <w:t>'</w:t>
            </w:r>
            <w:r w:rsidRPr="00F30A97">
              <w:rPr>
                <w:sz w:val="20"/>
              </w:rPr>
              <w:t>s context and adapted to the local language of Tetum. </w:t>
            </w:r>
          </w:p>
        </w:tc>
        <w:tc>
          <w:tcPr>
            <w:tcW w:w="1365" w:type="dxa"/>
            <w:shd w:val="clear" w:color="auto" w:fill="auto"/>
          </w:tcPr>
          <w:p w14:paraId="3BC06F58" w14:textId="77777777" w:rsidR="0020782B" w:rsidRPr="00F30A97" w:rsidRDefault="0020782B" w:rsidP="00CE08CB">
            <w:pPr>
              <w:pStyle w:val="Tabletext"/>
              <w:rPr>
                <w:sz w:val="20"/>
              </w:rPr>
            </w:pPr>
            <w:r w:rsidRPr="00F30A97">
              <w:rPr>
                <w:sz w:val="20"/>
              </w:rPr>
              <w:t>Ended 2021</w:t>
            </w:r>
          </w:p>
        </w:tc>
      </w:tr>
      <w:tr w:rsidR="0020782B" w:rsidRPr="00F30A97" w14:paraId="0715F40E" w14:textId="77777777" w:rsidTr="00A156C3">
        <w:trPr>
          <w:trHeight w:val="290"/>
        </w:trPr>
        <w:tc>
          <w:tcPr>
            <w:tcW w:w="1293" w:type="dxa"/>
            <w:shd w:val="clear" w:color="auto" w:fill="auto"/>
          </w:tcPr>
          <w:p w14:paraId="1E20E173" w14:textId="77777777" w:rsidR="0020782B" w:rsidRPr="00F30A97" w:rsidRDefault="0020782B" w:rsidP="00CE08CB">
            <w:pPr>
              <w:pStyle w:val="Tabletext"/>
              <w:rPr>
                <w:sz w:val="20"/>
              </w:rPr>
            </w:pPr>
            <w:r w:rsidRPr="00F30A97">
              <w:rPr>
                <w:sz w:val="20"/>
              </w:rPr>
              <w:lastRenderedPageBreak/>
              <w:t xml:space="preserve">UNDP </w:t>
            </w:r>
          </w:p>
        </w:tc>
        <w:tc>
          <w:tcPr>
            <w:tcW w:w="1474" w:type="dxa"/>
            <w:shd w:val="clear" w:color="auto" w:fill="auto"/>
          </w:tcPr>
          <w:p w14:paraId="6E75CB32" w14:textId="77777777" w:rsidR="0020782B" w:rsidRPr="00F30A97" w:rsidRDefault="0020782B" w:rsidP="00CE08CB">
            <w:pPr>
              <w:pStyle w:val="Tabletext"/>
              <w:rPr>
                <w:sz w:val="20"/>
              </w:rPr>
            </w:pPr>
            <w:r w:rsidRPr="00F30A97">
              <w:rPr>
                <w:sz w:val="20"/>
              </w:rPr>
              <w:t>United Nations Development Programme</w:t>
            </w:r>
          </w:p>
        </w:tc>
        <w:tc>
          <w:tcPr>
            <w:tcW w:w="1725" w:type="dxa"/>
            <w:shd w:val="clear" w:color="auto" w:fill="auto"/>
          </w:tcPr>
          <w:p w14:paraId="380135E0" w14:textId="77777777" w:rsidR="0020782B" w:rsidRPr="00F30A97" w:rsidRDefault="0020782B" w:rsidP="00CE08CB">
            <w:pPr>
              <w:pStyle w:val="Tabletext"/>
              <w:rPr>
                <w:sz w:val="20"/>
              </w:rPr>
            </w:pPr>
            <w:r w:rsidRPr="00F30A97">
              <w:rPr>
                <w:sz w:val="20"/>
              </w:rPr>
              <w:t>Crisis Bureau</w:t>
            </w:r>
          </w:p>
        </w:tc>
        <w:tc>
          <w:tcPr>
            <w:tcW w:w="3765" w:type="dxa"/>
            <w:shd w:val="clear" w:color="auto" w:fill="auto"/>
          </w:tcPr>
          <w:p w14:paraId="217C9DD4" w14:textId="77777777" w:rsidR="0020782B" w:rsidRPr="00F30A97" w:rsidRDefault="0020782B" w:rsidP="00CE08CB">
            <w:pPr>
              <w:pStyle w:val="Tabletext"/>
              <w:rPr>
                <w:sz w:val="20"/>
              </w:rPr>
            </w:pPr>
            <w:r w:rsidRPr="00F30A97">
              <w:rPr>
                <w:sz w:val="20"/>
              </w:rPr>
              <w:t>The UNDP Country Office with the support of the UNDP Crisis Bureau in New York and the UNDP Regional Hub in Panama, and in partnership with the Association of Indigenous Leaders in Suriname (VIDS) implemented a Covid-19 Rapid Digital Socioeconomic Impact Assessment among 300 Indigenous Households in Suriname in 2020.</w:t>
            </w:r>
          </w:p>
        </w:tc>
        <w:tc>
          <w:tcPr>
            <w:tcW w:w="1365" w:type="dxa"/>
            <w:shd w:val="clear" w:color="auto" w:fill="auto"/>
          </w:tcPr>
          <w:p w14:paraId="44BFA47C" w14:textId="77777777" w:rsidR="0020782B" w:rsidRPr="00F30A97" w:rsidRDefault="0020782B" w:rsidP="00CE08CB">
            <w:pPr>
              <w:pStyle w:val="Tabletext"/>
              <w:rPr>
                <w:sz w:val="20"/>
              </w:rPr>
            </w:pPr>
            <w:r w:rsidRPr="00F30A97">
              <w:rPr>
                <w:sz w:val="20"/>
              </w:rPr>
              <w:t>Ended 2020</w:t>
            </w:r>
          </w:p>
        </w:tc>
      </w:tr>
      <w:tr w:rsidR="0020782B" w:rsidRPr="00F30A97" w14:paraId="199D9FCF" w14:textId="77777777" w:rsidTr="00A156C3">
        <w:trPr>
          <w:trHeight w:val="290"/>
        </w:trPr>
        <w:tc>
          <w:tcPr>
            <w:tcW w:w="1293" w:type="dxa"/>
            <w:shd w:val="clear" w:color="auto" w:fill="auto"/>
          </w:tcPr>
          <w:p w14:paraId="704069BE" w14:textId="77777777" w:rsidR="0020782B" w:rsidRPr="00F30A97" w:rsidRDefault="0020782B" w:rsidP="00CE08CB">
            <w:pPr>
              <w:pStyle w:val="Tabletext"/>
              <w:rPr>
                <w:sz w:val="20"/>
              </w:rPr>
            </w:pPr>
            <w:r w:rsidRPr="00F30A97">
              <w:rPr>
                <w:sz w:val="20"/>
              </w:rPr>
              <w:t>UNEP</w:t>
            </w:r>
          </w:p>
        </w:tc>
        <w:tc>
          <w:tcPr>
            <w:tcW w:w="1474" w:type="dxa"/>
            <w:shd w:val="clear" w:color="auto" w:fill="auto"/>
          </w:tcPr>
          <w:p w14:paraId="722581C0" w14:textId="77777777" w:rsidR="0020782B" w:rsidRPr="00F30A97" w:rsidRDefault="0020782B" w:rsidP="00CE08CB">
            <w:pPr>
              <w:pStyle w:val="Tabletext"/>
              <w:rPr>
                <w:sz w:val="20"/>
              </w:rPr>
            </w:pPr>
            <w:r w:rsidRPr="00F30A97">
              <w:rPr>
                <w:sz w:val="20"/>
              </w:rPr>
              <w:t>United Nations Environment Programme</w:t>
            </w:r>
          </w:p>
        </w:tc>
        <w:tc>
          <w:tcPr>
            <w:tcW w:w="1725" w:type="dxa"/>
            <w:shd w:val="clear" w:color="auto" w:fill="auto"/>
          </w:tcPr>
          <w:p w14:paraId="23EF99F7" w14:textId="77777777" w:rsidR="0020782B" w:rsidRPr="00F30A97" w:rsidRDefault="0020782B" w:rsidP="00CE08CB">
            <w:pPr>
              <w:pStyle w:val="Tabletext"/>
              <w:rPr>
                <w:sz w:val="20"/>
              </w:rPr>
            </w:pPr>
            <w:r w:rsidRPr="00F30A97">
              <w:rPr>
                <w:sz w:val="20"/>
              </w:rPr>
              <w:t>Ecosystems Division, Resilience to Disasters and Conflicts Global Support Branch</w:t>
            </w:r>
          </w:p>
        </w:tc>
        <w:tc>
          <w:tcPr>
            <w:tcW w:w="3765" w:type="dxa"/>
            <w:shd w:val="clear" w:color="auto" w:fill="auto"/>
          </w:tcPr>
          <w:p w14:paraId="39F24BE8" w14:textId="7D838BD0" w:rsidR="0020782B" w:rsidRPr="00F30A97" w:rsidRDefault="0020782B" w:rsidP="00CE08CB">
            <w:pPr>
              <w:pStyle w:val="Tabletext"/>
              <w:rPr>
                <w:sz w:val="20"/>
              </w:rPr>
            </w:pPr>
            <w:r w:rsidRPr="00F30A97">
              <w:rPr>
                <w:sz w:val="20"/>
              </w:rPr>
              <w:t xml:space="preserve">In partnership with ITU and WMO: </w:t>
            </w:r>
          </w:p>
          <w:p w14:paraId="1F56DF72" w14:textId="520A777C" w:rsidR="0020782B" w:rsidRPr="00F30A97" w:rsidRDefault="00B40627" w:rsidP="00CE08CB">
            <w:pPr>
              <w:pStyle w:val="Tabletext"/>
              <w:ind w:left="284" w:hanging="284"/>
              <w:rPr>
                <w:sz w:val="20"/>
              </w:rPr>
            </w:pPr>
            <w:r w:rsidRPr="00F30A97">
              <w:rPr>
                <w:sz w:val="20"/>
              </w:rPr>
              <w:t>–</w:t>
            </w:r>
            <w:r w:rsidRPr="00F30A97">
              <w:rPr>
                <w:sz w:val="20"/>
              </w:rPr>
              <w:tab/>
            </w:r>
            <w:r w:rsidR="0020782B" w:rsidRPr="00F30A97">
              <w:rPr>
                <w:sz w:val="20"/>
              </w:rPr>
              <w:t xml:space="preserve">Conduct a comprehensive literature review of the developments in the field of AI, Robotics and IoT to identify those with potential applications in Environmental Disaster Response. </w:t>
            </w:r>
          </w:p>
          <w:p w14:paraId="62C6DBEC" w14:textId="74D43DE8" w:rsidR="0020782B" w:rsidRPr="00F30A97" w:rsidRDefault="00B40627" w:rsidP="00CE08CB">
            <w:pPr>
              <w:pStyle w:val="Tabletext"/>
              <w:ind w:left="284" w:hanging="284"/>
              <w:rPr>
                <w:sz w:val="20"/>
              </w:rPr>
            </w:pPr>
            <w:r w:rsidRPr="00F30A97">
              <w:rPr>
                <w:sz w:val="20"/>
              </w:rPr>
              <w:t>–</w:t>
            </w:r>
            <w:r w:rsidRPr="00F30A97">
              <w:rPr>
                <w:sz w:val="20"/>
              </w:rPr>
              <w:tab/>
            </w:r>
            <w:r w:rsidR="0020782B" w:rsidRPr="00F30A97">
              <w:rPr>
                <w:sz w:val="20"/>
              </w:rPr>
              <w:t>Identify technologies which have been developed and employed, even at pilot phase, for emergency response and prepare a technology forecast for its potential applications in environmental emergency response.</w:t>
            </w:r>
          </w:p>
          <w:p w14:paraId="01EFDFD4" w14:textId="0D57D5E2" w:rsidR="0020782B" w:rsidRPr="00F30A97" w:rsidRDefault="00B40627" w:rsidP="00CE08CB">
            <w:pPr>
              <w:pStyle w:val="Tabletext"/>
              <w:ind w:left="284" w:hanging="284"/>
              <w:rPr>
                <w:sz w:val="20"/>
              </w:rPr>
            </w:pPr>
            <w:r w:rsidRPr="00F30A97">
              <w:rPr>
                <w:sz w:val="20"/>
              </w:rPr>
              <w:t>–</w:t>
            </w:r>
            <w:r w:rsidRPr="00F30A97">
              <w:rPr>
                <w:sz w:val="20"/>
              </w:rPr>
              <w:tab/>
            </w:r>
            <w:r w:rsidR="0020782B" w:rsidRPr="00F30A97">
              <w:rPr>
                <w:sz w:val="20"/>
              </w:rPr>
              <w:t>Identify research and technology partners in academia, research laboratories and industries who are currently working on the area of applications of 4IR technologies and form a network for information exchange and potential collaborations.</w:t>
            </w:r>
          </w:p>
          <w:p w14:paraId="6A6A7B7D" w14:textId="251243AD" w:rsidR="0020782B" w:rsidRPr="00F30A97" w:rsidRDefault="00B40627" w:rsidP="00CE08CB">
            <w:pPr>
              <w:pStyle w:val="Tabletext"/>
              <w:ind w:left="284" w:hanging="284"/>
              <w:rPr>
                <w:sz w:val="20"/>
              </w:rPr>
            </w:pPr>
            <w:r w:rsidRPr="00F30A97">
              <w:rPr>
                <w:sz w:val="20"/>
              </w:rPr>
              <w:t>–</w:t>
            </w:r>
            <w:r w:rsidRPr="00F30A97">
              <w:rPr>
                <w:sz w:val="20"/>
              </w:rPr>
              <w:tab/>
            </w:r>
            <w:r w:rsidR="0020782B" w:rsidRPr="00F30A97">
              <w:rPr>
                <w:sz w:val="20"/>
              </w:rPr>
              <w:t>Prepare training programme on the potential applications of 4IR technologies in environmental emergency response. </w:t>
            </w:r>
          </w:p>
        </w:tc>
        <w:tc>
          <w:tcPr>
            <w:tcW w:w="1365" w:type="dxa"/>
            <w:shd w:val="clear" w:color="auto" w:fill="auto"/>
          </w:tcPr>
          <w:p w14:paraId="12106273" w14:textId="77777777" w:rsidR="0020782B" w:rsidRPr="00F30A97" w:rsidRDefault="0020782B" w:rsidP="00CE08CB">
            <w:pPr>
              <w:pStyle w:val="Tabletext"/>
              <w:rPr>
                <w:sz w:val="20"/>
              </w:rPr>
            </w:pPr>
            <w:r w:rsidRPr="00F30A97">
              <w:rPr>
                <w:sz w:val="20"/>
              </w:rPr>
              <w:t>Ongoing</w:t>
            </w:r>
          </w:p>
        </w:tc>
      </w:tr>
      <w:tr w:rsidR="0020782B" w:rsidRPr="00F30A97" w14:paraId="7DE52E15" w14:textId="77777777" w:rsidTr="00A156C3">
        <w:trPr>
          <w:trHeight w:val="290"/>
        </w:trPr>
        <w:tc>
          <w:tcPr>
            <w:tcW w:w="1293" w:type="dxa"/>
            <w:shd w:val="clear" w:color="auto" w:fill="auto"/>
          </w:tcPr>
          <w:p w14:paraId="4F088D5C" w14:textId="77777777" w:rsidR="0020782B" w:rsidRPr="00F30A97" w:rsidRDefault="0020782B" w:rsidP="00CE08CB">
            <w:pPr>
              <w:pStyle w:val="Tabletext"/>
              <w:rPr>
                <w:sz w:val="20"/>
              </w:rPr>
            </w:pPr>
            <w:r w:rsidRPr="00F30A97">
              <w:rPr>
                <w:sz w:val="20"/>
              </w:rPr>
              <w:t>UNGA</w:t>
            </w:r>
          </w:p>
        </w:tc>
        <w:tc>
          <w:tcPr>
            <w:tcW w:w="1474" w:type="dxa"/>
            <w:shd w:val="clear" w:color="auto" w:fill="auto"/>
          </w:tcPr>
          <w:p w14:paraId="1623CF00" w14:textId="77777777" w:rsidR="0020782B" w:rsidRPr="00F30A97" w:rsidRDefault="0020782B" w:rsidP="00CE08CB">
            <w:pPr>
              <w:pStyle w:val="Tabletext"/>
              <w:rPr>
                <w:sz w:val="20"/>
              </w:rPr>
            </w:pPr>
            <w:r w:rsidRPr="00F30A97">
              <w:rPr>
                <w:sz w:val="20"/>
              </w:rPr>
              <w:t>United Nations General Assembly</w:t>
            </w:r>
          </w:p>
        </w:tc>
        <w:tc>
          <w:tcPr>
            <w:tcW w:w="1725" w:type="dxa"/>
            <w:shd w:val="clear" w:color="auto" w:fill="auto"/>
          </w:tcPr>
          <w:p w14:paraId="76C8FEE6" w14:textId="77777777" w:rsidR="0020782B" w:rsidRPr="00F30A97" w:rsidRDefault="0020782B" w:rsidP="00CE08CB">
            <w:pPr>
              <w:pStyle w:val="Tabletext"/>
              <w:rPr>
                <w:sz w:val="20"/>
              </w:rPr>
            </w:pPr>
          </w:p>
        </w:tc>
        <w:tc>
          <w:tcPr>
            <w:tcW w:w="3765" w:type="dxa"/>
            <w:shd w:val="clear" w:color="auto" w:fill="auto"/>
          </w:tcPr>
          <w:p w14:paraId="17E7BDD6" w14:textId="05B16222" w:rsidR="0020782B" w:rsidRPr="00F30A97" w:rsidRDefault="0020782B" w:rsidP="00CE08CB">
            <w:pPr>
              <w:pStyle w:val="Tabletext"/>
              <w:rPr>
                <w:sz w:val="20"/>
              </w:rPr>
            </w:pPr>
            <w:r w:rsidRPr="00F30A97">
              <w:rPr>
                <w:sz w:val="20"/>
              </w:rPr>
              <w:t xml:space="preserve">In its resolution 61/110 of 14 December 2006 the United Nations General Assembly agreed to establish the </w:t>
            </w:r>
            <w:r w:rsidR="00644FA2" w:rsidRPr="00F30A97">
              <w:rPr>
                <w:sz w:val="20"/>
              </w:rPr>
              <w:t>"</w:t>
            </w:r>
            <w:r w:rsidRPr="00F30A97">
              <w:rPr>
                <w:sz w:val="20"/>
              </w:rPr>
              <w:t>United Nations Platform for Space-based Information for Disaster Management and Emergency Response - UN-SPIDER</w:t>
            </w:r>
            <w:r w:rsidR="00644FA2" w:rsidRPr="00F30A97">
              <w:rPr>
                <w:sz w:val="20"/>
              </w:rPr>
              <w:t>"</w:t>
            </w:r>
            <w:r w:rsidRPr="00F30A97">
              <w:rPr>
                <w:sz w:val="20"/>
              </w:rPr>
              <w:t xml:space="preserve"> as a new United Nations programme, with the following mission statement: </w:t>
            </w:r>
            <w:r w:rsidR="00644FA2" w:rsidRPr="00F30A97">
              <w:rPr>
                <w:sz w:val="20"/>
              </w:rPr>
              <w:t>"</w:t>
            </w:r>
            <w:r w:rsidRPr="00F30A97">
              <w:rPr>
                <w:sz w:val="20"/>
              </w:rPr>
              <w:t>Ensure that all countries and international and regional organizations have access to and develop the capacity to use all types of space-based information to support the full disaster management cycle</w:t>
            </w:r>
            <w:r w:rsidR="00644FA2" w:rsidRPr="00F30A97">
              <w:rPr>
                <w:sz w:val="20"/>
              </w:rPr>
              <w:t>"</w:t>
            </w:r>
            <w:r w:rsidRPr="00F30A97">
              <w:rPr>
                <w:sz w:val="20"/>
              </w:rPr>
              <w:t xml:space="preserve">. A number of initiatives in recent years have contributed in making space technologies available for humanitarian aid and emergency response. Yet, UN-SPIDER is the first to focus on the need to ensure access to and use of such technologies during all phases of the disaster management cycle, including the risk reduction phase which is crucial for reducing the losses of lives and property. </w:t>
            </w:r>
            <w:r w:rsidRPr="00F30A97">
              <w:rPr>
                <w:sz w:val="20"/>
              </w:rPr>
              <w:lastRenderedPageBreak/>
              <w:t>UN-SPIDER works in delivering resources for Member States to facilitate the acquisition and processing of space remote sensing data.</w:t>
            </w:r>
          </w:p>
        </w:tc>
        <w:tc>
          <w:tcPr>
            <w:tcW w:w="1365" w:type="dxa"/>
            <w:shd w:val="clear" w:color="auto" w:fill="auto"/>
          </w:tcPr>
          <w:p w14:paraId="306A6D05" w14:textId="77777777" w:rsidR="0020782B" w:rsidRPr="00F30A97" w:rsidRDefault="0020782B" w:rsidP="00CE08CB">
            <w:pPr>
              <w:pStyle w:val="Tabletext"/>
              <w:rPr>
                <w:sz w:val="20"/>
              </w:rPr>
            </w:pPr>
            <w:r w:rsidRPr="00F30A97">
              <w:rPr>
                <w:sz w:val="20"/>
              </w:rPr>
              <w:lastRenderedPageBreak/>
              <w:t>Ongoing</w:t>
            </w:r>
          </w:p>
        </w:tc>
      </w:tr>
      <w:tr w:rsidR="0020782B" w:rsidRPr="00F30A97" w14:paraId="1454889A" w14:textId="77777777" w:rsidTr="00A156C3">
        <w:trPr>
          <w:trHeight w:val="290"/>
        </w:trPr>
        <w:tc>
          <w:tcPr>
            <w:tcW w:w="1293" w:type="dxa"/>
            <w:shd w:val="clear" w:color="auto" w:fill="auto"/>
          </w:tcPr>
          <w:p w14:paraId="5C25D097" w14:textId="77777777" w:rsidR="0020782B" w:rsidRPr="00F30A97" w:rsidRDefault="0020782B" w:rsidP="00CE08CB">
            <w:pPr>
              <w:pStyle w:val="Tabletext"/>
              <w:rPr>
                <w:sz w:val="20"/>
              </w:rPr>
            </w:pPr>
            <w:r w:rsidRPr="00F30A97">
              <w:rPr>
                <w:sz w:val="20"/>
              </w:rPr>
              <w:t>UNGP</w:t>
            </w:r>
          </w:p>
        </w:tc>
        <w:tc>
          <w:tcPr>
            <w:tcW w:w="1474" w:type="dxa"/>
            <w:shd w:val="clear" w:color="auto" w:fill="auto"/>
          </w:tcPr>
          <w:p w14:paraId="31C01F87" w14:textId="77777777" w:rsidR="0020782B" w:rsidRPr="00F30A97" w:rsidRDefault="0020782B" w:rsidP="00CE08CB">
            <w:pPr>
              <w:pStyle w:val="Tabletext"/>
              <w:rPr>
                <w:sz w:val="20"/>
              </w:rPr>
            </w:pPr>
            <w:r w:rsidRPr="00F30A97">
              <w:rPr>
                <w:sz w:val="20"/>
              </w:rPr>
              <w:t>United Nations Global Pulse</w:t>
            </w:r>
          </w:p>
        </w:tc>
        <w:tc>
          <w:tcPr>
            <w:tcW w:w="1725" w:type="dxa"/>
            <w:shd w:val="clear" w:color="auto" w:fill="auto"/>
          </w:tcPr>
          <w:p w14:paraId="32863C62" w14:textId="77777777" w:rsidR="0020782B" w:rsidRPr="00F30A97" w:rsidRDefault="0020782B" w:rsidP="00CE08CB">
            <w:pPr>
              <w:pStyle w:val="Tabletext"/>
              <w:rPr>
                <w:sz w:val="20"/>
              </w:rPr>
            </w:pPr>
            <w:r w:rsidRPr="00F30A97">
              <w:rPr>
                <w:sz w:val="20"/>
              </w:rPr>
              <w:t>Executive Office of the Secretary General</w:t>
            </w:r>
          </w:p>
        </w:tc>
        <w:tc>
          <w:tcPr>
            <w:tcW w:w="3765" w:type="dxa"/>
            <w:shd w:val="clear" w:color="auto" w:fill="auto"/>
          </w:tcPr>
          <w:p w14:paraId="62C75A3C" w14:textId="77777777" w:rsidR="0020782B" w:rsidRPr="00F30A97" w:rsidRDefault="0020782B" w:rsidP="00CE08CB">
            <w:pPr>
              <w:pStyle w:val="Tabletext"/>
              <w:rPr>
                <w:sz w:val="20"/>
              </w:rPr>
            </w:pPr>
            <w:r w:rsidRPr="00F30A97">
              <w:rPr>
                <w:sz w:val="20"/>
              </w:rPr>
              <w:t>PulseSatellite - Humanitarian response to natural disasters and conflicts can be assisted by satellite image analysis. In a humanitarian context, very specific satellite image analysis tasks must be done accurately and in a timely manner to provide operational support. PulseSatellite is a collaborative satellite image analysis tool which leverages neural network models that can be retrained on-the-fly and adapted to specific humanitarian contexts and geographies. The tool grew out of a long standing collaboration with UNOSAT which began by building an AI model for counting structures in refugee and IDP settlements. This was then expanded to a web-based toolkit - PulseSatellite - that can be easily adapted to other remote sensing applications and which allows for the incorporation of models created by other users. Currently, we have three models loaded into the system - one that allows users to map structures in refugee settlements, a roof density detection model (e.g. for slum mapping), and a flood mapping application. PulseSatellite is now open for use by other UN agencies.</w:t>
            </w:r>
          </w:p>
        </w:tc>
        <w:tc>
          <w:tcPr>
            <w:tcW w:w="1365" w:type="dxa"/>
            <w:shd w:val="clear" w:color="auto" w:fill="auto"/>
          </w:tcPr>
          <w:p w14:paraId="14DD9973" w14:textId="77777777" w:rsidR="0020782B" w:rsidRPr="00F30A97" w:rsidRDefault="0020782B" w:rsidP="00CE08CB">
            <w:pPr>
              <w:pStyle w:val="Tabletext"/>
              <w:rPr>
                <w:sz w:val="20"/>
              </w:rPr>
            </w:pPr>
            <w:r w:rsidRPr="00F30A97">
              <w:rPr>
                <w:sz w:val="20"/>
              </w:rPr>
              <w:t>Ongoing</w:t>
            </w:r>
          </w:p>
        </w:tc>
      </w:tr>
      <w:tr w:rsidR="0020782B" w:rsidRPr="00F30A97" w14:paraId="38014B8D" w14:textId="77777777" w:rsidTr="00A156C3">
        <w:trPr>
          <w:trHeight w:val="290"/>
        </w:trPr>
        <w:tc>
          <w:tcPr>
            <w:tcW w:w="1293" w:type="dxa"/>
            <w:shd w:val="clear" w:color="auto" w:fill="auto"/>
          </w:tcPr>
          <w:p w14:paraId="0A093BCA" w14:textId="77777777" w:rsidR="0020782B" w:rsidRPr="00F30A97" w:rsidRDefault="0020782B" w:rsidP="00CE08CB">
            <w:pPr>
              <w:pStyle w:val="Tabletext"/>
              <w:rPr>
                <w:sz w:val="20"/>
              </w:rPr>
            </w:pPr>
            <w:r w:rsidRPr="00F30A97">
              <w:rPr>
                <w:sz w:val="20"/>
              </w:rPr>
              <w:t>UNGP</w:t>
            </w:r>
          </w:p>
        </w:tc>
        <w:tc>
          <w:tcPr>
            <w:tcW w:w="1474" w:type="dxa"/>
            <w:shd w:val="clear" w:color="auto" w:fill="auto"/>
          </w:tcPr>
          <w:p w14:paraId="1F475E92" w14:textId="77777777" w:rsidR="0020782B" w:rsidRPr="00F30A97" w:rsidRDefault="0020782B" w:rsidP="00CE08CB">
            <w:pPr>
              <w:pStyle w:val="Tabletext"/>
              <w:rPr>
                <w:sz w:val="20"/>
              </w:rPr>
            </w:pPr>
            <w:r w:rsidRPr="00F30A97">
              <w:rPr>
                <w:sz w:val="20"/>
              </w:rPr>
              <w:t>United Nations Global Pulse</w:t>
            </w:r>
          </w:p>
        </w:tc>
        <w:tc>
          <w:tcPr>
            <w:tcW w:w="1725" w:type="dxa"/>
            <w:shd w:val="clear" w:color="auto" w:fill="auto"/>
          </w:tcPr>
          <w:p w14:paraId="1003C4A2" w14:textId="77777777" w:rsidR="0020782B" w:rsidRPr="00F30A97" w:rsidRDefault="0020782B" w:rsidP="00CE08CB">
            <w:pPr>
              <w:pStyle w:val="Tabletext"/>
              <w:rPr>
                <w:sz w:val="20"/>
              </w:rPr>
            </w:pPr>
            <w:r w:rsidRPr="00F30A97">
              <w:rPr>
                <w:sz w:val="20"/>
              </w:rPr>
              <w:t>Executive Office of the Secretary General</w:t>
            </w:r>
          </w:p>
        </w:tc>
        <w:tc>
          <w:tcPr>
            <w:tcW w:w="3765" w:type="dxa"/>
            <w:shd w:val="clear" w:color="auto" w:fill="auto"/>
          </w:tcPr>
          <w:p w14:paraId="7B9B3A2A" w14:textId="77777777" w:rsidR="0020782B" w:rsidRPr="00F30A97" w:rsidRDefault="0020782B" w:rsidP="00CE08CB">
            <w:pPr>
              <w:pStyle w:val="Tabletext"/>
              <w:rPr>
                <w:sz w:val="20"/>
              </w:rPr>
            </w:pPr>
            <w:r w:rsidRPr="00F30A97">
              <w:rPr>
                <w:sz w:val="20"/>
              </w:rPr>
              <w:t>Over the past year we have continued to catalogue ongoing research and elaborate on lessons learned, pitfalls and ways forward to use AI to effectively and safely tackle current and future public health crises. We have published several papers in journals and conferences on this topic in order to provide a reference point for the wider community.</w:t>
            </w:r>
          </w:p>
        </w:tc>
        <w:tc>
          <w:tcPr>
            <w:tcW w:w="1365" w:type="dxa"/>
            <w:shd w:val="clear" w:color="auto" w:fill="auto"/>
          </w:tcPr>
          <w:p w14:paraId="0D1349C2" w14:textId="77777777" w:rsidR="0020782B" w:rsidRPr="00F30A97" w:rsidRDefault="0020782B" w:rsidP="00CE08CB">
            <w:pPr>
              <w:pStyle w:val="Tabletext"/>
              <w:rPr>
                <w:sz w:val="20"/>
              </w:rPr>
            </w:pPr>
            <w:r w:rsidRPr="00F30A97">
              <w:rPr>
                <w:sz w:val="20"/>
              </w:rPr>
              <w:t>Ongoing</w:t>
            </w:r>
          </w:p>
        </w:tc>
      </w:tr>
      <w:tr w:rsidR="0020782B" w:rsidRPr="00F30A97" w14:paraId="6A439B4F" w14:textId="77777777" w:rsidTr="00A156C3">
        <w:trPr>
          <w:trHeight w:val="290"/>
        </w:trPr>
        <w:tc>
          <w:tcPr>
            <w:tcW w:w="1293" w:type="dxa"/>
            <w:shd w:val="clear" w:color="auto" w:fill="auto"/>
          </w:tcPr>
          <w:p w14:paraId="24BC4348" w14:textId="77777777" w:rsidR="0020782B" w:rsidRPr="00F30A97" w:rsidRDefault="0020782B" w:rsidP="00CE08CB">
            <w:pPr>
              <w:pStyle w:val="Tabletext"/>
              <w:rPr>
                <w:sz w:val="20"/>
              </w:rPr>
            </w:pPr>
            <w:r w:rsidRPr="00F30A97">
              <w:rPr>
                <w:sz w:val="20"/>
              </w:rPr>
              <w:t>UNGP</w:t>
            </w:r>
          </w:p>
        </w:tc>
        <w:tc>
          <w:tcPr>
            <w:tcW w:w="1474" w:type="dxa"/>
            <w:shd w:val="clear" w:color="auto" w:fill="auto"/>
          </w:tcPr>
          <w:p w14:paraId="656DD993" w14:textId="77777777" w:rsidR="0020782B" w:rsidRPr="00F30A97" w:rsidRDefault="0020782B" w:rsidP="00CE08CB">
            <w:pPr>
              <w:pStyle w:val="Tabletext"/>
              <w:rPr>
                <w:sz w:val="20"/>
              </w:rPr>
            </w:pPr>
            <w:r w:rsidRPr="00F30A97">
              <w:rPr>
                <w:sz w:val="20"/>
              </w:rPr>
              <w:t>United Nations Global Pulse</w:t>
            </w:r>
          </w:p>
        </w:tc>
        <w:tc>
          <w:tcPr>
            <w:tcW w:w="1725" w:type="dxa"/>
            <w:shd w:val="clear" w:color="auto" w:fill="auto"/>
          </w:tcPr>
          <w:p w14:paraId="4240D3FD" w14:textId="77777777" w:rsidR="0020782B" w:rsidRPr="00F30A97" w:rsidRDefault="0020782B" w:rsidP="00CE08CB">
            <w:pPr>
              <w:pStyle w:val="Tabletext"/>
              <w:rPr>
                <w:sz w:val="20"/>
              </w:rPr>
            </w:pPr>
            <w:r w:rsidRPr="00F30A97">
              <w:rPr>
                <w:sz w:val="20"/>
              </w:rPr>
              <w:t>Executive Office of the Secretary General</w:t>
            </w:r>
          </w:p>
        </w:tc>
        <w:tc>
          <w:tcPr>
            <w:tcW w:w="3765" w:type="dxa"/>
            <w:shd w:val="clear" w:color="auto" w:fill="auto"/>
          </w:tcPr>
          <w:p w14:paraId="4C1166DA" w14:textId="45426ACC" w:rsidR="0020782B" w:rsidRPr="00F30A97" w:rsidRDefault="0020782B" w:rsidP="00CE08CB">
            <w:pPr>
              <w:pStyle w:val="Tabletext"/>
              <w:rPr>
                <w:sz w:val="20"/>
              </w:rPr>
            </w:pPr>
            <w:r w:rsidRPr="00F30A97">
              <w:rPr>
                <w:sz w:val="20"/>
              </w:rPr>
              <w:t>We seek to understand how COVID-19 spreads in refugee and IPD settlements. We initially focussed our efforts on the Cox</w:t>
            </w:r>
            <w:r w:rsidR="00644FA2" w:rsidRPr="00F30A97">
              <w:rPr>
                <w:sz w:val="20"/>
              </w:rPr>
              <w:t>'</w:t>
            </w:r>
            <w:r w:rsidRPr="00F30A97">
              <w:rPr>
                <w:sz w:val="20"/>
              </w:rPr>
              <w:t xml:space="preserve">s Bazar settlement in Bangladesh, and have since begun </w:t>
            </w:r>
            <w:r w:rsidR="003A4727" w:rsidRPr="00F30A97">
              <w:rPr>
                <w:sz w:val="20"/>
              </w:rPr>
              <w:t>modelling</w:t>
            </w:r>
            <w:r w:rsidRPr="00F30A97">
              <w:rPr>
                <w:sz w:val="20"/>
              </w:rPr>
              <w:t xml:space="preserve"> other settlements around the world. Our model simulates the movements and interactions of each individual in the settlement, incorporating information about family structures and demographic attributes, to understand how COVID-19 might spread under various intervention strategies. With almost 80 million forcibly displaced people in the world, we hope that this work will inspire </w:t>
            </w:r>
            <w:r w:rsidRPr="00F30A97">
              <w:rPr>
                <w:sz w:val="20"/>
              </w:rPr>
              <w:lastRenderedPageBreak/>
              <w:t xml:space="preserve">more </w:t>
            </w:r>
            <w:r w:rsidR="003A4727" w:rsidRPr="00F30A97">
              <w:rPr>
                <w:sz w:val="20"/>
              </w:rPr>
              <w:t>modelling</w:t>
            </w:r>
            <w:r w:rsidRPr="00F30A97">
              <w:rPr>
                <w:sz w:val="20"/>
              </w:rPr>
              <w:t xml:space="preserve"> groups to focus on these vulnerable populations, which have been traditionally under-served by such efforts, to ensure no one is left behind.</w:t>
            </w:r>
          </w:p>
        </w:tc>
        <w:tc>
          <w:tcPr>
            <w:tcW w:w="1365" w:type="dxa"/>
            <w:shd w:val="clear" w:color="auto" w:fill="auto"/>
          </w:tcPr>
          <w:p w14:paraId="52A3A025" w14:textId="77777777" w:rsidR="0020782B" w:rsidRPr="00F30A97" w:rsidRDefault="0020782B" w:rsidP="00CE08CB">
            <w:pPr>
              <w:pStyle w:val="Tabletext"/>
              <w:rPr>
                <w:sz w:val="20"/>
              </w:rPr>
            </w:pPr>
            <w:r w:rsidRPr="00F30A97">
              <w:rPr>
                <w:sz w:val="20"/>
              </w:rPr>
              <w:lastRenderedPageBreak/>
              <w:t>Ongoing</w:t>
            </w:r>
          </w:p>
        </w:tc>
      </w:tr>
      <w:tr w:rsidR="0020782B" w:rsidRPr="00F30A97" w14:paraId="60F239AF" w14:textId="77777777" w:rsidTr="00A156C3">
        <w:trPr>
          <w:trHeight w:val="290"/>
        </w:trPr>
        <w:tc>
          <w:tcPr>
            <w:tcW w:w="1293" w:type="dxa"/>
            <w:shd w:val="clear" w:color="auto" w:fill="auto"/>
          </w:tcPr>
          <w:p w14:paraId="3EAA06CF" w14:textId="77777777" w:rsidR="0020782B" w:rsidRPr="00F30A97" w:rsidRDefault="0020782B" w:rsidP="00CE08CB">
            <w:pPr>
              <w:pStyle w:val="Tabletext"/>
              <w:rPr>
                <w:sz w:val="20"/>
              </w:rPr>
            </w:pPr>
            <w:r w:rsidRPr="00F30A97">
              <w:rPr>
                <w:sz w:val="20"/>
              </w:rPr>
              <w:t>UNGP</w:t>
            </w:r>
          </w:p>
        </w:tc>
        <w:tc>
          <w:tcPr>
            <w:tcW w:w="1474" w:type="dxa"/>
            <w:shd w:val="clear" w:color="auto" w:fill="auto"/>
          </w:tcPr>
          <w:p w14:paraId="1BD3F643" w14:textId="77777777" w:rsidR="0020782B" w:rsidRPr="00F30A97" w:rsidRDefault="0020782B" w:rsidP="00CE08CB">
            <w:pPr>
              <w:pStyle w:val="Tabletext"/>
              <w:rPr>
                <w:sz w:val="20"/>
              </w:rPr>
            </w:pPr>
            <w:r w:rsidRPr="00F30A97">
              <w:rPr>
                <w:sz w:val="20"/>
              </w:rPr>
              <w:t>United Nations Global Pulse</w:t>
            </w:r>
          </w:p>
        </w:tc>
        <w:tc>
          <w:tcPr>
            <w:tcW w:w="1725" w:type="dxa"/>
            <w:shd w:val="clear" w:color="auto" w:fill="auto"/>
          </w:tcPr>
          <w:p w14:paraId="2D9B319F" w14:textId="77777777" w:rsidR="0020782B" w:rsidRPr="00F30A97" w:rsidRDefault="0020782B" w:rsidP="00CE08CB">
            <w:pPr>
              <w:pStyle w:val="Tabletext"/>
              <w:rPr>
                <w:sz w:val="20"/>
              </w:rPr>
            </w:pPr>
            <w:r w:rsidRPr="00F30A97">
              <w:rPr>
                <w:sz w:val="20"/>
              </w:rPr>
              <w:t>Executive Office of the Secretary General</w:t>
            </w:r>
          </w:p>
        </w:tc>
        <w:tc>
          <w:tcPr>
            <w:tcW w:w="3765" w:type="dxa"/>
            <w:shd w:val="clear" w:color="auto" w:fill="auto"/>
          </w:tcPr>
          <w:p w14:paraId="35CB6CF7" w14:textId="2007F332" w:rsidR="0020782B" w:rsidRPr="00F30A97" w:rsidRDefault="0020782B" w:rsidP="00CE08CB">
            <w:pPr>
              <w:pStyle w:val="Tabletext"/>
              <w:rPr>
                <w:sz w:val="20"/>
              </w:rPr>
            </w:pPr>
            <w:r w:rsidRPr="00F30A97">
              <w:rPr>
                <w:sz w:val="20"/>
              </w:rPr>
              <w:t xml:space="preserve">Radio remains the most reliable and affordable medium of accessing and sharing information in most of the developing world. Indeed, studies have shown that radio remains more prevalent as a means of communication in many parts of the world than social media. Since 2019, UN Global Pulse has worked with the WHO to explore the use of data from radio talk shows to signal early warnings of health risks and health-related matters. We have developed a radio monitoring pipeline which can </w:t>
            </w:r>
            <w:r w:rsidR="00644FA2" w:rsidRPr="00F30A97">
              <w:rPr>
                <w:sz w:val="20"/>
              </w:rPr>
              <w:t>'</w:t>
            </w:r>
            <w:r w:rsidRPr="00F30A97">
              <w:rPr>
                <w:sz w:val="20"/>
              </w:rPr>
              <w:t>listen</w:t>
            </w:r>
            <w:r w:rsidR="00644FA2" w:rsidRPr="00F30A97">
              <w:rPr>
                <w:sz w:val="20"/>
              </w:rPr>
              <w:t>'</w:t>
            </w:r>
            <w:r w:rsidRPr="00F30A97">
              <w:rPr>
                <w:sz w:val="20"/>
              </w:rPr>
              <w:t xml:space="preserve"> to radio stations, transcribe the audio using machine learning speech-to-text models, and </w:t>
            </w:r>
            <w:r w:rsidR="007421F6" w:rsidRPr="00F30A97">
              <w:rPr>
                <w:sz w:val="20"/>
              </w:rPr>
              <w:t>analyse</w:t>
            </w:r>
            <w:r w:rsidRPr="00F30A97">
              <w:rPr>
                <w:sz w:val="20"/>
              </w:rPr>
              <w:t xml:space="preserve"> the content using a series of NLP methods for display in a frontend dashboard. The dashboard is designed to be used by infodemic managers and decision makers to inform public health interventions and communication strategies.</w:t>
            </w:r>
          </w:p>
        </w:tc>
        <w:tc>
          <w:tcPr>
            <w:tcW w:w="1365" w:type="dxa"/>
            <w:shd w:val="clear" w:color="auto" w:fill="auto"/>
          </w:tcPr>
          <w:p w14:paraId="58200F27" w14:textId="77777777" w:rsidR="0020782B" w:rsidRPr="00F30A97" w:rsidRDefault="0020782B" w:rsidP="00CE08CB">
            <w:pPr>
              <w:pStyle w:val="Tabletext"/>
              <w:rPr>
                <w:sz w:val="20"/>
              </w:rPr>
            </w:pPr>
            <w:r w:rsidRPr="00F30A97">
              <w:rPr>
                <w:sz w:val="20"/>
              </w:rPr>
              <w:t>Ended 2021</w:t>
            </w:r>
          </w:p>
        </w:tc>
      </w:tr>
      <w:tr w:rsidR="0020782B" w:rsidRPr="00F30A97" w14:paraId="65F37012" w14:textId="77777777" w:rsidTr="00A156C3">
        <w:trPr>
          <w:trHeight w:val="290"/>
        </w:trPr>
        <w:tc>
          <w:tcPr>
            <w:tcW w:w="1293" w:type="dxa"/>
            <w:shd w:val="clear" w:color="auto" w:fill="auto"/>
          </w:tcPr>
          <w:p w14:paraId="479BEBB4" w14:textId="77777777" w:rsidR="0020782B" w:rsidRPr="00F30A97" w:rsidRDefault="0020782B" w:rsidP="00CE08CB">
            <w:pPr>
              <w:pStyle w:val="Tabletext"/>
              <w:rPr>
                <w:sz w:val="20"/>
              </w:rPr>
            </w:pPr>
            <w:r w:rsidRPr="00F30A97">
              <w:rPr>
                <w:sz w:val="20"/>
              </w:rPr>
              <w:t>UNGP</w:t>
            </w:r>
          </w:p>
        </w:tc>
        <w:tc>
          <w:tcPr>
            <w:tcW w:w="1474" w:type="dxa"/>
            <w:shd w:val="clear" w:color="auto" w:fill="auto"/>
          </w:tcPr>
          <w:p w14:paraId="43AE3F44" w14:textId="77777777" w:rsidR="0020782B" w:rsidRPr="00F30A97" w:rsidRDefault="0020782B" w:rsidP="00CE08CB">
            <w:pPr>
              <w:pStyle w:val="Tabletext"/>
              <w:rPr>
                <w:sz w:val="20"/>
              </w:rPr>
            </w:pPr>
            <w:r w:rsidRPr="00F30A97">
              <w:rPr>
                <w:sz w:val="20"/>
              </w:rPr>
              <w:t>United Nations Global Pulse</w:t>
            </w:r>
          </w:p>
        </w:tc>
        <w:tc>
          <w:tcPr>
            <w:tcW w:w="1725" w:type="dxa"/>
            <w:shd w:val="clear" w:color="auto" w:fill="auto"/>
          </w:tcPr>
          <w:p w14:paraId="0EBDFC9B" w14:textId="77777777" w:rsidR="0020782B" w:rsidRPr="00F30A97" w:rsidRDefault="0020782B" w:rsidP="00CE08CB">
            <w:pPr>
              <w:pStyle w:val="Tabletext"/>
              <w:rPr>
                <w:sz w:val="20"/>
              </w:rPr>
            </w:pPr>
            <w:r w:rsidRPr="00F30A97">
              <w:rPr>
                <w:sz w:val="20"/>
              </w:rPr>
              <w:t>Pulse Lab Jakarta</w:t>
            </w:r>
          </w:p>
        </w:tc>
        <w:tc>
          <w:tcPr>
            <w:tcW w:w="3765" w:type="dxa"/>
            <w:shd w:val="clear" w:color="auto" w:fill="auto"/>
          </w:tcPr>
          <w:p w14:paraId="2990852D" w14:textId="77777777" w:rsidR="0020782B" w:rsidRPr="00F30A97" w:rsidRDefault="0020782B" w:rsidP="00CE08CB">
            <w:pPr>
              <w:pStyle w:val="Tabletext"/>
              <w:rPr>
                <w:sz w:val="20"/>
              </w:rPr>
            </w:pPr>
            <w:r w:rsidRPr="00F30A97">
              <w:rPr>
                <w:sz w:val="20"/>
              </w:rPr>
              <w:t>Our Pulse Lab Jakarta and the International Organization for Migration (IOM) undertook research using data from an Indonesian telecom provider to gather insights on internal displacement of people affected by a tsunami and subsequent landslides in the Central Sulawesi province of Indonesia. An interactive visualization was designed to make sense of the results. Among its functions, the dashboard communicates the distribution of subscribers, and highlights the most popular destinations where people traveled to after the disasters.</w:t>
            </w:r>
          </w:p>
        </w:tc>
        <w:tc>
          <w:tcPr>
            <w:tcW w:w="1365" w:type="dxa"/>
            <w:shd w:val="clear" w:color="auto" w:fill="auto"/>
          </w:tcPr>
          <w:p w14:paraId="2851D209" w14:textId="77777777" w:rsidR="0020782B" w:rsidRPr="00F30A97" w:rsidRDefault="0020782B" w:rsidP="00CE08CB">
            <w:pPr>
              <w:pStyle w:val="Tabletext"/>
              <w:rPr>
                <w:sz w:val="20"/>
              </w:rPr>
            </w:pPr>
            <w:r w:rsidRPr="00F30A97">
              <w:rPr>
                <w:sz w:val="20"/>
              </w:rPr>
              <w:t>Ended 2018</w:t>
            </w:r>
          </w:p>
        </w:tc>
      </w:tr>
      <w:tr w:rsidR="0020782B" w:rsidRPr="00F30A97" w14:paraId="1DB2651B" w14:textId="77777777" w:rsidTr="00A156C3">
        <w:trPr>
          <w:trHeight w:val="290"/>
        </w:trPr>
        <w:tc>
          <w:tcPr>
            <w:tcW w:w="1293" w:type="dxa"/>
            <w:shd w:val="clear" w:color="auto" w:fill="auto"/>
          </w:tcPr>
          <w:p w14:paraId="471F4359" w14:textId="77777777" w:rsidR="0020782B" w:rsidRPr="00F30A97" w:rsidRDefault="0020782B" w:rsidP="00CE08CB">
            <w:pPr>
              <w:pStyle w:val="Tabletext"/>
              <w:rPr>
                <w:sz w:val="20"/>
              </w:rPr>
            </w:pPr>
            <w:r w:rsidRPr="00F30A97">
              <w:rPr>
                <w:sz w:val="20"/>
              </w:rPr>
              <w:t>UNGP</w:t>
            </w:r>
          </w:p>
        </w:tc>
        <w:tc>
          <w:tcPr>
            <w:tcW w:w="1474" w:type="dxa"/>
            <w:shd w:val="clear" w:color="auto" w:fill="auto"/>
          </w:tcPr>
          <w:p w14:paraId="15677AE3" w14:textId="77777777" w:rsidR="0020782B" w:rsidRPr="00F30A97" w:rsidRDefault="0020782B" w:rsidP="00CE08CB">
            <w:pPr>
              <w:pStyle w:val="Tabletext"/>
              <w:rPr>
                <w:sz w:val="20"/>
              </w:rPr>
            </w:pPr>
            <w:r w:rsidRPr="00F30A97">
              <w:rPr>
                <w:sz w:val="20"/>
              </w:rPr>
              <w:t>United Nations Global Pulse</w:t>
            </w:r>
          </w:p>
        </w:tc>
        <w:tc>
          <w:tcPr>
            <w:tcW w:w="1725" w:type="dxa"/>
            <w:shd w:val="clear" w:color="auto" w:fill="auto"/>
          </w:tcPr>
          <w:p w14:paraId="3DE209DE" w14:textId="77777777" w:rsidR="0020782B" w:rsidRPr="00F30A97" w:rsidRDefault="0020782B" w:rsidP="00CE08CB">
            <w:pPr>
              <w:pStyle w:val="Tabletext"/>
              <w:rPr>
                <w:sz w:val="20"/>
              </w:rPr>
            </w:pPr>
          </w:p>
        </w:tc>
        <w:tc>
          <w:tcPr>
            <w:tcW w:w="3765" w:type="dxa"/>
            <w:shd w:val="clear" w:color="auto" w:fill="auto"/>
          </w:tcPr>
          <w:p w14:paraId="23A1545B" w14:textId="6C098BE5" w:rsidR="0020782B" w:rsidRPr="00F30A97" w:rsidRDefault="0020782B" w:rsidP="00CE08CB">
            <w:pPr>
              <w:pStyle w:val="Tabletext"/>
              <w:rPr>
                <w:sz w:val="20"/>
              </w:rPr>
            </w:pPr>
            <w:r w:rsidRPr="00F30A97">
              <w:rPr>
                <w:sz w:val="20"/>
              </w:rPr>
              <w:t xml:space="preserve">Predicting forced displacement is an important undertaking of many humanitarian aid agencies, which must anticipate flows in advance in order to provide vulnerable refugees and Internally Displaced Persons (IDPs) with shelter, food, and medical care. While there is a growing interest in using machine learning to better anticipate future arrivals, there is little standardized knowledge on how to predict refugee and IDP flows in practice. Researchers and humanitarian officers are confronted with the need to make decisions about how to structure their datasets and how to fit their problem to predictive analytics approaches, and they must choose </w:t>
            </w:r>
            <w:r w:rsidRPr="00F30A97">
              <w:rPr>
                <w:sz w:val="20"/>
              </w:rPr>
              <w:lastRenderedPageBreak/>
              <w:t xml:space="preserve">from a variety of </w:t>
            </w:r>
            <w:r w:rsidR="003A4727" w:rsidRPr="00F30A97">
              <w:rPr>
                <w:sz w:val="20"/>
              </w:rPr>
              <w:t>modelling</w:t>
            </w:r>
            <w:r w:rsidRPr="00F30A97">
              <w:rPr>
                <w:sz w:val="20"/>
              </w:rPr>
              <w:t xml:space="preserve"> options. In an academic paper and an accompanying set of practitioner focused </w:t>
            </w:r>
            <w:r w:rsidR="00644FA2" w:rsidRPr="00F30A97">
              <w:rPr>
                <w:sz w:val="20"/>
              </w:rPr>
              <w:t>"</w:t>
            </w:r>
            <w:r w:rsidRPr="00F30A97">
              <w:rPr>
                <w:sz w:val="20"/>
              </w:rPr>
              <w:t>modeling cards,</w:t>
            </w:r>
            <w:r w:rsidR="00644FA2" w:rsidRPr="00F30A97">
              <w:rPr>
                <w:sz w:val="20"/>
              </w:rPr>
              <w:t>"</w:t>
            </w:r>
            <w:r w:rsidRPr="00F30A97">
              <w:rPr>
                <w:sz w:val="20"/>
              </w:rPr>
              <w:t xml:space="preserve"> we attempt to facilitate a more comprehensive understanding of this emerging field of research by providing a systematic model-agnostic framework, adapted to the use of big data sources, for structuring the prediction problem.</w:t>
            </w:r>
          </w:p>
        </w:tc>
        <w:tc>
          <w:tcPr>
            <w:tcW w:w="1365" w:type="dxa"/>
            <w:shd w:val="clear" w:color="auto" w:fill="auto"/>
          </w:tcPr>
          <w:p w14:paraId="7F2DDE34" w14:textId="77777777" w:rsidR="0020782B" w:rsidRPr="00F30A97" w:rsidRDefault="0020782B" w:rsidP="00CE08CB">
            <w:pPr>
              <w:pStyle w:val="Tabletext"/>
              <w:rPr>
                <w:sz w:val="20"/>
              </w:rPr>
            </w:pPr>
            <w:r w:rsidRPr="00F30A97">
              <w:rPr>
                <w:sz w:val="20"/>
              </w:rPr>
              <w:lastRenderedPageBreak/>
              <w:t>Ongoing</w:t>
            </w:r>
          </w:p>
        </w:tc>
      </w:tr>
      <w:tr w:rsidR="0020782B" w:rsidRPr="00F30A97" w14:paraId="4B09BDDB" w14:textId="77777777" w:rsidTr="00A156C3">
        <w:trPr>
          <w:trHeight w:val="290"/>
        </w:trPr>
        <w:tc>
          <w:tcPr>
            <w:tcW w:w="1293" w:type="dxa"/>
            <w:shd w:val="clear" w:color="auto" w:fill="auto"/>
          </w:tcPr>
          <w:p w14:paraId="5FDD8C28" w14:textId="77777777" w:rsidR="0020782B" w:rsidRPr="00F30A97" w:rsidRDefault="0020782B" w:rsidP="00CE08CB">
            <w:pPr>
              <w:pStyle w:val="Tabletext"/>
              <w:rPr>
                <w:sz w:val="20"/>
              </w:rPr>
            </w:pPr>
            <w:r w:rsidRPr="00F30A97">
              <w:rPr>
                <w:sz w:val="20"/>
              </w:rPr>
              <w:t>UNGP</w:t>
            </w:r>
          </w:p>
        </w:tc>
        <w:tc>
          <w:tcPr>
            <w:tcW w:w="1474" w:type="dxa"/>
            <w:shd w:val="clear" w:color="auto" w:fill="auto"/>
          </w:tcPr>
          <w:p w14:paraId="5156C215" w14:textId="77777777" w:rsidR="0020782B" w:rsidRPr="00F30A97" w:rsidRDefault="0020782B" w:rsidP="00CE08CB">
            <w:pPr>
              <w:pStyle w:val="Tabletext"/>
              <w:rPr>
                <w:sz w:val="20"/>
              </w:rPr>
            </w:pPr>
            <w:r w:rsidRPr="00F30A97">
              <w:rPr>
                <w:sz w:val="20"/>
              </w:rPr>
              <w:t>United Nations Global Pulse</w:t>
            </w:r>
          </w:p>
        </w:tc>
        <w:tc>
          <w:tcPr>
            <w:tcW w:w="1725" w:type="dxa"/>
            <w:shd w:val="clear" w:color="auto" w:fill="auto"/>
          </w:tcPr>
          <w:p w14:paraId="08607A85" w14:textId="77777777" w:rsidR="0020782B" w:rsidRPr="00F30A97" w:rsidRDefault="0020782B" w:rsidP="00CE08CB">
            <w:pPr>
              <w:pStyle w:val="Tabletext"/>
              <w:rPr>
                <w:sz w:val="20"/>
              </w:rPr>
            </w:pPr>
          </w:p>
        </w:tc>
        <w:tc>
          <w:tcPr>
            <w:tcW w:w="3765" w:type="dxa"/>
            <w:shd w:val="clear" w:color="auto" w:fill="auto"/>
          </w:tcPr>
          <w:p w14:paraId="78490074" w14:textId="4548BC03" w:rsidR="0020782B" w:rsidRPr="00F30A97" w:rsidRDefault="0020782B" w:rsidP="00CE08CB">
            <w:pPr>
              <w:pStyle w:val="Tabletext"/>
              <w:rPr>
                <w:sz w:val="20"/>
              </w:rPr>
            </w:pPr>
            <w:r w:rsidRPr="00F30A97">
              <w:rPr>
                <w:sz w:val="20"/>
              </w:rPr>
              <w:t xml:space="preserve">UN Global Pulse and UNHCR are working to calculate and anticipate the number of displaced persons a) that have already crossed the Brazil-Venezuela border and b) that can potentially cross in order to understand their need for humanitarian support and overall strengthen protection efforts, particularly once COVID-19-related border restrictions are lifted. This project consists of: (i) a queue </w:t>
            </w:r>
            <w:r w:rsidR="003A4727" w:rsidRPr="00F30A97">
              <w:rPr>
                <w:sz w:val="20"/>
              </w:rPr>
              <w:t>modelling</w:t>
            </w:r>
            <w:r w:rsidRPr="00F30A97">
              <w:rPr>
                <w:sz w:val="20"/>
              </w:rPr>
              <w:t xml:space="preserve"> tool for simulating border crossings under different conditions, (ii) a nowcasting effort to calculate the amount of urban population and potentially identify interest in population movements to Brazil using big data sources, and (iii) predictive models for forecasting future arrivals/ population movements.</w:t>
            </w:r>
          </w:p>
        </w:tc>
        <w:tc>
          <w:tcPr>
            <w:tcW w:w="1365" w:type="dxa"/>
            <w:shd w:val="clear" w:color="auto" w:fill="auto"/>
          </w:tcPr>
          <w:p w14:paraId="23A34E90" w14:textId="77777777" w:rsidR="0020782B" w:rsidRPr="00F30A97" w:rsidRDefault="0020782B" w:rsidP="00CE08CB">
            <w:pPr>
              <w:pStyle w:val="Tabletext"/>
              <w:rPr>
                <w:sz w:val="20"/>
              </w:rPr>
            </w:pPr>
            <w:r w:rsidRPr="00F30A97">
              <w:rPr>
                <w:sz w:val="20"/>
              </w:rPr>
              <w:t>Ending 2022</w:t>
            </w:r>
          </w:p>
        </w:tc>
      </w:tr>
      <w:tr w:rsidR="0020782B" w:rsidRPr="00F30A97" w14:paraId="089AD315" w14:textId="77777777" w:rsidTr="00A156C3">
        <w:trPr>
          <w:trHeight w:val="290"/>
        </w:trPr>
        <w:tc>
          <w:tcPr>
            <w:tcW w:w="1293" w:type="dxa"/>
            <w:shd w:val="clear" w:color="auto" w:fill="auto"/>
          </w:tcPr>
          <w:p w14:paraId="4FC568B4" w14:textId="77777777" w:rsidR="0020782B" w:rsidRPr="00F30A97" w:rsidRDefault="0020782B" w:rsidP="00CE08CB">
            <w:pPr>
              <w:pStyle w:val="Tabletext"/>
              <w:rPr>
                <w:sz w:val="20"/>
              </w:rPr>
            </w:pPr>
            <w:r w:rsidRPr="00F30A97">
              <w:rPr>
                <w:sz w:val="20"/>
              </w:rPr>
              <w:t>UNHCR</w:t>
            </w:r>
          </w:p>
        </w:tc>
        <w:tc>
          <w:tcPr>
            <w:tcW w:w="1474" w:type="dxa"/>
            <w:shd w:val="clear" w:color="auto" w:fill="auto"/>
          </w:tcPr>
          <w:p w14:paraId="634E9BAD" w14:textId="77777777" w:rsidR="0020782B" w:rsidRPr="00F30A97" w:rsidRDefault="0020782B" w:rsidP="00CE08CB">
            <w:pPr>
              <w:pStyle w:val="Tabletext"/>
              <w:rPr>
                <w:sz w:val="20"/>
              </w:rPr>
            </w:pPr>
            <w:r w:rsidRPr="00F30A97">
              <w:rPr>
                <w:sz w:val="20"/>
              </w:rPr>
              <w:t>United Nations High Commissioner for Refugees</w:t>
            </w:r>
          </w:p>
        </w:tc>
        <w:tc>
          <w:tcPr>
            <w:tcW w:w="1725" w:type="dxa"/>
            <w:shd w:val="clear" w:color="auto" w:fill="auto"/>
          </w:tcPr>
          <w:p w14:paraId="59B73754" w14:textId="77777777" w:rsidR="0020782B" w:rsidRPr="00F30A97" w:rsidRDefault="0020782B" w:rsidP="00CE08CB">
            <w:pPr>
              <w:pStyle w:val="Tabletext"/>
              <w:rPr>
                <w:sz w:val="20"/>
              </w:rPr>
            </w:pPr>
            <w:r w:rsidRPr="00F30A97">
              <w:rPr>
                <w:sz w:val="20"/>
              </w:rPr>
              <w:t>Innovation Service</w:t>
            </w:r>
          </w:p>
        </w:tc>
        <w:tc>
          <w:tcPr>
            <w:tcW w:w="3765" w:type="dxa"/>
            <w:shd w:val="clear" w:color="auto" w:fill="auto"/>
          </w:tcPr>
          <w:p w14:paraId="64D2788A" w14:textId="39E4602A" w:rsidR="0020782B" w:rsidRPr="00F30A97" w:rsidRDefault="0020782B" w:rsidP="00CE08CB">
            <w:pPr>
              <w:pStyle w:val="Tabletext"/>
              <w:rPr>
                <w:sz w:val="20"/>
              </w:rPr>
            </w:pPr>
            <w:r w:rsidRPr="00F30A97">
              <w:rPr>
                <w:sz w:val="20"/>
              </w:rPr>
              <w:t>Project Jetson is UNHCR</w:t>
            </w:r>
            <w:r w:rsidR="00644FA2" w:rsidRPr="00F30A97">
              <w:rPr>
                <w:sz w:val="20"/>
              </w:rPr>
              <w:t>'</w:t>
            </w:r>
            <w:r w:rsidRPr="00F30A97">
              <w:rPr>
                <w:sz w:val="20"/>
              </w:rPr>
              <w:t xml:space="preserve">s first AI-based predictive analytics experiment to predict the movement of internally displaced persons within Somalia, as well as to discover and understand the factors that cause or exacerbated that forced displacement. This project focused on the development of predictive models for forecasting future arrivals and population movements in each region. This is done using a variety of datasets (e.g., conflict, weather/climate anomalies, market commodity prices, and historical population movement) and utilizes different computer science and data science techniques (e.g., artificial intelligence, specifically supervised machine learning for time series analysis). The project follows UNHCR guidance for data responsibility, data protection, ethics and human rights due diligence, as well as OCHA peer-review framework for predictive analytics projects. The Innovation Service intends for Project Jetson to lead to evidence-informed decision-making in contingency planning, improved humanitarian action through preparedness and risk reduction, and </w:t>
            </w:r>
            <w:r w:rsidRPr="00F30A97">
              <w:rPr>
                <w:sz w:val="20"/>
              </w:rPr>
              <w:lastRenderedPageBreak/>
              <w:t>strengthened protection for those who are forcibly displaced. </w:t>
            </w:r>
          </w:p>
        </w:tc>
        <w:tc>
          <w:tcPr>
            <w:tcW w:w="1365" w:type="dxa"/>
            <w:shd w:val="clear" w:color="auto" w:fill="auto"/>
          </w:tcPr>
          <w:p w14:paraId="79673CF7" w14:textId="77777777" w:rsidR="0020782B" w:rsidRPr="00F30A97" w:rsidRDefault="0020782B" w:rsidP="00CE08CB">
            <w:pPr>
              <w:pStyle w:val="Tabletext"/>
              <w:rPr>
                <w:sz w:val="20"/>
              </w:rPr>
            </w:pPr>
            <w:r w:rsidRPr="00F30A97">
              <w:rPr>
                <w:sz w:val="20"/>
              </w:rPr>
              <w:lastRenderedPageBreak/>
              <w:t>Ended 2019</w:t>
            </w:r>
          </w:p>
        </w:tc>
      </w:tr>
      <w:tr w:rsidR="0020782B" w:rsidRPr="00F30A97" w14:paraId="40DC66FB" w14:textId="77777777" w:rsidTr="00A156C3">
        <w:trPr>
          <w:trHeight w:val="290"/>
        </w:trPr>
        <w:tc>
          <w:tcPr>
            <w:tcW w:w="1293" w:type="dxa"/>
            <w:shd w:val="clear" w:color="auto" w:fill="auto"/>
          </w:tcPr>
          <w:p w14:paraId="36A09024" w14:textId="77777777" w:rsidR="0020782B" w:rsidRPr="00F30A97" w:rsidRDefault="0020782B" w:rsidP="00CE08CB">
            <w:pPr>
              <w:pStyle w:val="Tabletext"/>
              <w:rPr>
                <w:sz w:val="20"/>
              </w:rPr>
            </w:pPr>
            <w:r w:rsidRPr="00F30A97">
              <w:rPr>
                <w:sz w:val="20"/>
              </w:rPr>
              <w:t>UNHCR</w:t>
            </w:r>
          </w:p>
        </w:tc>
        <w:tc>
          <w:tcPr>
            <w:tcW w:w="1474" w:type="dxa"/>
            <w:shd w:val="clear" w:color="auto" w:fill="auto"/>
          </w:tcPr>
          <w:p w14:paraId="48C681CE" w14:textId="77777777" w:rsidR="0020782B" w:rsidRPr="00F30A97" w:rsidRDefault="0020782B" w:rsidP="00CE08CB">
            <w:pPr>
              <w:pStyle w:val="Tabletext"/>
              <w:rPr>
                <w:sz w:val="20"/>
              </w:rPr>
            </w:pPr>
            <w:r w:rsidRPr="00F30A97">
              <w:rPr>
                <w:sz w:val="20"/>
              </w:rPr>
              <w:t>United Nations High Commissioner for Refugees</w:t>
            </w:r>
          </w:p>
        </w:tc>
        <w:tc>
          <w:tcPr>
            <w:tcW w:w="1725" w:type="dxa"/>
            <w:shd w:val="clear" w:color="auto" w:fill="auto"/>
          </w:tcPr>
          <w:p w14:paraId="026E95AE" w14:textId="77777777" w:rsidR="0020782B" w:rsidRPr="00F30A97" w:rsidRDefault="0020782B" w:rsidP="00CE08CB">
            <w:pPr>
              <w:pStyle w:val="Tabletext"/>
              <w:rPr>
                <w:sz w:val="20"/>
              </w:rPr>
            </w:pPr>
            <w:r w:rsidRPr="00F30A97">
              <w:rPr>
                <w:sz w:val="20"/>
              </w:rPr>
              <w:t>Innovation Service</w:t>
            </w:r>
          </w:p>
        </w:tc>
        <w:tc>
          <w:tcPr>
            <w:tcW w:w="3765" w:type="dxa"/>
            <w:shd w:val="clear" w:color="auto" w:fill="auto"/>
          </w:tcPr>
          <w:p w14:paraId="6770DF84" w14:textId="47681AC9" w:rsidR="0020782B" w:rsidRPr="00F30A97" w:rsidRDefault="0020782B" w:rsidP="00CE08CB">
            <w:pPr>
              <w:pStyle w:val="Tabletext"/>
              <w:rPr>
                <w:sz w:val="20"/>
              </w:rPr>
            </w:pPr>
            <w:r w:rsidRPr="00F30A97">
              <w:rPr>
                <w:sz w:val="20"/>
              </w:rPr>
              <w:t>The Innovation Service explored with several teams different open-source and commercial tools and computer science techniques (e.g.</w:t>
            </w:r>
            <w:r w:rsidR="005B214E" w:rsidRPr="00F30A97">
              <w:rPr>
                <w:sz w:val="20"/>
              </w:rPr>
              <w:t>,</w:t>
            </w:r>
            <w:r w:rsidRPr="00F30A97">
              <w:rPr>
                <w:sz w:val="20"/>
              </w:rPr>
              <w:t xml:space="preserve"> topics </w:t>
            </w:r>
            <w:r w:rsidR="003A4727" w:rsidRPr="00F30A97">
              <w:rPr>
                <w:sz w:val="20"/>
              </w:rPr>
              <w:t>modelling</w:t>
            </w:r>
            <w:r w:rsidRPr="00F30A97">
              <w:rPr>
                <w:sz w:val="20"/>
              </w:rPr>
              <w:t xml:space="preserve">, natural language processing) to quantify, </w:t>
            </w:r>
            <w:r w:rsidR="007421F6" w:rsidRPr="00F30A97">
              <w:rPr>
                <w:sz w:val="20"/>
              </w:rPr>
              <w:t>analyse</w:t>
            </w:r>
            <w:r w:rsidRPr="00F30A97">
              <w:rPr>
                <w:sz w:val="20"/>
              </w:rPr>
              <w:t xml:space="preserve"> and help the organization understand issues related to UNHCR</w:t>
            </w:r>
            <w:r w:rsidR="00644FA2" w:rsidRPr="00F30A97">
              <w:rPr>
                <w:sz w:val="20"/>
              </w:rPr>
              <w:t>'</w:t>
            </w:r>
            <w:r w:rsidRPr="00F30A97">
              <w:rPr>
                <w:sz w:val="20"/>
              </w:rPr>
              <w:t>s protection mandate. For example, protection-related incidents such as hate speech, discrimination, xenophobia against refugees and asylum seekers, as well as other persons of concern to UNHCR are commonly expressed online. The ability to quickly identify issues arising from text-based data (e.g.</w:t>
            </w:r>
            <w:r w:rsidR="005B214E" w:rsidRPr="00F30A97">
              <w:rPr>
                <w:sz w:val="20"/>
              </w:rPr>
              <w:t>,</w:t>
            </w:r>
            <w:r w:rsidRPr="00F30A97">
              <w:rPr>
                <w:sz w:val="20"/>
              </w:rPr>
              <w:t xml:space="preserve"> search engines, documents and reports, social media, and other text-based information), helps UNHCR colleagues to become more agile in advocacy and response. The aim of this initiative is to leverage information technologies to increase capacity for text analysis and provide actionable insights and evidence-informed decision-making for UNHCR and its partners, particularly in preparedness and response. The Innovation Service seeks to use new computer science techniques (natural language processing, supervised learning) to create an efficient process that will save time by avoiding the manual analysis and classification of data, and contribute to the UNHCR Action Plan against hate speech and xenophobia, as well as with the UN Secretary General Action plan on the use of new technologies to counter hate speech, discrimination and xenophobia online.</w:t>
            </w:r>
          </w:p>
        </w:tc>
        <w:tc>
          <w:tcPr>
            <w:tcW w:w="1365" w:type="dxa"/>
            <w:shd w:val="clear" w:color="auto" w:fill="auto"/>
          </w:tcPr>
          <w:p w14:paraId="703BCAB5" w14:textId="77777777" w:rsidR="0020782B" w:rsidRPr="00F30A97" w:rsidRDefault="0020782B" w:rsidP="00CE08CB">
            <w:pPr>
              <w:pStyle w:val="Tabletext"/>
              <w:rPr>
                <w:sz w:val="20"/>
              </w:rPr>
            </w:pPr>
            <w:r w:rsidRPr="00F30A97">
              <w:rPr>
                <w:sz w:val="20"/>
              </w:rPr>
              <w:t>Ongoing</w:t>
            </w:r>
          </w:p>
        </w:tc>
      </w:tr>
      <w:tr w:rsidR="0020782B" w:rsidRPr="00F30A97" w14:paraId="1E73D47A" w14:textId="77777777" w:rsidTr="00A156C3">
        <w:trPr>
          <w:trHeight w:val="290"/>
        </w:trPr>
        <w:tc>
          <w:tcPr>
            <w:tcW w:w="1293" w:type="dxa"/>
            <w:shd w:val="clear" w:color="auto" w:fill="auto"/>
          </w:tcPr>
          <w:p w14:paraId="6267944E" w14:textId="77777777" w:rsidR="0020782B" w:rsidRPr="00F30A97" w:rsidRDefault="0020782B" w:rsidP="00CE08CB">
            <w:pPr>
              <w:pStyle w:val="Tabletext"/>
              <w:rPr>
                <w:sz w:val="20"/>
              </w:rPr>
            </w:pPr>
            <w:r w:rsidRPr="00F30A97">
              <w:rPr>
                <w:sz w:val="20"/>
              </w:rPr>
              <w:t>UNICEF</w:t>
            </w:r>
          </w:p>
        </w:tc>
        <w:tc>
          <w:tcPr>
            <w:tcW w:w="1474" w:type="dxa"/>
            <w:shd w:val="clear" w:color="auto" w:fill="auto"/>
          </w:tcPr>
          <w:p w14:paraId="3AB16E78" w14:textId="2356C4CC" w:rsidR="0020782B" w:rsidRPr="00F30A97" w:rsidRDefault="0020782B" w:rsidP="00CE08CB">
            <w:pPr>
              <w:pStyle w:val="Tabletext"/>
              <w:rPr>
                <w:sz w:val="20"/>
              </w:rPr>
            </w:pPr>
            <w:r w:rsidRPr="00F30A97">
              <w:rPr>
                <w:sz w:val="20"/>
              </w:rPr>
              <w:t>United Nations Children</w:t>
            </w:r>
            <w:r w:rsidR="00644FA2" w:rsidRPr="00F30A97">
              <w:rPr>
                <w:sz w:val="20"/>
              </w:rPr>
              <w:t>'</w:t>
            </w:r>
            <w:r w:rsidRPr="00F30A97">
              <w:rPr>
                <w:sz w:val="20"/>
              </w:rPr>
              <w:t>s Fund</w:t>
            </w:r>
          </w:p>
        </w:tc>
        <w:tc>
          <w:tcPr>
            <w:tcW w:w="1725" w:type="dxa"/>
            <w:shd w:val="clear" w:color="auto" w:fill="auto"/>
          </w:tcPr>
          <w:p w14:paraId="43E7CE48" w14:textId="77777777" w:rsidR="0020782B" w:rsidRPr="00F30A97" w:rsidRDefault="0020782B" w:rsidP="00CE08CB">
            <w:pPr>
              <w:pStyle w:val="Tabletext"/>
              <w:rPr>
                <w:sz w:val="20"/>
              </w:rPr>
            </w:pPr>
            <w:r w:rsidRPr="00F30A97">
              <w:rPr>
                <w:sz w:val="20"/>
              </w:rPr>
              <w:t>Humanitarian</w:t>
            </w:r>
          </w:p>
        </w:tc>
        <w:tc>
          <w:tcPr>
            <w:tcW w:w="3765" w:type="dxa"/>
            <w:shd w:val="clear" w:color="auto" w:fill="auto"/>
          </w:tcPr>
          <w:p w14:paraId="2EE16E15" w14:textId="71D8CB0C" w:rsidR="0020782B" w:rsidRPr="00F30A97" w:rsidRDefault="0020782B" w:rsidP="00CE08CB">
            <w:pPr>
              <w:pStyle w:val="Tabletext"/>
              <w:rPr>
                <w:sz w:val="20"/>
              </w:rPr>
            </w:pPr>
            <w:r w:rsidRPr="00F30A97">
              <w:rPr>
                <w:sz w:val="20"/>
              </w:rPr>
              <w:t>UNICEF is increasingly use geospatial-mapping techniques to predict the flow patterns of floods and the new trajectories of storm zones to help Governments make data backed decisions to re-locate vulnerable populations to higher ground, re-locate schools, health facilities and key infrastructure in the pathways of repeated storms to help keep them out of harm</w:t>
            </w:r>
            <w:r w:rsidR="00644FA2" w:rsidRPr="00F30A97">
              <w:rPr>
                <w:sz w:val="20"/>
              </w:rPr>
              <w:t>'</w:t>
            </w:r>
            <w:r w:rsidRPr="00F30A97">
              <w:rPr>
                <w:sz w:val="20"/>
              </w:rPr>
              <w:t xml:space="preserve">s way and operational for the communities. </w:t>
            </w:r>
          </w:p>
        </w:tc>
        <w:tc>
          <w:tcPr>
            <w:tcW w:w="1365" w:type="dxa"/>
            <w:shd w:val="clear" w:color="auto" w:fill="auto"/>
          </w:tcPr>
          <w:p w14:paraId="1948F1E0" w14:textId="77777777" w:rsidR="0020782B" w:rsidRPr="00F30A97" w:rsidRDefault="0020782B" w:rsidP="00CE08CB">
            <w:pPr>
              <w:pStyle w:val="Tabletext"/>
              <w:rPr>
                <w:sz w:val="20"/>
              </w:rPr>
            </w:pPr>
            <w:r w:rsidRPr="00F30A97">
              <w:rPr>
                <w:sz w:val="20"/>
              </w:rPr>
              <w:t>Ongoing?</w:t>
            </w:r>
          </w:p>
        </w:tc>
      </w:tr>
      <w:tr w:rsidR="0020782B" w:rsidRPr="00F30A97" w14:paraId="31574E99" w14:textId="77777777" w:rsidTr="00A156C3">
        <w:trPr>
          <w:trHeight w:val="290"/>
        </w:trPr>
        <w:tc>
          <w:tcPr>
            <w:tcW w:w="1293" w:type="dxa"/>
            <w:shd w:val="clear" w:color="auto" w:fill="auto"/>
          </w:tcPr>
          <w:p w14:paraId="5CAB0557" w14:textId="77777777" w:rsidR="0020782B" w:rsidRPr="00F30A97" w:rsidRDefault="0020782B" w:rsidP="00CE08CB">
            <w:pPr>
              <w:pStyle w:val="Tabletext"/>
              <w:rPr>
                <w:sz w:val="20"/>
              </w:rPr>
            </w:pPr>
            <w:r w:rsidRPr="00F30A97">
              <w:rPr>
                <w:sz w:val="20"/>
              </w:rPr>
              <w:t>UNITAR</w:t>
            </w:r>
          </w:p>
        </w:tc>
        <w:tc>
          <w:tcPr>
            <w:tcW w:w="1474" w:type="dxa"/>
            <w:shd w:val="clear" w:color="auto" w:fill="auto"/>
          </w:tcPr>
          <w:p w14:paraId="27F8BD37" w14:textId="77777777" w:rsidR="0020782B" w:rsidRPr="00F30A97" w:rsidRDefault="0020782B" w:rsidP="00CE08CB">
            <w:pPr>
              <w:pStyle w:val="Tabletext"/>
              <w:rPr>
                <w:sz w:val="20"/>
              </w:rPr>
            </w:pPr>
            <w:r w:rsidRPr="00F30A97">
              <w:rPr>
                <w:sz w:val="20"/>
              </w:rPr>
              <w:t>United Nations Institute for Training and Research</w:t>
            </w:r>
          </w:p>
        </w:tc>
        <w:tc>
          <w:tcPr>
            <w:tcW w:w="1725" w:type="dxa"/>
            <w:shd w:val="clear" w:color="auto" w:fill="auto"/>
          </w:tcPr>
          <w:p w14:paraId="0C7F9BF5" w14:textId="77777777" w:rsidR="0020782B" w:rsidRPr="00F30A97" w:rsidRDefault="0020782B" w:rsidP="00CE08CB">
            <w:pPr>
              <w:pStyle w:val="Tabletext"/>
              <w:rPr>
                <w:sz w:val="20"/>
              </w:rPr>
            </w:pPr>
            <w:r w:rsidRPr="00F30A97">
              <w:rPr>
                <w:sz w:val="20"/>
              </w:rPr>
              <w:t>United Nations Satellite Centre (UNOSAT)</w:t>
            </w:r>
          </w:p>
        </w:tc>
        <w:tc>
          <w:tcPr>
            <w:tcW w:w="3765" w:type="dxa"/>
            <w:shd w:val="clear" w:color="auto" w:fill="auto"/>
          </w:tcPr>
          <w:p w14:paraId="168EC998" w14:textId="374D5983" w:rsidR="0020782B" w:rsidRPr="00F30A97" w:rsidRDefault="00644FA2" w:rsidP="00CE08CB">
            <w:pPr>
              <w:pStyle w:val="Tabletext"/>
              <w:rPr>
                <w:sz w:val="20"/>
              </w:rPr>
            </w:pPr>
            <w:r w:rsidRPr="00F30A97">
              <w:rPr>
                <w:sz w:val="20"/>
              </w:rPr>
              <w:t>"</w:t>
            </w:r>
            <w:r w:rsidR="0020782B" w:rsidRPr="00F30A97">
              <w:rPr>
                <w:sz w:val="20"/>
              </w:rPr>
              <w:t xml:space="preserve">The United Nations Satellite Centre (UNOSAT) has recently launched UNOSAT S-1 FloodAI: an end-to-end pipeline where Copernicus Sentinel-1 Synthetic Aperture Radar (SAR) imagery of flood-prone areas are automatically </w:t>
            </w:r>
            <w:r w:rsidR="0020782B" w:rsidRPr="00F30A97">
              <w:rPr>
                <w:sz w:val="20"/>
              </w:rPr>
              <w:lastRenderedPageBreak/>
              <w:t>downloaded and processed by a deep learning model to output flood vector data and update operational dashboards. Access to timely and accurate data could not only inform the decision making process to help optimize the disaster response, but it also has the potential to significantly reduce the loss of life and mitigate structural damage, particularly in the context of humanitarian operations, thus supporting both national authorities and international emergency management organizations for the benefit of local populations.</w:t>
            </w:r>
          </w:p>
          <w:p w14:paraId="7ED8798C" w14:textId="31F88789" w:rsidR="0020782B" w:rsidRPr="00F30A97" w:rsidRDefault="0020782B" w:rsidP="00CE08CB">
            <w:pPr>
              <w:pStyle w:val="Tabletext"/>
              <w:rPr>
                <w:sz w:val="20"/>
              </w:rPr>
            </w:pPr>
            <w:r w:rsidRPr="00F30A97">
              <w:rPr>
                <w:sz w:val="20"/>
              </w:rPr>
              <w:t>Update 2021: now fully deployed and embedded as one of the UNOSAT Rapid Mapping Service.</w:t>
            </w:r>
            <w:r w:rsidR="00644FA2" w:rsidRPr="00F30A97">
              <w:rPr>
                <w:sz w:val="20"/>
              </w:rPr>
              <w:t>"</w:t>
            </w:r>
          </w:p>
        </w:tc>
        <w:tc>
          <w:tcPr>
            <w:tcW w:w="1365" w:type="dxa"/>
            <w:shd w:val="clear" w:color="auto" w:fill="auto"/>
          </w:tcPr>
          <w:p w14:paraId="51BBEBF1" w14:textId="77777777" w:rsidR="0020782B" w:rsidRPr="00F30A97" w:rsidRDefault="0020782B" w:rsidP="00CE08CB">
            <w:pPr>
              <w:pStyle w:val="Tabletext"/>
              <w:rPr>
                <w:sz w:val="20"/>
              </w:rPr>
            </w:pPr>
            <w:r w:rsidRPr="00F30A97">
              <w:rPr>
                <w:sz w:val="20"/>
              </w:rPr>
              <w:lastRenderedPageBreak/>
              <w:t>Ongoing</w:t>
            </w:r>
          </w:p>
        </w:tc>
      </w:tr>
      <w:tr w:rsidR="0020782B" w:rsidRPr="00F30A97" w14:paraId="085DF827" w14:textId="77777777" w:rsidTr="00A156C3">
        <w:trPr>
          <w:trHeight w:val="290"/>
        </w:trPr>
        <w:tc>
          <w:tcPr>
            <w:tcW w:w="1293" w:type="dxa"/>
            <w:shd w:val="clear" w:color="auto" w:fill="auto"/>
          </w:tcPr>
          <w:p w14:paraId="7D6F1972" w14:textId="77777777" w:rsidR="0020782B" w:rsidRPr="00F30A97" w:rsidRDefault="0020782B" w:rsidP="00CE08CB">
            <w:pPr>
              <w:pStyle w:val="Tabletext"/>
              <w:rPr>
                <w:sz w:val="20"/>
              </w:rPr>
            </w:pPr>
            <w:r w:rsidRPr="00F30A97">
              <w:rPr>
                <w:sz w:val="20"/>
              </w:rPr>
              <w:t>UNITAR</w:t>
            </w:r>
          </w:p>
        </w:tc>
        <w:tc>
          <w:tcPr>
            <w:tcW w:w="1474" w:type="dxa"/>
            <w:shd w:val="clear" w:color="auto" w:fill="auto"/>
          </w:tcPr>
          <w:p w14:paraId="2A3030C3" w14:textId="77777777" w:rsidR="0020782B" w:rsidRPr="00F30A97" w:rsidRDefault="0020782B" w:rsidP="00CE08CB">
            <w:pPr>
              <w:pStyle w:val="Tabletext"/>
              <w:rPr>
                <w:sz w:val="20"/>
              </w:rPr>
            </w:pPr>
            <w:r w:rsidRPr="00F30A97">
              <w:rPr>
                <w:sz w:val="20"/>
              </w:rPr>
              <w:t>United Nations Institute for Training and Research</w:t>
            </w:r>
          </w:p>
        </w:tc>
        <w:tc>
          <w:tcPr>
            <w:tcW w:w="1725" w:type="dxa"/>
            <w:shd w:val="clear" w:color="auto" w:fill="auto"/>
          </w:tcPr>
          <w:p w14:paraId="15CB768B" w14:textId="77777777" w:rsidR="0020782B" w:rsidRPr="00F30A97" w:rsidRDefault="0020782B" w:rsidP="00CE08CB">
            <w:pPr>
              <w:pStyle w:val="Tabletext"/>
              <w:rPr>
                <w:sz w:val="20"/>
              </w:rPr>
            </w:pPr>
            <w:r w:rsidRPr="00F30A97">
              <w:rPr>
                <w:sz w:val="20"/>
              </w:rPr>
              <w:t>United Nations Satellite Centre (UNOSAT)</w:t>
            </w:r>
          </w:p>
        </w:tc>
        <w:tc>
          <w:tcPr>
            <w:tcW w:w="3765" w:type="dxa"/>
            <w:shd w:val="clear" w:color="auto" w:fill="auto"/>
          </w:tcPr>
          <w:p w14:paraId="398F73D6" w14:textId="145D52B5" w:rsidR="0020782B" w:rsidRPr="00F30A97" w:rsidRDefault="0020782B" w:rsidP="00CE08CB">
            <w:pPr>
              <w:pStyle w:val="Tabletext"/>
              <w:rPr>
                <w:sz w:val="20"/>
              </w:rPr>
            </w:pPr>
            <w:r w:rsidRPr="00F30A97">
              <w:rPr>
                <w:sz w:val="20"/>
              </w:rPr>
              <w:t xml:space="preserve">The United Nations Satellite Centre (UNOSAT) partner with Trillium Technologies and FDL Europe to test and use ML4Floods: an ecosystem of data, models and code pipelines to tackle flooding with machine learning </w:t>
            </w:r>
            <w:r w:rsidR="008F505C" w:rsidRPr="00F30A97">
              <w:rPr>
                <w:sz w:val="20"/>
              </w:rPr>
              <w:t>(</w:t>
            </w:r>
            <w:r w:rsidRPr="00F30A97">
              <w:rPr>
                <w:sz w:val="20"/>
              </w:rPr>
              <w:t>ML</w:t>
            </w:r>
            <w:r w:rsidR="008F505C" w:rsidRPr="00F30A97">
              <w:rPr>
                <w:sz w:val="20"/>
              </w:rPr>
              <w:t>)</w:t>
            </w:r>
            <w:r w:rsidRPr="00F30A97">
              <w:rPr>
                <w:sz w:val="20"/>
              </w:rPr>
              <w:t>.</w:t>
            </w:r>
          </w:p>
        </w:tc>
        <w:tc>
          <w:tcPr>
            <w:tcW w:w="1365" w:type="dxa"/>
            <w:shd w:val="clear" w:color="auto" w:fill="auto"/>
          </w:tcPr>
          <w:p w14:paraId="4F5B9B34" w14:textId="77777777" w:rsidR="0020782B" w:rsidRPr="00F30A97" w:rsidRDefault="0020782B" w:rsidP="00CE08CB">
            <w:pPr>
              <w:pStyle w:val="Tabletext"/>
              <w:rPr>
                <w:sz w:val="20"/>
              </w:rPr>
            </w:pPr>
            <w:r w:rsidRPr="00F30A97">
              <w:rPr>
                <w:sz w:val="20"/>
              </w:rPr>
              <w:t>Ended 2021</w:t>
            </w:r>
          </w:p>
        </w:tc>
      </w:tr>
      <w:tr w:rsidR="0020782B" w:rsidRPr="00F30A97" w14:paraId="24F8BB36" w14:textId="77777777" w:rsidTr="00A156C3">
        <w:trPr>
          <w:trHeight w:val="290"/>
        </w:trPr>
        <w:tc>
          <w:tcPr>
            <w:tcW w:w="1293" w:type="dxa"/>
            <w:shd w:val="clear" w:color="auto" w:fill="auto"/>
          </w:tcPr>
          <w:p w14:paraId="1805B6FA" w14:textId="77777777" w:rsidR="0020782B" w:rsidRPr="00F30A97" w:rsidRDefault="0020782B" w:rsidP="00CE08CB">
            <w:pPr>
              <w:pStyle w:val="Tabletext"/>
              <w:rPr>
                <w:sz w:val="20"/>
              </w:rPr>
            </w:pPr>
            <w:r w:rsidRPr="00F30A97">
              <w:rPr>
                <w:sz w:val="20"/>
              </w:rPr>
              <w:t>UNITAR</w:t>
            </w:r>
          </w:p>
        </w:tc>
        <w:tc>
          <w:tcPr>
            <w:tcW w:w="1474" w:type="dxa"/>
            <w:shd w:val="clear" w:color="auto" w:fill="auto"/>
          </w:tcPr>
          <w:p w14:paraId="2E496140" w14:textId="77777777" w:rsidR="0020782B" w:rsidRPr="00F30A97" w:rsidRDefault="0020782B" w:rsidP="00CE08CB">
            <w:pPr>
              <w:pStyle w:val="Tabletext"/>
              <w:rPr>
                <w:sz w:val="20"/>
              </w:rPr>
            </w:pPr>
            <w:r w:rsidRPr="00F30A97">
              <w:rPr>
                <w:sz w:val="20"/>
              </w:rPr>
              <w:t>United Nations Institute for Training and Research</w:t>
            </w:r>
          </w:p>
        </w:tc>
        <w:tc>
          <w:tcPr>
            <w:tcW w:w="1725" w:type="dxa"/>
            <w:shd w:val="clear" w:color="auto" w:fill="auto"/>
          </w:tcPr>
          <w:p w14:paraId="50249237" w14:textId="77777777" w:rsidR="0020782B" w:rsidRPr="00F30A97" w:rsidRDefault="0020782B" w:rsidP="00CE08CB">
            <w:pPr>
              <w:pStyle w:val="Tabletext"/>
              <w:rPr>
                <w:sz w:val="20"/>
              </w:rPr>
            </w:pPr>
            <w:r w:rsidRPr="00F30A97">
              <w:rPr>
                <w:sz w:val="20"/>
              </w:rPr>
              <w:t>United Nations Satellite Centre (UNOSAT)</w:t>
            </w:r>
          </w:p>
        </w:tc>
        <w:tc>
          <w:tcPr>
            <w:tcW w:w="3765" w:type="dxa"/>
            <w:shd w:val="clear" w:color="auto" w:fill="auto"/>
          </w:tcPr>
          <w:p w14:paraId="260A2A23" w14:textId="7FD8684F" w:rsidR="0020782B" w:rsidRPr="00F30A97" w:rsidRDefault="00644FA2" w:rsidP="00CE08CB">
            <w:pPr>
              <w:pStyle w:val="Tabletext"/>
              <w:rPr>
                <w:sz w:val="20"/>
              </w:rPr>
            </w:pPr>
            <w:r w:rsidRPr="00F30A97">
              <w:rPr>
                <w:sz w:val="20"/>
              </w:rPr>
              <w:t>"</w:t>
            </w:r>
            <w:r w:rsidR="0020782B" w:rsidRPr="00F30A97">
              <w:rPr>
                <w:sz w:val="20"/>
              </w:rPr>
              <w:t>With decades of experience analy</w:t>
            </w:r>
            <w:r w:rsidR="008F505C" w:rsidRPr="00F30A97">
              <w:rPr>
                <w:sz w:val="20"/>
              </w:rPr>
              <w:t>s</w:t>
            </w:r>
            <w:r w:rsidR="0020782B" w:rsidRPr="00F30A97">
              <w:rPr>
                <w:sz w:val="20"/>
              </w:rPr>
              <w:t>ing satellite imagery and mapping natural disasters, refugee settlements, conflict, and related issues UNOSAT has emerged as a primary partner for organizations wishing to explore AI for humanitarian applications. In addition, large amounts of UNOSAT analyses are publicly available in vector format both from its</w:t>
            </w:r>
            <w:r w:rsidRPr="00F30A97">
              <w:rPr>
                <w:sz w:val="20"/>
              </w:rPr>
              <w:t>'</w:t>
            </w:r>
            <w:r w:rsidR="0020782B" w:rsidRPr="00F30A97">
              <w:rPr>
                <w:sz w:val="20"/>
              </w:rPr>
              <w:t xml:space="preserve"> website and the Humanitarian Data Exchange, and this has proven valuable for organizations seeking training data for AI development. In turn, multiple such organizations have reached out to UNOSAT for guidance on imagery analysis, allowing UNOSAT to learn a great deal about the state of the field. This partnership model has been very effective in particular with UN Global Pulse and the two organizations have collaborated extensively to develop algorithms that can identify and map refugee shelters in satellite imagery. Importantly, UNOSAT and Pulse have paid particular attention to the accuracy of outputs of these algorithms given the high- threshold of accuracy UNOSAT requires for its operations. This process and results were detailed in a 2018 academic paper by Pulse and UNOSAT. Currently, UNOSAT also developed an end-to-end pipeline where images of flood-prone areas are automatically downloaded from satellites covering the affected areas and processed by machine learning </w:t>
            </w:r>
            <w:r w:rsidR="0020782B" w:rsidRPr="00F30A97">
              <w:rPr>
                <w:sz w:val="20"/>
              </w:rPr>
              <w:lastRenderedPageBreak/>
              <w:t>algorithms to shorten the time needed to deliver disaster maps to humanitarian organizations. The system would allow for near-real-time monitoring and surveillance. UNOSAT is also pursuing algorithm development for change detections which would help enable various analyses such as landslide detection and damage assessments. Finally, UNOSAT together with CERN and the European Space Agency will engage in a challenge over the next several months to extract building footprints from satellite imagery.</w:t>
            </w:r>
          </w:p>
          <w:p w14:paraId="6EFF589A" w14:textId="77777777" w:rsidR="0020782B" w:rsidRPr="00F30A97" w:rsidRDefault="0020782B" w:rsidP="00CE08CB">
            <w:pPr>
              <w:pStyle w:val="Tabletext"/>
              <w:rPr>
                <w:sz w:val="20"/>
              </w:rPr>
            </w:pPr>
            <w:r w:rsidRPr="00F30A97">
              <w:rPr>
                <w:sz w:val="20"/>
              </w:rPr>
              <w:t>Update in 2021 report: The focus is now not only on mapping refugee settlements, but on building footprints in general and damage assessment.</w:t>
            </w:r>
          </w:p>
        </w:tc>
        <w:tc>
          <w:tcPr>
            <w:tcW w:w="1365" w:type="dxa"/>
            <w:shd w:val="clear" w:color="auto" w:fill="auto"/>
          </w:tcPr>
          <w:p w14:paraId="54F70E9F" w14:textId="77777777" w:rsidR="0020782B" w:rsidRPr="00F30A97" w:rsidRDefault="0020782B" w:rsidP="00CE08CB">
            <w:pPr>
              <w:pStyle w:val="Tabletext"/>
              <w:rPr>
                <w:sz w:val="20"/>
              </w:rPr>
            </w:pPr>
            <w:r w:rsidRPr="00F30A97">
              <w:rPr>
                <w:sz w:val="20"/>
              </w:rPr>
              <w:lastRenderedPageBreak/>
              <w:t>Ongoing</w:t>
            </w:r>
          </w:p>
        </w:tc>
      </w:tr>
      <w:tr w:rsidR="0020782B" w:rsidRPr="00F30A97" w14:paraId="68458130" w14:textId="77777777" w:rsidTr="00A156C3">
        <w:trPr>
          <w:trHeight w:val="290"/>
        </w:trPr>
        <w:tc>
          <w:tcPr>
            <w:tcW w:w="1293" w:type="dxa"/>
            <w:shd w:val="clear" w:color="auto" w:fill="auto"/>
          </w:tcPr>
          <w:p w14:paraId="7532CB19" w14:textId="77777777" w:rsidR="0020782B" w:rsidRPr="00F30A97" w:rsidRDefault="0020782B" w:rsidP="00CE08CB">
            <w:pPr>
              <w:pStyle w:val="Tabletext"/>
              <w:rPr>
                <w:sz w:val="20"/>
              </w:rPr>
            </w:pPr>
            <w:r w:rsidRPr="00F30A97">
              <w:rPr>
                <w:sz w:val="20"/>
              </w:rPr>
              <w:t>UNU</w:t>
            </w:r>
          </w:p>
        </w:tc>
        <w:tc>
          <w:tcPr>
            <w:tcW w:w="1474" w:type="dxa"/>
            <w:tcBorders>
              <w:top w:val="nil"/>
            </w:tcBorders>
            <w:shd w:val="clear" w:color="auto" w:fill="auto"/>
          </w:tcPr>
          <w:p w14:paraId="38A67F09" w14:textId="77777777" w:rsidR="0020782B" w:rsidRPr="00F30A97" w:rsidRDefault="0020782B" w:rsidP="00CE08CB">
            <w:pPr>
              <w:pStyle w:val="Tabletext"/>
              <w:rPr>
                <w:sz w:val="20"/>
              </w:rPr>
            </w:pPr>
            <w:r w:rsidRPr="00F30A97">
              <w:rPr>
                <w:sz w:val="20"/>
              </w:rPr>
              <w:t>United Nations University</w:t>
            </w:r>
          </w:p>
        </w:tc>
        <w:tc>
          <w:tcPr>
            <w:tcW w:w="1725" w:type="dxa"/>
            <w:tcBorders>
              <w:top w:val="nil"/>
            </w:tcBorders>
            <w:shd w:val="clear" w:color="auto" w:fill="auto"/>
          </w:tcPr>
          <w:p w14:paraId="666446F9" w14:textId="77777777" w:rsidR="0020782B" w:rsidRPr="00F30A97" w:rsidRDefault="0020782B" w:rsidP="00CE08CB">
            <w:pPr>
              <w:pStyle w:val="Tabletext"/>
              <w:rPr>
                <w:sz w:val="20"/>
              </w:rPr>
            </w:pPr>
            <w:r w:rsidRPr="00F30A97">
              <w:rPr>
                <w:sz w:val="20"/>
              </w:rPr>
              <w:t>Institute for Water, Environment and Health (UNU-INWEH)</w:t>
            </w:r>
          </w:p>
        </w:tc>
        <w:tc>
          <w:tcPr>
            <w:tcW w:w="3765" w:type="dxa"/>
            <w:shd w:val="clear" w:color="auto" w:fill="auto"/>
          </w:tcPr>
          <w:p w14:paraId="30039BF8" w14:textId="5C148B00" w:rsidR="0020782B" w:rsidRPr="00F30A97" w:rsidRDefault="0020782B" w:rsidP="00CE08CB">
            <w:pPr>
              <w:pStyle w:val="Tabletext"/>
              <w:rPr>
                <w:sz w:val="20"/>
              </w:rPr>
            </w:pPr>
            <w:r w:rsidRPr="00F30A97">
              <w:rPr>
                <w:sz w:val="20"/>
              </w:rPr>
              <w:t xml:space="preserve">The Project has developed a Web-based Spatial Decision Support System (WSDSS) to address flood-related information gaps in the currently available flood early warning and risk management systems. The WSDSS comprises a historical flood mapping tool (HFMT) and a flood risk prediction tool (FRPT). The HMFT generates inundation maps for significant floods from 1984 till the present using open Earth data. The tool applies a water classification algorithm to </w:t>
            </w:r>
            <w:r w:rsidR="00644FA2" w:rsidRPr="00F30A97">
              <w:rPr>
                <w:sz w:val="20"/>
              </w:rPr>
              <w:t>'</w:t>
            </w:r>
            <w:r w:rsidRPr="00F30A97">
              <w:rPr>
                <w:sz w:val="20"/>
              </w:rPr>
              <w:t>stacks</w:t>
            </w:r>
            <w:r w:rsidR="00644FA2" w:rsidRPr="00F30A97">
              <w:rPr>
                <w:sz w:val="20"/>
              </w:rPr>
              <w:t>'</w:t>
            </w:r>
            <w:r w:rsidRPr="00F30A97">
              <w:rPr>
                <w:sz w:val="20"/>
              </w:rPr>
              <w:t xml:space="preserve"> of historical satellite imagery derived from Landsat and Sentinel 2 to reveal inundation patterns over space and time. HFMT is a hindcast tool that allows impacts of inundation on various socio-economic sectors to be </w:t>
            </w:r>
            <w:r w:rsidR="007421F6" w:rsidRPr="00F30A97">
              <w:rPr>
                <w:sz w:val="20"/>
              </w:rPr>
              <w:t>analyse</w:t>
            </w:r>
            <w:r w:rsidRPr="00F30A97">
              <w:rPr>
                <w:sz w:val="20"/>
              </w:rPr>
              <w:t xml:space="preserve">d. The FRPT uses AI models to generate current and future flood risk maps at the city, district, and river basin level for three climate change scenarios. The AI models are trained using the inundation maps generated by the HMFT and open datasets, including land use, land cover, precipitation, temperature, gender, and age-disaggregated socio-economic data. WSDSS improves the spatial and temporal coverage of national and regional flood early warning and risk management systems and enhances the spatial resolution of the outputs. WSDSS will build the capacity of flood forecasting </w:t>
            </w:r>
            <w:r w:rsidR="007421F6" w:rsidRPr="00F30A97">
              <w:rPr>
                <w:sz w:val="20"/>
              </w:rPr>
              <w:t>centre</w:t>
            </w:r>
            <w:r w:rsidRPr="00F30A97">
              <w:rPr>
                <w:sz w:val="20"/>
              </w:rPr>
              <w:t xml:space="preserve">s in Global South to use AI models, big data, and cloud computing to </w:t>
            </w:r>
            <w:r w:rsidR="007421F6" w:rsidRPr="00F30A97">
              <w:rPr>
                <w:sz w:val="20"/>
              </w:rPr>
              <w:t>analyse</w:t>
            </w:r>
            <w:r w:rsidRPr="00F30A97">
              <w:rPr>
                <w:sz w:val="20"/>
              </w:rPr>
              <w:t xml:space="preserve"> the impacts of climate change.</w:t>
            </w:r>
          </w:p>
        </w:tc>
        <w:tc>
          <w:tcPr>
            <w:tcW w:w="1365" w:type="dxa"/>
            <w:shd w:val="clear" w:color="auto" w:fill="auto"/>
          </w:tcPr>
          <w:p w14:paraId="158346F2" w14:textId="77777777" w:rsidR="0020782B" w:rsidRPr="00F30A97" w:rsidRDefault="0020782B" w:rsidP="00CE08CB">
            <w:pPr>
              <w:pStyle w:val="Tabletext"/>
              <w:rPr>
                <w:sz w:val="20"/>
              </w:rPr>
            </w:pPr>
            <w:r w:rsidRPr="00F30A97">
              <w:rPr>
                <w:sz w:val="20"/>
              </w:rPr>
              <w:t>Ongoing</w:t>
            </w:r>
          </w:p>
        </w:tc>
      </w:tr>
      <w:tr w:rsidR="0020782B" w:rsidRPr="00F30A97" w14:paraId="7901A850" w14:textId="77777777" w:rsidTr="00A156C3">
        <w:trPr>
          <w:trHeight w:val="290"/>
        </w:trPr>
        <w:tc>
          <w:tcPr>
            <w:tcW w:w="1293" w:type="dxa"/>
            <w:shd w:val="clear" w:color="auto" w:fill="auto"/>
          </w:tcPr>
          <w:p w14:paraId="4D79EF05" w14:textId="77777777" w:rsidR="0020782B" w:rsidRPr="00F30A97" w:rsidRDefault="0020782B" w:rsidP="00CE08CB">
            <w:pPr>
              <w:pStyle w:val="Tabletext"/>
              <w:rPr>
                <w:sz w:val="20"/>
              </w:rPr>
            </w:pPr>
            <w:r w:rsidRPr="00F30A97">
              <w:rPr>
                <w:sz w:val="20"/>
              </w:rPr>
              <w:t>UNU</w:t>
            </w:r>
          </w:p>
        </w:tc>
        <w:tc>
          <w:tcPr>
            <w:tcW w:w="1474" w:type="dxa"/>
            <w:shd w:val="clear" w:color="auto" w:fill="auto"/>
          </w:tcPr>
          <w:p w14:paraId="59D371D3" w14:textId="77777777" w:rsidR="0020782B" w:rsidRPr="00F30A97" w:rsidRDefault="0020782B" w:rsidP="00CE08CB">
            <w:pPr>
              <w:pStyle w:val="Tabletext"/>
              <w:rPr>
                <w:sz w:val="20"/>
              </w:rPr>
            </w:pPr>
            <w:r w:rsidRPr="00F30A97">
              <w:rPr>
                <w:sz w:val="20"/>
              </w:rPr>
              <w:t>United Nations University</w:t>
            </w:r>
          </w:p>
        </w:tc>
        <w:tc>
          <w:tcPr>
            <w:tcW w:w="1725" w:type="dxa"/>
            <w:shd w:val="clear" w:color="auto" w:fill="auto"/>
          </w:tcPr>
          <w:p w14:paraId="1FC291C8" w14:textId="77777777" w:rsidR="0020782B" w:rsidRPr="00F30A97" w:rsidRDefault="0020782B" w:rsidP="00CE08CB">
            <w:pPr>
              <w:pStyle w:val="Tabletext"/>
              <w:rPr>
                <w:sz w:val="20"/>
              </w:rPr>
            </w:pPr>
            <w:r w:rsidRPr="00F30A97">
              <w:rPr>
                <w:sz w:val="20"/>
              </w:rPr>
              <w:t xml:space="preserve">Institute for Water, Environment and </w:t>
            </w:r>
            <w:r w:rsidRPr="00F30A97">
              <w:rPr>
                <w:sz w:val="20"/>
              </w:rPr>
              <w:lastRenderedPageBreak/>
              <w:t>Health (UNU-INWEH)</w:t>
            </w:r>
          </w:p>
        </w:tc>
        <w:tc>
          <w:tcPr>
            <w:tcW w:w="3765" w:type="dxa"/>
            <w:shd w:val="clear" w:color="auto" w:fill="auto"/>
          </w:tcPr>
          <w:p w14:paraId="065F6F3D" w14:textId="77777777" w:rsidR="0020782B" w:rsidRPr="00F30A97" w:rsidRDefault="0020782B" w:rsidP="00CE08CB">
            <w:pPr>
              <w:pStyle w:val="Tabletext"/>
              <w:rPr>
                <w:sz w:val="20"/>
              </w:rPr>
            </w:pPr>
            <w:r w:rsidRPr="00F30A97">
              <w:rPr>
                <w:sz w:val="20"/>
              </w:rPr>
              <w:lastRenderedPageBreak/>
              <w:t xml:space="preserve">WHO (2020) has identified increased human risk of antimicrobial resistance (AMR) resistance as a top ten urgent health problem for the next decade. Using a text </w:t>
            </w:r>
            <w:r w:rsidRPr="00F30A97">
              <w:rPr>
                <w:sz w:val="20"/>
              </w:rPr>
              <w:lastRenderedPageBreak/>
              <w:t>mining approach, over 12,000 title/abstracts have been reviewed to provide a rapid review and historical analysis of the past three decades of AMR research. It highlights how human health, animal health and industrial research and development increasingly have increasingly received greater attention in scientific endeavors. There, however, remains a significant gap of knowledge of the impact of AMR research and interventions with regards to the environment – especially, with regards to water-related exposure pathways. This research unpacks such gaps of knowledge in consideration of the need to develop a one health AMR stewardship framework that adequately addresses environmental water-related AMR risks.</w:t>
            </w:r>
          </w:p>
        </w:tc>
        <w:tc>
          <w:tcPr>
            <w:tcW w:w="1365" w:type="dxa"/>
            <w:shd w:val="clear" w:color="auto" w:fill="auto"/>
          </w:tcPr>
          <w:p w14:paraId="163B38E0" w14:textId="77777777" w:rsidR="0020782B" w:rsidRPr="00F30A97" w:rsidRDefault="0020782B" w:rsidP="00CE08CB">
            <w:pPr>
              <w:pStyle w:val="Tabletext"/>
              <w:rPr>
                <w:sz w:val="20"/>
              </w:rPr>
            </w:pPr>
            <w:r w:rsidRPr="00F30A97">
              <w:rPr>
                <w:sz w:val="20"/>
              </w:rPr>
              <w:lastRenderedPageBreak/>
              <w:t>Ended 2021</w:t>
            </w:r>
          </w:p>
        </w:tc>
      </w:tr>
      <w:tr w:rsidR="0020782B" w:rsidRPr="00F30A97" w14:paraId="17B9087C" w14:textId="77777777" w:rsidTr="00A156C3">
        <w:trPr>
          <w:trHeight w:val="290"/>
        </w:trPr>
        <w:tc>
          <w:tcPr>
            <w:tcW w:w="1293" w:type="dxa"/>
            <w:shd w:val="clear" w:color="auto" w:fill="auto"/>
          </w:tcPr>
          <w:p w14:paraId="4FA2F514" w14:textId="77777777" w:rsidR="0020782B" w:rsidRPr="00F30A97" w:rsidRDefault="0020782B" w:rsidP="00CE08CB">
            <w:pPr>
              <w:pStyle w:val="Tabletext"/>
              <w:rPr>
                <w:sz w:val="20"/>
              </w:rPr>
            </w:pPr>
            <w:r w:rsidRPr="00F30A97">
              <w:rPr>
                <w:sz w:val="20"/>
              </w:rPr>
              <w:t>UNU</w:t>
            </w:r>
          </w:p>
        </w:tc>
        <w:tc>
          <w:tcPr>
            <w:tcW w:w="1474" w:type="dxa"/>
            <w:shd w:val="clear" w:color="auto" w:fill="auto"/>
          </w:tcPr>
          <w:p w14:paraId="39A0EF63" w14:textId="77777777" w:rsidR="0020782B" w:rsidRPr="00F30A97" w:rsidRDefault="0020782B" w:rsidP="00CE08CB">
            <w:pPr>
              <w:pStyle w:val="Tabletext"/>
              <w:rPr>
                <w:sz w:val="20"/>
              </w:rPr>
            </w:pPr>
            <w:r w:rsidRPr="00F30A97">
              <w:rPr>
                <w:sz w:val="20"/>
              </w:rPr>
              <w:t>United Nations University</w:t>
            </w:r>
          </w:p>
        </w:tc>
        <w:tc>
          <w:tcPr>
            <w:tcW w:w="1725" w:type="dxa"/>
            <w:shd w:val="clear" w:color="auto" w:fill="auto"/>
          </w:tcPr>
          <w:p w14:paraId="6E0C6AC0" w14:textId="77777777" w:rsidR="0020782B" w:rsidRPr="00F30A97" w:rsidRDefault="0020782B" w:rsidP="00CE08CB">
            <w:pPr>
              <w:pStyle w:val="Tabletext"/>
              <w:rPr>
                <w:sz w:val="20"/>
              </w:rPr>
            </w:pPr>
            <w:r w:rsidRPr="00F30A97">
              <w:rPr>
                <w:sz w:val="20"/>
              </w:rPr>
              <w:t>Institute for Water, Environment and Health (UNU-INWEH)</w:t>
            </w:r>
          </w:p>
        </w:tc>
        <w:tc>
          <w:tcPr>
            <w:tcW w:w="3765" w:type="dxa"/>
            <w:shd w:val="clear" w:color="auto" w:fill="auto"/>
          </w:tcPr>
          <w:p w14:paraId="6D683405" w14:textId="77777777" w:rsidR="0020782B" w:rsidRPr="00F30A97" w:rsidRDefault="0020782B" w:rsidP="00CE08CB">
            <w:pPr>
              <w:pStyle w:val="Tabletext"/>
              <w:rPr>
                <w:sz w:val="20"/>
              </w:rPr>
            </w:pPr>
            <w:r w:rsidRPr="00F30A97">
              <w:rPr>
                <w:sz w:val="20"/>
              </w:rPr>
              <w:t>The objective of this project is to develop a model-based risk mapping tool for cholera which separately evaluates outbreak probability, outbreak transmission efficiency and population susceptibility to severe health outcomes based on a range of health, environmental and climatic, infrastructural (including WASH), and demographic data. Greater understanding of the interaction of different disease outcomes and variables and can inform the integrated development of multi-sectoral cholera control efforts. The tool will be presented as a spatial index-based decision support system that can be adapted: to visualize multiple dimensions of cholera risk; and for use in different countries to help inform context-appropriate allocation of public resources.</w:t>
            </w:r>
          </w:p>
        </w:tc>
        <w:tc>
          <w:tcPr>
            <w:tcW w:w="1365" w:type="dxa"/>
            <w:shd w:val="clear" w:color="auto" w:fill="auto"/>
          </w:tcPr>
          <w:p w14:paraId="51A08FCA" w14:textId="77777777" w:rsidR="0020782B" w:rsidRPr="00F30A97" w:rsidRDefault="0020782B" w:rsidP="00CE08CB">
            <w:pPr>
              <w:pStyle w:val="Tabletext"/>
              <w:rPr>
                <w:sz w:val="20"/>
              </w:rPr>
            </w:pPr>
            <w:r w:rsidRPr="00F30A97">
              <w:rPr>
                <w:sz w:val="20"/>
              </w:rPr>
              <w:t>Ended 2022</w:t>
            </w:r>
          </w:p>
        </w:tc>
      </w:tr>
      <w:tr w:rsidR="0020782B" w:rsidRPr="00F30A97" w14:paraId="3EC78BBC" w14:textId="77777777" w:rsidTr="00A156C3">
        <w:trPr>
          <w:trHeight w:val="290"/>
        </w:trPr>
        <w:tc>
          <w:tcPr>
            <w:tcW w:w="1293" w:type="dxa"/>
            <w:shd w:val="clear" w:color="auto" w:fill="auto"/>
          </w:tcPr>
          <w:p w14:paraId="30873731" w14:textId="77777777" w:rsidR="0020782B" w:rsidRPr="00F30A97" w:rsidRDefault="0020782B" w:rsidP="00CE08CB">
            <w:pPr>
              <w:pStyle w:val="Tabletext"/>
              <w:rPr>
                <w:sz w:val="20"/>
              </w:rPr>
            </w:pPr>
            <w:r w:rsidRPr="00F30A97">
              <w:rPr>
                <w:sz w:val="20"/>
              </w:rPr>
              <w:t>WFP</w:t>
            </w:r>
          </w:p>
        </w:tc>
        <w:tc>
          <w:tcPr>
            <w:tcW w:w="1474" w:type="dxa"/>
            <w:shd w:val="clear" w:color="auto" w:fill="auto"/>
          </w:tcPr>
          <w:p w14:paraId="4E5D2AD7" w14:textId="31AD4E40" w:rsidR="0020782B" w:rsidRPr="00F30A97" w:rsidRDefault="0020782B" w:rsidP="00CE08CB">
            <w:pPr>
              <w:pStyle w:val="Tabletext"/>
              <w:rPr>
                <w:sz w:val="20"/>
              </w:rPr>
            </w:pPr>
            <w:r w:rsidRPr="00F30A97">
              <w:rPr>
                <w:sz w:val="20"/>
              </w:rPr>
              <w:t>World Food Program</w:t>
            </w:r>
            <w:r w:rsidR="00747A7E" w:rsidRPr="00F30A97">
              <w:rPr>
                <w:sz w:val="20"/>
              </w:rPr>
              <w:t>me</w:t>
            </w:r>
          </w:p>
        </w:tc>
        <w:tc>
          <w:tcPr>
            <w:tcW w:w="1725" w:type="dxa"/>
            <w:shd w:val="clear" w:color="auto" w:fill="auto"/>
          </w:tcPr>
          <w:p w14:paraId="6741645A" w14:textId="77777777" w:rsidR="0020782B" w:rsidRPr="00F30A97" w:rsidRDefault="0020782B" w:rsidP="00CE08CB">
            <w:pPr>
              <w:pStyle w:val="Tabletext"/>
              <w:rPr>
                <w:sz w:val="20"/>
              </w:rPr>
            </w:pPr>
            <w:r w:rsidRPr="00F30A97">
              <w:rPr>
                <w:sz w:val="20"/>
              </w:rPr>
              <w:t>Emergency Operations Division</w:t>
            </w:r>
          </w:p>
        </w:tc>
        <w:tc>
          <w:tcPr>
            <w:tcW w:w="3765" w:type="dxa"/>
            <w:shd w:val="clear" w:color="auto" w:fill="auto"/>
          </w:tcPr>
          <w:p w14:paraId="52B3C043" w14:textId="77777777" w:rsidR="0020782B" w:rsidRPr="00F30A97" w:rsidRDefault="0020782B" w:rsidP="00CE08CB">
            <w:pPr>
              <w:pStyle w:val="Tabletext"/>
              <w:rPr>
                <w:sz w:val="20"/>
              </w:rPr>
            </w:pPr>
            <w:r w:rsidRPr="00F30A97">
              <w:rPr>
                <w:sz w:val="20"/>
              </w:rPr>
              <w:t xml:space="preserve">AI for Human is an artificial-intelligence-assisted building damage detection and classification tool used in the aftermath of natural disasters such as floods, cyclones and earthquakes. The project was focused on the development of methods and processing environments to detect changes in infrastructure and buildings by using machine learning techniques. The main focus is on the demand-driven development of existing deep learning methods and the provision of software for humanitarian organizations, to speed up response times in emergencies. WFP is particularly interested in exploring and testing the use of artificial intelligence-enabled procedures, for instance, for detecting infrastructure damages caused by natural disasters. WFP </w:t>
            </w:r>
            <w:r w:rsidRPr="00F30A97">
              <w:rPr>
                <w:sz w:val="20"/>
              </w:rPr>
              <w:lastRenderedPageBreak/>
              <w:t>will provide the datasets used for the case study The project will also evaluate and illustrate the opportunities and limitations pertaining to the machine learning methods in this specific technology.</w:t>
            </w:r>
          </w:p>
        </w:tc>
        <w:tc>
          <w:tcPr>
            <w:tcW w:w="1365" w:type="dxa"/>
            <w:shd w:val="clear" w:color="auto" w:fill="auto"/>
          </w:tcPr>
          <w:p w14:paraId="54E3B5F0" w14:textId="77777777" w:rsidR="0020782B" w:rsidRPr="00F30A97" w:rsidRDefault="0020782B" w:rsidP="00CE08CB">
            <w:pPr>
              <w:pStyle w:val="Tabletext"/>
              <w:rPr>
                <w:sz w:val="20"/>
              </w:rPr>
            </w:pPr>
            <w:r w:rsidRPr="00F30A97">
              <w:rPr>
                <w:sz w:val="20"/>
              </w:rPr>
              <w:lastRenderedPageBreak/>
              <w:t>Ended 2021</w:t>
            </w:r>
          </w:p>
        </w:tc>
      </w:tr>
      <w:tr w:rsidR="0020782B" w:rsidRPr="00F30A97" w14:paraId="02C9EE1C" w14:textId="77777777" w:rsidTr="00A156C3">
        <w:trPr>
          <w:trHeight w:val="290"/>
        </w:trPr>
        <w:tc>
          <w:tcPr>
            <w:tcW w:w="1293" w:type="dxa"/>
            <w:shd w:val="clear" w:color="auto" w:fill="auto"/>
          </w:tcPr>
          <w:p w14:paraId="08487315" w14:textId="77777777" w:rsidR="0020782B" w:rsidRPr="00F30A97" w:rsidRDefault="0020782B" w:rsidP="00CE08CB">
            <w:pPr>
              <w:pStyle w:val="Tabletext"/>
              <w:rPr>
                <w:sz w:val="20"/>
              </w:rPr>
            </w:pPr>
            <w:r w:rsidRPr="00F30A97">
              <w:rPr>
                <w:sz w:val="20"/>
              </w:rPr>
              <w:t>WFP</w:t>
            </w:r>
          </w:p>
        </w:tc>
        <w:tc>
          <w:tcPr>
            <w:tcW w:w="1474" w:type="dxa"/>
            <w:shd w:val="clear" w:color="auto" w:fill="auto"/>
          </w:tcPr>
          <w:p w14:paraId="5E73A08D" w14:textId="769DC2E0" w:rsidR="0020782B" w:rsidRPr="00F30A97" w:rsidRDefault="0020782B" w:rsidP="00CE08CB">
            <w:pPr>
              <w:pStyle w:val="Tabletext"/>
              <w:rPr>
                <w:sz w:val="20"/>
              </w:rPr>
            </w:pPr>
            <w:r w:rsidRPr="00F30A97">
              <w:rPr>
                <w:sz w:val="20"/>
              </w:rPr>
              <w:t>World Food Program</w:t>
            </w:r>
            <w:r w:rsidR="00747A7E" w:rsidRPr="00F30A97">
              <w:rPr>
                <w:sz w:val="20"/>
              </w:rPr>
              <w:t>me</w:t>
            </w:r>
          </w:p>
        </w:tc>
        <w:tc>
          <w:tcPr>
            <w:tcW w:w="1725" w:type="dxa"/>
            <w:shd w:val="clear" w:color="auto" w:fill="auto"/>
          </w:tcPr>
          <w:p w14:paraId="14E33CB5" w14:textId="77777777" w:rsidR="0020782B" w:rsidRPr="00F30A97" w:rsidRDefault="0020782B" w:rsidP="00CE08CB">
            <w:pPr>
              <w:pStyle w:val="Tabletext"/>
              <w:rPr>
                <w:sz w:val="20"/>
              </w:rPr>
            </w:pPr>
            <w:r w:rsidRPr="00F30A97">
              <w:rPr>
                <w:sz w:val="20"/>
              </w:rPr>
              <w:t>Emergency Operations Division</w:t>
            </w:r>
          </w:p>
        </w:tc>
        <w:tc>
          <w:tcPr>
            <w:tcW w:w="3765" w:type="dxa"/>
            <w:shd w:val="clear" w:color="auto" w:fill="auto"/>
          </w:tcPr>
          <w:p w14:paraId="6C9CAC6A" w14:textId="77777777" w:rsidR="0020782B" w:rsidRPr="00F30A97" w:rsidRDefault="0020782B" w:rsidP="00CE08CB">
            <w:pPr>
              <w:pStyle w:val="Tabletext"/>
              <w:rPr>
                <w:sz w:val="20"/>
              </w:rPr>
            </w:pPr>
            <w:r w:rsidRPr="00F30A97">
              <w:rPr>
                <w:sz w:val="20"/>
              </w:rPr>
              <w:t>This project explores the systematic development and evaluation of national and global data and metadata published on the Internet to assess its usability for United Nations Activities on Artificial Intelligence (AI) 197 the derivation of crisis-related information. National and global databases published on the Internet and blogs, newsfeeds and social media contributions are a complementary source of information on satellite imagery and derived products. Therefore, the acquisition and aggregation of such data and the integrated presentation of these two sources of information (e.g. in mapping products of the ZKI or web-based services) can greatly contribute to an overall analysis. The fusion techniques will be developed and tested grounded on past or ongoing crisis situations. For example, humanitarian emergencies such as floods in Mozambique in 2019 can be included in the model (from M1). Data on refugee camps and their dynamic developments will also be added systematically (from M13). Finally, analyses of food security issues such as post harvest loss estimation in Africa can also potentially enhance the model.</w:t>
            </w:r>
          </w:p>
        </w:tc>
        <w:tc>
          <w:tcPr>
            <w:tcW w:w="1365" w:type="dxa"/>
            <w:shd w:val="clear" w:color="auto" w:fill="auto"/>
          </w:tcPr>
          <w:p w14:paraId="518F5558" w14:textId="77777777" w:rsidR="0020782B" w:rsidRPr="00F30A97" w:rsidRDefault="0020782B" w:rsidP="00CE08CB">
            <w:pPr>
              <w:pStyle w:val="Tabletext"/>
              <w:rPr>
                <w:sz w:val="20"/>
              </w:rPr>
            </w:pPr>
            <w:r w:rsidRPr="00F30A97">
              <w:rPr>
                <w:sz w:val="20"/>
              </w:rPr>
              <w:t>Ongoing</w:t>
            </w:r>
          </w:p>
        </w:tc>
      </w:tr>
      <w:tr w:rsidR="0020782B" w:rsidRPr="00F30A97" w14:paraId="0DF91B53" w14:textId="77777777" w:rsidTr="00A156C3">
        <w:trPr>
          <w:trHeight w:val="290"/>
        </w:trPr>
        <w:tc>
          <w:tcPr>
            <w:tcW w:w="1293" w:type="dxa"/>
            <w:shd w:val="clear" w:color="auto" w:fill="auto"/>
          </w:tcPr>
          <w:p w14:paraId="17C0532F" w14:textId="77777777" w:rsidR="0020782B" w:rsidRPr="00F30A97" w:rsidRDefault="0020782B" w:rsidP="00CE08CB">
            <w:pPr>
              <w:pStyle w:val="Tabletext"/>
              <w:rPr>
                <w:sz w:val="20"/>
              </w:rPr>
            </w:pPr>
            <w:r w:rsidRPr="00F30A97">
              <w:rPr>
                <w:sz w:val="20"/>
              </w:rPr>
              <w:t>WFP</w:t>
            </w:r>
          </w:p>
        </w:tc>
        <w:tc>
          <w:tcPr>
            <w:tcW w:w="1474" w:type="dxa"/>
            <w:shd w:val="clear" w:color="auto" w:fill="auto"/>
          </w:tcPr>
          <w:p w14:paraId="4843EF98" w14:textId="72AEE5D3" w:rsidR="0020782B" w:rsidRPr="00F30A97" w:rsidRDefault="0020782B" w:rsidP="00CE08CB">
            <w:pPr>
              <w:pStyle w:val="Tabletext"/>
              <w:rPr>
                <w:sz w:val="20"/>
              </w:rPr>
            </w:pPr>
            <w:r w:rsidRPr="00F30A97">
              <w:rPr>
                <w:sz w:val="20"/>
              </w:rPr>
              <w:t>World Food Program</w:t>
            </w:r>
            <w:r w:rsidR="00747A7E" w:rsidRPr="00F30A97">
              <w:rPr>
                <w:sz w:val="20"/>
              </w:rPr>
              <w:t>me</w:t>
            </w:r>
          </w:p>
        </w:tc>
        <w:tc>
          <w:tcPr>
            <w:tcW w:w="1725" w:type="dxa"/>
            <w:shd w:val="clear" w:color="auto" w:fill="auto"/>
          </w:tcPr>
          <w:p w14:paraId="714B6991" w14:textId="77777777" w:rsidR="0020782B" w:rsidRPr="00F30A97" w:rsidRDefault="0020782B" w:rsidP="00CE08CB">
            <w:pPr>
              <w:pStyle w:val="Tabletext"/>
              <w:rPr>
                <w:sz w:val="20"/>
              </w:rPr>
            </w:pPr>
            <w:r w:rsidRPr="00F30A97">
              <w:rPr>
                <w:sz w:val="20"/>
              </w:rPr>
              <w:t>Emergency Response</w:t>
            </w:r>
          </w:p>
        </w:tc>
        <w:tc>
          <w:tcPr>
            <w:tcW w:w="3765" w:type="dxa"/>
            <w:shd w:val="clear" w:color="auto" w:fill="auto"/>
          </w:tcPr>
          <w:p w14:paraId="751DC739" w14:textId="77777777" w:rsidR="0020782B" w:rsidRPr="00F30A97" w:rsidRDefault="0020782B" w:rsidP="00CE08CB">
            <w:pPr>
              <w:pStyle w:val="Tabletext"/>
              <w:rPr>
                <w:sz w:val="20"/>
              </w:rPr>
            </w:pPr>
            <w:r w:rsidRPr="00F30A97">
              <w:rPr>
                <w:sz w:val="20"/>
              </w:rPr>
              <w:t xml:space="preserve">When disaster strikes, WFP and its humanitarian partners must respond as quickly and efficiently as possible. A lack of on-the-ground accurate information that can be extracted in a low-resource environment can delay emergency response. The solution, DEEP is an open-source machine learning application that works offline, on commercially available laptops to quickly quantify damage in the area. A fundamental part of DEEP is the capacity-building activity for local populations, to enable them to use the app in an emergency situation. </w:t>
            </w:r>
          </w:p>
        </w:tc>
        <w:tc>
          <w:tcPr>
            <w:tcW w:w="1365" w:type="dxa"/>
            <w:shd w:val="clear" w:color="auto" w:fill="auto"/>
          </w:tcPr>
          <w:p w14:paraId="1270D71C" w14:textId="77777777" w:rsidR="0020782B" w:rsidRPr="00F30A97" w:rsidRDefault="0020782B" w:rsidP="00CE08CB">
            <w:pPr>
              <w:pStyle w:val="Tabletext"/>
              <w:rPr>
                <w:sz w:val="20"/>
              </w:rPr>
            </w:pPr>
            <w:r w:rsidRPr="00F30A97">
              <w:rPr>
                <w:sz w:val="20"/>
              </w:rPr>
              <w:t>Ongoing</w:t>
            </w:r>
          </w:p>
        </w:tc>
      </w:tr>
      <w:tr w:rsidR="0020782B" w:rsidRPr="00F30A97" w14:paraId="20C42F72" w14:textId="77777777" w:rsidTr="00A156C3">
        <w:trPr>
          <w:trHeight w:val="290"/>
        </w:trPr>
        <w:tc>
          <w:tcPr>
            <w:tcW w:w="1293" w:type="dxa"/>
            <w:shd w:val="clear" w:color="auto" w:fill="auto"/>
          </w:tcPr>
          <w:p w14:paraId="289A03F0" w14:textId="77777777" w:rsidR="0020782B" w:rsidRPr="00F30A97" w:rsidRDefault="0020782B" w:rsidP="00CE08CB">
            <w:pPr>
              <w:pStyle w:val="Tabletext"/>
              <w:rPr>
                <w:sz w:val="20"/>
              </w:rPr>
            </w:pPr>
            <w:r w:rsidRPr="00F30A97">
              <w:rPr>
                <w:sz w:val="20"/>
              </w:rPr>
              <w:t>WFP</w:t>
            </w:r>
          </w:p>
        </w:tc>
        <w:tc>
          <w:tcPr>
            <w:tcW w:w="1474" w:type="dxa"/>
            <w:shd w:val="clear" w:color="auto" w:fill="auto"/>
          </w:tcPr>
          <w:p w14:paraId="3795DE49" w14:textId="345188A9" w:rsidR="0020782B" w:rsidRPr="00F30A97" w:rsidRDefault="0020782B" w:rsidP="00CE08CB">
            <w:pPr>
              <w:pStyle w:val="Tabletext"/>
              <w:rPr>
                <w:sz w:val="20"/>
              </w:rPr>
            </w:pPr>
            <w:r w:rsidRPr="00F30A97">
              <w:rPr>
                <w:sz w:val="20"/>
              </w:rPr>
              <w:t>World Food Program</w:t>
            </w:r>
            <w:r w:rsidR="00747A7E" w:rsidRPr="00F30A97">
              <w:rPr>
                <w:sz w:val="20"/>
              </w:rPr>
              <w:t>me</w:t>
            </w:r>
          </w:p>
        </w:tc>
        <w:tc>
          <w:tcPr>
            <w:tcW w:w="1725" w:type="dxa"/>
            <w:shd w:val="clear" w:color="auto" w:fill="auto"/>
          </w:tcPr>
          <w:p w14:paraId="0B7D7708" w14:textId="77777777" w:rsidR="0020782B" w:rsidRPr="00F30A97" w:rsidRDefault="0020782B" w:rsidP="00CE08CB">
            <w:pPr>
              <w:pStyle w:val="Tabletext"/>
              <w:rPr>
                <w:sz w:val="20"/>
              </w:rPr>
            </w:pPr>
            <w:r w:rsidRPr="00F30A97">
              <w:rPr>
                <w:sz w:val="20"/>
              </w:rPr>
              <w:t>Emergency Response</w:t>
            </w:r>
          </w:p>
        </w:tc>
        <w:tc>
          <w:tcPr>
            <w:tcW w:w="3765" w:type="dxa"/>
            <w:shd w:val="clear" w:color="auto" w:fill="auto"/>
          </w:tcPr>
          <w:p w14:paraId="674C1F95" w14:textId="77777777" w:rsidR="0020782B" w:rsidRPr="00F30A97" w:rsidRDefault="0020782B" w:rsidP="00CE08CB">
            <w:pPr>
              <w:pStyle w:val="Tabletext"/>
              <w:rPr>
                <w:sz w:val="20"/>
              </w:rPr>
            </w:pPr>
            <w:r w:rsidRPr="00F30A97">
              <w:rPr>
                <w:sz w:val="20"/>
              </w:rPr>
              <w:t xml:space="preserve">When disasters strike, needs assessments are conducted by humanitarian experts based on the first information collected, their knowledge, and their experience. However, we do not have access to past data that could help build an innovative AI-driven logistic provision model for </w:t>
            </w:r>
            <w:r w:rsidRPr="00F30A97">
              <w:rPr>
                <w:sz w:val="20"/>
              </w:rPr>
              <w:lastRenderedPageBreak/>
              <w:t>emergency in cyclones. We have collaborated with Omdena Challenge (crowd-sourced) to bring 40 AI experts and aspiring data scientists from around the world to build the model. The team mapped the correlation factors to determine which populations are most in need. As an example, below the income level is correlated with the number of people affected. Taking advantage of past data, the data model predicts affected populations. Once an affected population has been identified, humanitarian actors need to design comprehensive emergency operations, including how much food and what type of food is needed. The project team built a food basket tool, which facilitates calculating the needs of affected populations. The tool also has features to account for factors influencing population needs, such as days to be covered, the number of affected people, pregnancies, children, etc.</w:t>
            </w:r>
          </w:p>
        </w:tc>
        <w:tc>
          <w:tcPr>
            <w:tcW w:w="1365" w:type="dxa"/>
            <w:shd w:val="clear" w:color="auto" w:fill="auto"/>
          </w:tcPr>
          <w:p w14:paraId="6E648160" w14:textId="77777777" w:rsidR="0020782B" w:rsidRPr="00F30A97" w:rsidRDefault="0020782B" w:rsidP="00CE08CB">
            <w:pPr>
              <w:pStyle w:val="Tabletext"/>
              <w:rPr>
                <w:sz w:val="20"/>
              </w:rPr>
            </w:pPr>
            <w:r w:rsidRPr="00F30A97">
              <w:rPr>
                <w:sz w:val="20"/>
              </w:rPr>
              <w:lastRenderedPageBreak/>
              <w:t>Ended 2020</w:t>
            </w:r>
          </w:p>
        </w:tc>
      </w:tr>
      <w:tr w:rsidR="0020782B" w:rsidRPr="00F30A97" w14:paraId="19D92AD1" w14:textId="77777777" w:rsidTr="00A156C3">
        <w:trPr>
          <w:trHeight w:val="290"/>
        </w:trPr>
        <w:tc>
          <w:tcPr>
            <w:tcW w:w="1293" w:type="dxa"/>
            <w:shd w:val="clear" w:color="auto" w:fill="auto"/>
          </w:tcPr>
          <w:p w14:paraId="215CEDBA" w14:textId="77777777" w:rsidR="0020782B" w:rsidRPr="00F30A97" w:rsidRDefault="0020782B" w:rsidP="00CE08CB">
            <w:pPr>
              <w:pStyle w:val="Tabletext"/>
              <w:rPr>
                <w:sz w:val="20"/>
              </w:rPr>
            </w:pPr>
            <w:r w:rsidRPr="00F30A97">
              <w:rPr>
                <w:sz w:val="20"/>
              </w:rPr>
              <w:t>WFP</w:t>
            </w:r>
          </w:p>
        </w:tc>
        <w:tc>
          <w:tcPr>
            <w:tcW w:w="1474" w:type="dxa"/>
            <w:shd w:val="clear" w:color="auto" w:fill="auto"/>
          </w:tcPr>
          <w:p w14:paraId="0518ACB9" w14:textId="13622834" w:rsidR="0020782B" w:rsidRPr="00F30A97" w:rsidRDefault="0020782B" w:rsidP="00CE08CB">
            <w:pPr>
              <w:pStyle w:val="Tabletext"/>
              <w:rPr>
                <w:sz w:val="20"/>
              </w:rPr>
            </w:pPr>
            <w:r w:rsidRPr="00F30A97">
              <w:rPr>
                <w:sz w:val="20"/>
              </w:rPr>
              <w:t>World Food Program</w:t>
            </w:r>
            <w:r w:rsidR="00747A7E" w:rsidRPr="00F30A97">
              <w:rPr>
                <w:sz w:val="20"/>
              </w:rPr>
              <w:t>me</w:t>
            </w:r>
          </w:p>
        </w:tc>
        <w:tc>
          <w:tcPr>
            <w:tcW w:w="1725" w:type="dxa"/>
            <w:shd w:val="clear" w:color="auto" w:fill="auto"/>
          </w:tcPr>
          <w:p w14:paraId="1EA6F8DF" w14:textId="77777777" w:rsidR="0020782B" w:rsidRPr="00F30A97" w:rsidRDefault="0020782B" w:rsidP="00CE08CB">
            <w:pPr>
              <w:pStyle w:val="Tabletext"/>
              <w:rPr>
                <w:sz w:val="20"/>
              </w:rPr>
            </w:pPr>
            <w:r w:rsidRPr="00F30A97">
              <w:rPr>
                <w:sz w:val="20"/>
              </w:rPr>
              <w:t>INKA</w:t>
            </w:r>
          </w:p>
        </w:tc>
        <w:tc>
          <w:tcPr>
            <w:tcW w:w="3765" w:type="dxa"/>
            <w:shd w:val="clear" w:color="auto" w:fill="auto"/>
          </w:tcPr>
          <w:p w14:paraId="06A63751" w14:textId="6427B815" w:rsidR="0020782B" w:rsidRPr="00F30A97" w:rsidRDefault="0020782B" w:rsidP="00CE08CB">
            <w:pPr>
              <w:pStyle w:val="Tabletext"/>
              <w:rPr>
                <w:sz w:val="20"/>
              </w:rPr>
            </w:pPr>
            <w:r w:rsidRPr="00F30A97">
              <w:rPr>
                <w:sz w:val="20"/>
              </w:rPr>
              <w:t xml:space="preserve">As part of its frontier innovations portfolio, WFP has been exploring new technologies that can automate this process and speed up response times. WFP partnered with Google Research to set up SKAI, a humanitarian response mapping project powered by artificial intelligence </w:t>
            </w:r>
            <w:r w:rsidR="00B40627" w:rsidRPr="00F30A97">
              <w:rPr>
                <w:sz w:val="20"/>
              </w:rPr>
              <w:t>–</w:t>
            </w:r>
            <w:r w:rsidRPr="00F30A97">
              <w:rPr>
                <w:sz w:val="20"/>
              </w:rPr>
              <w:t xml:space="preserve"> an approach that combines statistical methods, data and modern computing techniques to automate specific tasks. SKAI assesses damage to buildings by applying computer vision </w:t>
            </w:r>
            <w:r w:rsidR="00B40627" w:rsidRPr="00F30A97">
              <w:rPr>
                <w:sz w:val="20"/>
              </w:rPr>
              <w:t>–</w:t>
            </w:r>
            <w:r w:rsidRPr="00F30A97">
              <w:rPr>
                <w:sz w:val="20"/>
              </w:rPr>
              <w:t xml:space="preserve"> computer algorithms that can interpret information extracted from visual materials such as, in this case, satellite images of areas impacted by conflict, climate events, or other disasters. The key to this process is a machine learning model developed specifically for SKA, which detects damaged buildings by comparing imagery of the same buildings before and after the disaster. SKAI aims to leverage the power of artificial intelligence and remote sensing to assess damage within 24 hours after disasters take place.</w:t>
            </w:r>
          </w:p>
        </w:tc>
        <w:tc>
          <w:tcPr>
            <w:tcW w:w="1365" w:type="dxa"/>
            <w:shd w:val="clear" w:color="auto" w:fill="auto"/>
          </w:tcPr>
          <w:p w14:paraId="31A4C9A9" w14:textId="77777777" w:rsidR="0020782B" w:rsidRPr="00F30A97" w:rsidRDefault="0020782B" w:rsidP="00CE08CB">
            <w:pPr>
              <w:pStyle w:val="Tabletext"/>
              <w:rPr>
                <w:sz w:val="20"/>
              </w:rPr>
            </w:pPr>
            <w:r w:rsidRPr="00F30A97">
              <w:rPr>
                <w:sz w:val="20"/>
              </w:rPr>
              <w:t>Ongoing</w:t>
            </w:r>
          </w:p>
        </w:tc>
      </w:tr>
      <w:tr w:rsidR="0020782B" w:rsidRPr="00F30A97" w14:paraId="6948AA93" w14:textId="77777777" w:rsidTr="00A156C3">
        <w:trPr>
          <w:trHeight w:val="290"/>
        </w:trPr>
        <w:tc>
          <w:tcPr>
            <w:tcW w:w="1293" w:type="dxa"/>
            <w:shd w:val="clear" w:color="auto" w:fill="auto"/>
            <w:vAlign w:val="center"/>
          </w:tcPr>
          <w:p w14:paraId="3B4C6646" w14:textId="77777777" w:rsidR="0020782B" w:rsidRPr="00F30A97" w:rsidRDefault="0020782B" w:rsidP="00CE08CB">
            <w:pPr>
              <w:pStyle w:val="Tabletext"/>
              <w:rPr>
                <w:sz w:val="20"/>
              </w:rPr>
            </w:pPr>
            <w:r w:rsidRPr="00F30A97">
              <w:rPr>
                <w:color w:val="000000"/>
                <w:sz w:val="20"/>
              </w:rPr>
              <w:t>WFP</w:t>
            </w:r>
          </w:p>
        </w:tc>
        <w:tc>
          <w:tcPr>
            <w:tcW w:w="1474" w:type="dxa"/>
            <w:shd w:val="clear" w:color="auto" w:fill="auto"/>
            <w:vAlign w:val="center"/>
          </w:tcPr>
          <w:p w14:paraId="7CFC56CE" w14:textId="013C44BF" w:rsidR="0020782B" w:rsidRPr="00F30A97" w:rsidRDefault="0020782B" w:rsidP="00CE08CB">
            <w:pPr>
              <w:pStyle w:val="Tabletext"/>
              <w:rPr>
                <w:sz w:val="20"/>
              </w:rPr>
            </w:pPr>
            <w:r w:rsidRPr="00F30A97">
              <w:rPr>
                <w:color w:val="000000"/>
                <w:sz w:val="20"/>
              </w:rPr>
              <w:t>World Food Program</w:t>
            </w:r>
            <w:r w:rsidR="00747A7E" w:rsidRPr="00F30A97">
              <w:rPr>
                <w:color w:val="000000"/>
                <w:sz w:val="20"/>
              </w:rPr>
              <w:t>me</w:t>
            </w:r>
          </w:p>
        </w:tc>
        <w:tc>
          <w:tcPr>
            <w:tcW w:w="1725" w:type="dxa"/>
            <w:shd w:val="clear" w:color="auto" w:fill="auto"/>
            <w:vAlign w:val="center"/>
          </w:tcPr>
          <w:p w14:paraId="779B12B2" w14:textId="77777777" w:rsidR="0020782B" w:rsidRPr="00F30A97" w:rsidRDefault="0020782B" w:rsidP="00CE08CB">
            <w:pPr>
              <w:pStyle w:val="Tabletext"/>
              <w:rPr>
                <w:sz w:val="20"/>
              </w:rPr>
            </w:pPr>
            <w:r w:rsidRPr="00F30A97">
              <w:rPr>
                <w:color w:val="000000"/>
                <w:sz w:val="20"/>
              </w:rPr>
              <w:t>INKA</w:t>
            </w:r>
          </w:p>
        </w:tc>
        <w:tc>
          <w:tcPr>
            <w:tcW w:w="3765" w:type="dxa"/>
            <w:shd w:val="clear" w:color="auto" w:fill="auto"/>
            <w:vAlign w:val="center"/>
          </w:tcPr>
          <w:p w14:paraId="13292C3B" w14:textId="4ECC8E83" w:rsidR="0020782B" w:rsidRPr="00F30A97" w:rsidRDefault="0020782B" w:rsidP="00CE08CB">
            <w:pPr>
              <w:pStyle w:val="Tabletext"/>
              <w:rPr>
                <w:sz w:val="20"/>
              </w:rPr>
            </w:pPr>
            <w:r w:rsidRPr="00F30A97">
              <w:rPr>
                <w:color w:val="000000"/>
                <w:sz w:val="20"/>
              </w:rPr>
              <w:t>FamPred project is complementary to WFP</w:t>
            </w:r>
            <w:r w:rsidR="00644FA2" w:rsidRPr="00F30A97">
              <w:rPr>
                <w:color w:val="000000"/>
                <w:sz w:val="20"/>
              </w:rPr>
              <w:t>'</w:t>
            </w:r>
            <w:r w:rsidRPr="00F30A97">
              <w:rPr>
                <w:color w:val="000000"/>
                <w:sz w:val="20"/>
              </w:rPr>
              <w:t>s HungerMap LIVE humanitarian mapping project (https://hungermap.wfp.org). FamPred expands the HungerMap LIVE</w:t>
            </w:r>
            <w:r w:rsidR="00644FA2" w:rsidRPr="00F30A97">
              <w:rPr>
                <w:color w:val="000000"/>
                <w:sz w:val="20"/>
              </w:rPr>
              <w:t>'</w:t>
            </w:r>
            <w:r w:rsidRPr="00F30A97">
              <w:rPr>
                <w:color w:val="000000"/>
                <w:sz w:val="20"/>
              </w:rPr>
              <w:t xml:space="preserve">s capabilities to forecast food crises by adding projections on insufficient food consumption. Artificial intelligence offers new opportunities for </w:t>
            </w:r>
            <w:r w:rsidRPr="00F30A97">
              <w:rPr>
                <w:color w:val="000000"/>
                <w:sz w:val="20"/>
              </w:rPr>
              <w:lastRenderedPageBreak/>
              <w:t xml:space="preserve">forecasting food insecurity in complex systems, where an approach known as </w:t>
            </w:r>
            <w:r w:rsidR="00644FA2" w:rsidRPr="00F30A97">
              <w:rPr>
                <w:color w:val="000000"/>
                <w:sz w:val="20"/>
              </w:rPr>
              <w:t>"</w:t>
            </w:r>
            <w:r w:rsidRPr="00F30A97">
              <w:rPr>
                <w:color w:val="000000"/>
                <w:sz w:val="20"/>
              </w:rPr>
              <w:t>reservoir computing</w:t>
            </w:r>
            <w:r w:rsidR="00644FA2" w:rsidRPr="00F30A97">
              <w:rPr>
                <w:color w:val="000000"/>
                <w:sz w:val="20"/>
              </w:rPr>
              <w:t>"</w:t>
            </w:r>
            <w:r w:rsidRPr="00F30A97">
              <w:rPr>
                <w:color w:val="000000"/>
                <w:sz w:val="20"/>
              </w:rPr>
              <w:t xml:space="preserve"> is among the most promising. The project aims to develop a reservoir-computing-based prediction model using relevant datasets for the identified geographies in HungerMap LIVE. This model would strengthen WFP</w:t>
            </w:r>
            <w:r w:rsidR="00644FA2" w:rsidRPr="00F30A97">
              <w:rPr>
                <w:color w:val="000000"/>
                <w:sz w:val="20"/>
              </w:rPr>
              <w:t>'</w:t>
            </w:r>
            <w:r w:rsidRPr="00F30A97">
              <w:rPr>
                <w:color w:val="000000"/>
                <w:sz w:val="20"/>
              </w:rPr>
              <w:t>s and national governments</w:t>
            </w:r>
            <w:r w:rsidR="00644FA2" w:rsidRPr="00F30A97">
              <w:rPr>
                <w:color w:val="000000"/>
                <w:sz w:val="20"/>
              </w:rPr>
              <w:t>'</w:t>
            </w:r>
            <w:r w:rsidRPr="00F30A97">
              <w:rPr>
                <w:color w:val="000000"/>
                <w:sz w:val="20"/>
              </w:rPr>
              <w:t xml:space="preserve"> capacities to predict crises, deploy resources and prevent food crises outbreaks, ensuring communities at risk of hunger continue to get the support they need, when they need it.</w:t>
            </w:r>
          </w:p>
        </w:tc>
        <w:tc>
          <w:tcPr>
            <w:tcW w:w="1365" w:type="dxa"/>
            <w:shd w:val="clear" w:color="auto" w:fill="auto"/>
            <w:vAlign w:val="center"/>
          </w:tcPr>
          <w:p w14:paraId="2D9286C3" w14:textId="77777777" w:rsidR="0020782B" w:rsidRPr="00F30A97" w:rsidRDefault="0020782B" w:rsidP="00CE08CB">
            <w:pPr>
              <w:pStyle w:val="Tabletext"/>
              <w:rPr>
                <w:sz w:val="20"/>
              </w:rPr>
            </w:pPr>
            <w:r w:rsidRPr="00F30A97">
              <w:rPr>
                <w:color w:val="000000"/>
                <w:sz w:val="20"/>
              </w:rPr>
              <w:lastRenderedPageBreak/>
              <w:t>Ended 2021</w:t>
            </w:r>
          </w:p>
        </w:tc>
      </w:tr>
      <w:tr w:rsidR="0020782B" w:rsidRPr="00F30A97" w14:paraId="7DF7CBBF" w14:textId="77777777" w:rsidTr="00A156C3">
        <w:trPr>
          <w:trHeight w:val="290"/>
        </w:trPr>
        <w:tc>
          <w:tcPr>
            <w:tcW w:w="1293" w:type="dxa"/>
            <w:shd w:val="clear" w:color="auto" w:fill="auto"/>
            <w:vAlign w:val="center"/>
          </w:tcPr>
          <w:p w14:paraId="23C4AB09" w14:textId="77777777" w:rsidR="0020782B" w:rsidRPr="00F30A97" w:rsidRDefault="0020782B" w:rsidP="00CE08CB">
            <w:pPr>
              <w:pStyle w:val="Tabletext"/>
              <w:rPr>
                <w:sz w:val="20"/>
              </w:rPr>
            </w:pPr>
            <w:r w:rsidRPr="00F30A97">
              <w:rPr>
                <w:color w:val="000000"/>
                <w:sz w:val="20"/>
              </w:rPr>
              <w:t>WFP</w:t>
            </w:r>
          </w:p>
        </w:tc>
        <w:tc>
          <w:tcPr>
            <w:tcW w:w="1474" w:type="dxa"/>
            <w:shd w:val="clear" w:color="auto" w:fill="auto"/>
            <w:vAlign w:val="center"/>
          </w:tcPr>
          <w:p w14:paraId="4AE245BF" w14:textId="6E1528AE" w:rsidR="0020782B" w:rsidRPr="00F30A97" w:rsidRDefault="0020782B" w:rsidP="00CE08CB">
            <w:pPr>
              <w:pStyle w:val="Tabletext"/>
              <w:rPr>
                <w:sz w:val="20"/>
              </w:rPr>
            </w:pPr>
            <w:r w:rsidRPr="00F30A97">
              <w:rPr>
                <w:color w:val="000000"/>
                <w:sz w:val="20"/>
              </w:rPr>
              <w:t>World Food Program</w:t>
            </w:r>
            <w:r w:rsidR="00747A7E" w:rsidRPr="00F30A97">
              <w:rPr>
                <w:color w:val="000000"/>
                <w:sz w:val="20"/>
              </w:rPr>
              <w:t>me</w:t>
            </w:r>
          </w:p>
        </w:tc>
        <w:tc>
          <w:tcPr>
            <w:tcW w:w="1725" w:type="dxa"/>
            <w:shd w:val="clear" w:color="auto" w:fill="auto"/>
            <w:vAlign w:val="center"/>
          </w:tcPr>
          <w:p w14:paraId="659A832E" w14:textId="77777777" w:rsidR="0020782B" w:rsidRPr="00F30A97" w:rsidRDefault="0020782B" w:rsidP="00CE08CB">
            <w:pPr>
              <w:pStyle w:val="Tabletext"/>
              <w:rPr>
                <w:sz w:val="20"/>
              </w:rPr>
            </w:pPr>
            <w:r w:rsidRPr="00F30A97">
              <w:rPr>
                <w:color w:val="000000"/>
                <w:sz w:val="20"/>
              </w:rPr>
              <w:t>Research, Assessment and Monitoring Division</w:t>
            </w:r>
          </w:p>
        </w:tc>
        <w:tc>
          <w:tcPr>
            <w:tcW w:w="3765" w:type="dxa"/>
            <w:shd w:val="clear" w:color="auto" w:fill="auto"/>
            <w:vAlign w:val="center"/>
          </w:tcPr>
          <w:p w14:paraId="73A770E5" w14:textId="21075352" w:rsidR="0020782B" w:rsidRPr="00F30A97" w:rsidRDefault="0020782B" w:rsidP="00CE08CB">
            <w:pPr>
              <w:pStyle w:val="Tabletext"/>
              <w:rPr>
                <w:sz w:val="20"/>
              </w:rPr>
            </w:pPr>
            <w:r w:rsidRPr="00F30A97">
              <w:rPr>
                <w:color w:val="000000"/>
                <w:sz w:val="20"/>
              </w:rPr>
              <w:t>Crop land and type mapping is crucial in the assessment of agricultural production of a country. It is also a critical prerequisite for the monitoring and assessment of changes in agricultural livelihood resources, which is particularly important in areas affected by conflict, natural disasters and other disruptions, allowing staff to timely allocate resources and deliver food assistance. However, the collection of ground data tends to take considerable time and may be particularly expensive and hard to carry out in emergency contexts. The current project explores innovative methodologies for making the crop type mapping process more efficient and cost-effective. A combination of images from drones and satellites such as Sentinel-2 open up new possibilities for obtaining accurate data from the ground. WFP is testing the use of drones to capture images from much larger areas, compared to conventional data collection methods which use enumerators or smartphone applications which lead to relatively small sample sizes. The drone images are then classified into different crop types with high or sufficient accuracy. The ultimate goal is to use the drone data to train the Sentinel-2</w:t>
            </w:r>
            <w:r w:rsidR="00644FA2" w:rsidRPr="00F30A97">
              <w:rPr>
                <w:color w:val="000000"/>
                <w:sz w:val="20"/>
              </w:rPr>
              <w:t>'</w:t>
            </w:r>
            <w:r w:rsidRPr="00F30A97">
              <w:rPr>
                <w:color w:val="000000"/>
                <w:sz w:val="20"/>
              </w:rPr>
              <w:t>s machine learning model to recognise different types of crops over larger unsampled areas. As a result, this new process combining artificial intelligence with drone and satellite imagery data will substantially reduce field work and automate the process of crop type mapping.</w:t>
            </w:r>
          </w:p>
        </w:tc>
        <w:tc>
          <w:tcPr>
            <w:tcW w:w="1365" w:type="dxa"/>
            <w:shd w:val="clear" w:color="auto" w:fill="auto"/>
            <w:vAlign w:val="center"/>
          </w:tcPr>
          <w:p w14:paraId="79A304B0" w14:textId="77777777" w:rsidR="0020782B" w:rsidRPr="00F30A97" w:rsidRDefault="0020782B" w:rsidP="00CE08CB">
            <w:pPr>
              <w:pStyle w:val="Tabletext"/>
              <w:rPr>
                <w:sz w:val="20"/>
              </w:rPr>
            </w:pPr>
            <w:r w:rsidRPr="00F30A97">
              <w:rPr>
                <w:color w:val="000000"/>
                <w:sz w:val="20"/>
              </w:rPr>
              <w:t>Ongoing</w:t>
            </w:r>
          </w:p>
        </w:tc>
      </w:tr>
      <w:tr w:rsidR="0020782B" w:rsidRPr="00F30A97" w14:paraId="0E9ABC65" w14:textId="77777777" w:rsidTr="00A156C3">
        <w:trPr>
          <w:trHeight w:val="290"/>
        </w:trPr>
        <w:tc>
          <w:tcPr>
            <w:tcW w:w="1293" w:type="dxa"/>
            <w:shd w:val="clear" w:color="auto" w:fill="auto"/>
            <w:vAlign w:val="center"/>
          </w:tcPr>
          <w:p w14:paraId="26504950" w14:textId="77777777" w:rsidR="0020782B" w:rsidRPr="00F30A97" w:rsidRDefault="0020782B" w:rsidP="00CE08CB">
            <w:pPr>
              <w:pStyle w:val="Tabletext"/>
              <w:rPr>
                <w:sz w:val="20"/>
              </w:rPr>
            </w:pPr>
            <w:r w:rsidRPr="00F30A97">
              <w:rPr>
                <w:color w:val="000000"/>
                <w:sz w:val="20"/>
              </w:rPr>
              <w:t>WFP</w:t>
            </w:r>
          </w:p>
        </w:tc>
        <w:tc>
          <w:tcPr>
            <w:tcW w:w="1474" w:type="dxa"/>
            <w:shd w:val="clear" w:color="auto" w:fill="auto"/>
            <w:vAlign w:val="center"/>
          </w:tcPr>
          <w:p w14:paraId="71193D54" w14:textId="1796C0DB" w:rsidR="0020782B" w:rsidRPr="00F30A97" w:rsidRDefault="0020782B" w:rsidP="00CE08CB">
            <w:pPr>
              <w:pStyle w:val="Tabletext"/>
              <w:rPr>
                <w:sz w:val="20"/>
              </w:rPr>
            </w:pPr>
            <w:r w:rsidRPr="00F30A97">
              <w:rPr>
                <w:color w:val="000000"/>
                <w:sz w:val="20"/>
              </w:rPr>
              <w:t>World Food Program</w:t>
            </w:r>
            <w:r w:rsidR="00747A7E" w:rsidRPr="00F30A97">
              <w:rPr>
                <w:color w:val="000000"/>
                <w:sz w:val="20"/>
              </w:rPr>
              <w:t>me</w:t>
            </w:r>
          </w:p>
        </w:tc>
        <w:tc>
          <w:tcPr>
            <w:tcW w:w="1725" w:type="dxa"/>
            <w:shd w:val="clear" w:color="auto" w:fill="auto"/>
            <w:vAlign w:val="center"/>
          </w:tcPr>
          <w:p w14:paraId="7052B35A" w14:textId="77777777" w:rsidR="0020782B" w:rsidRPr="00F30A97" w:rsidRDefault="0020782B" w:rsidP="00CE08CB">
            <w:pPr>
              <w:pStyle w:val="Tabletext"/>
              <w:rPr>
                <w:sz w:val="20"/>
              </w:rPr>
            </w:pPr>
            <w:r w:rsidRPr="00F30A97">
              <w:rPr>
                <w:color w:val="000000"/>
                <w:sz w:val="20"/>
              </w:rPr>
              <w:t>Research, Assessment and Monitoring Division</w:t>
            </w:r>
          </w:p>
        </w:tc>
        <w:tc>
          <w:tcPr>
            <w:tcW w:w="3765" w:type="dxa"/>
            <w:shd w:val="clear" w:color="auto" w:fill="auto"/>
            <w:vAlign w:val="center"/>
          </w:tcPr>
          <w:p w14:paraId="2FB77D01" w14:textId="4CA05379" w:rsidR="0020782B" w:rsidRPr="00F30A97" w:rsidRDefault="0020782B" w:rsidP="00CE08CB">
            <w:pPr>
              <w:pStyle w:val="Tabletext"/>
              <w:rPr>
                <w:sz w:val="20"/>
              </w:rPr>
            </w:pPr>
            <w:r w:rsidRPr="00F30A97">
              <w:rPr>
                <w:color w:val="000000"/>
                <w:sz w:val="20"/>
              </w:rPr>
              <w:t xml:space="preserve">HungerMapLIVE brings together different streams of publicly available information on food security, nutrition, conflict, weather and a variety of macro-economic data – including from WFP – all in one place to </w:t>
            </w:r>
            <w:r w:rsidRPr="00F30A97">
              <w:rPr>
                <w:color w:val="000000"/>
                <w:sz w:val="20"/>
              </w:rPr>
              <w:lastRenderedPageBreak/>
              <w:t>provide a holistic overview of the food security situation at global, country and sub-national levels. The resulting analysis is displayed on an interactive map using advanced data visualization tools. As WFP</w:t>
            </w:r>
            <w:r w:rsidR="00644FA2" w:rsidRPr="00F30A97">
              <w:rPr>
                <w:color w:val="000000"/>
                <w:sz w:val="20"/>
              </w:rPr>
              <w:t>'</w:t>
            </w:r>
            <w:r w:rsidRPr="00F30A97">
              <w:rPr>
                <w:color w:val="000000"/>
                <w:sz w:val="20"/>
              </w:rPr>
              <w:t xml:space="preserve">s global food security monitoring system, the HungerMap LIVE: enhances operational effectiveness by identifying areas that are sliding towards food insecurity, providing information on shocks, hazards and other drivers of hunger in </w:t>
            </w:r>
            <w:r w:rsidRPr="00F30A97">
              <w:rPr>
                <w:sz w:val="20"/>
              </w:rPr>
              <w:t>real time</w:t>
            </w:r>
            <w:r w:rsidRPr="00F30A97">
              <w:rPr>
                <w:color w:val="000000"/>
                <w:sz w:val="20"/>
              </w:rPr>
              <w:t xml:space="preserve">, ensuring more informed and timely response to food crises; </w:t>
            </w:r>
            <w:r w:rsidRPr="00F30A97">
              <w:rPr>
                <w:sz w:val="20"/>
              </w:rPr>
              <w:t>maximizes</w:t>
            </w:r>
            <w:r w:rsidRPr="00F30A97">
              <w:rPr>
                <w:color w:val="000000"/>
                <w:sz w:val="20"/>
              </w:rPr>
              <w:t xml:space="preserve"> efficiency by providing continuously updated data at a lower cost and in less time, compared to traditional food security monitoring systems alone; ensures continuously updated information in countries of interest, regardless of accessibility issues and the scale of WFP</w:t>
            </w:r>
            <w:r w:rsidR="00644FA2" w:rsidRPr="00F30A97">
              <w:rPr>
                <w:color w:val="000000"/>
                <w:sz w:val="20"/>
              </w:rPr>
              <w:t>'</w:t>
            </w:r>
            <w:r w:rsidRPr="00F30A97">
              <w:rPr>
                <w:color w:val="000000"/>
                <w:sz w:val="20"/>
              </w:rPr>
              <w:t>s operational presence.</w:t>
            </w:r>
          </w:p>
        </w:tc>
        <w:tc>
          <w:tcPr>
            <w:tcW w:w="1365" w:type="dxa"/>
            <w:shd w:val="clear" w:color="auto" w:fill="auto"/>
            <w:vAlign w:val="center"/>
          </w:tcPr>
          <w:p w14:paraId="2D436C33" w14:textId="77777777" w:rsidR="0020782B" w:rsidRPr="00F30A97" w:rsidRDefault="0020782B" w:rsidP="00CE08CB">
            <w:pPr>
              <w:pStyle w:val="Tabletext"/>
              <w:rPr>
                <w:sz w:val="20"/>
              </w:rPr>
            </w:pPr>
            <w:r w:rsidRPr="00F30A97">
              <w:rPr>
                <w:color w:val="000000"/>
                <w:sz w:val="20"/>
              </w:rPr>
              <w:lastRenderedPageBreak/>
              <w:t>Ongoing</w:t>
            </w:r>
          </w:p>
        </w:tc>
      </w:tr>
      <w:tr w:rsidR="0020782B" w:rsidRPr="00F30A97" w14:paraId="0661DF99" w14:textId="77777777" w:rsidTr="00A156C3">
        <w:trPr>
          <w:trHeight w:val="290"/>
        </w:trPr>
        <w:tc>
          <w:tcPr>
            <w:tcW w:w="1293" w:type="dxa"/>
            <w:shd w:val="clear" w:color="auto" w:fill="auto"/>
            <w:vAlign w:val="center"/>
          </w:tcPr>
          <w:p w14:paraId="613A1654" w14:textId="77777777" w:rsidR="0020782B" w:rsidRPr="00F30A97" w:rsidRDefault="0020782B" w:rsidP="00CE08CB">
            <w:pPr>
              <w:pStyle w:val="Tabletext"/>
              <w:rPr>
                <w:sz w:val="20"/>
              </w:rPr>
            </w:pPr>
            <w:r w:rsidRPr="00F30A97">
              <w:rPr>
                <w:color w:val="000000"/>
                <w:sz w:val="20"/>
              </w:rPr>
              <w:t>WFP</w:t>
            </w:r>
          </w:p>
        </w:tc>
        <w:tc>
          <w:tcPr>
            <w:tcW w:w="1474" w:type="dxa"/>
            <w:shd w:val="clear" w:color="auto" w:fill="auto"/>
            <w:vAlign w:val="center"/>
          </w:tcPr>
          <w:p w14:paraId="0C7771BB" w14:textId="496DB4AA" w:rsidR="0020782B" w:rsidRPr="00F30A97" w:rsidRDefault="0020782B" w:rsidP="00CE08CB">
            <w:pPr>
              <w:pStyle w:val="Tabletext"/>
              <w:rPr>
                <w:sz w:val="20"/>
              </w:rPr>
            </w:pPr>
            <w:r w:rsidRPr="00F30A97">
              <w:rPr>
                <w:color w:val="000000"/>
                <w:sz w:val="20"/>
              </w:rPr>
              <w:t>World Food Program</w:t>
            </w:r>
            <w:r w:rsidR="00747A7E" w:rsidRPr="00F30A97">
              <w:rPr>
                <w:color w:val="000000"/>
                <w:sz w:val="20"/>
              </w:rPr>
              <w:t>me</w:t>
            </w:r>
          </w:p>
        </w:tc>
        <w:tc>
          <w:tcPr>
            <w:tcW w:w="1725" w:type="dxa"/>
            <w:shd w:val="clear" w:color="auto" w:fill="auto"/>
            <w:vAlign w:val="center"/>
          </w:tcPr>
          <w:p w14:paraId="5D52C4E9" w14:textId="77777777" w:rsidR="0020782B" w:rsidRPr="00F30A97" w:rsidRDefault="0020782B" w:rsidP="00CE08CB">
            <w:pPr>
              <w:pStyle w:val="Tabletext"/>
              <w:rPr>
                <w:sz w:val="20"/>
              </w:rPr>
            </w:pPr>
            <w:r w:rsidRPr="00F30A97">
              <w:rPr>
                <w:color w:val="000000"/>
                <w:sz w:val="20"/>
              </w:rPr>
              <w:t>Research, Assessment and Monitoring Division</w:t>
            </w:r>
          </w:p>
        </w:tc>
        <w:tc>
          <w:tcPr>
            <w:tcW w:w="3765" w:type="dxa"/>
            <w:shd w:val="clear" w:color="auto" w:fill="auto"/>
            <w:vAlign w:val="center"/>
          </w:tcPr>
          <w:p w14:paraId="4B58FE67" w14:textId="7CD1CF47" w:rsidR="0020782B" w:rsidRPr="00F30A97" w:rsidRDefault="0020782B" w:rsidP="00CE08CB">
            <w:pPr>
              <w:pStyle w:val="Tabletext"/>
              <w:rPr>
                <w:sz w:val="20"/>
              </w:rPr>
            </w:pPr>
            <w:r w:rsidRPr="00F30A97">
              <w:rPr>
                <w:color w:val="000000"/>
                <w:sz w:val="20"/>
              </w:rPr>
              <w:t>In emergency and development contexts, communication with affected communities is crucial. Having access to accurate, tailored information and engaging in a dialogue contributes to the resilience and ability of people to cope with a crisis. Since 2016, WFP has been working on the development and rollout of humanitarian chatbots to help deliver vital information to the people in urgent need. This technology improves WFP</w:t>
            </w:r>
            <w:r w:rsidR="00644FA2" w:rsidRPr="00F30A97">
              <w:rPr>
                <w:color w:val="000000"/>
                <w:sz w:val="20"/>
              </w:rPr>
              <w:t>'</w:t>
            </w:r>
            <w:r w:rsidRPr="00F30A97">
              <w:rPr>
                <w:color w:val="000000"/>
                <w:sz w:val="20"/>
              </w:rPr>
              <w:t>s outreach to populations in hard-to-reach areas using a mobile device or a computer and complementing existing communication channels and WFP</w:t>
            </w:r>
            <w:r w:rsidR="00644FA2" w:rsidRPr="00F30A97">
              <w:rPr>
                <w:color w:val="000000"/>
                <w:sz w:val="20"/>
              </w:rPr>
              <w:t>'</w:t>
            </w:r>
            <w:r w:rsidRPr="00F30A97">
              <w:rPr>
                <w:color w:val="000000"/>
                <w:sz w:val="20"/>
              </w:rPr>
              <w:t xml:space="preserve">s food security monitoring systems. This technology has proven to be particularly useful during COVID-19, as communication with affected communities has become even more crucial in times of unprecedented uncertainty. Chatbots are highly customizable. For example, chatbots can be deployed as part of an assets creation programme to provide information about the use of assets as well as to collect feedback from the users. As part of Complaint Feedback and Mechanism (CFM) systems, chatbots have been useful in offering access to information 24/7. Moreover, the analytics produced by chatbots can inform further interactions; WFP staff can monitor errors and improve the technology and user experience over time. As such, chatbots are highly user-friendly and do not require a high level of </w:t>
            </w:r>
            <w:r w:rsidRPr="00F30A97">
              <w:rPr>
                <w:color w:val="000000"/>
                <w:sz w:val="20"/>
              </w:rPr>
              <w:lastRenderedPageBreak/>
              <w:t>computer literacy, making them accessible to large segments of the population.</w:t>
            </w:r>
          </w:p>
        </w:tc>
        <w:tc>
          <w:tcPr>
            <w:tcW w:w="1365" w:type="dxa"/>
            <w:shd w:val="clear" w:color="auto" w:fill="auto"/>
            <w:vAlign w:val="center"/>
          </w:tcPr>
          <w:p w14:paraId="30249481" w14:textId="77777777" w:rsidR="0020782B" w:rsidRPr="00F30A97" w:rsidRDefault="0020782B" w:rsidP="00CE08CB">
            <w:pPr>
              <w:pStyle w:val="Tabletext"/>
              <w:rPr>
                <w:sz w:val="20"/>
              </w:rPr>
            </w:pPr>
            <w:r w:rsidRPr="00F30A97">
              <w:rPr>
                <w:color w:val="000000"/>
                <w:sz w:val="20"/>
              </w:rPr>
              <w:lastRenderedPageBreak/>
              <w:t>Ongoing</w:t>
            </w:r>
          </w:p>
        </w:tc>
      </w:tr>
      <w:tr w:rsidR="0020782B" w:rsidRPr="00F30A97" w14:paraId="550734D7" w14:textId="77777777" w:rsidTr="00A156C3">
        <w:trPr>
          <w:trHeight w:val="290"/>
        </w:trPr>
        <w:tc>
          <w:tcPr>
            <w:tcW w:w="1293" w:type="dxa"/>
            <w:shd w:val="clear" w:color="auto" w:fill="auto"/>
            <w:vAlign w:val="center"/>
          </w:tcPr>
          <w:p w14:paraId="73CBB60A" w14:textId="77777777" w:rsidR="0020782B" w:rsidRPr="00F30A97" w:rsidRDefault="0020782B" w:rsidP="00CE08CB">
            <w:pPr>
              <w:pStyle w:val="Tabletext"/>
              <w:rPr>
                <w:sz w:val="20"/>
              </w:rPr>
            </w:pPr>
            <w:r w:rsidRPr="00F30A97">
              <w:rPr>
                <w:color w:val="000000"/>
                <w:sz w:val="20"/>
              </w:rPr>
              <w:t>WMO</w:t>
            </w:r>
          </w:p>
        </w:tc>
        <w:tc>
          <w:tcPr>
            <w:tcW w:w="1474" w:type="dxa"/>
            <w:shd w:val="clear" w:color="auto" w:fill="auto"/>
            <w:vAlign w:val="center"/>
          </w:tcPr>
          <w:p w14:paraId="69138615" w14:textId="77777777" w:rsidR="0020782B" w:rsidRPr="00F30A97" w:rsidRDefault="0020782B" w:rsidP="00CE08CB">
            <w:pPr>
              <w:pStyle w:val="Tabletext"/>
              <w:rPr>
                <w:sz w:val="20"/>
              </w:rPr>
            </w:pPr>
            <w:r w:rsidRPr="00F30A97">
              <w:rPr>
                <w:color w:val="000000"/>
                <w:sz w:val="20"/>
              </w:rPr>
              <w:t>World Meteorological Organization</w:t>
            </w:r>
          </w:p>
        </w:tc>
        <w:tc>
          <w:tcPr>
            <w:tcW w:w="1725" w:type="dxa"/>
            <w:shd w:val="clear" w:color="auto" w:fill="auto"/>
            <w:vAlign w:val="center"/>
          </w:tcPr>
          <w:p w14:paraId="2D0BB590" w14:textId="77777777" w:rsidR="0020782B" w:rsidRPr="00F30A97" w:rsidRDefault="0020782B" w:rsidP="00CE08CB">
            <w:pPr>
              <w:pStyle w:val="Tabletext"/>
              <w:rPr>
                <w:sz w:val="20"/>
              </w:rPr>
            </w:pPr>
            <w:r w:rsidRPr="00F30A97">
              <w:rPr>
                <w:color w:val="000000"/>
                <w:sz w:val="20"/>
              </w:rPr>
              <w:t xml:space="preserve">Science and Innovation Department </w:t>
            </w:r>
          </w:p>
        </w:tc>
        <w:tc>
          <w:tcPr>
            <w:tcW w:w="3765" w:type="dxa"/>
            <w:shd w:val="clear" w:color="auto" w:fill="auto"/>
            <w:vAlign w:val="center"/>
          </w:tcPr>
          <w:p w14:paraId="3541184D" w14:textId="77777777" w:rsidR="0020782B" w:rsidRPr="00F30A97" w:rsidRDefault="0020782B" w:rsidP="00CE08CB">
            <w:pPr>
              <w:pStyle w:val="Tabletext"/>
              <w:rPr>
                <w:sz w:val="20"/>
              </w:rPr>
            </w:pPr>
            <w:r w:rsidRPr="00F30A97">
              <w:rPr>
                <w:color w:val="000000"/>
                <w:sz w:val="20"/>
              </w:rPr>
              <w:t xml:space="preserve">Improved sub-seasonal to seasonal (S2S) forecasts could enhance food security, the sustainable management of energy and water resources, and reduce disaster risk by providing earlier warnings for natural hazards. The World Meteorological Organization (WMO) has launched a competition to improve, through </w:t>
            </w:r>
            <w:r w:rsidRPr="00F30A97">
              <w:rPr>
                <w:sz w:val="20"/>
              </w:rPr>
              <w:t>a</w:t>
            </w:r>
            <w:r w:rsidRPr="00F30A97">
              <w:rPr>
                <w:color w:val="000000"/>
                <w:sz w:val="20"/>
              </w:rPr>
              <w:t xml:space="preserve">rtificial </w:t>
            </w:r>
            <w:r w:rsidRPr="00F30A97">
              <w:rPr>
                <w:sz w:val="20"/>
              </w:rPr>
              <w:t>i</w:t>
            </w:r>
            <w:r w:rsidRPr="00F30A97">
              <w:rPr>
                <w:color w:val="000000"/>
                <w:sz w:val="20"/>
              </w:rPr>
              <w:t xml:space="preserve">ntelligence and/or </w:t>
            </w:r>
            <w:r w:rsidRPr="00F30A97">
              <w:rPr>
                <w:sz w:val="20"/>
              </w:rPr>
              <w:t>m</w:t>
            </w:r>
            <w:r w:rsidRPr="00F30A97">
              <w:rPr>
                <w:color w:val="000000"/>
                <w:sz w:val="20"/>
              </w:rPr>
              <w:t xml:space="preserve">achine </w:t>
            </w:r>
            <w:r w:rsidRPr="00F30A97">
              <w:rPr>
                <w:sz w:val="20"/>
              </w:rPr>
              <w:t>l</w:t>
            </w:r>
            <w:r w:rsidRPr="00F30A97">
              <w:rPr>
                <w:color w:val="000000"/>
                <w:sz w:val="20"/>
              </w:rPr>
              <w:t>earning techniques, the current precipitation and temperature forecasts for 3 to 6 weeks into the future from the best computational fluid dynamic models available today. All the codes and scripts will be hosted at Renkulab, developed by the Swiss Data Science Center, and training and verification data will be accessible from the European Weather Cloud and IRI Data Library. Data access scripts will be provided. After the competition, open access will be provided to all the codes and results.</w:t>
            </w:r>
          </w:p>
        </w:tc>
        <w:tc>
          <w:tcPr>
            <w:tcW w:w="1365" w:type="dxa"/>
            <w:shd w:val="clear" w:color="auto" w:fill="auto"/>
            <w:vAlign w:val="center"/>
          </w:tcPr>
          <w:p w14:paraId="1D4E0449" w14:textId="77777777" w:rsidR="0020782B" w:rsidRPr="00F30A97" w:rsidRDefault="0020782B" w:rsidP="00CE08CB">
            <w:pPr>
              <w:pStyle w:val="Tabletext"/>
              <w:rPr>
                <w:sz w:val="20"/>
              </w:rPr>
            </w:pPr>
            <w:r w:rsidRPr="00F30A97">
              <w:rPr>
                <w:color w:val="000000"/>
                <w:sz w:val="20"/>
              </w:rPr>
              <w:t>Ongoing</w:t>
            </w:r>
          </w:p>
        </w:tc>
      </w:tr>
    </w:tbl>
    <w:p w14:paraId="0F43E6FF" w14:textId="7B188488" w:rsidR="0020782B" w:rsidRPr="00F30A97" w:rsidRDefault="00B40627" w:rsidP="00CE08CB">
      <w:pPr>
        <w:pStyle w:val="Heading1"/>
      </w:pPr>
      <w:bookmarkStart w:id="51" w:name="_Toc122117101"/>
      <w:bookmarkStart w:id="52" w:name="_Toc122117118"/>
      <w:bookmarkStart w:id="53" w:name="_Toc126934275"/>
      <w:r w:rsidRPr="00F30A97">
        <w:t>7</w:t>
      </w:r>
      <w:r w:rsidRPr="00F30A97">
        <w:tab/>
      </w:r>
      <w:r w:rsidR="0020782B" w:rsidRPr="00F30A97">
        <w:t>Trend and gap analysis</w:t>
      </w:r>
      <w:bookmarkEnd w:id="51"/>
      <w:bookmarkEnd w:id="52"/>
      <w:bookmarkEnd w:id="53"/>
    </w:p>
    <w:p w14:paraId="3B0189A5" w14:textId="1B2575C4" w:rsidR="0020782B" w:rsidRPr="00F30A97" w:rsidRDefault="0020782B" w:rsidP="00CE08CB">
      <w:r w:rsidRPr="00F30A97">
        <w:t>Through an analysis of existing standards (Table 3), several recurring themes could be found: disaster management phases, disaster types, technologies (including acquisition methods), data-related considerations (both data standards and data handling approaches), model-related considerations (including types of learning), and implementation of AI/ML technologies for operational purposes. The scope of this Roadmap was oriented to focus on trends and gaps among these themes when analy</w:t>
      </w:r>
      <w:r w:rsidR="00747A7E" w:rsidRPr="00F30A97">
        <w:t>s</w:t>
      </w:r>
      <w:r w:rsidRPr="00F30A97">
        <w:t>ing those standards that were downloadable and freely available online (42 of the 45 total standards; indicated with an asterisk in Table 3).</w:t>
      </w:r>
    </w:p>
    <w:p w14:paraId="450A63F2" w14:textId="77777777" w:rsidR="0020782B" w:rsidRPr="00F30A97" w:rsidRDefault="0020782B" w:rsidP="00CE08CB">
      <w:pPr>
        <w:pStyle w:val="Headingb"/>
      </w:pPr>
      <w:r w:rsidRPr="00F30A97">
        <w:t xml:space="preserve">Disaster management phase </w:t>
      </w:r>
    </w:p>
    <w:p w14:paraId="3AA90F0F" w14:textId="77777777" w:rsidR="0020782B" w:rsidRPr="00F30A97" w:rsidRDefault="0020782B" w:rsidP="00CE08CB">
      <w:r w:rsidRPr="00F30A97">
        <w:t>The disaster management cycle consists of four main phases: prevention/mitigation, preparedness, response/relief, and recovery [b-FEMA] [b-UN-SPIDER]. These phases reflect proactive and reactive steps that can be taken to enhance resilience, reduce impacts, and restore communities (Figure 3).</w:t>
      </w:r>
    </w:p>
    <w:p w14:paraId="02B38B9E" w14:textId="77777777" w:rsidR="0020782B" w:rsidRPr="00F30A97" w:rsidRDefault="0020782B" w:rsidP="00CE08CB">
      <w:pPr>
        <w:pStyle w:val="Figure"/>
      </w:pPr>
      <w:r w:rsidRPr="00F30A97">
        <w:lastRenderedPageBreak/>
        <w:drawing>
          <wp:inline distT="0" distB="0" distL="0" distR="0" wp14:anchorId="4A42FD69" wp14:editId="0700747F">
            <wp:extent cx="5092121" cy="3797300"/>
            <wp:effectExtent l="0" t="0" r="0" b="0"/>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105955" cy="3807616"/>
                    </a:xfrm>
                    <a:prstGeom prst="rect">
                      <a:avLst/>
                    </a:prstGeom>
                  </pic:spPr>
                </pic:pic>
              </a:graphicData>
            </a:graphic>
          </wp:inline>
        </w:drawing>
      </w:r>
    </w:p>
    <w:p w14:paraId="3CFFE5B8" w14:textId="5C9951B4" w:rsidR="0020782B" w:rsidRPr="00F30A97" w:rsidRDefault="0020782B" w:rsidP="00CE08CB">
      <w:pPr>
        <w:pStyle w:val="FigureNoTitle"/>
      </w:pPr>
      <w:bookmarkStart w:id="54" w:name="_Toc122117084"/>
      <w:r w:rsidRPr="00F30A97">
        <w:t xml:space="preserve">Figure 3 </w:t>
      </w:r>
      <w:r w:rsidR="00B40627" w:rsidRPr="00F30A97">
        <w:t>–</w:t>
      </w:r>
      <w:r w:rsidRPr="00F30A97">
        <w:t xml:space="preserve"> The disaster management cycle</w:t>
      </w:r>
      <w:bookmarkEnd w:id="54"/>
    </w:p>
    <w:p w14:paraId="401C9BF6" w14:textId="0CA980B5" w:rsidR="0020782B" w:rsidRPr="00F30A97" w:rsidRDefault="0020782B" w:rsidP="00CE08CB">
      <w:pPr>
        <w:pStyle w:val="Normalaftertitle"/>
      </w:pPr>
      <w:r w:rsidRPr="00F30A97">
        <w:t xml:space="preserve">Prevention/mitigation encompasses efforts aiming to prevent or minimize future disasters. It includes enforcing building codes and retrofitting infrastructure, constructing levees and digging channels to redirect water </w:t>
      </w:r>
      <w:r w:rsidRPr="00F30A97">
        <w:rPr>
          <w:shd w:val="clear" w:color="auto" w:fill="D9EAD3"/>
        </w:rPr>
        <w:t>[</w:t>
      </w:r>
      <w:r w:rsidRPr="00F30A97">
        <w:t xml:space="preserve">b-FEMA], identifying hazards and impacts, and educating the public about hazards and mitigation strategies [b-Sun]. Some ways that artificial intelligence is being used to support prevention/mitigation is through the production of hazard maps and forecasts (e.g., </w:t>
      </w:r>
      <w:r w:rsidRPr="00F30A97">
        <w:rPr>
          <w:shd w:val="clear" w:color="auto" w:fill="D9EAD3"/>
        </w:rPr>
        <w:t>[</w:t>
      </w:r>
      <w:r w:rsidRPr="00F30A97">
        <w:t xml:space="preserve">b-Marti]). This phase is followed by preparedness, which refers to steps that can be used to anticipate, respond to, and recover from disasters. These are taken in advance of a disaster to dampen the impacts. They can range from disseminating early warnings to preparing for evacuations [b-DG-ECHO-1]. One way that artificial intelligence is contributing to preparedness is through near-real-time detection in early warning systems </w:t>
      </w:r>
      <w:r w:rsidRPr="00F30A97">
        <w:rPr>
          <w:sz w:val="22"/>
          <w:szCs w:val="22"/>
        </w:rPr>
        <w:t>[b-Thüring] [b-Lin]</w:t>
      </w:r>
      <w:r w:rsidRPr="00F30A97">
        <w:t xml:space="preserve">. Immediately before, during, and just after a disaster is the response (also sometimes referred to as the </w:t>
      </w:r>
      <w:r w:rsidR="00644FA2" w:rsidRPr="00F30A97">
        <w:t>"</w:t>
      </w:r>
      <w:r w:rsidRPr="00F30A97">
        <w:t>relief</w:t>
      </w:r>
      <w:r w:rsidR="00644FA2" w:rsidRPr="00F30A97">
        <w:t>"</w:t>
      </w:r>
      <w:r w:rsidRPr="00F30A97">
        <w:t xml:space="preserve">) phase </w:t>
      </w:r>
      <w:r w:rsidRPr="00F30A97">
        <w:rPr>
          <w:sz w:val="22"/>
          <w:szCs w:val="22"/>
        </w:rPr>
        <w:t>[b-UNDRR]</w:t>
      </w:r>
      <w:r w:rsidRPr="00F30A97">
        <w:t>. This includes evacuation, first response (firefighting, search and rescue), and humanitarian efforts. Here, artificial intelligence has shown usefulness in decision support systems, dashboards (e.g., the Ororatech Wildfire Solution platform [b-Orora]), chatbots, and related tools. The final phase of the disaster management cycle—recovery—refers to rebuilding efforts. It includes damage assessment, debris removal, and reconstruction. Through object detection, artificial intelligence has shown great value in damage assessment applications (e.g., CrowdLearn as described by [b-Zhang]).</w:t>
      </w:r>
    </w:p>
    <w:p w14:paraId="78668316" w14:textId="77777777" w:rsidR="0020782B" w:rsidRPr="00F30A97" w:rsidRDefault="0020782B" w:rsidP="00CE08CB">
      <w:pPr>
        <w:pStyle w:val="Figure"/>
        <w:rPr>
          <w:b/>
          <w:color w:val="000000"/>
        </w:rPr>
      </w:pPr>
      <w:r w:rsidRPr="00F30A97">
        <w:lastRenderedPageBreak/>
        <w:drawing>
          <wp:inline distT="0" distB="0" distL="0" distR="0" wp14:anchorId="3781ED53" wp14:editId="0E7A640B">
            <wp:extent cx="6080760" cy="2215515"/>
            <wp:effectExtent l="0" t="0" r="0" b="0"/>
            <wp:docPr id="51" name="image8.png" descr="Chart, bar chart&#10;&#10;Description automatically generated"/>
            <wp:cNvGraphicFramePr/>
            <a:graphic xmlns:a="http://schemas.openxmlformats.org/drawingml/2006/main">
              <a:graphicData uri="http://schemas.openxmlformats.org/drawingml/2006/picture">
                <pic:pic xmlns:pic="http://schemas.openxmlformats.org/drawingml/2006/picture">
                  <pic:nvPicPr>
                    <pic:cNvPr id="51" name="image8.png" descr="Chart, bar chart&#10;&#10;Description automatically generated"/>
                    <pic:cNvPicPr preferRelativeResize="0"/>
                  </pic:nvPicPr>
                  <pic:blipFill>
                    <a:blip r:embed="rId22">
                      <a:extLst>
                        <a:ext uri="{28A0092B-C50C-407E-A947-70E740481C1C}">
                          <a14:useLocalDpi xmlns:a14="http://schemas.microsoft.com/office/drawing/2010/main" val="0"/>
                        </a:ext>
                      </a:extLst>
                    </a:blip>
                    <a:srcRect l="650"/>
                    <a:stretch>
                      <a:fillRect/>
                    </a:stretch>
                  </pic:blipFill>
                  <pic:spPr>
                    <a:xfrm>
                      <a:off x="0" y="0"/>
                      <a:ext cx="6080760" cy="2215515"/>
                    </a:xfrm>
                    <a:prstGeom prst="rect">
                      <a:avLst/>
                    </a:prstGeom>
                    <a:ln/>
                  </pic:spPr>
                </pic:pic>
              </a:graphicData>
            </a:graphic>
          </wp:inline>
        </w:drawing>
      </w:r>
    </w:p>
    <w:p w14:paraId="0FBFCFCB" w14:textId="4130312E" w:rsidR="0020782B" w:rsidRPr="00F30A97" w:rsidRDefault="0020782B" w:rsidP="00CE08CB">
      <w:pPr>
        <w:pStyle w:val="FigureNoTitle"/>
      </w:pPr>
      <w:bookmarkStart w:id="55" w:name="_Toc122117085"/>
      <w:r w:rsidRPr="00F30A97">
        <w:t xml:space="preserve">Figure 4 </w:t>
      </w:r>
      <w:r w:rsidR="00B40627" w:rsidRPr="00F30A97">
        <w:t>–</w:t>
      </w:r>
      <w:r w:rsidRPr="00F30A97">
        <w:t xml:space="preserve"> The standards containing a reference to each phase of </w:t>
      </w:r>
      <w:r w:rsidR="00B40627" w:rsidRPr="00F30A97">
        <w:br/>
      </w:r>
      <w:r w:rsidRPr="00F30A97">
        <w:t>the disaster management cycle</w:t>
      </w:r>
      <w:bookmarkEnd w:id="55"/>
    </w:p>
    <w:p w14:paraId="4C934855" w14:textId="07238FDC" w:rsidR="0020782B" w:rsidRPr="00F30A97" w:rsidRDefault="0020782B" w:rsidP="00CE08CB">
      <w:pPr>
        <w:pStyle w:val="Normalaftertitle"/>
        <w:rPr>
          <w:rFonts w:ascii="Calibri" w:hAnsi="Calibri" w:cs="Calibri"/>
        </w:rPr>
      </w:pPr>
      <w:r w:rsidRPr="00F30A97">
        <w:t>The analysis of these terms within the standards database (prevention/mitigation, preparedness, response/relief, and recovery) reveals that</w:t>
      </w:r>
      <w:r w:rsidRPr="00F30A97">
        <w:rPr>
          <w:i/>
        </w:rPr>
        <w:t xml:space="preserve"> most standards are geared toward response/relief</w:t>
      </w:r>
      <w:r w:rsidRPr="00F30A97">
        <w:t>, followed by recovery and prevention/mitigation (Fig</w:t>
      </w:r>
      <w:r w:rsidR="006521CE" w:rsidRPr="00F30A97">
        <w:t>ure</w:t>
      </w:r>
      <w:r w:rsidRPr="00F30A97">
        <w:t xml:space="preserve"> 4). These results are well aligned to those of [b-Sun</w:t>
      </w:r>
      <w:r w:rsidRPr="00F30A97">
        <w:rPr>
          <w:shd w:val="clear" w:color="auto" w:fill="D9EAD3"/>
        </w:rPr>
        <w:t>]</w:t>
      </w:r>
      <w:r w:rsidRPr="00F30A97">
        <w:t xml:space="preserve">, whose literature review also showed a predominance of response-related articles. It is also noted that </w:t>
      </w:r>
      <w:r w:rsidRPr="00F30A97">
        <w:rPr>
          <w:i/>
        </w:rPr>
        <w:t>fewer standards address preparedness</w:t>
      </w:r>
      <w:r w:rsidRPr="00F30A97">
        <w:t xml:space="preserve"> and </w:t>
      </w:r>
      <w:r w:rsidRPr="00F30A97">
        <w:rPr>
          <w:i/>
        </w:rPr>
        <w:t>standardization activities thus far show a slight bias towards the reactive phases.</w:t>
      </w:r>
      <w:r w:rsidRPr="00F30A97">
        <w:t xml:space="preserve"> Overall, </w:t>
      </w:r>
      <w:r w:rsidRPr="00F30A97">
        <w:rPr>
          <w:i/>
        </w:rPr>
        <w:t>disaster management phases are well-covered in the standardizations to-date</w:t>
      </w:r>
      <w:r w:rsidRPr="00F30A97">
        <w:t xml:space="preserve">, with only 4.8% of standards not containing any reference to them. </w:t>
      </w:r>
    </w:p>
    <w:p w14:paraId="494AB773" w14:textId="77777777" w:rsidR="0020782B" w:rsidRPr="00F30A97" w:rsidRDefault="0020782B" w:rsidP="00CE08CB">
      <w:pPr>
        <w:pStyle w:val="Headingb"/>
      </w:pPr>
      <w:r w:rsidRPr="00F30A97">
        <w:t>Disaster types</w:t>
      </w:r>
    </w:p>
    <w:p w14:paraId="526C970F" w14:textId="7A52B27A" w:rsidR="0020782B" w:rsidRPr="00F30A97" w:rsidRDefault="0020782B" w:rsidP="00CE08CB">
      <w:r w:rsidRPr="00F30A97">
        <w:t>There are various ways to define a disaster, depending on the perspective of the person or organization using the term. For instance, the International Federation of Red Cross and Red Crescent Societies defines disasters as a disruption to the functioning of a community, which exceeds that community</w:t>
      </w:r>
      <w:r w:rsidR="00644FA2" w:rsidRPr="00F30A97">
        <w:t>'</w:t>
      </w:r>
      <w:r w:rsidRPr="00F30A97">
        <w:t xml:space="preserve">s ability to cope </w:t>
      </w:r>
      <w:r w:rsidRPr="00F30A97">
        <w:rPr>
          <w:sz w:val="22"/>
          <w:szCs w:val="22"/>
        </w:rPr>
        <w:t>[b-IFRC]</w:t>
      </w:r>
      <w:r w:rsidRPr="00F30A97">
        <w:t xml:space="preserve">. Other definitions also emphasize impacts to the environment [b-JRC]. Depending on the cause or trigger, a disaster can be classified as natural or man-made. Natural disasters are generally defined as a </w:t>
      </w:r>
      <w:r w:rsidR="00644FA2" w:rsidRPr="00F30A97">
        <w:t>"</w:t>
      </w:r>
      <w:r w:rsidRPr="00F30A97">
        <w:t>potentially damaging physical event</w:t>
      </w:r>
      <w:r w:rsidR="00644FA2" w:rsidRPr="00F30A97">
        <w:t>"</w:t>
      </w:r>
      <w:r w:rsidRPr="00F30A97">
        <w:t xml:space="preserve"> [b-ISDR] of a predominantly natural origin [b-Kuglitsch], and include atmospheric (e.g., windstorms),</w:t>
      </w:r>
      <w:r w:rsidR="00B40627" w:rsidRPr="00F30A97">
        <w:rPr>
          <w:rStyle w:val="FootnoteReference"/>
        </w:rPr>
        <w:footnoteReference w:id="6"/>
      </w:r>
      <w:r w:rsidRPr="00F30A97">
        <w:t xml:space="preserve"> [b-UNDP-</w:t>
      </w:r>
      <w:r w:rsidR="007C0877" w:rsidRPr="00F30A97">
        <w:t>2</w:t>
      </w:r>
      <w:r w:rsidRPr="00F30A97">
        <w:t>]</w:t>
      </w:r>
      <w:r w:rsidR="007C0877" w:rsidRPr="00F30A97">
        <w:t xml:space="preserve"> </w:t>
      </w:r>
      <w:r w:rsidRPr="00F30A97">
        <w:t>biological (e.g., insect plagues), [b-Zhou]</w:t>
      </w:r>
      <w:r w:rsidRPr="00F30A97">
        <w:rPr>
          <w:vertAlign w:val="superscript"/>
        </w:rPr>
        <w:footnoteReference w:id="7"/>
      </w:r>
      <w:r w:rsidRPr="00F30A97">
        <w:t xml:space="preserve"> geophysical (e.g., volcanic eruptions),</w:t>
      </w:r>
      <w:r w:rsidRPr="00F30A97">
        <w:rPr>
          <w:vertAlign w:val="superscript"/>
        </w:rPr>
        <w:footnoteReference w:id="8"/>
      </w:r>
      <w:r w:rsidRPr="00F30A97">
        <w:t xml:space="preserve"> [b-Aberdeen] </w:t>
      </w:r>
      <w:r w:rsidRPr="00F30A97">
        <w:lastRenderedPageBreak/>
        <w:t>hydrological (e.g., floods),</w:t>
      </w:r>
      <w:r w:rsidRPr="00F30A97">
        <w:rPr>
          <w:vertAlign w:val="superscript"/>
        </w:rPr>
        <w:footnoteReference w:id="9"/>
      </w:r>
      <w:r w:rsidRPr="00F30A97">
        <w:t xml:space="preserve"> [b-UNOSAT] and oceanographic (e.g., tsunamis)</w:t>
      </w:r>
      <w:r w:rsidRPr="00F30A97">
        <w:rPr>
          <w:vertAlign w:val="superscript"/>
        </w:rPr>
        <w:footnoteReference w:id="10"/>
      </w:r>
      <w:r w:rsidRPr="00F30A97">
        <w:t xml:space="preserve"> [b-Nature] events. Man-made disasters include nuclear and industrial accidents [b-DG-ECHO-2].</w:t>
      </w:r>
    </w:p>
    <w:p w14:paraId="2AEC03F3" w14:textId="77777777" w:rsidR="0020782B" w:rsidRPr="00F30A97" w:rsidRDefault="0020782B" w:rsidP="00CE08CB">
      <w:r w:rsidRPr="00F30A97">
        <w:t xml:space="preserve">For the analysis, different natural disasters were grouped under their respective high-level natural disaster types as follows: atmospheric disasters included cyclones, tornados, and storms; biological disasters included pandemics, epidemics, insect infestations, and point-source outbreaks; geophysical disasters included landslides, avalanches, earthquakes, and volcanic eruptions; hydrological disasters included floods and droughts; and oceanographic disasters included tsunamis. Instances of both the higher- and lower-level terms were sought in the existing standards, and the results for the lower-level terms were aggregated into the higher-level term count. </w:t>
      </w:r>
    </w:p>
    <w:p w14:paraId="3B605187" w14:textId="5195DE11" w:rsidR="0020782B" w:rsidRPr="00F30A97" w:rsidRDefault="0020782B" w:rsidP="00CE08CB">
      <w:r w:rsidRPr="00F30A97">
        <w:t>When analy</w:t>
      </w:r>
      <w:r w:rsidR="00CE08CB" w:rsidRPr="00F30A97">
        <w:t>s</w:t>
      </w:r>
      <w:r w:rsidRPr="00F30A97">
        <w:t xml:space="preserve">ing the content of the standards for instances of the terms natural versus man-made disaster, it was found that </w:t>
      </w:r>
      <w:r w:rsidRPr="00F30A97">
        <w:rPr>
          <w:i/>
        </w:rPr>
        <w:t>the majority of the standards were dedicated to natural disasters</w:t>
      </w:r>
      <w:r w:rsidRPr="00F30A97">
        <w:t xml:space="preserve"> (57.1%; not shown), although one-third (33.3%; not shown) did not address any specific type.</w:t>
      </w:r>
    </w:p>
    <w:p w14:paraId="7924701F" w14:textId="77777777" w:rsidR="0020782B" w:rsidRPr="00F30A97" w:rsidRDefault="0020782B" w:rsidP="00CE08CB">
      <w:pPr>
        <w:pStyle w:val="Figure"/>
        <w:rPr>
          <w:highlight w:val="green"/>
        </w:rPr>
      </w:pPr>
      <w:r w:rsidRPr="00F30A97">
        <w:drawing>
          <wp:inline distT="0" distB="0" distL="0" distR="0" wp14:anchorId="085CBA23" wp14:editId="685D96C5">
            <wp:extent cx="6120765" cy="2116455"/>
            <wp:effectExtent l="0" t="0" r="0" b="0"/>
            <wp:docPr id="54" name="image5.png" descr="Chart, bar chart&#10;&#10;Description automatically generated"/>
            <wp:cNvGraphicFramePr/>
            <a:graphic xmlns:a="http://schemas.openxmlformats.org/drawingml/2006/main">
              <a:graphicData uri="http://schemas.openxmlformats.org/drawingml/2006/picture">
                <pic:pic xmlns:pic="http://schemas.openxmlformats.org/drawingml/2006/picture">
                  <pic:nvPicPr>
                    <pic:cNvPr id="54" name="image5.png" descr="Chart, bar chart&#10;&#10;Description automatically generated"/>
                    <pic:cNvPicPr preferRelativeResize="0"/>
                  </pic:nvPicPr>
                  <pic:blipFill>
                    <a:blip r:embed="rId23"/>
                    <a:srcRect/>
                    <a:stretch>
                      <a:fillRect/>
                    </a:stretch>
                  </pic:blipFill>
                  <pic:spPr>
                    <a:xfrm>
                      <a:off x="0" y="0"/>
                      <a:ext cx="6120765" cy="2116455"/>
                    </a:xfrm>
                    <a:prstGeom prst="rect">
                      <a:avLst/>
                    </a:prstGeom>
                    <a:ln/>
                  </pic:spPr>
                </pic:pic>
              </a:graphicData>
            </a:graphic>
          </wp:inline>
        </w:drawing>
      </w:r>
    </w:p>
    <w:p w14:paraId="05EE4B6D" w14:textId="585118BB" w:rsidR="0020782B" w:rsidRPr="00F30A97" w:rsidRDefault="0020782B" w:rsidP="00CE08CB">
      <w:pPr>
        <w:pStyle w:val="FigureNoTitle"/>
      </w:pPr>
      <w:bookmarkStart w:id="57" w:name="_Toc122117086"/>
      <w:r w:rsidRPr="00F30A97">
        <w:t xml:space="preserve">Figure 5 </w:t>
      </w:r>
      <w:r w:rsidR="00B40627" w:rsidRPr="00F30A97">
        <w:t>–</w:t>
      </w:r>
      <w:r w:rsidRPr="00F30A97">
        <w:t xml:space="preserve"> The standards containing a reference to natural disaster subtypes</w:t>
      </w:r>
      <w:bookmarkEnd w:id="57"/>
    </w:p>
    <w:p w14:paraId="21D0594F" w14:textId="77777777" w:rsidR="0020782B" w:rsidRPr="00F30A97" w:rsidRDefault="0020782B" w:rsidP="00CE08CB">
      <w:pPr>
        <w:pStyle w:val="Normalaftertitle"/>
        <w:rPr>
          <w:u w:val="single"/>
        </w:rPr>
      </w:pPr>
      <w:r w:rsidRPr="00F30A97">
        <w:t xml:space="preserve">When, in a second step, the occurrence of parent terms atmospheric, biological, geophysical, and hydrological (including their child terms) was explored, it was found that </w:t>
      </w:r>
      <w:r w:rsidRPr="00F30A97">
        <w:rPr>
          <w:i/>
        </w:rPr>
        <w:t>most standards are related to geophysical and hydrological processes</w:t>
      </w:r>
      <w:r w:rsidRPr="00F30A97">
        <w:t xml:space="preserve"> (Figure 5). Despite the widespread impacts of the COVID pandemic, </w:t>
      </w:r>
      <w:r w:rsidRPr="00F30A97">
        <w:rPr>
          <w:i/>
        </w:rPr>
        <w:t>relatively</w:t>
      </w:r>
      <w:r w:rsidRPr="00F30A97">
        <w:t xml:space="preserve"> </w:t>
      </w:r>
      <w:r w:rsidRPr="00F30A97">
        <w:rPr>
          <w:i/>
        </w:rPr>
        <w:t>few standards involved biological types of natural disasters</w:t>
      </w:r>
      <w:r w:rsidRPr="00F30A97">
        <w:t xml:space="preserve"> (9.5%). Again, a </w:t>
      </w:r>
      <w:r w:rsidRPr="00F30A97">
        <w:rPr>
          <w:i/>
        </w:rPr>
        <w:t>considerable number did not address any specific natural disaster sub-type</w:t>
      </w:r>
      <w:r w:rsidRPr="00F30A97">
        <w:t xml:space="preserve"> (42.9%), </w:t>
      </w:r>
      <w:r w:rsidRPr="00F30A97">
        <w:rPr>
          <w:i/>
        </w:rPr>
        <w:t>suggesting a trend towards disaster-agnostic standardizing activities</w:t>
      </w:r>
      <w:r w:rsidRPr="00F30A97">
        <w:t xml:space="preserve">. </w:t>
      </w:r>
    </w:p>
    <w:p w14:paraId="50FEF4D4" w14:textId="77777777" w:rsidR="0020782B" w:rsidRPr="00F30A97" w:rsidRDefault="0020782B" w:rsidP="00CE08CB">
      <w:pPr>
        <w:pStyle w:val="Headingb"/>
      </w:pPr>
      <w:r w:rsidRPr="00F30A97">
        <w:t>Technologies</w:t>
      </w:r>
    </w:p>
    <w:p w14:paraId="60034DA5" w14:textId="710B2C55" w:rsidR="0020782B" w:rsidRPr="00F30A97" w:rsidRDefault="0020782B" w:rsidP="00CE08CB">
      <w:pPr>
        <w:keepNext/>
        <w:keepLines/>
      </w:pPr>
      <w:r w:rsidRPr="00F30A97">
        <w:t>In the context of technologies, the expressions that were explored encompass artificial intelligence (AI) and machine learning (ML); Big Data; Internet of Things (IoT); unmanned aerial vehicles (UAV</w:t>
      </w:r>
      <w:r w:rsidR="00197C3B" w:rsidRPr="00F30A97">
        <w:t>s</w:t>
      </w:r>
      <w:r w:rsidRPr="00F30A97">
        <w:t>), drones, and earth observations (EO); geographical information systems (GIS); digital twins; and cloud or edge computing. The selection of these terms were guided by the activities of the other working groups and work streams of the FG-AI4NDM.</w:t>
      </w:r>
    </w:p>
    <w:p w14:paraId="79C68A9B" w14:textId="0F85B9AE" w:rsidR="0020782B" w:rsidRPr="00F30A97" w:rsidRDefault="0020782B" w:rsidP="00CE08CB">
      <w:pPr>
        <w:rPr>
          <w:shd w:val="clear" w:color="auto" w:fill="D9EAD3"/>
        </w:rPr>
      </w:pPr>
      <w:r w:rsidRPr="00F30A97">
        <w:t xml:space="preserve">AI refers to </w:t>
      </w:r>
      <w:r w:rsidR="00644FA2" w:rsidRPr="00F30A97">
        <w:rPr>
          <w:highlight w:val="white"/>
        </w:rPr>
        <w:t>"</w:t>
      </w:r>
      <w:r w:rsidRPr="00F30A97">
        <w:rPr>
          <w:highlight w:val="white"/>
        </w:rPr>
        <w:t>systems that display intelligent behavior by analyzing their environment and taking actions</w:t>
      </w:r>
      <w:r w:rsidR="00B40627" w:rsidRPr="00F30A97">
        <w:rPr>
          <w:highlight w:val="white"/>
        </w:rPr>
        <w:t xml:space="preserve"> – </w:t>
      </w:r>
      <w:r w:rsidRPr="00F30A97">
        <w:rPr>
          <w:highlight w:val="white"/>
        </w:rPr>
        <w:t>with some degree of autonomy</w:t>
      </w:r>
      <w:r w:rsidR="00B40627" w:rsidRPr="00F30A97">
        <w:rPr>
          <w:highlight w:val="white"/>
        </w:rPr>
        <w:t xml:space="preserve"> – </w:t>
      </w:r>
      <w:r w:rsidRPr="00F30A97">
        <w:rPr>
          <w:highlight w:val="white"/>
        </w:rPr>
        <w:t>to achieve specific goals</w:t>
      </w:r>
      <w:r w:rsidR="00644FA2" w:rsidRPr="00F30A97">
        <w:rPr>
          <w:highlight w:val="white"/>
        </w:rPr>
        <w:t>"</w:t>
      </w:r>
      <w:r w:rsidRPr="00F30A97">
        <w:rPr>
          <w:highlight w:val="white"/>
        </w:rPr>
        <w:t xml:space="preserve"> </w:t>
      </w:r>
      <w:r w:rsidRPr="00F30A97">
        <w:rPr>
          <w:shd w:val="clear" w:color="auto" w:fill="D9EAD3"/>
        </w:rPr>
        <w:t>[</w:t>
      </w:r>
      <w:r w:rsidRPr="00F30A97">
        <w:t>b-Ranschaert]</w:t>
      </w:r>
      <w:r w:rsidRPr="00F30A97">
        <w:rPr>
          <w:highlight w:val="white"/>
        </w:rPr>
        <w:t xml:space="preserve">. All of the use </w:t>
      </w:r>
      <w:r w:rsidRPr="00F30A97">
        <w:rPr>
          <w:highlight w:val="white"/>
        </w:rPr>
        <w:lastRenderedPageBreak/>
        <w:t xml:space="preserve">cases being explored by the FG-AI4NDM apply AI-based methods in some capacity. One subdomain of AI is machine learning (ML). Per Google, ML describes a system that takes input data to train a predictive model. The trained model can then make predictions from new data that are drawn from the same distribution as was used to train the model </w:t>
      </w:r>
      <w:r w:rsidRPr="00F30A97">
        <w:rPr>
          <w:shd w:val="clear" w:color="auto" w:fill="D9EAD3"/>
        </w:rPr>
        <w:t>[</w:t>
      </w:r>
      <w:r w:rsidRPr="00F30A97">
        <w:t>b-Khekale]</w:t>
      </w:r>
      <w:r w:rsidRPr="00F30A97">
        <w:rPr>
          <w:vertAlign w:val="superscript"/>
        </w:rPr>
        <w:footnoteReference w:id="11"/>
      </w:r>
      <w:r w:rsidRPr="00F30A97">
        <w:rPr>
          <w:highlight w:val="white"/>
        </w:rPr>
        <w:t>. As ML-based models require a large quantity of high-quality data to perform, they can benefit from Big Data.</w:t>
      </w:r>
      <w:r w:rsidRPr="00F30A97">
        <w:rPr>
          <w:vertAlign w:val="superscript"/>
        </w:rPr>
        <w:footnoteReference w:id="12"/>
      </w:r>
      <w:r w:rsidRPr="00F30A97">
        <w:rPr>
          <w:highlight w:val="white"/>
        </w:rPr>
        <w:t xml:space="preserve"> These datasets, which can be produced through</w:t>
      </w:r>
      <w:r w:rsidRPr="00F30A97">
        <w:rPr>
          <w:b/>
          <w:highlight w:val="white"/>
        </w:rPr>
        <w:t xml:space="preserve"> </w:t>
      </w:r>
      <w:r w:rsidRPr="00F30A97">
        <w:rPr>
          <w:highlight w:val="white"/>
        </w:rPr>
        <w:t>IoT</w:t>
      </w:r>
      <w:r w:rsidRPr="00F30A97">
        <w:rPr>
          <w:b/>
          <w:highlight w:val="white"/>
        </w:rPr>
        <w:t xml:space="preserve"> </w:t>
      </w:r>
      <w:r w:rsidRPr="00F30A97">
        <w:rPr>
          <w:highlight w:val="white"/>
        </w:rPr>
        <w:t xml:space="preserve">devices including networked mobile devices, personal computers, sensors, radio-frequency identification markings, and cameras </w:t>
      </w:r>
      <w:r w:rsidRPr="00F30A97">
        <w:t>[b-Michael]</w:t>
      </w:r>
      <w:r w:rsidRPr="00F30A97">
        <w:rPr>
          <w:highlight w:val="white"/>
        </w:rPr>
        <w:t xml:space="preserve">, have a scale that is difficult to obtain, manage, and manipulate in a timely manner using traditional computing tools </w:t>
      </w:r>
      <w:r w:rsidRPr="00F30A97">
        <w:t>[b</w:t>
      </w:r>
      <w:r w:rsidR="00177F8A" w:rsidRPr="00F30A97">
        <w:noBreakHyphen/>
      </w:r>
      <w:r w:rsidRPr="00F30A97">
        <w:t>Patel].</w:t>
      </w:r>
      <w:r w:rsidRPr="00F30A97">
        <w:rPr>
          <w:vertAlign w:val="superscript"/>
        </w:rPr>
        <w:footnoteReference w:id="13"/>
      </w:r>
      <w:r w:rsidRPr="00F30A97">
        <w:rPr>
          <w:highlight w:val="white"/>
        </w:rPr>
        <w:t xml:space="preserve"> In the field of earth observations (EO), </w:t>
      </w:r>
      <w:r w:rsidRPr="00F30A97">
        <w:t>that is, observations about Earth</w:t>
      </w:r>
      <w:r w:rsidR="00644FA2" w:rsidRPr="00F30A97">
        <w:t>'</w:t>
      </w:r>
      <w:r w:rsidRPr="00F30A97">
        <w:t>s physical, chemical, and biological systems [b-GEO</w:t>
      </w:r>
      <w:r w:rsidRPr="00F30A97">
        <w:rPr>
          <w:shd w:val="clear" w:color="auto" w:fill="D9EAD3"/>
        </w:rPr>
        <w:t>]</w:t>
      </w:r>
      <w:r w:rsidRPr="00F30A97">
        <w:t xml:space="preserve">, Big Data </w:t>
      </w:r>
      <w:r w:rsidRPr="00F30A97">
        <w:rPr>
          <w:highlight w:val="white"/>
        </w:rPr>
        <w:t>are ascribed to the boom in remote sensing systems—sensors mounted on satellites, drones (also known as UAV),</w:t>
      </w:r>
      <w:r w:rsidRPr="00F30A97">
        <w:rPr>
          <w:vertAlign w:val="superscript"/>
        </w:rPr>
        <w:footnoteReference w:id="14"/>
      </w:r>
      <w:r w:rsidRPr="00F30A97">
        <w:rPr>
          <w:highlight w:val="white"/>
        </w:rPr>
        <w:t xml:space="preserve"> and aircraft. These sensors record Earth</w:t>
      </w:r>
      <w:r w:rsidR="00644FA2" w:rsidRPr="00F30A97">
        <w:rPr>
          <w:highlight w:val="white"/>
        </w:rPr>
        <w:t>'</w:t>
      </w:r>
      <w:r w:rsidRPr="00F30A97">
        <w:rPr>
          <w:highlight w:val="white"/>
        </w:rPr>
        <w:t xml:space="preserve">s conditions and processes from a distance and can be interpreted with the aid of ground truthing. To contextualize these spatial data by their location, GIS is an important tool. According to </w:t>
      </w:r>
      <w:r w:rsidR="00E57C50" w:rsidRPr="00F30A97">
        <w:rPr>
          <w:highlight w:val="white"/>
        </w:rPr>
        <w:t xml:space="preserve">the </w:t>
      </w:r>
      <w:r w:rsidR="00E57C50" w:rsidRPr="00F30A97">
        <w:t>Economic and Social Research Institute</w:t>
      </w:r>
      <w:r w:rsidR="00E57C50" w:rsidRPr="00F30A97">
        <w:rPr>
          <w:highlight w:val="white"/>
        </w:rPr>
        <w:t xml:space="preserve"> (</w:t>
      </w:r>
      <w:r w:rsidRPr="00F30A97">
        <w:rPr>
          <w:highlight w:val="white"/>
        </w:rPr>
        <w:t>ESRI</w:t>
      </w:r>
      <w:r w:rsidR="00E57C50" w:rsidRPr="00F30A97">
        <w:rPr>
          <w:highlight w:val="white"/>
        </w:rPr>
        <w:t>)</w:t>
      </w:r>
      <w:r w:rsidRPr="00F30A97">
        <w:rPr>
          <w:highlight w:val="white"/>
        </w:rPr>
        <w:t xml:space="preserve">, it </w:t>
      </w:r>
      <w:r w:rsidR="00644FA2" w:rsidRPr="00F30A97">
        <w:rPr>
          <w:highlight w:val="white"/>
        </w:rPr>
        <w:t>"</w:t>
      </w:r>
      <w:r w:rsidRPr="00F30A97">
        <w:t xml:space="preserve">creates, manages, </w:t>
      </w:r>
      <w:r w:rsidR="007421F6" w:rsidRPr="00F30A97">
        <w:t>analyse</w:t>
      </w:r>
      <w:r w:rsidRPr="00F30A97">
        <w:t>s, and maps all types of data [...] integrating location data (where things are) with all types of descriptive information [and providing] a foundation for mapping and analysis that is used in science and almost every industry</w:t>
      </w:r>
      <w:r w:rsidR="00644FA2" w:rsidRPr="00F30A97">
        <w:t>"</w:t>
      </w:r>
      <w:r w:rsidRPr="00F30A97">
        <w:t xml:space="preserve"> [b-ESRI]. GIS is sometimes used in the context of digital twins:</w:t>
      </w:r>
      <w:r w:rsidRPr="00F30A97">
        <w:rPr>
          <w:vertAlign w:val="superscript"/>
        </w:rPr>
        <w:footnoteReference w:id="15"/>
      </w:r>
      <w:r w:rsidRPr="00F30A97">
        <w:t xml:space="preserve"> </w:t>
      </w:r>
      <w:r w:rsidRPr="00F30A97">
        <w:rPr>
          <w:highlight w:val="white"/>
        </w:rPr>
        <w:t xml:space="preserve">models that are designed to accurately reflect a physical object </w:t>
      </w:r>
      <w:r w:rsidRPr="00F30A97">
        <w:t>[b-IBM-1]</w:t>
      </w:r>
      <w:r w:rsidRPr="00F30A97">
        <w:rPr>
          <w:highlight w:val="white"/>
        </w:rPr>
        <w:t xml:space="preserve">. A well-known example, Destination Earth (DestinE), is a highly accurate digital model of Earth that can be used to monitor and predict human and natural processes and interactions </w:t>
      </w:r>
      <w:r w:rsidRPr="00F30A97">
        <w:t>[b-DestinE]</w:t>
      </w:r>
      <w:r w:rsidRPr="00F30A97">
        <w:rPr>
          <w:highlight w:val="white"/>
        </w:rPr>
        <w:t>. Transmitting data from the site of collection to the site of computation is a challenge that can be addressed through cloud or edge computing. Cloud computing</w:t>
      </w:r>
      <w:r w:rsidRPr="00F30A97">
        <w:rPr>
          <w:vertAlign w:val="superscript"/>
        </w:rPr>
        <w:footnoteReference w:id="16"/>
      </w:r>
      <w:r w:rsidRPr="00F30A97">
        <w:rPr>
          <w:highlight w:val="white"/>
        </w:rPr>
        <w:t xml:space="preserve"> refers to servers, operating systems, networks, software, applications, and storage equipment that provide a scalable and elastic pool of shareable physical or virtual resources </w:t>
      </w:r>
      <w:r w:rsidRPr="00F30A97">
        <w:t>[b-ISO-1]</w:t>
      </w:r>
      <w:r w:rsidRPr="00F30A97">
        <w:rPr>
          <w:highlight w:val="white"/>
        </w:rPr>
        <w:t>. For instance, the European Commission has sponsored five cloud-based platforms</w:t>
      </w:r>
      <w:r w:rsidRPr="00F30A97">
        <w:t xml:space="preserve"> [b-Copernicus]</w:t>
      </w:r>
      <w:r w:rsidRPr="00F30A97">
        <w:rPr>
          <w:highlight w:val="white"/>
        </w:rPr>
        <w:t xml:space="preserve"> to centralize access to Copernicus data, information, and processing tools. An alternative approach to handling large volumes of data is through edge computing.</w:t>
      </w:r>
      <w:r w:rsidRPr="00F30A97">
        <w:rPr>
          <w:vertAlign w:val="superscript"/>
        </w:rPr>
        <w:footnoteReference w:id="17"/>
      </w:r>
      <w:r w:rsidRPr="00F30A97">
        <w:rPr>
          <w:highlight w:val="white"/>
        </w:rPr>
        <w:t xml:space="preserve"> </w:t>
      </w:r>
      <w:r w:rsidRPr="00F30A97">
        <w:t xml:space="preserve">This can also be defined as </w:t>
      </w:r>
      <w:r w:rsidR="00644FA2" w:rsidRPr="00F30A97">
        <w:t>"</w:t>
      </w:r>
      <w:r w:rsidRPr="00F30A97">
        <w:t>distributed computing framework that brings enterprise applications closer to data sources such as IoT devices or local edge servers</w:t>
      </w:r>
      <w:r w:rsidR="00644FA2" w:rsidRPr="00F30A97">
        <w:t>"</w:t>
      </w:r>
      <w:r w:rsidRPr="00F30A97">
        <w:t xml:space="preserve"> [b-IBM-2].</w:t>
      </w:r>
    </w:p>
    <w:p w14:paraId="50C04A14" w14:textId="77777777" w:rsidR="0020782B" w:rsidRPr="00F30A97" w:rsidRDefault="0020782B" w:rsidP="00CE08CB">
      <w:pPr>
        <w:pStyle w:val="Figure"/>
        <w:rPr>
          <w:color w:val="000000"/>
          <w:highlight w:val="green"/>
        </w:rPr>
      </w:pPr>
      <w:r w:rsidRPr="00F30A97">
        <w:lastRenderedPageBreak/>
        <w:drawing>
          <wp:inline distT="0" distB="0" distL="0" distR="0" wp14:anchorId="696DFD66" wp14:editId="3B9F193B">
            <wp:extent cx="6120765" cy="2278380"/>
            <wp:effectExtent l="0" t="0" r="0" b="7620"/>
            <wp:docPr id="50" name="image1.png" descr="Graphical user interface, chart, application, bar chart&#10;&#10;Description automatically generated"/>
            <wp:cNvGraphicFramePr/>
            <a:graphic xmlns:a="http://schemas.openxmlformats.org/drawingml/2006/main">
              <a:graphicData uri="http://schemas.openxmlformats.org/drawingml/2006/picture">
                <pic:pic xmlns:pic="http://schemas.openxmlformats.org/drawingml/2006/picture">
                  <pic:nvPicPr>
                    <pic:cNvPr id="50" name="image1.png" descr="Graphical user interface, chart, application, bar chart&#10;&#10;Description automatically generated"/>
                    <pic:cNvPicPr preferRelativeResize="0"/>
                  </pic:nvPicPr>
                  <pic:blipFill>
                    <a:blip r:embed="rId24">
                      <a:extLst>
                        <a:ext uri="{28A0092B-C50C-407E-A947-70E740481C1C}">
                          <a14:useLocalDpi xmlns:a14="http://schemas.microsoft.com/office/drawing/2010/main" val="0"/>
                        </a:ext>
                      </a:extLst>
                    </a:blip>
                    <a:srcRect/>
                    <a:stretch>
                      <a:fillRect/>
                    </a:stretch>
                  </pic:blipFill>
                  <pic:spPr>
                    <a:xfrm>
                      <a:off x="0" y="0"/>
                      <a:ext cx="6120765" cy="2278380"/>
                    </a:xfrm>
                    <a:prstGeom prst="rect">
                      <a:avLst/>
                    </a:prstGeom>
                    <a:ln/>
                  </pic:spPr>
                </pic:pic>
              </a:graphicData>
            </a:graphic>
          </wp:inline>
        </w:drawing>
      </w:r>
    </w:p>
    <w:p w14:paraId="7BE6BF26" w14:textId="460499BC" w:rsidR="0020782B" w:rsidRPr="00F30A97" w:rsidRDefault="0020782B" w:rsidP="00CE08CB">
      <w:pPr>
        <w:pStyle w:val="FigureNoTitle"/>
      </w:pPr>
      <w:bookmarkStart w:id="59" w:name="_Toc122117087"/>
      <w:r w:rsidRPr="00F30A97">
        <w:t xml:space="preserve">Figure 6 </w:t>
      </w:r>
      <w:r w:rsidR="00177F8A" w:rsidRPr="00F30A97">
        <w:t>–</w:t>
      </w:r>
      <w:r w:rsidRPr="00F30A97">
        <w:t xml:space="preserve"> The standards containing a reference to different technologies</w:t>
      </w:r>
      <w:bookmarkEnd w:id="59"/>
    </w:p>
    <w:p w14:paraId="5E40057F" w14:textId="79986EDE" w:rsidR="0020782B" w:rsidRPr="00F30A97" w:rsidRDefault="0020782B" w:rsidP="00CE08CB">
      <w:pPr>
        <w:pStyle w:val="Normalaftertitle"/>
        <w:rPr>
          <w:i/>
        </w:rPr>
      </w:pPr>
      <w:r w:rsidRPr="00F30A97">
        <w:t xml:space="preserve">As shown in Figure 6, </w:t>
      </w:r>
      <w:r w:rsidRPr="00F30A97">
        <w:rPr>
          <w:i/>
        </w:rPr>
        <w:t xml:space="preserve">the technology referenced by the highest number of existing standards is the Internet of Things (40.5%), </w:t>
      </w:r>
      <w:r w:rsidRPr="00F30A97">
        <w:t>followed by equal numbers referencing cloud / edge computing and unmanned aerial vehicles (UAV</w:t>
      </w:r>
      <w:r w:rsidR="00197C3B" w:rsidRPr="00F30A97">
        <w:t>s</w:t>
      </w:r>
      <w:r w:rsidRPr="00F30A97">
        <w:t xml:space="preserve">) / drones / earth observations (EO). On the other hand, </w:t>
      </w:r>
      <w:r w:rsidRPr="00F30A97">
        <w:rPr>
          <w:i/>
        </w:rPr>
        <w:t>very few standards reference digital twin (2.4%), Big Data (7.1%), or artificial intelligence (AI) / machine learning (ML) (9.5%)</w:t>
      </w:r>
      <w:r w:rsidRPr="00F30A97">
        <w:t xml:space="preserve">. References to IoT largely originate from the document </w:t>
      </w:r>
      <w:r w:rsidR="00644FA2" w:rsidRPr="00F30A97">
        <w:t>"</w:t>
      </w:r>
      <w:r w:rsidRPr="00F30A97">
        <w:t>ETSI TR 103 582 EMTEL; Study of use cases and communications involving IoT devices in provision of emergency situations.</w:t>
      </w:r>
      <w:r w:rsidR="00644FA2" w:rsidRPr="00F30A97">
        <w:t>"</w:t>
      </w:r>
      <w:r w:rsidRPr="00F30A97">
        <w:t xml:space="preserve"> It is noted that </w:t>
      </w:r>
      <w:r w:rsidRPr="00F30A97">
        <w:rPr>
          <w:i/>
        </w:rPr>
        <w:t>a considerable number of the existing standards (38.1%) did not refer to any of these technologies, but instead referred to related topics such as communications or data architecture.</w:t>
      </w:r>
    </w:p>
    <w:p w14:paraId="591FBA2B" w14:textId="77777777" w:rsidR="0020782B" w:rsidRPr="00F30A97" w:rsidRDefault="0020782B" w:rsidP="00CE08CB">
      <w:pPr>
        <w:pStyle w:val="Figure"/>
        <w:rPr>
          <w:b/>
          <w:color w:val="000000"/>
        </w:rPr>
      </w:pPr>
      <w:r w:rsidRPr="00F30A97">
        <w:drawing>
          <wp:inline distT="0" distB="0" distL="0" distR="0" wp14:anchorId="6197CAD7" wp14:editId="4938D651">
            <wp:extent cx="5183259" cy="1895822"/>
            <wp:effectExtent l="0" t="0" r="0" b="9525"/>
            <wp:docPr id="45" name="image6.png" descr="A picture containing timeline&#10;&#10;Description automatically generated"/>
            <wp:cNvGraphicFramePr/>
            <a:graphic xmlns:a="http://schemas.openxmlformats.org/drawingml/2006/main">
              <a:graphicData uri="http://schemas.openxmlformats.org/drawingml/2006/picture">
                <pic:pic xmlns:pic="http://schemas.openxmlformats.org/drawingml/2006/picture">
                  <pic:nvPicPr>
                    <pic:cNvPr id="45" name="image6.png" descr="A picture containing timeline&#10;&#10;Description automatically generated"/>
                    <pic:cNvPicPr preferRelativeResize="0"/>
                  </pic:nvPicPr>
                  <pic:blipFill>
                    <a:blip r:embed="rId25" cstate="print">
                      <a:extLst>
                        <a:ext uri="{28A0092B-C50C-407E-A947-70E740481C1C}">
                          <a14:useLocalDpi xmlns:a14="http://schemas.microsoft.com/office/drawing/2010/main" val="0"/>
                        </a:ext>
                      </a:extLst>
                    </a:blip>
                    <a:srcRect/>
                    <a:stretch>
                      <a:fillRect/>
                    </a:stretch>
                  </pic:blipFill>
                  <pic:spPr>
                    <a:xfrm>
                      <a:off x="0" y="0"/>
                      <a:ext cx="5183259" cy="1895822"/>
                    </a:xfrm>
                    <a:prstGeom prst="rect">
                      <a:avLst/>
                    </a:prstGeom>
                    <a:ln/>
                  </pic:spPr>
                </pic:pic>
              </a:graphicData>
            </a:graphic>
          </wp:inline>
        </w:drawing>
      </w:r>
    </w:p>
    <w:p w14:paraId="3135E614" w14:textId="02B5AA96" w:rsidR="0020782B" w:rsidRPr="00F30A97" w:rsidRDefault="0020782B" w:rsidP="00CE08CB">
      <w:pPr>
        <w:pStyle w:val="FigureNoTitle"/>
      </w:pPr>
      <w:bookmarkStart w:id="60" w:name="_Toc122117088"/>
      <w:r w:rsidRPr="00F30A97">
        <w:t xml:space="preserve">Figure 7 </w:t>
      </w:r>
      <w:r w:rsidR="00D940DD" w:rsidRPr="00F30A97">
        <w:t>–</w:t>
      </w:r>
      <w:r w:rsidRPr="00F30A97">
        <w:t xml:space="preserve"> The standards containing a reference to different </w:t>
      </w:r>
      <w:r w:rsidR="00D940DD" w:rsidRPr="00F30A97">
        <w:br/>
      </w:r>
      <w:r w:rsidRPr="00F30A97">
        <w:t>data-acquisition technology types</w:t>
      </w:r>
      <w:bookmarkEnd w:id="60"/>
    </w:p>
    <w:p w14:paraId="7BC85AAA" w14:textId="1830F4CC" w:rsidR="0020782B" w:rsidRPr="00F30A97" w:rsidRDefault="0020782B" w:rsidP="00CE08CB">
      <w:pPr>
        <w:pStyle w:val="Normalaftertitle"/>
      </w:pPr>
      <w:r w:rsidRPr="00F30A97">
        <w:t xml:space="preserve">The report also </w:t>
      </w:r>
      <w:r w:rsidR="007421F6" w:rsidRPr="00F30A97">
        <w:t>analyse</w:t>
      </w:r>
      <w:r w:rsidRPr="00F30A97">
        <w:t xml:space="preserve">d the number of standards considering in-situ versus remote data-acquisition technologies (Figure 7). In-situ technologies register conditions at or near a collection site. They include gauges, which measure discharge of a river; weather stations, which measure variables such as temperature, humidity and pressure, wind direction and speed, precipitation duration and amount, and irradiance </w:t>
      </w:r>
      <w:r w:rsidRPr="00F30A97">
        <w:rPr>
          <w:shd w:val="clear" w:color="auto" w:fill="D9EAD3"/>
        </w:rPr>
        <w:t>[</w:t>
      </w:r>
      <w:r w:rsidRPr="00F30A97">
        <w:t xml:space="preserve">b-MeteoSwiss]; and seismographs, which </w:t>
      </w:r>
      <w:r w:rsidRPr="00F30A97">
        <w:rPr>
          <w:color w:val="171717"/>
          <w:highlight w:val="white"/>
        </w:rPr>
        <w:t xml:space="preserve">record the motion of the ground during an earthquake </w:t>
      </w:r>
      <w:r w:rsidRPr="00F30A97">
        <w:rPr>
          <w:color w:val="171717"/>
        </w:rPr>
        <w:t>[b-USGS]</w:t>
      </w:r>
      <w:r w:rsidRPr="00F30A97">
        <w:rPr>
          <w:color w:val="171717"/>
          <w:highlight w:val="white"/>
        </w:rPr>
        <w:t>.</w:t>
      </w:r>
      <w:r w:rsidRPr="00F30A97">
        <w:t xml:space="preserve"> Devices with sensors that record conditions from a distance (e.g., satellites) are considered remote. Some of these remote sensing devices have active sensors, meaning that they send a signal to an object and then register the returned signal. Radar, which stands for radio detection and ranging, falls into this category. Passive sensors measure energy that is naturally produced [b</w:t>
      </w:r>
      <w:r w:rsidR="00D940DD" w:rsidRPr="00F30A97">
        <w:noBreakHyphen/>
      </w:r>
      <w:r w:rsidRPr="00F30A97">
        <w:t>NRC-1]. Examples include infrared or thermal sensors (whereby thermal radiation between 780</w:t>
      </w:r>
      <w:r w:rsidR="00644FA2" w:rsidRPr="00F30A97">
        <w:t xml:space="preserve"> </w:t>
      </w:r>
      <w:r w:rsidRPr="00F30A97">
        <w:t xml:space="preserve">m </w:t>
      </w:r>
      <w:r w:rsidRPr="00F30A97">
        <w:lastRenderedPageBreak/>
        <w:t>and 1 mm is detected) [b-NRC-2] and visible or optical sensors rely on the sun as the source of illumination [b-Booysen].</w:t>
      </w:r>
    </w:p>
    <w:p w14:paraId="504B1DF3" w14:textId="77777777" w:rsidR="0020782B" w:rsidRPr="00F30A97" w:rsidRDefault="0020782B" w:rsidP="00CE08CB">
      <w:r w:rsidRPr="00F30A97">
        <w:t xml:space="preserve">Based on the above, it was found that </w:t>
      </w:r>
      <w:r w:rsidRPr="00F30A97">
        <w:rPr>
          <w:i/>
        </w:rPr>
        <w:t xml:space="preserve">standardization efforts to date are geared towards remote data acquisition methods (40.5%) rather than in-situ (4.8%), </w:t>
      </w:r>
      <w:r w:rsidRPr="00F30A97">
        <w:t>although a majority do not refer to either.</w:t>
      </w:r>
    </w:p>
    <w:p w14:paraId="6CC8C638" w14:textId="77777777" w:rsidR="0020782B" w:rsidRPr="00F30A97" w:rsidRDefault="0020782B" w:rsidP="00CE08CB">
      <w:pPr>
        <w:pStyle w:val="Headingb"/>
      </w:pPr>
      <w:r w:rsidRPr="00F30A97">
        <w:t>Data-related considerations</w:t>
      </w:r>
    </w:p>
    <w:p w14:paraId="6D695577" w14:textId="77777777" w:rsidR="0020782B" w:rsidRPr="00F30A97" w:rsidRDefault="0020782B" w:rsidP="00CE08CB">
      <w:r w:rsidRPr="00F30A97">
        <w:t xml:space="preserve">In the space of data-related considerations (Figure 8), terms related to data standards were first sought: Open Geospatial Consortium (OGC), data format standards, Global Geodetic Reference Frame (GGRF), sample markup language, data governance, data themes, data supply chain (DSC), exploratory data analysis (EDA), and digital object identifier (DOI). </w:t>
      </w:r>
    </w:p>
    <w:p w14:paraId="7D00B1A2" w14:textId="70C87E14" w:rsidR="0020782B" w:rsidRPr="00F30A97" w:rsidRDefault="0020782B" w:rsidP="00CE08CB">
      <w:r w:rsidRPr="00F30A97">
        <w:t xml:space="preserve">The Open Geospatial Consortium (OGC) is an example of an SDO in the geosciences field, aiming to </w:t>
      </w:r>
      <w:r w:rsidR="00644FA2" w:rsidRPr="00F30A97">
        <w:t>"</w:t>
      </w:r>
      <w:r w:rsidRPr="00F30A97">
        <w:t>make location information Findable, Accessible, Interoperable, and Reusable (FAIR) [...] combining consensus-based open standards, innovation projects, and partnership building</w:t>
      </w:r>
      <w:r w:rsidR="00644FA2" w:rsidRPr="00F30A97">
        <w:t>"</w:t>
      </w:r>
      <w:r w:rsidRPr="00F30A97">
        <w:t xml:space="preserve"> [b-OGC-1]. Data format standards specify grammars to be used when encoding data [b-ID4D]. Examples of such standards in the geosciences include markup languages such as geographic markup language (GML) [b-OGC-2] or keyhole markup language (KML) [b-OGC-3]</w:t>
      </w:r>
      <w:r w:rsidRPr="00F30A97">
        <w:rPr>
          <w:sz w:val="22"/>
          <w:szCs w:val="22"/>
        </w:rPr>
        <w:t>, which speci</w:t>
      </w:r>
      <w:r w:rsidRPr="00F30A97">
        <w:t>fy how geographic visualizations or annotations should be encoded. As the OGC points out, an essential part of machine learning processes is the sample data which are used to train ML applications</w:t>
      </w:r>
      <w:r w:rsidRPr="00F30A97">
        <w:rPr>
          <w:rFonts w:ascii="Calibri" w:hAnsi="Calibri" w:cs="Calibri"/>
          <w:sz w:val="22"/>
          <w:szCs w:val="22"/>
        </w:rPr>
        <w:t xml:space="preserve"> </w:t>
      </w:r>
      <w:r w:rsidRPr="00F30A97">
        <w:t>[b-OGC-4]. With a lack of consistent sample data becoming a bottleneck to the advancement of ML for EO data, the OGC established the SampleML-AI/ML Standards Working Group to define a sample markup language (SampleML)</w:t>
      </w:r>
      <w:r w:rsidRPr="00F30A97">
        <w:rPr>
          <w:vertAlign w:val="superscript"/>
        </w:rPr>
        <w:footnoteReference w:id="18"/>
      </w:r>
      <w:r w:rsidRPr="00F30A97">
        <w:t xml:space="preserve"> for AI and ML data</w:t>
      </w:r>
      <w:r w:rsidRPr="00F30A97">
        <w:rPr>
          <w:rFonts w:ascii="Calibri" w:hAnsi="Calibri" w:cs="Calibri"/>
          <w:sz w:val="22"/>
          <w:szCs w:val="22"/>
        </w:rPr>
        <w:t xml:space="preserve"> </w:t>
      </w:r>
      <w:r w:rsidRPr="00F30A97">
        <w:t xml:space="preserve">[b-OGC-4]. The Global Geodetic Reference Frame is </w:t>
      </w:r>
      <w:r w:rsidR="00644FA2" w:rsidRPr="00F30A97">
        <w:t>"</w:t>
      </w:r>
      <w:r w:rsidRPr="00F30A97">
        <w:t>the framework which allows users to precisely determine and express locations on the Earth, as well as to quantify changes of the Earth in space and time</w:t>
      </w:r>
      <w:r w:rsidR="00644FA2" w:rsidRPr="00F30A97">
        <w:t>"</w:t>
      </w:r>
      <w:r w:rsidRPr="00F30A97">
        <w:t xml:space="preserve"> [b-UN-GGIM]. Meanwhile, data governance</w:t>
      </w:r>
      <w:r w:rsidRPr="00F30A97">
        <w:rPr>
          <w:b/>
        </w:rPr>
        <w:t xml:space="preserve"> </w:t>
      </w:r>
      <w:r w:rsidRPr="00F30A97">
        <w:t>refers to the establishment of rules and regulations surrounding the ownership, management, and sharing of data to maintain its quality and security</w:t>
      </w:r>
      <w:r w:rsidRPr="00F30A97">
        <w:rPr>
          <w:rFonts w:ascii="Calibri" w:hAnsi="Calibri" w:cs="Calibri"/>
          <w:sz w:val="22"/>
          <w:szCs w:val="22"/>
        </w:rPr>
        <w:t xml:space="preserve"> </w:t>
      </w:r>
      <w:r w:rsidRPr="00F30A97">
        <w:t xml:space="preserve">[b-IBM-3]. Data themes are recurring high-level ideas or concepts in a dataset and </w:t>
      </w:r>
      <w:r w:rsidR="00644FA2" w:rsidRPr="00F30A97">
        <w:t>"</w:t>
      </w:r>
      <w:r w:rsidRPr="00F30A97">
        <w:t>can include application data themes that are captured for a specific purpose, such as health and utilities; and socio-economic themes that are used for demographic studies</w:t>
      </w:r>
      <w:r w:rsidR="00644FA2" w:rsidRPr="00F30A97">
        <w:t>"</w:t>
      </w:r>
      <w:r w:rsidRPr="00F30A97">
        <w:t xml:space="preserve"> [b-UN-GGIM]. Data supply chain refers to</w:t>
      </w:r>
      <w:r w:rsidRPr="00F30A97">
        <w:rPr>
          <w:b/>
        </w:rPr>
        <w:t xml:space="preserve"> </w:t>
      </w:r>
      <w:r w:rsidR="00644FA2" w:rsidRPr="00F30A97">
        <w:t>"</w:t>
      </w:r>
      <w:r w:rsidRPr="00F30A97">
        <w:t>the lifecycle process of data; selection, procurement, transfer, quality assurance, warehousing/storage, data management, transformation, monitoring, and distribution — feeding data pipelines for use in data products</w:t>
      </w:r>
      <w:r w:rsidR="00644FA2" w:rsidRPr="00F30A97">
        <w:t>"</w:t>
      </w:r>
      <w:r w:rsidRPr="00F30A97">
        <w:rPr>
          <w:rFonts w:ascii="Calibri" w:hAnsi="Calibri" w:cs="Calibri"/>
          <w:sz w:val="22"/>
          <w:szCs w:val="22"/>
        </w:rPr>
        <w:t xml:space="preserve"> </w:t>
      </w:r>
      <w:r w:rsidRPr="00F30A97">
        <w:t xml:space="preserve">[b-SentinelOne]. Exploratory data analysis is </w:t>
      </w:r>
      <w:r w:rsidR="00644FA2" w:rsidRPr="00F30A97">
        <w:t>"</w:t>
      </w:r>
      <w:r w:rsidRPr="00F30A97">
        <w:t>an initial examination of data to determine its salient characteristics and assess its quality</w:t>
      </w:r>
      <w:r w:rsidR="00644FA2" w:rsidRPr="00F30A97">
        <w:t>"</w:t>
      </w:r>
      <w:r w:rsidRPr="00F30A97">
        <w:t xml:space="preserve"> [b-Bevilacqua]. Finally, a digital object identifier provides </w:t>
      </w:r>
      <w:r w:rsidR="00644FA2" w:rsidRPr="00F30A97">
        <w:t>"</w:t>
      </w:r>
      <w:r w:rsidRPr="00F30A97">
        <w:rPr>
          <w:highlight w:val="white"/>
        </w:rPr>
        <w:t>persistent unique [digital] identification</w:t>
      </w:r>
      <w:r w:rsidR="00644FA2" w:rsidRPr="00F30A97">
        <w:rPr>
          <w:highlight w:val="white"/>
        </w:rPr>
        <w:t>"</w:t>
      </w:r>
      <w:r w:rsidRPr="00F30A97">
        <w:rPr>
          <w:highlight w:val="white"/>
        </w:rPr>
        <w:t xml:space="preserve"> to objects, allowing their identification, traceability, and management </w:t>
      </w:r>
      <w:r w:rsidRPr="00F30A97">
        <w:t xml:space="preserve">[b-DOI]. </w:t>
      </w:r>
    </w:p>
    <w:p w14:paraId="1EAB9A5A" w14:textId="77777777" w:rsidR="0020782B" w:rsidRPr="00F30A97" w:rsidRDefault="0020782B" w:rsidP="00CE08CB">
      <w:r w:rsidRPr="00F30A97">
        <w:t xml:space="preserve">It was noted that these </w:t>
      </w:r>
      <w:r w:rsidRPr="00F30A97">
        <w:rPr>
          <w:i/>
        </w:rPr>
        <w:t>terms were nearly absent from the existing standardization documents</w:t>
      </w:r>
      <w:r w:rsidRPr="00F30A97">
        <w:t xml:space="preserve">, with only one reference to data format standards and only one document referencing OGC. </w:t>
      </w:r>
    </w:p>
    <w:p w14:paraId="384D23F8" w14:textId="76472298" w:rsidR="0020782B" w:rsidRPr="00F30A97" w:rsidRDefault="0020782B" w:rsidP="00CE08CB">
      <w:r w:rsidRPr="00F30A97">
        <w:t>In a second analysis, terms related to data handling were considered: machine learning operations (MLOps) and related concepts of data preparation, data cleaning, and data authentication; data curation; data annotation and labe</w:t>
      </w:r>
      <w:r w:rsidR="00061407" w:rsidRPr="00F30A97">
        <w:t>l</w:t>
      </w:r>
      <w:r w:rsidRPr="00F30A97">
        <w:t>ling; data storage; data bias and representativeness; data ownership; open data; and data privacy.</w:t>
      </w:r>
      <w:r w:rsidR="00644FA2" w:rsidRPr="00F30A97">
        <w:t xml:space="preserve"> </w:t>
      </w:r>
    </w:p>
    <w:p w14:paraId="0269C08E" w14:textId="3744B2B7" w:rsidR="0020782B" w:rsidRPr="00F30A97" w:rsidRDefault="0020782B" w:rsidP="00CE08CB">
      <w:pPr>
        <w:rPr>
          <w:shd w:val="clear" w:color="auto" w:fill="D9EAD3"/>
        </w:rPr>
      </w:pPr>
      <w:r w:rsidRPr="00F30A97">
        <w:t>MLOps refers to best practices to run AI successfully. As noted above, it includes elements such as data preparation, data cleaning, and data authentication. Data preparation refers to steps taken to make AI-ready datasets. If a dataset is incomplete, contains outliers, or is noisy, data cleaning</w:t>
      </w:r>
      <w:r w:rsidRPr="00F30A97">
        <w:rPr>
          <w:b/>
        </w:rPr>
        <w:t xml:space="preserve"> </w:t>
      </w:r>
      <w:r w:rsidRPr="00F30A97">
        <w:t xml:space="preserve">can be used to correct such artificial artifacts (e.g., validation with actual or synthetic data) [b-Gonzalez]. Meanwhile, data authentication refers to approaches to ascertain whether data are genuine, authentic, and properly described. It can involve the use of passwords, identifiers, or encryption [b-Vert]. Data curation, which aims to preserve the value of data and to deliver it to end users in a way that it can be </w:t>
      </w:r>
      <w:r w:rsidRPr="00F30A97">
        <w:lastRenderedPageBreak/>
        <w:t xml:space="preserve">visualized and used, includes considerations such as: security, respected rights, data sharing rules, policies for </w:t>
      </w:r>
      <w:r w:rsidR="00644FA2" w:rsidRPr="00F30A97">
        <w:t>"</w:t>
      </w:r>
      <w:r w:rsidRPr="00F30A97">
        <w:t>data life</w:t>
      </w:r>
      <w:r w:rsidR="00644FA2" w:rsidRPr="00F30A97">
        <w:t>"</w:t>
      </w:r>
      <w:r w:rsidRPr="00F30A97">
        <w:t xml:space="preserve"> scenarios, and secure file transfer. When applying supervised algorithms, data annotation and label</w:t>
      </w:r>
      <w:r w:rsidR="007C0877" w:rsidRPr="00F30A97">
        <w:t>l</w:t>
      </w:r>
      <w:r w:rsidRPr="00F30A97">
        <w:t>ing are necessary. This can involve several steps: defining an annotation task, selecting experts to do the annotation, preparing annotation guidelines (e.g., defining classes with examples), selecting annotation exercises and platforms, and finalizing annotations for the data objects [b-Tseng].</w:t>
      </w:r>
      <w:r w:rsidRPr="00F30A97">
        <w:rPr>
          <w:vertAlign w:val="superscript"/>
        </w:rPr>
        <w:footnoteReference w:id="19"/>
      </w:r>
      <w:r w:rsidRPr="00F30A97">
        <w:t xml:space="preserve"> Other important considerations are data storage (see, for instance, the cloud-based approaches described above) and data bias (or representativeness). Bias can refer to an exclusion, preference, distortion, or manipulation of data. Without correction, biased data can result in biased algorithms. Data ownership and open data are closely related topics. Ownership refers to the </w:t>
      </w:r>
      <w:r w:rsidRPr="00F30A97">
        <w:rPr>
          <w:highlight w:val="white"/>
        </w:rPr>
        <w:t xml:space="preserve">legal rights and complete control over a single piece or set of data elements governing the acquisition, use, and distribution of data assets </w:t>
      </w:r>
      <w:r w:rsidRPr="00F30A97">
        <w:t>[b-Techopedia-1]</w:t>
      </w:r>
      <w:r w:rsidRPr="00F30A97">
        <w:rPr>
          <w:highlight w:val="white"/>
        </w:rPr>
        <w:t xml:space="preserve">. Meanwhile, open data are those that are publicly accessible through open standards, protocols, or other means </w:t>
      </w:r>
      <w:r w:rsidRPr="00F30A97">
        <w:t>[b-Data-Europa]</w:t>
      </w:r>
      <w:r w:rsidRPr="00F30A97">
        <w:rPr>
          <w:highlight w:val="white"/>
        </w:rPr>
        <w:t xml:space="preserve">. A final consideration is data privacy, which is defined </w:t>
      </w:r>
      <w:r w:rsidRPr="00F30A97">
        <w:t xml:space="preserve">by SNIA as </w:t>
      </w:r>
      <w:r w:rsidR="00644FA2" w:rsidRPr="00F30A97">
        <w:t>"</w:t>
      </w:r>
      <w:r w:rsidRPr="00F30A97">
        <w:t>an area of data protection that concerns the proper handling of sensitive data including, notably, personal data but also other confidential data, such as certain financial data and intellectual property data, to meet regulatory requirements as well as protecting the confidentiality and immutability of the data</w:t>
      </w:r>
      <w:r w:rsidR="00644FA2" w:rsidRPr="00F30A97">
        <w:t>"</w:t>
      </w:r>
      <w:r w:rsidRPr="00F30A97">
        <w:t xml:space="preserve"> [b-SNIA].</w:t>
      </w:r>
    </w:p>
    <w:p w14:paraId="2E0CCACC" w14:textId="77777777" w:rsidR="0020782B" w:rsidRPr="00F30A97" w:rsidRDefault="0020782B" w:rsidP="00CE08CB">
      <w:pPr>
        <w:pStyle w:val="Figure"/>
      </w:pPr>
      <w:r w:rsidRPr="00F30A97">
        <w:drawing>
          <wp:inline distT="0" distB="0" distL="0" distR="0" wp14:anchorId="1662232B" wp14:editId="4DEBE756">
            <wp:extent cx="6119820" cy="2209800"/>
            <wp:effectExtent l="0" t="0" r="0" b="0"/>
            <wp:docPr id="47" name="image11.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47" name="image11.png" descr="A picture containing text&#10;&#10;Description automatically generated"/>
                    <pic:cNvPicPr preferRelativeResize="0"/>
                  </pic:nvPicPr>
                  <pic:blipFill>
                    <a:blip r:embed="rId26">
                      <a:extLst>
                        <a:ext uri="{28A0092B-C50C-407E-A947-70E740481C1C}">
                          <a14:useLocalDpi xmlns:a14="http://schemas.microsoft.com/office/drawing/2010/main" val="0"/>
                        </a:ext>
                      </a:extLst>
                    </a:blip>
                    <a:srcRect/>
                    <a:stretch>
                      <a:fillRect/>
                    </a:stretch>
                  </pic:blipFill>
                  <pic:spPr>
                    <a:xfrm>
                      <a:off x="0" y="0"/>
                      <a:ext cx="6119820" cy="2209800"/>
                    </a:xfrm>
                    <a:prstGeom prst="rect">
                      <a:avLst/>
                    </a:prstGeom>
                    <a:ln/>
                  </pic:spPr>
                </pic:pic>
              </a:graphicData>
            </a:graphic>
          </wp:inline>
        </w:drawing>
      </w:r>
    </w:p>
    <w:p w14:paraId="3BCCCB54" w14:textId="273577EE" w:rsidR="0020782B" w:rsidRPr="00F30A97" w:rsidRDefault="0020782B" w:rsidP="00CE08CB">
      <w:pPr>
        <w:pStyle w:val="FigureNoTitle"/>
      </w:pPr>
      <w:bookmarkStart w:id="61" w:name="_Toc122117089"/>
      <w:r w:rsidRPr="00F30A97">
        <w:t xml:space="preserve">Figure 8 </w:t>
      </w:r>
      <w:r w:rsidR="00D940DD" w:rsidRPr="00F30A97">
        <w:t>–</w:t>
      </w:r>
      <w:r w:rsidRPr="00F30A97">
        <w:t xml:space="preserve"> The standards containing a reference to data handling-related terms</w:t>
      </w:r>
      <w:bookmarkEnd w:id="61"/>
    </w:p>
    <w:p w14:paraId="3AA1307B" w14:textId="77777777" w:rsidR="0020782B" w:rsidRPr="00F30A97" w:rsidRDefault="0020782B" w:rsidP="00CE08CB">
      <w:pPr>
        <w:pStyle w:val="Normalaftertitle"/>
      </w:pPr>
      <w:r w:rsidRPr="00F30A97">
        <w:t xml:space="preserve">Figure 8 shows that standards within the database focus most on data storage (35.7%) and data privacy (33.3%) while data bias and open data are the data handling aspects less frequently considered. None of the standards to date refer to MLOps or to data curation, and a majority of standards (52.4%) did not consider any of these data handling terms. </w:t>
      </w:r>
    </w:p>
    <w:p w14:paraId="705E1EAE" w14:textId="77777777" w:rsidR="0020782B" w:rsidRPr="00F30A97" w:rsidRDefault="0020782B" w:rsidP="00CE08CB">
      <w:pPr>
        <w:pStyle w:val="Headingb"/>
      </w:pPr>
      <w:r w:rsidRPr="00F30A97">
        <w:t>Model-related considerations</w:t>
      </w:r>
    </w:p>
    <w:p w14:paraId="65CBF36B" w14:textId="292BEC82" w:rsidR="0020782B" w:rsidRPr="00F30A97" w:rsidRDefault="0020782B" w:rsidP="00CE08CB">
      <w:r w:rsidRPr="00F30A97">
        <w:t xml:space="preserve">The report also considers the following </w:t>
      </w:r>
      <w:r w:rsidR="003A4727" w:rsidRPr="00F30A97">
        <w:t>modelling</w:t>
      </w:r>
      <w:r w:rsidRPr="00F30A97">
        <w:t xml:space="preserve">-related considerations (Figure 8): harm avoidance; autonomy; transparency, explainability, and interpretability; open source; stakeholder inclusion; legal (implications); scalability; and validation. </w:t>
      </w:r>
    </w:p>
    <w:p w14:paraId="5C463399" w14:textId="084F51F2" w:rsidR="0020782B" w:rsidRPr="00F30A97" w:rsidRDefault="0020782B" w:rsidP="00CE08CB">
      <w:r w:rsidRPr="00F30A97">
        <w:t xml:space="preserve">When developing models, the principle of harm avoidance calls for the anticipation of possible harmful effects of the model and their proactive mitigation, for example through controls or restrictions on the distribution of the model [b-EPRS-1]. Autonomy refers to the ability of stakeholders to assess or provide inputs to a model based on their outcomes. In the field of AI, transparency, explainability, and interpretability are often used interchangeably. While they are closely related, they carry distinct meanings. </w:t>
      </w:r>
      <w:r w:rsidRPr="00F30A97">
        <w:rPr>
          <w:color w:val="1A202C"/>
        </w:rPr>
        <w:t xml:space="preserve">Transparency refers to the ability to enable all stakeholders to understand how an AI system is developed, trained, operated, and deployed in the relevant application domain [b-OECD], including the logic, limitations, and consequences of </w:t>
      </w:r>
      <w:r w:rsidRPr="00F30A97">
        <w:rPr>
          <w:color w:val="1A202C"/>
        </w:rPr>
        <w:lastRenderedPageBreak/>
        <w:t>decision-making. Explainability refers to efforts to make sure that artificial intelligence programs are transparent in their purposes and how they can be explained in human terms [b-Techopedia-2]. Interpretability refers to the ability of users to understand how a model arrived at a decision or predict a model</w:t>
      </w:r>
      <w:r w:rsidR="00644FA2" w:rsidRPr="00F30A97">
        <w:rPr>
          <w:color w:val="1A202C"/>
        </w:rPr>
        <w:t>'</w:t>
      </w:r>
      <w:r w:rsidRPr="00F30A97">
        <w:rPr>
          <w:color w:val="1A202C"/>
        </w:rPr>
        <w:t>s result [b-Rao] [b-Cramer]. Open source data are free and publicly available (although their use and redistribution may be subject to certain conditions) [ITU-T Y.4472]. Stakeholder inclusion refers to the involvement of parties who may be affected by the model</w:t>
      </w:r>
      <w:r w:rsidR="00644FA2" w:rsidRPr="00F30A97">
        <w:rPr>
          <w:color w:val="1A202C"/>
        </w:rPr>
        <w:t>'</w:t>
      </w:r>
      <w:r w:rsidRPr="00F30A97">
        <w:rPr>
          <w:color w:val="1A202C"/>
        </w:rPr>
        <w:t>s outputs in the design, development, testing, or assessment of the model, such that their needs are represented [b-WEF]. Another consideration in the development of models is the legal implication of outputs. When a model is applied to personal data, for example, the outputs may also be considered personal data and fall under the General Data Protection Regulation (GDPR)</w:t>
      </w:r>
      <w:r w:rsidR="00E51EDB" w:rsidRPr="00F30A97">
        <w:rPr>
          <w:color w:val="1A202C"/>
        </w:rPr>
        <w:t xml:space="preserve"> </w:t>
      </w:r>
      <w:r w:rsidRPr="00F30A97">
        <w:rPr>
          <w:color w:val="1A202C"/>
        </w:rPr>
        <w:t>[b-EPRS-2]. Meanwhile, certain problems may require more powerful and thus resource-intensive models. In other cases, resources may be limited. Scalability refers to the ability of models to be scaled up or down to fit the needs of the problem [b-Techopedia-3]. Finally, validation is the process of checking the quality of the data to which the model is to be applied, including its accuracy [b-Hinton].</w:t>
      </w:r>
    </w:p>
    <w:p w14:paraId="1ECF4458" w14:textId="77777777" w:rsidR="0020782B" w:rsidRPr="00F30A97" w:rsidRDefault="0020782B" w:rsidP="00CE08CB">
      <w:pPr>
        <w:pStyle w:val="Figure"/>
        <w:rPr>
          <w:color w:val="000000"/>
        </w:rPr>
      </w:pPr>
      <w:r w:rsidRPr="00F30A97">
        <w:drawing>
          <wp:inline distT="114300" distB="114300" distL="114300" distR="114300" wp14:anchorId="6E16A95A" wp14:editId="766BDD19">
            <wp:extent cx="6086475" cy="2181225"/>
            <wp:effectExtent l="0" t="0" r="0" b="0"/>
            <wp:docPr id="44" name="image3.png" descr="Graphical user interface, application, bar chart&#10;&#10;Description automatically generated"/>
            <wp:cNvGraphicFramePr/>
            <a:graphic xmlns:a="http://schemas.openxmlformats.org/drawingml/2006/main">
              <a:graphicData uri="http://schemas.openxmlformats.org/drawingml/2006/picture">
                <pic:pic xmlns:pic="http://schemas.openxmlformats.org/drawingml/2006/picture">
                  <pic:nvPicPr>
                    <pic:cNvPr id="44" name="image3.png" descr="Graphical user interface, application, bar chart&#10;&#10;Description automatically generated"/>
                    <pic:cNvPicPr preferRelativeResize="0"/>
                  </pic:nvPicPr>
                  <pic:blipFill>
                    <a:blip r:embed="rId27"/>
                    <a:srcRect r="622"/>
                    <a:stretch>
                      <a:fillRect/>
                    </a:stretch>
                  </pic:blipFill>
                  <pic:spPr>
                    <a:xfrm>
                      <a:off x="0" y="0"/>
                      <a:ext cx="6086475" cy="2181225"/>
                    </a:xfrm>
                    <a:prstGeom prst="rect">
                      <a:avLst/>
                    </a:prstGeom>
                    <a:ln/>
                  </pic:spPr>
                </pic:pic>
              </a:graphicData>
            </a:graphic>
          </wp:inline>
        </w:drawing>
      </w:r>
    </w:p>
    <w:p w14:paraId="107D96EC" w14:textId="170FB77A" w:rsidR="0020782B" w:rsidRPr="00F30A97" w:rsidRDefault="0020782B" w:rsidP="00CE08CB">
      <w:pPr>
        <w:pStyle w:val="FigureNoTitle"/>
      </w:pPr>
      <w:bookmarkStart w:id="62" w:name="_Toc122117090"/>
      <w:r w:rsidRPr="00F30A97">
        <w:t xml:space="preserve">Figure 9 </w:t>
      </w:r>
      <w:r w:rsidR="00E51EDB" w:rsidRPr="00F30A97">
        <w:t>–</w:t>
      </w:r>
      <w:r w:rsidRPr="00F30A97">
        <w:t xml:space="preserve"> The standards containing a reference to general model-related terms</w:t>
      </w:r>
      <w:bookmarkEnd w:id="62"/>
    </w:p>
    <w:p w14:paraId="3D13A2FE" w14:textId="1666D363" w:rsidR="0020782B" w:rsidRPr="00F30A97" w:rsidRDefault="0020782B" w:rsidP="00CE08CB">
      <w:pPr>
        <w:pStyle w:val="Normalaftertitle"/>
        <w:rPr>
          <w:i/>
          <w:iCs/>
          <w:u w:val="single"/>
        </w:rPr>
      </w:pPr>
      <w:r w:rsidRPr="00F30A97">
        <w:rPr>
          <w:i/>
          <w:iCs/>
        </w:rPr>
        <w:t xml:space="preserve">It was found that scalability and validation were the </w:t>
      </w:r>
      <w:r w:rsidR="003A4727" w:rsidRPr="00F30A97">
        <w:rPr>
          <w:i/>
          <w:iCs/>
        </w:rPr>
        <w:t>modelling</w:t>
      </w:r>
      <w:r w:rsidRPr="00F30A97">
        <w:rPr>
          <w:i/>
          <w:iCs/>
        </w:rPr>
        <w:t xml:space="preserve">-related considerations most commonly referenced (23.8%), while stakeholder inclusion was rarely mentioned (7.1%) and open-source considerations were largely absent (2.4%). No standards referred to harm avoidance, and a majority of standards (54.8%) did not refer to any </w:t>
      </w:r>
      <w:r w:rsidR="003A4727" w:rsidRPr="00F30A97">
        <w:rPr>
          <w:i/>
          <w:iCs/>
        </w:rPr>
        <w:t>modelling</w:t>
      </w:r>
      <w:r w:rsidRPr="00F30A97">
        <w:rPr>
          <w:i/>
          <w:iCs/>
        </w:rPr>
        <w:t xml:space="preserve"> considerations. </w:t>
      </w:r>
    </w:p>
    <w:p w14:paraId="3560BA26" w14:textId="3BE6B046" w:rsidR="0020782B" w:rsidRPr="00F30A97" w:rsidRDefault="0020782B" w:rsidP="00CE08CB">
      <w:r w:rsidRPr="00F30A97">
        <w:t xml:space="preserve">The report also </w:t>
      </w:r>
      <w:r w:rsidR="007421F6" w:rsidRPr="00F30A97">
        <w:t>analyse</w:t>
      </w:r>
      <w:r w:rsidRPr="00F30A97">
        <w:t>s the number of references to different types of machine learning (Fig</w:t>
      </w:r>
      <w:r w:rsidR="00E51EDB" w:rsidRPr="00F30A97">
        <w:t>ure </w:t>
      </w:r>
      <w:r w:rsidRPr="00F30A97">
        <w:t>9) including supervised (regression, classification), unsupervised (clustering, association), transfer, and reinforcement. As with natural disaster sub-types, both the higher-level terms and lower-level terms (in parentheses) were sought before aggregating all results to the higher-level term. In supervised learning, a computer is provided with examples of the associations in a data set (label</w:t>
      </w:r>
      <w:r w:rsidR="007C0877" w:rsidRPr="00F30A97">
        <w:t>l</w:t>
      </w:r>
      <w:r w:rsidRPr="00F30A97">
        <w:t xml:space="preserve">ed as inputs and outputs, hence </w:t>
      </w:r>
      <w:r w:rsidR="00644FA2" w:rsidRPr="00F30A97">
        <w:t>"</w:t>
      </w:r>
      <w:r w:rsidRPr="00F30A97">
        <w:t>labe</w:t>
      </w:r>
      <w:r w:rsidR="007C0877" w:rsidRPr="00F30A97">
        <w:t>l</w:t>
      </w:r>
      <w:r w:rsidRPr="00F30A97">
        <w:t>led data</w:t>
      </w:r>
      <w:r w:rsidR="00644FA2" w:rsidRPr="00F30A97">
        <w:t>"</w:t>
      </w:r>
      <w:r w:rsidRPr="00F30A97">
        <w:t>) which it learns to recognise and predict [b-ISO-2]. Unsupervised learning models, on the other hand, are applied to unlabel</w:t>
      </w:r>
      <w:r w:rsidR="00FB60E3" w:rsidRPr="00F30A97">
        <w:t>l</w:t>
      </w:r>
      <w:r w:rsidRPr="00F30A97">
        <w:t>ed datasets and identify patterns and associations in the data themselves [b-ISO-2]. Reinforcement learning iteratively provides a model with feedback, such that it learns by trial and error [b-van-Otterlo]. Finally, in transfer learning, a model designed for a given application is refined and applied to another domain, such that the new domain can benefit from the existing labe</w:t>
      </w:r>
      <w:r w:rsidR="007C0877" w:rsidRPr="00F30A97">
        <w:t>l</w:t>
      </w:r>
      <w:r w:rsidRPr="00F30A97">
        <w:t xml:space="preserve">led data [b-West]. </w:t>
      </w:r>
    </w:p>
    <w:p w14:paraId="47A5ED2F" w14:textId="77777777" w:rsidR="0020782B" w:rsidRPr="00F30A97" w:rsidRDefault="0020782B" w:rsidP="00CE08CB">
      <w:pPr>
        <w:pStyle w:val="Figure"/>
      </w:pPr>
      <w:r w:rsidRPr="00F30A97">
        <w:lastRenderedPageBreak/>
        <w:drawing>
          <wp:inline distT="114300" distB="114300" distL="114300" distR="114300" wp14:anchorId="230E0E95" wp14:editId="6D521F67">
            <wp:extent cx="6119820" cy="2222500"/>
            <wp:effectExtent l="0" t="0" r="0" b="0"/>
            <wp:docPr id="48" name="image9.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48" name="image9.png" descr="A picture containing text&#10;&#10;Description automatically generated"/>
                    <pic:cNvPicPr preferRelativeResize="0"/>
                  </pic:nvPicPr>
                  <pic:blipFill>
                    <a:blip r:embed="rId28"/>
                    <a:srcRect/>
                    <a:stretch>
                      <a:fillRect/>
                    </a:stretch>
                  </pic:blipFill>
                  <pic:spPr>
                    <a:xfrm>
                      <a:off x="0" y="0"/>
                      <a:ext cx="6119820" cy="2222500"/>
                    </a:xfrm>
                    <a:prstGeom prst="rect">
                      <a:avLst/>
                    </a:prstGeom>
                    <a:ln/>
                  </pic:spPr>
                </pic:pic>
              </a:graphicData>
            </a:graphic>
          </wp:inline>
        </w:drawing>
      </w:r>
    </w:p>
    <w:p w14:paraId="43890D33" w14:textId="786A2B8C" w:rsidR="0020782B" w:rsidRPr="00F30A97" w:rsidRDefault="0020782B" w:rsidP="00CE08CB">
      <w:pPr>
        <w:pStyle w:val="FigureNoTitle"/>
        <w:rPr>
          <w:highlight w:val="green"/>
        </w:rPr>
      </w:pPr>
      <w:bookmarkStart w:id="63" w:name="_Toc122117091"/>
      <w:r w:rsidRPr="00F30A97">
        <w:t xml:space="preserve">Figure 10 </w:t>
      </w:r>
      <w:r w:rsidR="00E51EDB" w:rsidRPr="00F30A97">
        <w:t>–</w:t>
      </w:r>
      <w:r w:rsidRPr="00F30A97">
        <w:t xml:space="preserve"> The standards containing a reference to different learning types</w:t>
      </w:r>
      <w:bookmarkEnd w:id="63"/>
    </w:p>
    <w:p w14:paraId="7BCC314B" w14:textId="74C0D44E" w:rsidR="0020782B" w:rsidRPr="00F30A97" w:rsidRDefault="0020782B" w:rsidP="00CE08CB">
      <w:pPr>
        <w:pStyle w:val="Normalaftertitle"/>
      </w:pPr>
      <w:r w:rsidRPr="00F30A97">
        <w:t xml:space="preserve">It was found that </w:t>
      </w:r>
      <w:r w:rsidRPr="00F30A97">
        <w:rPr>
          <w:i/>
          <w:iCs/>
        </w:rPr>
        <w:t>the vast majority of standards did not reference a specific learning type (Fig</w:t>
      </w:r>
      <w:r w:rsidR="00E51EDB" w:rsidRPr="00F30A97">
        <w:rPr>
          <w:i/>
          <w:iCs/>
        </w:rPr>
        <w:t>ure </w:t>
      </w:r>
      <w:r w:rsidR="005B214E" w:rsidRPr="00F30A97">
        <w:rPr>
          <w:i/>
          <w:iCs/>
        </w:rPr>
        <w:t>10</w:t>
      </w:r>
      <w:r w:rsidRPr="00F30A97">
        <w:rPr>
          <w:i/>
          <w:iCs/>
        </w:rPr>
        <w:t>)</w:t>
      </w:r>
      <w:r w:rsidRPr="00F30A97">
        <w:t xml:space="preserve">. Where a learning technique was mentioned, </w:t>
      </w:r>
      <w:r w:rsidRPr="00F30A97">
        <w:rPr>
          <w:i/>
          <w:iCs/>
        </w:rPr>
        <w:t xml:space="preserve">supervised learning techniques were referenced more frequently than unsupervised techniques, and no mention of transfer and reinforcement learning were found. </w:t>
      </w:r>
    </w:p>
    <w:p w14:paraId="638C0D4B" w14:textId="77777777" w:rsidR="0020782B" w:rsidRPr="00F30A97" w:rsidRDefault="0020782B" w:rsidP="00CE08CB">
      <w:pPr>
        <w:pStyle w:val="Headingb"/>
      </w:pPr>
      <w:r w:rsidRPr="00F30A97">
        <w:t xml:space="preserve">Implementation of AI/ML for operational purposes </w:t>
      </w:r>
    </w:p>
    <w:p w14:paraId="0EE6EA9D" w14:textId="77777777" w:rsidR="0020782B" w:rsidRPr="00F30A97" w:rsidRDefault="0020782B" w:rsidP="00CE08CB">
      <w:r w:rsidRPr="00F30A97">
        <w:t>The last series of terms that were sought related to implementation of AI/ML technologies for operational purposes. These terms encompass Common Alerting Protocol (CAP), alerts and early warning systems, forecasts, hazard maps, decision support systems (DSS), dashboards, and chatbots.</w:t>
      </w:r>
      <w:r w:rsidRPr="00F30A97">
        <w:rPr>
          <w:vertAlign w:val="superscript"/>
        </w:rPr>
        <w:footnoteReference w:id="20"/>
      </w:r>
    </w:p>
    <w:p w14:paraId="4BC33FE2" w14:textId="18AF9239" w:rsidR="0020782B" w:rsidRPr="00F30A97" w:rsidRDefault="0020782B" w:rsidP="00CE08CB">
      <w:pPr>
        <w:rPr>
          <w:vertAlign w:val="superscript"/>
        </w:rPr>
      </w:pPr>
      <w:r w:rsidRPr="00F30A97">
        <w:t>In brief, the CAP is a simple but general format for exchanging all-hazard emergency alerts and public warnings over all kinds of ICT networks [ITU-T X.1303]</w:t>
      </w:r>
      <w:r w:rsidRPr="00F30A97">
        <w:rPr>
          <w:sz w:val="22"/>
          <w:szCs w:val="22"/>
        </w:rPr>
        <w:t>.</w:t>
      </w:r>
      <w:r w:rsidRPr="00F30A97">
        <w:t xml:space="preserve"> Emergency alerts (as well as those derived from </w:t>
      </w:r>
      <w:r w:rsidR="00E57C50" w:rsidRPr="00F30A97">
        <w:t>early warning systems (</w:t>
      </w:r>
      <w:r w:rsidRPr="00F30A97">
        <w:t>EWS</w:t>
      </w:r>
      <w:r w:rsidR="00E57C50" w:rsidRPr="00F30A97">
        <w:t>)</w:t>
      </w:r>
      <w:r w:rsidRPr="00F30A97">
        <w:t>) are based on real-time detection and near-real time (short lead time) forecasts aimed to provide timely and effective warning information using integrated communication mediums in a systematic manner to the targeted population to reduce the impact of disasters [b-UNDP</w:t>
      </w:r>
      <w:r w:rsidR="007C0877" w:rsidRPr="00F30A97">
        <w:t>-1</w:t>
      </w:r>
      <w:r w:rsidRPr="00F30A97">
        <w:t>]. Forecasts can also have an important role for possible scenario investigation, risk estimation, and decision-making. For instance, machine learning models can be used to predict the intensity and location of impending natural disasters.</w:t>
      </w:r>
      <w:r w:rsidRPr="00F30A97">
        <w:rPr>
          <w:vertAlign w:val="superscript"/>
        </w:rPr>
        <w:footnoteReference w:id="21"/>
      </w:r>
      <w:r w:rsidRPr="00F30A97">
        <w:t xml:space="preserve"> Forecasts and their associated probabilities can be utilized as an integral part of a communication system to provide local, regional, and country-based alerts of a possible crisis.</w:t>
      </w:r>
      <w:r w:rsidRPr="00F30A97">
        <w:rPr>
          <w:b/>
        </w:rPr>
        <w:t xml:space="preserve"> </w:t>
      </w:r>
      <w:r w:rsidRPr="00F30A97">
        <w:t xml:space="preserve">Hazard maps are a tool that can be used to visualize areas that are vulnerable to a certain type of hazard (e.g., via recurrence intervals) through a likelihood reference. For the generation of hazard maps, AI is often used in conjunction with GIS tools (e.g., ArcGIS, MapGIS; see Figure 6). According to the Pacific Northwest Seismic Network, </w:t>
      </w:r>
      <w:r w:rsidR="00644FA2" w:rsidRPr="00F30A97">
        <w:rPr>
          <w:highlight w:val="white"/>
        </w:rPr>
        <w:t>"</w:t>
      </w:r>
      <w:r w:rsidRPr="00F30A97">
        <w:rPr>
          <w:highlight w:val="white"/>
        </w:rPr>
        <w:t>hazard maps are tools that when properly utilized by planners, developers, and engineers, can save lives and economic losses by avoiding exposure to some hazards while designing other development to mitigate or neutralize the potential negative effects of these hazards</w:t>
      </w:r>
      <w:r w:rsidR="00644FA2" w:rsidRPr="00F30A97">
        <w:rPr>
          <w:highlight w:val="white"/>
        </w:rPr>
        <w:t>"</w:t>
      </w:r>
      <w:r w:rsidRPr="00F30A97">
        <w:t xml:space="preserve"> [b-PNSN]</w:t>
      </w:r>
      <w:r w:rsidRPr="00F30A97">
        <w:rPr>
          <w:highlight w:val="white"/>
        </w:rPr>
        <w:t>.</w:t>
      </w:r>
      <w:r w:rsidRPr="00F30A97">
        <w:rPr>
          <w:vertAlign w:val="superscript"/>
        </w:rPr>
        <w:footnoteReference w:id="22"/>
      </w:r>
      <w:r w:rsidRPr="00F30A97">
        <w:t xml:space="preserve"> DSS is a different type of tool that can help disaster managers solve problems by identifying possible means to address community outreach, providing the influence of warning message content on the public and, thereby, performing complete impact analysis of the disaster event which can help in response coordination and </w:t>
      </w:r>
      <w:r w:rsidRPr="00F30A97">
        <w:lastRenderedPageBreak/>
        <w:t>preparedness activities.</w:t>
      </w:r>
      <w:r w:rsidRPr="00F30A97">
        <w:rPr>
          <w:vertAlign w:val="superscript"/>
        </w:rPr>
        <w:footnoteReference w:id="23"/>
      </w:r>
      <w:r w:rsidRPr="00F30A97">
        <w:t xml:space="preserve"> Dashboard is a related tool that assists to prioritize areas where relief should be targeted and regions that should be monitored. By providing complete visibility to the underlying input and output variables that contribute to the severity assessment from AI for NDM models, users can make informed decisions.</w:t>
      </w:r>
      <w:r w:rsidRPr="00F30A97">
        <w:rPr>
          <w:vertAlign w:val="superscript"/>
        </w:rPr>
        <w:footnoteReference w:id="24"/>
      </w:r>
      <w:r w:rsidRPr="00F30A97">
        <w:t xml:space="preserve"> Finally, chatbots are computer programs intended to simulate dialogues with human users </w:t>
      </w:r>
      <w:r w:rsidRPr="00F30A97">
        <w:rPr>
          <w:shd w:val="clear" w:color="auto" w:fill="D9EAD3"/>
        </w:rPr>
        <w:t>[</w:t>
      </w:r>
      <w:r w:rsidRPr="00F30A97">
        <w:t>b-Adamopoulou].</w:t>
      </w:r>
      <w:r w:rsidRPr="00F30A97">
        <w:rPr>
          <w:vertAlign w:val="superscript"/>
        </w:rPr>
        <w:footnoteReference w:id="25"/>
      </w:r>
      <w:r w:rsidRPr="00F30A97">
        <w:t xml:space="preserve"> </w:t>
      </w:r>
    </w:p>
    <w:p w14:paraId="1C769972" w14:textId="77777777" w:rsidR="0020782B" w:rsidRPr="00F30A97" w:rsidRDefault="0020782B" w:rsidP="00CE08CB">
      <w:pPr>
        <w:pStyle w:val="Figure"/>
      </w:pPr>
      <w:r w:rsidRPr="00F30A97">
        <w:drawing>
          <wp:inline distT="114300" distB="114300" distL="114300" distR="114300" wp14:anchorId="028B91E1" wp14:editId="3F682819">
            <wp:extent cx="6119820" cy="2222500"/>
            <wp:effectExtent l="0" t="0" r="0" b="0"/>
            <wp:docPr id="46" name="image13.png" descr="Graphical user interface, application, Teams&#10;&#10;Description automatically generated"/>
            <wp:cNvGraphicFramePr/>
            <a:graphic xmlns:a="http://schemas.openxmlformats.org/drawingml/2006/main">
              <a:graphicData uri="http://schemas.openxmlformats.org/drawingml/2006/picture">
                <pic:pic xmlns:pic="http://schemas.openxmlformats.org/drawingml/2006/picture">
                  <pic:nvPicPr>
                    <pic:cNvPr id="46" name="image13.png" descr="Graphical user interface, application, Teams&#10;&#10;Description automatically generated"/>
                    <pic:cNvPicPr preferRelativeResize="0"/>
                  </pic:nvPicPr>
                  <pic:blipFill>
                    <a:blip r:embed="rId29"/>
                    <a:srcRect/>
                    <a:stretch>
                      <a:fillRect/>
                    </a:stretch>
                  </pic:blipFill>
                  <pic:spPr>
                    <a:xfrm>
                      <a:off x="0" y="0"/>
                      <a:ext cx="6119820" cy="2222500"/>
                    </a:xfrm>
                    <a:prstGeom prst="rect">
                      <a:avLst/>
                    </a:prstGeom>
                    <a:ln/>
                  </pic:spPr>
                </pic:pic>
              </a:graphicData>
            </a:graphic>
          </wp:inline>
        </w:drawing>
      </w:r>
    </w:p>
    <w:p w14:paraId="0CE963D0" w14:textId="3FAD61F1" w:rsidR="0020782B" w:rsidRPr="00F30A97" w:rsidRDefault="0020782B" w:rsidP="00CE08CB">
      <w:pPr>
        <w:pStyle w:val="FigureNoTitle"/>
      </w:pPr>
      <w:bookmarkStart w:id="64" w:name="_Toc122117092"/>
      <w:r w:rsidRPr="00F30A97">
        <w:t xml:space="preserve">Figure 11 </w:t>
      </w:r>
      <w:r w:rsidR="00E51EDB" w:rsidRPr="00F30A97">
        <w:t>–</w:t>
      </w:r>
      <w:r w:rsidRPr="00F30A97">
        <w:t xml:space="preserve"> The standards containing a reference to operational implementation of AI</w:t>
      </w:r>
      <w:bookmarkEnd w:id="64"/>
    </w:p>
    <w:p w14:paraId="70A6DB48" w14:textId="4FC8139A" w:rsidR="0020782B" w:rsidRPr="00F30A97" w:rsidRDefault="0020782B" w:rsidP="00CE08CB">
      <w:pPr>
        <w:pStyle w:val="Normalaftertitle"/>
      </w:pPr>
      <w:r w:rsidRPr="00F30A97">
        <w:t>Figure 1</w:t>
      </w:r>
      <w:r w:rsidR="00C2623D" w:rsidRPr="00F30A97">
        <w:t>1</w:t>
      </w:r>
      <w:r w:rsidRPr="00F30A97">
        <w:t xml:space="preserve">demonstrates how common these terms were in the standards database. </w:t>
      </w:r>
      <w:r w:rsidRPr="00F30A97">
        <w:rPr>
          <w:i/>
        </w:rPr>
        <w:t xml:space="preserve">The most common method of implementation was in forecasts, </w:t>
      </w:r>
      <w:r w:rsidRPr="00F30A97">
        <w:t xml:space="preserve">followed by a similar number of references to early warning systems (EWS), Common Alert Protocol (CAP), and user interfaces. </w:t>
      </w:r>
      <w:r w:rsidRPr="00F30A97">
        <w:rPr>
          <w:i/>
        </w:rPr>
        <w:t>Dashboards, decision support systems (DSS), and hazard/susceptibility maps were least frequently mentioned</w:t>
      </w:r>
      <w:r w:rsidRPr="00F30A97">
        <w:t>. Still, a majority of current standards do not reference any of the implementation methods that were sought.</w:t>
      </w:r>
    </w:p>
    <w:p w14:paraId="4C374640" w14:textId="3E239000" w:rsidR="0020782B" w:rsidRPr="00F30A97" w:rsidRDefault="00E51EDB" w:rsidP="00CE08CB">
      <w:pPr>
        <w:pStyle w:val="Heading1"/>
      </w:pPr>
      <w:bookmarkStart w:id="65" w:name="_Toc122117102"/>
      <w:bookmarkStart w:id="66" w:name="_Toc122117119"/>
      <w:bookmarkStart w:id="67" w:name="_Toc126934276"/>
      <w:r w:rsidRPr="00F30A97">
        <w:rPr>
          <w:rFonts w:eastAsia="MS Mincho"/>
          <w:lang w:eastAsia="ja-JP" w:bidi="ar-DZ"/>
        </w:rPr>
        <w:t>8</w:t>
      </w:r>
      <w:r w:rsidRPr="00F30A97">
        <w:rPr>
          <w:rFonts w:eastAsia="MS Mincho"/>
          <w:lang w:eastAsia="ja-JP" w:bidi="ar-DZ"/>
        </w:rPr>
        <w:tab/>
      </w:r>
      <w:r w:rsidR="0020782B" w:rsidRPr="00F30A97">
        <w:rPr>
          <w:rFonts w:eastAsia="MS Mincho"/>
          <w:lang w:eastAsia="ja-JP" w:bidi="ar-DZ"/>
        </w:rPr>
        <w:t>Outlook</w:t>
      </w:r>
      <w:bookmarkEnd w:id="65"/>
      <w:bookmarkEnd w:id="66"/>
      <w:bookmarkEnd w:id="67"/>
      <w:r w:rsidR="0020782B" w:rsidRPr="00F30A97">
        <w:rPr>
          <w:color w:val="000000"/>
        </w:rPr>
        <w:t xml:space="preserve"> </w:t>
      </w:r>
    </w:p>
    <w:p w14:paraId="7F8EF111" w14:textId="49A4E232" w:rsidR="0020782B" w:rsidRPr="00F30A97" w:rsidRDefault="0020782B" w:rsidP="00CE08CB">
      <w:r w:rsidRPr="00F30A97">
        <w:t xml:space="preserve">The analysis of standards reveals the following trends. Most past or present activities are related to supporting response/relief and recovery with a focus on natural disasters of geophysical and hydrological origins. The most prominent technology is IoT and there is a bias towards data collection through remote sensing. Although data standards were elusive, considerations related to data storage and privacy were present. In terms of </w:t>
      </w:r>
      <w:r w:rsidR="003A4727" w:rsidRPr="00F30A97">
        <w:t>modelling</w:t>
      </w:r>
      <w:r w:rsidRPr="00F30A97">
        <w:t xml:space="preserve">, scalability and validation were common terms, as well as supervised (as opposed to unsupervised) learning approaches. At the operational implementation stage, forecasts dominated the standards. </w:t>
      </w:r>
    </w:p>
    <w:p w14:paraId="29C327FE" w14:textId="55867D8B" w:rsidR="0020782B" w:rsidRPr="00F30A97" w:rsidRDefault="0020782B" w:rsidP="00CE08CB">
      <w:r w:rsidRPr="00F30A97">
        <w:t>In terms of gaps</w:t>
      </w:r>
      <w:r w:rsidR="00E51EDB" w:rsidRPr="00F30A97">
        <w:t xml:space="preserve"> – </w:t>
      </w:r>
      <w:r w:rsidRPr="00F30A97">
        <w:t>and how they relate to the activities of the Focus Group on AI for Natural Disaster Managements</w:t>
      </w:r>
      <w:r w:rsidR="0030422A" w:rsidRPr="00F30A97">
        <w:t xml:space="preserve"> – </w:t>
      </w:r>
      <w:r w:rsidRPr="00F30A97">
        <w:t xml:space="preserve">it is observed that existing standards neglect earlier phases of the disaster management cycle, certain types of natural hazards (e.g., biologic), and man-made hazards. In this context, FG-AI4NDM is contributing to the standardization landscape through focusing on earlier phases of the disaster management cycle (including preparedness) and through analysis of use cases related to biological hazards (insect plagues and vector-borne diseases). It is also observed that few existing standards consider AI/ML, digital twins, and Big Data, as well as in situ sources of EO. </w:t>
      </w:r>
      <w:r w:rsidRPr="00F30A97">
        <w:lastRenderedPageBreak/>
        <w:t xml:space="preserve">Within the Focus Group, all use cases apply AI/ML in some capacity, several use cases explore digital twins, and many apply Big Data. At the data stage, the lack of standards related to bias and open data can reduce trust in AI-based models. Therefore, the Working Group on Data for AI is exploring both topics in depth. At the </w:t>
      </w:r>
      <w:r w:rsidR="003A4727" w:rsidRPr="00F30A97">
        <w:t>modelling</w:t>
      </w:r>
      <w:r w:rsidRPr="00F30A97">
        <w:t xml:space="preserve"> stage, standards related to open source and stakeholder inclusion are also needed. The latter is a key factor in the transparency of AI-based models, which is a leitmotif in the Technical Report by the Working Group on AI for Modeling</w:t>
      </w:r>
      <w:r w:rsidRPr="00F30A97">
        <w:rPr>
          <w:rStyle w:val="FootnoteReference"/>
        </w:rPr>
        <w:footnoteReference w:id="26"/>
      </w:r>
      <w:r w:rsidRPr="00F30A97">
        <w:t>. Finally, with regards to operational implementation, additional standardization activities should target dashboards, decision support systems, and hazard/susceptibility maps; three tools that feature prominently in the Focus Group use cases.</w:t>
      </w:r>
    </w:p>
    <w:p w14:paraId="3EE1F6D8" w14:textId="3D978B6C" w:rsidR="0020782B" w:rsidRPr="00F30A97" w:rsidRDefault="0030422A" w:rsidP="00CE08CB">
      <w:pPr>
        <w:pStyle w:val="Heading1"/>
        <w:rPr>
          <w:color w:val="000000"/>
        </w:rPr>
      </w:pPr>
      <w:bookmarkStart w:id="68" w:name="_Toc122117103"/>
      <w:bookmarkStart w:id="69" w:name="_Toc122117120"/>
      <w:bookmarkStart w:id="70" w:name="_Toc126934277"/>
      <w:r w:rsidRPr="00F30A97">
        <w:rPr>
          <w:rFonts w:eastAsia="MS Mincho"/>
          <w:lang w:eastAsia="ja-JP" w:bidi="ar-DZ"/>
        </w:rPr>
        <w:t>9</w:t>
      </w:r>
      <w:r w:rsidRPr="00F30A97">
        <w:rPr>
          <w:rFonts w:eastAsia="MS Mincho"/>
          <w:lang w:eastAsia="ja-JP" w:bidi="ar-DZ"/>
        </w:rPr>
        <w:tab/>
      </w:r>
      <w:r w:rsidR="0020782B" w:rsidRPr="00F30A97">
        <w:rPr>
          <w:rFonts w:eastAsia="MS Mincho"/>
          <w:lang w:eastAsia="ja-JP" w:bidi="ar-DZ"/>
        </w:rPr>
        <w:t>Conclusion</w:t>
      </w:r>
      <w:bookmarkEnd w:id="68"/>
      <w:bookmarkEnd w:id="69"/>
      <w:bookmarkEnd w:id="70"/>
      <w:r w:rsidR="0020782B" w:rsidRPr="00F30A97">
        <w:rPr>
          <w:color w:val="000000"/>
        </w:rPr>
        <w:t xml:space="preserve"> </w:t>
      </w:r>
    </w:p>
    <w:p w14:paraId="7DC77F74" w14:textId="77777777" w:rsidR="0020782B" w:rsidRPr="00F30A97" w:rsidRDefault="0020782B" w:rsidP="00CE08CB">
      <w:r w:rsidRPr="00F30A97">
        <w:t xml:space="preserve">The trends and gaps highlighted in this report reveal the importance of close interaction among SDOs and UN bodies to ensure that new standards do not duplicate past or present activities but, rather, contribute where efforts are needed. </w:t>
      </w:r>
    </w:p>
    <w:p w14:paraId="69716DD0" w14:textId="618636EA" w:rsidR="0020782B" w:rsidRPr="00F30A97" w:rsidRDefault="0020782B" w:rsidP="00CE08CB">
      <w:r w:rsidRPr="00F30A97">
        <w:t xml:space="preserve">This report was able to contextualize that the ongoing activities of FG-AI4NDM (including the three technical reports; on </w:t>
      </w:r>
      <w:r w:rsidR="00644FA2" w:rsidRPr="00F30A97">
        <w:t>"</w:t>
      </w:r>
      <w:r w:rsidRPr="00F30A97">
        <w:t>Data for AI,</w:t>
      </w:r>
      <w:r w:rsidR="00644FA2" w:rsidRPr="00F30A97">
        <w:t>"</w:t>
      </w:r>
      <w:r w:rsidRPr="00F30A97">
        <w:t xml:space="preserve"> on </w:t>
      </w:r>
      <w:r w:rsidR="00644FA2" w:rsidRPr="00F30A97">
        <w:t>"</w:t>
      </w:r>
      <w:r w:rsidRPr="00F30A97">
        <w:t>AI for Modeling,</w:t>
      </w:r>
      <w:r w:rsidR="00644FA2" w:rsidRPr="00F30A97">
        <w:t>"</w:t>
      </w:r>
      <w:r w:rsidRPr="00F30A97">
        <w:t xml:space="preserve"> and on </w:t>
      </w:r>
      <w:r w:rsidR="00644FA2" w:rsidRPr="00F30A97">
        <w:t>"</w:t>
      </w:r>
      <w:r w:rsidRPr="00F30A97">
        <w:t>AI for Communications</w:t>
      </w:r>
      <w:r w:rsidR="00644FA2" w:rsidRPr="00F30A97">
        <w:t>"</w:t>
      </w:r>
      <w:r w:rsidRPr="00F30A97">
        <w:t xml:space="preserve">) are making an important contribution to the standardization landscape. It also demonstrates that standardization activities within the domain of disaster management must progress to keep up with technological advances and demands. Therefore, this Roadmap should be updated in the coming years to ensure that any future standardization in this domain is of value to the greater community. </w:t>
      </w:r>
    </w:p>
    <w:p w14:paraId="3F8EBB53" w14:textId="77777777" w:rsidR="0020782B" w:rsidRPr="00F30A97" w:rsidRDefault="0020782B" w:rsidP="00CE08CB">
      <w:pPr>
        <w:rPr>
          <w:rFonts w:ascii="Calibri" w:hAnsi="Calibri" w:cs="Calibri"/>
          <w:b/>
          <w:sz w:val="22"/>
          <w:szCs w:val="22"/>
        </w:rPr>
      </w:pPr>
    </w:p>
    <w:p w14:paraId="61B5352B" w14:textId="77777777" w:rsidR="0020782B" w:rsidRPr="00F30A97" w:rsidRDefault="0020782B" w:rsidP="00CE08CB">
      <w:r w:rsidRPr="00F30A97">
        <w:br w:type="page"/>
      </w:r>
    </w:p>
    <w:p w14:paraId="7FC5A08A" w14:textId="0F20C029" w:rsidR="0020782B" w:rsidRPr="00F30A97" w:rsidRDefault="0020782B" w:rsidP="00CE08CB">
      <w:pPr>
        <w:pStyle w:val="AnnexNoTitle"/>
      </w:pPr>
      <w:bookmarkStart w:id="71" w:name="_heading=h.s9fuqv3bk8bh" w:colFirst="0" w:colLast="0"/>
      <w:bookmarkStart w:id="72" w:name="_Toc126934278"/>
      <w:bookmarkEnd w:id="71"/>
      <w:r w:rsidRPr="00F30A97">
        <w:lastRenderedPageBreak/>
        <w:t>Bibliography</w:t>
      </w:r>
      <w:bookmarkEnd w:id="72"/>
    </w:p>
    <w:p w14:paraId="76789E23" w14:textId="77777777" w:rsidR="00D763EA" w:rsidRPr="00F30A97" w:rsidRDefault="00D763EA" w:rsidP="00CE08CB">
      <w:pPr>
        <w:pStyle w:val="Normalaftertitle"/>
      </w:pPr>
    </w:p>
    <w:p w14:paraId="09337F7C" w14:textId="0BBAFADD" w:rsidR="00D763EA" w:rsidRPr="00F30A97" w:rsidRDefault="0030422A" w:rsidP="00CE08CB">
      <w:pPr>
        <w:pStyle w:val="Reftext"/>
        <w:tabs>
          <w:tab w:val="clear" w:pos="794"/>
          <w:tab w:val="clear" w:pos="1191"/>
          <w:tab w:val="clear" w:pos="1588"/>
          <w:tab w:val="clear" w:pos="1985"/>
          <w:tab w:val="left" w:pos="2410"/>
        </w:tabs>
        <w:ind w:left="2410" w:hanging="2410"/>
      </w:pPr>
      <w:r w:rsidRPr="00F30A97">
        <w:t>[b-Aberdeen]</w:t>
      </w:r>
      <w:r w:rsidR="00D763EA" w:rsidRPr="00F30A97">
        <w:tab/>
        <w:t>University of Aberdeen: Understanding volcanic eruptions with thermal imaging</w:t>
      </w:r>
      <w:r w:rsidR="00D763EA" w:rsidRPr="00F30A97">
        <w:br/>
      </w:r>
      <w:hyperlink r:id="rId30" w:history="1">
        <w:r w:rsidR="00D763EA" w:rsidRPr="00F30A97">
          <w:rPr>
            <w:rStyle w:val="Hyperlink"/>
            <w:rFonts w:ascii="Arial" w:hAnsi="Arial" w:cs="Arial"/>
            <w:sz w:val="16"/>
            <w:szCs w:val="16"/>
          </w:rPr>
          <w:t>https://www.abdn.ac.uk/stories/volcanic-eruptions/index.html</w:t>
        </w:r>
      </w:hyperlink>
      <w:r w:rsidR="00D763EA" w:rsidRPr="00F30A97">
        <w:t xml:space="preserve"> </w:t>
      </w:r>
    </w:p>
    <w:p w14:paraId="10C3439C" w14:textId="62ABD45D" w:rsidR="0030422A" w:rsidRPr="00F30A97" w:rsidRDefault="0030422A" w:rsidP="00CE08CB">
      <w:pPr>
        <w:pStyle w:val="Reftext"/>
        <w:tabs>
          <w:tab w:val="clear" w:pos="794"/>
          <w:tab w:val="clear" w:pos="1191"/>
          <w:tab w:val="clear" w:pos="1588"/>
          <w:tab w:val="clear" w:pos="1985"/>
          <w:tab w:val="left" w:pos="2410"/>
        </w:tabs>
        <w:ind w:left="2410" w:hanging="2410"/>
      </w:pPr>
      <w:r w:rsidRPr="00F30A97">
        <w:t>[b-Adamopoulou]</w:t>
      </w:r>
      <w:r w:rsidRPr="00F30A97">
        <w:tab/>
        <w:t xml:space="preserve">Adamopoulou, E. and Moussiades, L. (2020) Chatbots: History, technology, and applications. </w:t>
      </w:r>
      <w:hyperlink r:id="rId31" w:history="1">
        <w:r w:rsidR="00D763EA" w:rsidRPr="00F30A97">
          <w:rPr>
            <w:rStyle w:val="Hyperlink"/>
            <w:rFonts w:ascii="Arial" w:hAnsi="Arial" w:cs="Arial"/>
            <w:sz w:val="16"/>
            <w:szCs w:val="16"/>
          </w:rPr>
          <w:t>https://doi.org/10.1016/j.mlwa.2020.100006</w:t>
        </w:r>
      </w:hyperlink>
      <w:r w:rsidR="00D763EA" w:rsidRPr="00F30A97">
        <w:t xml:space="preserve"> </w:t>
      </w:r>
    </w:p>
    <w:p w14:paraId="2E0577D0" w14:textId="6643D435" w:rsidR="0030422A" w:rsidRPr="00F30A97" w:rsidRDefault="0030422A" w:rsidP="00CE08CB">
      <w:pPr>
        <w:pStyle w:val="Reftext"/>
        <w:tabs>
          <w:tab w:val="clear" w:pos="794"/>
          <w:tab w:val="clear" w:pos="1191"/>
          <w:tab w:val="clear" w:pos="1588"/>
          <w:tab w:val="clear" w:pos="1985"/>
          <w:tab w:val="left" w:pos="2410"/>
        </w:tabs>
        <w:ind w:left="2410" w:hanging="2410"/>
      </w:pPr>
      <w:r w:rsidRPr="00F30A97">
        <w:t>[b-Bevilacqua]</w:t>
      </w:r>
      <w:r w:rsidR="00D763EA" w:rsidRPr="00F30A97">
        <w:t xml:space="preserve"> </w:t>
      </w:r>
      <w:r w:rsidR="00D763EA" w:rsidRPr="00F30A97">
        <w:tab/>
        <w:t xml:space="preserve">Bevilacqua, A., Pitman, E.B., Patra, A., Neri, A., Bursik, M. and Voight, B. (2019) Probabilistic Enhancement of the Failure Forecast Method Using a Stochastic Differential Equation and Application to Volcanic Eruption Forecasts. Front. Earth Sci. 7, 135 </w:t>
      </w:r>
      <w:hyperlink r:id="rId32" w:history="1">
        <w:r w:rsidR="00D763EA" w:rsidRPr="00F30A97">
          <w:rPr>
            <w:rStyle w:val="Hyperlink"/>
            <w:rFonts w:ascii="Arial" w:hAnsi="Arial" w:cs="Arial"/>
            <w:sz w:val="16"/>
            <w:szCs w:val="16"/>
          </w:rPr>
          <w:t>https://doi.org/10.3389/feart.2019.00135</w:t>
        </w:r>
      </w:hyperlink>
    </w:p>
    <w:p w14:paraId="3320A2F4" w14:textId="16765310" w:rsidR="0030422A" w:rsidRPr="00F30A97" w:rsidRDefault="0030422A" w:rsidP="00CE08CB">
      <w:pPr>
        <w:pStyle w:val="Reftext"/>
        <w:tabs>
          <w:tab w:val="clear" w:pos="794"/>
          <w:tab w:val="clear" w:pos="1191"/>
          <w:tab w:val="clear" w:pos="1588"/>
          <w:tab w:val="clear" w:pos="1985"/>
          <w:tab w:val="left" w:pos="2410"/>
        </w:tabs>
        <w:ind w:left="2410" w:hanging="2410"/>
      </w:pPr>
      <w:r w:rsidRPr="00F30A97">
        <w:t>[b-Booysen]</w:t>
      </w:r>
      <w:r w:rsidRPr="00F30A97">
        <w:tab/>
        <w:t>Booysen, R., Gloaguen, R., Lorenz, S., Zimmermann, R., Nex, P. A. M. (2021). Geological Remote Sensing. Ed. Alderton, D. and Elias, S.A. Encyclopedia of Geology (2nd Ed.), Academic Press.</w:t>
      </w:r>
    </w:p>
    <w:p w14:paraId="061829BC" w14:textId="7EC1865F" w:rsidR="0030422A" w:rsidRPr="00F30A97" w:rsidRDefault="0030422A" w:rsidP="00CE08CB">
      <w:pPr>
        <w:pStyle w:val="Reftext"/>
        <w:tabs>
          <w:tab w:val="clear" w:pos="794"/>
          <w:tab w:val="clear" w:pos="1191"/>
          <w:tab w:val="clear" w:pos="1588"/>
          <w:tab w:val="clear" w:pos="1985"/>
          <w:tab w:val="left" w:pos="2410"/>
        </w:tabs>
        <w:ind w:left="2410" w:hanging="2410"/>
      </w:pPr>
      <w:r w:rsidRPr="00F30A97">
        <w:t>[b-Copernicus]</w:t>
      </w:r>
      <w:r w:rsidRPr="00F30A97">
        <w:tab/>
        <w:t xml:space="preserve">Copernicus (n.d.) Data and Information Access Services. </w:t>
      </w:r>
      <w:hyperlink r:id="rId33" w:history="1">
        <w:r w:rsidR="00105F82" w:rsidRPr="00F30A97">
          <w:rPr>
            <w:rStyle w:val="Hyperlink"/>
            <w:rFonts w:ascii="Arial" w:hAnsi="Arial" w:cs="Arial"/>
            <w:sz w:val="16"/>
            <w:szCs w:val="16"/>
          </w:rPr>
          <w:t>https://www.copernicus.eu/en/access-data/dias</w:t>
        </w:r>
      </w:hyperlink>
      <w:r w:rsidR="00105F82" w:rsidRPr="00F30A97">
        <w:t xml:space="preserve"> </w:t>
      </w:r>
    </w:p>
    <w:p w14:paraId="6805C286" w14:textId="77777777" w:rsidR="0030422A" w:rsidRPr="00F30A97" w:rsidRDefault="0030422A" w:rsidP="00CE08CB">
      <w:pPr>
        <w:pStyle w:val="Reftext"/>
        <w:tabs>
          <w:tab w:val="clear" w:pos="794"/>
          <w:tab w:val="clear" w:pos="1191"/>
          <w:tab w:val="clear" w:pos="1588"/>
          <w:tab w:val="clear" w:pos="1985"/>
          <w:tab w:val="left" w:pos="2410"/>
        </w:tabs>
        <w:ind w:left="2410" w:hanging="2410"/>
      </w:pPr>
      <w:r w:rsidRPr="00F30A97">
        <w:t>[b-Cramer]</w:t>
      </w:r>
      <w:r w:rsidRPr="00F30A97">
        <w:tab/>
        <w:t>Cramer, J.S. (1986). Econometric Applications of Maximum Likelihood Methods. New York, NY: Cambridge University Press</w:t>
      </w:r>
    </w:p>
    <w:p w14:paraId="4004757B" w14:textId="2210EE9E" w:rsidR="0030422A" w:rsidRPr="00F30A97" w:rsidRDefault="0030422A" w:rsidP="00CE08CB">
      <w:pPr>
        <w:pStyle w:val="Reftext"/>
        <w:tabs>
          <w:tab w:val="clear" w:pos="794"/>
          <w:tab w:val="clear" w:pos="1191"/>
          <w:tab w:val="clear" w:pos="1588"/>
          <w:tab w:val="clear" w:pos="1985"/>
          <w:tab w:val="left" w:pos="2410"/>
        </w:tabs>
        <w:ind w:left="2410" w:hanging="2410"/>
      </w:pPr>
      <w:r w:rsidRPr="00F30A97">
        <w:t>[b-Data-Europa]</w:t>
      </w:r>
      <w:r w:rsidRPr="00F30A97">
        <w:tab/>
        <w:t xml:space="preserve">European Commission, Data (n.d.) What is open data? </w:t>
      </w:r>
      <w:hyperlink r:id="rId34" w:anchor="/id/co-01" w:history="1">
        <w:r w:rsidR="00105F82" w:rsidRPr="00F30A97">
          <w:rPr>
            <w:rStyle w:val="Hyperlink"/>
            <w:rFonts w:ascii="Arial" w:hAnsi="Arial" w:cs="Arial"/>
            <w:sz w:val="16"/>
            <w:szCs w:val="16"/>
          </w:rPr>
          <w:t>https://data.europa.eu/elearning/en/module1/#/id/co-01</w:t>
        </w:r>
      </w:hyperlink>
      <w:r w:rsidR="00105F82" w:rsidRPr="00F30A97">
        <w:t xml:space="preserve"> </w:t>
      </w:r>
    </w:p>
    <w:p w14:paraId="061BD19E" w14:textId="4D1552EA" w:rsidR="0030422A" w:rsidRPr="00F30A97" w:rsidRDefault="0030422A" w:rsidP="00CE08CB">
      <w:pPr>
        <w:pStyle w:val="Reftext"/>
        <w:tabs>
          <w:tab w:val="clear" w:pos="794"/>
          <w:tab w:val="clear" w:pos="1191"/>
          <w:tab w:val="clear" w:pos="1588"/>
          <w:tab w:val="clear" w:pos="1985"/>
          <w:tab w:val="left" w:pos="2410"/>
        </w:tabs>
        <w:ind w:left="2410" w:hanging="2410"/>
      </w:pPr>
      <w:r w:rsidRPr="00F30A97">
        <w:t>[b-DestinE]</w:t>
      </w:r>
      <w:r w:rsidRPr="00F30A97">
        <w:tab/>
        <w:t xml:space="preserve">European Commission (n.d.) Destination Earth </w:t>
      </w:r>
      <w:hyperlink r:id="rId35" w:history="1">
        <w:r w:rsidR="00D763EA" w:rsidRPr="00F30A97">
          <w:rPr>
            <w:rStyle w:val="Hyperlink"/>
            <w:rFonts w:ascii="Arial" w:hAnsi="Arial" w:cs="Arial"/>
            <w:sz w:val="16"/>
            <w:szCs w:val="16"/>
          </w:rPr>
          <w:t>https://digital-strategy.ec.europa.eu/en/policies/destination-earth</w:t>
        </w:r>
      </w:hyperlink>
      <w:r w:rsidR="00D763EA" w:rsidRPr="00F30A97">
        <w:t xml:space="preserve"> </w:t>
      </w:r>
    </w:p>
    <w:p w14:paraId="74455D62" w14:textId="0602B533" w:rsidR="0030422A" w:rsidRPr="00F30A97" w:rsidRDefault="0030422A" w:rsidP="00CE08CB">
      <w:pPr>
        <w:pStyle w:val="Reftext"/>
        <w:tabs>
          <w:tab w:val="clear" w:pos="794"/>
          <w:tab w:val="clear" w:pos="1191"/>
          <w:tab w:val="clear" w:pos="1588"/>
          <w:tab w:val="clear" w:pos="1985"/>
          <w:tab w:val="left" w:pos="2410"/>
        </w:tabs>
        <w:ind w:left="2410" w:hanging="2410"/>
      </w:pPr>
      <w:r w:rsidRPr="00F30A97">
        <w:t>[b-DG-ECHO-1]</w:t>
      </w:r>
      <w:r w:rsidRPr="00F30A97">
        <w:tab/>
        <w:t xml:space="preserve">European Commission, Directorate-General for European Civil Protection and Humanitarian Aid Operations (ECHO) (2021) Guidance Note. Disaster Preparedness. </w:t>
      </w:r>
      <w:hyperlink r:id="rId36" w:history="1">
        <w:r w:rsidR="000C6BEC" w:rsidRPr="00F30A97">
          <w:rPr>
            <w:rFonts w:ascii="Arial" w:hAnsi="Arial" w:cs="Arial"/>
            <w:color w:val="1155CC"/>
            <w:sz w:val="16"/>
            <w:szCs w:val="16"/>
          </w:rPr>
          <w:t>https://reliefweb.int/report/world/dg-echo-guidance-note-disaster-preparedness-2021</w:t>
        </w:r>
      </w:hyperlink>
      <w:r w:rsidR="000C6BEC" w:rsidRPr="00F30A97">
        <w:t xml:space="preserve"> </w:t>
      </w:r>
    </w:p>
    <w:p w14:paraId="241C6147" w14:textId="0173C09D" w:rsidR="0030422A" w:rsidRPr="00F30A97" w:rsidRDefault="0030422A" w:rsidP="00CE08CB">
      <w:pPr>
        <w:pStyle w:val="Reftext"/>
        <w:tabs>
          <w:tab w:val="clear" w:pos="794"/>
          <w:tab w:val="clear" w:pos="1191"/>
          <w:tab w:val="clear" w:pos="1588"/>
          <w:tab w:val="clear" w:pos="1985"/>
          <w:tab w:val="left" w:pos="2410"/>
        </w:tabs>
        <w:ind w:left="2410" w:hanging="2410"/>
      </w:pPr>
      <w:r w:rsidRPr="00F30A97">
        <w:t>[b-DG-ECHO-2]</w:t>
      </w:r>
      <w:r w:rsidRPr="00F30A97">
        <w:tab/>
        <w:t xml:space="preserve">European Commission, Directorate-General for European Civil Protection and Humanitarian Aid Operations (ECHO) (2017) Overview of natural and man-made disaster risks the European Union may face. </w:t>
      </w:r>
      <w:hyperlink r:id="rId37" w:history="1">
        <w:r w:rsidR="00105F82" w:rsidRPr="00F30A97">
          <w:rPr>
            <w:rStyle w:val="Hyperlink"/>
            <w:rFonts w:ascii="Arial" w:hAnsi="Arial" w:cs="Arial"/>
            <w:sz w:val="16"/>
            <w:szCs w:val="16"/>
          </w:rPr>
          <w:t>https://data.europa.eu/doi/10.2795/861482</w:t>
        </w:r>
      </w:hyperlink>
      <w:r w:rsidR="00105F82" w:rsidRPr="00F30A97">
        <w:t xml:space="preserve"> </w:t>
      </w:r>
    </w:p>
    <w:p w14:paraId="6FCCB130" w14:textId="77777777" w:rsidR="0030422A" w:rsidRPr="00F30A97" w:rsidRDefault="0030422A" w:rsidP="00CE08CB">
      <w:pPr>
        <w:pStyle w:val="Reftext"/>
        <w:tabs>
          <w:tab w:val="clear" w:pos="794"/>
          <w:tab w:val="clear" w:pos="1191"/>
          <w:tab w:val="clear" w:pos="1588"/>
          <w:tab w:val="clear" w:pos="1985"/>
          <w:tab w:val="left" w:pos="2410"/>
        </w:tabs>
        <w:ind w:left="2410" w:hanging="2410"/>
        <w:rPr>
          <w:rFonts w:ascii="Arial" w:hAnsi="Arial" w:cs="Arial"/>
          <w:sz w:val="16"/>
          <w:szCs w:val="16"/>
        </w:rPr>
      </w:pPr>
      <w:r w:rsidRPr="00F30A97">
        <w:t>[b-DOI]</w:t>
      </w:r>
      <w:r w:rsidRPr="00F30A97">
        <w:tab/>
        <w:t xml:space="preserve">DOI (2019) DOI Handbook - Introduction. </w:t>
      </w:r>
      <w:hyperlink r:id="rId38">
        <w:r w:rsidRPr="00F30A97">
          <w:rPr>
            <w:rFonts w:ascii="Arial" w:hAnsi="Arial" w:cs="Arial"/>
            <w:color w:val="1155CC"/>
            <w:sz w:val="16"/>
            <w:szCs w:val="16"/>
            <w:u w:val="single"/>
          </w:rPr>
          <w:t>https://www.doi.org/doi_handbook/1_Introduction.html</w:t>
        </w:r>
      </w:hyperlink>
      <w:r w:rsidRPr="00F30A97">
        <w:rPr>
          <w:rFonts w:ascii="Arial" w:hAnsi="Arial" w:cs="Arial"/>
          <w:sz w:val="16"/>
          <w:szCs w:val="16"/>
        </w:rPr>
        <w:t xml:space="preserve"> </w:t>
      </w:r>
    </w:p>
    <w:p w14:paraId="1AB67AD2" w14:textId="77777777" w:rsidR="0030422A" w:rsidRPr="00F30A97" w:rsidRDefault="0030422A" w:rsidP="00CE08CB">
      <w:pPr>
        <w:pStyle w:val="Reftext"/>
        <w:tabs>
          <w:tab w:val="clear" w:pos="794"/>
          <w:tab w:val="clear" w:pos="1191"/>
          <w:tab w:val="clear" w:pos="1588"/>
          <w:tab w:val="clear" w:pos="1985"/>
          <w:tab w:val="left" w:pos="2410"/>
        </w:tabs>
        <w:ind w:left="2410" w:hanging="2410"/>
      </w:pPr>
      <w:r w:rsidRPr="00F30A97">
        <w:t>[b-EPRS-1]</w:t>
      </w:r>
      <w:r w:rsidRPr="00F30A97">
        <w:tab/>
        <w:t xml:space="preserve">European Parliamentary Research Service (2020) European framework on ethical aspects of artificial intelligence, robotics and related technologies. </w:t>
      </w:r>
      <w:hyperlink r:id="rId39">
        <w:r w:rsidRPr="00F30A97">
          <w:rPr>
            <w:rFonts w:ascii="Arial" w:hAnsi="Arial" w:cs="Arial"/>
            <w:color w:val="1155CC"/>
            <w:sz w:val="16"/>
            <w:szCs w:val="16"/>
            <w:u w:val="single"/>
          </w:rPr>
          <w:t>https://www.europarl.europa.eu/RegData/etudes/STUD/2020/654179/EPRS_STU(2020)654179_EN.pdf</w:t>
        </w:r>
      </w:hyperlink>
      <w:r w:rsidRPr="00F30A97">
        <w:t xml:space="preserve"> </w:t>
      </w:r>
    </w:p>
    <w:p w14:paraId="659291D8" w14:textId="77777777" w:rsidR="0030422A" w:rsidRPr="00F30A97" w:rsidRDefault="0030422A" w:rsidP="00CE08CB">
      <w:pPr>
        <w:pStyle w:val="Reftext"/>
        <w:tabs>
          <w:tab w:val="clear" w:pos="794"/>
          <w:tab w:val="clear" w:pos="1191"/>
          <w:tab w:val="clear" w:pos="1588"/>
          <w:tab w:val="clear" w:pos="1985"/>
          <w:tab w:val="left" w:pos="2410"/>
        </w:tabs>
        <w:ind w:left="2410" w:hanging="2410"/>
      </w:pPr>
      <w:r w:rsidRPr="00F30A97">
        <w:t>[b-EPRS-2]</w:t>
      </w:r>
      <w:r w:rsidRPr="00F30A97">
        <w:tab/>
        <w:t xml:space="preserve">European Parliamentary Research Service (2020) The impact of the General Data Protection Regulation (GDPR) on artificial intelligence. </w:t>
      </w:r>
      <w:hyperlink r:id="rId40">
        <w:r w:rsidRPr="00F30A97">
          <w:rPr>
            <w:rFonts w:ascii="Arial" w:hAnsi="Arial" w:cs="Arial"/>
            <w:color w:val="1155CC"/>
            <w:sz w:val="16"/>
            <w:szCs w:val="16"/>
            <w:u w:val="single"/>
          </w:rPr>
          <w:t>https://www.europarl.europa.eu/RegData/etudes/STUD/2020/641530/EPRS_STU(2020)641530_EN.pdf</w:t>
        </w:r>
      </w:hyperlink>
      <w:r w:rsidRPr="00F30A97">
        <w:t xml:space="preserve"> </w:t>
      </w:r>
    </w:p>
    <w:p w14:paraId="42F1F737" w14:textId="2F461FD7" w:rsidR="0030422A" w:rsidRPr="00F30A97" w:rsidRDefault="0030422A" w:rsidP="00CE08CB">
      <w:pPr>
        <w:pStyle w:val="Reftext"/>
        <w:tabs>
          <w:tab w:val="clear" w:pos="794"/>
          <w:tab w:val="clear" w:pos="1191"/>
          <w:tab w:val="clear" w:pos="1588"/>
          <w:tab w:val="clear" w:pos="1985"/>
          <w:tab w:val="left" w:pos="2410"/>
        </w:tabs>
        <w:ind w:left="2410" w:hanging="2410"/>
      </w:pPr>
      <w:r w:rsidRPr="00F30A97">
        <w:t>[b-ESRI]</w:t>
      </w:r>
      <w:r w:rsidRPr="00F30A97">
        <w:tab/>
        <w:t xml:space="preserve">ESRI (n.d.) What is GIS? </w:t>
      </w:r>
      <w:hyperlink r:id="rId41" w:history="1">
        <w:r w:rsidR="00105F82" w:rsidRPr="00F30A97">
          <w:rPr>
            <w:rStyle w:val="Hyperlink"/>
            <w:rFonts w:ascii="Arial" w:hAnsi="Arial" w:cs="Arial"/>
            <w:sz w:val="16"/>
            <w:szCs w:val="16"/>
          </w:rPr>
          <w:t>https://www.esri.com/en-us/what-is-gis/overview</w:t>
        </w:r>
      </w:hyperlink>
      <w:r w:rsidR="00105F82" w:rsidRPr="00F30A97">
        <w:t xml:space="preserve"> </w:t>
      </w:r>
    </w:p>
    <w:p w14:paraId="57A5DA76" w14:textId="4240D5A5" w:rsidR="0030422A" w:rsidRPr="00F30A97" w:rsidRDefault="0030422A" w:rsidP="00CE08CB">
      <w:pPr>
        <w:pStyle w:val="Reftext"/>
        <w:tabs>
          <w:tab w:val="clear" w:pos="794"/>
          <w:tab w:val="clear" w:pos="1191"/>
          <w:tab w:val="clear" w:pos="1588"/>
          <w:tab w:val="clear" w:pos="1985"/>
          <w:tab w:val="left" w:pos="2410"/>
        </w:tabs>
        <w:ind w:left="2410" w:hanging="2410"/>
      </w:pPr>
      <w:r w:rsidRPr="00F30A97">
        <w:t>[b-FEMA]</w:t>
      </w:r>
      <w:r w:rsidRPr="00F30A97">
        <w:tab/>
        <w:t xml:space="preserve">FEMA (n.d.) Emergency Management in the United States. Livestock in Disasters Unit 4 </w:t>
      </w:r>
      <w:hyperlink r:id="rId42" w:history="1">
        <w:r w:rsidR="00105F82" w:rsidRPr="00F30A97">
          <w:rPr>
            <w:rStyle w:val="Hyperlink"/>
            <w:rFonts w:ascii="Arial" w:hAnsi="Arial" w:cs="Arial"/>
            <w:sz w:val="16"/>
            <w:szCs w:val="16"/>
          </w:rPr>
          <w:t>https://training.fema.gov/emiweb/downloads/is111_unit%204.pdf</w:t>
        </w:r>
      </w:hyperlink>
      <w:r w:rsidR="00105F82" w:rsidRPr="00F30A97">
        <w:t xml:space="preserve"> </w:t>
      </w:r>
    </w:p>
    <w:p w14:paraId="68684E9A" w14:textId="21F02D31" w:rsidR="0030422A" w:rsidRPr="00F30A97" w:rsidRDefault="0030422A" w:rsidP="00CE08CB">
      <w:pPr>
        <w:pStyle w:val="Reftext"/>
        <w:tabs>
          <w:tab w:val="clear" w:pos="794"/>
          <w:tab w:val="clear" w:pos="1191"/>
          <w:tab w:val="clear" w:pos="1588"/>
          <w:tab w:val="clear" w:pos="1985"/>
          <w:tab w:val="left" w:pos="2410"/>
        </w:tabs>
        <w:ind w:left="2410" w:hanging="2410"/>
      </w:pPr>
      <w:r w:rsidRPr="00F30A97">
        <w:t>[b-GEO]</w:t>
      </w:r>
      <w:r w:rsidRPr="00F30A97">
        <w:tab/>
        <w:t xml:space="preserve">Group on Earth Observations. FAQ. </w:t>
      </w:r>
      <w:hyperlink r:id="rId43" w:history="1">
        <w:r w:rsidR="00105F82" w:rsidRPr="00F30A97">
          <w:rPr>
            <w:rStyle w:val="Hyperlink"/>
            <w:rFonts w:ascii="Arial" w:hAnsi="Arial" w:cs="Arial"/>
            <w:sz w:val="16"/>
            <w:szCs w:val="16"/>
          </w:rPr>
          <w:t>https://www.earthobservations.org/g_faq.html</w:t>
        </w:r>
      </w:hyperlink>
      <w:r w:rsidR="00105F82" w:rsidRPr="00F30A97">
        <w:t xml:space="preserve"> </w:t>
      </w:r>
    </w:p>
    <w:p w14:paraId="049C5E63" w14:textId="77777777" w:rsidR="0030422A" w:rsidRPr="00F30A97" w:rsidRDefault="0030422A" w:rsidP="00CE08CB">
      <w:pPr>
        <w:pStyle w:val="Reftext"/>
        <w:tabs>
          <w:tab w:val="clear" w:pos="794"/>
          <w:tab w:val="clear" w:pos="1191"/>
          <w:tab w:val="clear" w:pos="1588"/>
          <w:tab w:val="clear" w:pos="1985"/>
          <w:tab w:val="left" w:pos="2410"/>
        </w:tabs>
        <w:ind w:left="2410" w:hanging="2410"/>
      </w:pPr>
      <w:r w:rsidRPr="00F30A97">
        <w:t>[b-Gonzalez]</w:t>
      </w:r>
      <w:r w:rsidRPr="00F30A97">
        <w:tab/>
        <w:t>Gonzalez, A.R. and Datcu, M. (2011) Data Cleaning: Approach for Earth Observation Image Information Mining. ESA-EUSC-JRC Conference, Ispra, Italy. pp.117-120</w:t>
      </w:r>
    </w:p>
    <w:p w14:paraId="7DDDB9C7" w14:textId="77777777" w:rsidR="0030422A" w:rsidRPr="00F30A97" w:rsidRDefault="0030422A" w:rsidP="00CE08CB">
      <w:pPr>
        <w:pStyle w:val="Reftext"/>
        <w:tabs>
          <w:tab w:val="clear" w:pos="794"/>
          <w:tab w:val="clear" w:pos="1191"/>
          <w:tab w:val="clear" w:pos="1588"/>
          <w:tab w:val="clear" w:pos="1985"/>
          <w:tab w:val="left" w:pos="2410"/>
        </w:tabs>
        <w:ind w:left="2410" w:hanging="2410"/>
      </w:pPr>
      <w:r w:rsidRPr="00F30A97">
        <w:lastRenderedPageBreak/>
        <w:t>[b-Hinton]</w:t>
      </w:r>
      <w:r w:rsidRPr="00F30A97">
        <w:tab/>
        <w:t>Hinton, G. (2009) Deep belief networks. Scholarpedia 4, 5, 5947</w:t>
      </w:r>
    </w:p>
    <w:p w14:paraId="3E2D01E0" w14:textId="781A1DCF" w:rsidR="0030422A" w:rsidRPr="00F30A97" w:rsidRDefault="0030422A" w:rsidP="00CE08CB">
      <w:pPr>
        <w:pStyle w:val="Reftext"/>
        <w:tabs>
          <w:tab w:val="clear" w:pos="794"/>
          <w:tab w:val="clear" w:pos="1191"/>
          <w:tab w:val="clear" w:pos="1588"/>
          <w:tab w:val="clear" w:pos="1985"/>
          <w:tab w:val="left" w:pos="2410"/>
        </w:tabs>
        <w:ind w:left="2410" w:hanging="2410"/>
      </w:pPr>
      <w:r w:rsidRPr="00F30A97">
        <w:t>[b-IBM-1]</w:t>
      </w:r>
      <w:r w:rsidRPr="00F30A97">
        <w:tab/>
        <w:t xml:space="preserve">IBM (n.d.) What is a digital twin? </w:t>
      </w:r>
      <w:hyperlink r:id="rId44" w:history="1">
        <w:r w:rsidR="008736E3" w:rsidRPr="00F30A97">
          <w:rPr>
            <w:rStyle w:val="Hyperlink"/>
            <w:rFonts w:ascii="Arial" w:hAnsi="Arial" w:cs="Arial"/>
            <w:sz w:val="16"/>
            <w:szCs w:val="16"/>
          </w:rPr>
          <w:t>https://www.ibm.com/topics/what-is-a-digital-twin</w:t>
        </w:r>
      </w:hyperlink>
      <w:r w:rsidR="008736E3" w:rsidRPr="00F30A97">
        <w:t xml:space="preserve"> </w:t>
      </w:r>
    </w:p>
    <w:p w14:paraId="5FADCE82" w14:textId="3E22A707" w:rsidR="0030422A" w:rsidRPr="00F30A97" w:rsidRDefault="0030422A" w:rsidP="00CE08CB">
      <w:pPr>
        <w:pStyle w:val="Reftext"/>
        <w:tabs>
          <w:tab w:val="clear" w:pos="794"/>
          <w:tab w:val="clear" w:pos="1191"/>
          <w:tab w:val="clear" w:pos="1588"/>
          <w:tab w:val="clear" w:pos="1985"/>
          <w:tab w:val="left" w:pos="2410"/>
        </w:tabs>
        <w:ind w:left="2410" w:hanging="2410"/>
        <w:rPr>
          <w:rStyle w:val="Hyperlink"/>
          <w:rFonts w:ascii="Arial" w:hAnsi="Arial" w:cs="Arial"/>
          <w:sz w:val="16"/>
          <w:szCs w:val="16"/>
        </w:rPr>
      </w:pPr>
      <w:r w:rsidRPr="00F30A97">
        <w:t>[b-IBM-2]</w:t>
      </w:r>
      <w:r w:rsidRPr="00F30A97">
        <w:tab/>
        <w:t xml:space="preserve">IBM (n.d.) What is edge computing? </w:t>
      </w:r>
      <w:hyperlink r:id="rId45" w:history="1">
        <w:r w:rsidR="008736E3" w:rsidRPr="00F30A97">
          <w:rPr>
            <w:rStyle w:val="Hyperlink"/>
            <w:rFonts w:ascii="Arial" w:hAnsi="Arial" w:cs="Arial"/>
            <w:sz w:val="16"/>
            <w:szCs w:val="16"/>
          </w:rPr>
          <w:t>https://www.ibm.com/cloud/what-is-edge-computing</w:t>
        </w:r>
      </w:hyperlink>
      <w:r w:rsidR="008736E3" w:rsidRPr="00F30A97">
        <w:rPr>
          <w:rStyle w:val="Hyperlink"/>
          <w:rFonts w:ascii="Arial" w:hAnsi="Arial" w:cs="Arial"/>
          <w:sz w:val="16"/>
          <w:szCs w:val="16"/>
        </w:rPr>
        <w:t xml:space="preserve"> </w:t>
      </w:r>
    </w:p>
    <w:p w14:paraId="29D82CCA" w14:textId="77777777" w:rsidR="0030422A" w:rsidRPr="00F30A97" w:rsidRDefault="0030422A" w:rsidP="00CE08CB">
      <w:pPr>
        <w:pStyle w:val="Reftext"/>
        <w:tabs>
          <w:tab w:val="clear" w:pos="794"/>
          <w:tab w:val="clear" w:pos="1191"/>
          <w:tab w:val="clear" w:pos="1588"/>
          <w:tab w:val="clear" w:pos="1985"/>
          <w:tab w:val="left" w:pos="2410"/>
        </w:tabs>
        <w:ind w:left="2410" w:hanging="2410"/>
      </w:pPr>
      <w:r w:rsidRPr="00F30A97">
        <w:t>[b-IBM-3]</w:t>
      </w:r>
      <w:r w:rsidRPr="00F30A97">
        <w:tab/>
        <w:t xml:space="preserve">IBM (n.d.) What is data governance? </w:t>
      </w:r>
      <w:hyperlink r:id="rId46">
        <w:r w:rsidRPr="00F30A97">
          <w:rPr>
            <w:rFonts w:ascii="Arial" w:hAnsi="Arial" w:cs="Arial"/>
            <w:color w:val="1155CC"/>
            <w:sz w:val="16"/>
            <w:szCs w:val="16"/>
            <w:u w:val="single"/>
          </w:rPr>
          <w:t>https://www.ibm.com/topics/data-governance</w:t>
        </w:r>
      </w:hyperlink>
      <w:r w:rsidRPr="00F30A97">
        <w:rPr>
          <w:rFonts w:ascii="Arial" w:hAnsi="Arial" w:cs="Arial"/>
          <w:sz w:val="16"/>
          <w:szCs w:val="16"/>
        </w:rPr>
        <w:t xml:space="preserve"> </w:t>
      </w:r>
    </w:p>
    <w:p w14:paraId="653B19DF" w14:textId="77777777" w:rsidR="0030422A" w:rsidRPr="00F30A97" w:rsidRDefault="0030422A" w:rsidP="00CE08CB">
      <w:pPr>
        <w:pStyle w:val="Reftext"/>
        <w:tabs>
          <w:tab w:val="clear" w:pos="794"/>
          <w:tab w:val="clear" w:pos="1191"/>
          <w:tab w:val="clear" w:pos="1588"/>
          <w:tab w:val="clear" w:pos="1985"/>
          <w:tab w:val="left" w:pos="2410"/>
        </w:tabs>
        <w:ind w:left="2410" w:hanging="2410"/>
      </w:pPr>
      <w:r w:rsidRPr="00F30A97">
        <w:t>[b-ID4D]</w:t>
      </w:r>
      <w:r w:rsidRPr="00F30A97">
        <w:tab/>
        <w:t xml:space="preserve">Identification 4 Development (2022) Data standards. </w:t>
      </w:r>
      <w:hyperlink r:id="rId47">
        <w:r w:rsidRPr="00F30A97">
          <w:rPr>
            <w:rFonts w:ascii="Arial" w:hAnsi="Arial" w:cs="Arial"/>
            <w:color w:val="1155CC"/>
            <w:sz w:val="16"/>
            <w:szCs w:val="16"/>
            <w:u w:val="single"/>
          </w:rPr>
          <w:t>https://id4d.worldbank.org/guide/data-standards</w:t>
        </w:r>
      </w:hyperlink>
      <w:r w:rsidRPr="00F30A97">
        <w:t xml:space="preserve"> </w:t>
      </w:r>
    </w:p>
    <w:p w14:paraId="275C6DB5" w14:textId="46234474" w:rsidR="0030422A" w:rsidRPr="00F30A97" w:rsidRDefault="0030422A" w:rsidP="00CE08CB">
      <w:pPr>
        <w:pStyle w:val="Reftext"/>
        <w:tabs>
          <w:tab w:val="clear" w:pos="794"/>
          <w:tab w:val="clear" w:pos="1191"/>
          <w:tab w:val="clear" w:pos="1588"/>
          <w:tab w:val="clear" w:pos="1985"/>
          <w:tab w:val="left" w:pos="2410"/>
        </w:tabs>
        <w:ind w:left="2410" w:hanging="2410"/>
      </w:pPr>
      <w:r w:rsidRPr="00F30A97">
        <w:t>[b-IFRC]</w:t>
      </w:r>
      <w:r w:rsidRPr="00F30A97">
        <w:tab/>
        <w:t xml:space="preserve">IFRC (n.d.) What is a disaster? </w:t>
      </w:r>
      <w:hyperlink r:id="rId48" w:history="1">
        <w:r w:rsidR="00D17084" w:rsidRPr="00F30A97">
          <w:rPr>
            <w:rStyle w:val="Hyperlink"/>
            <w:rFonts w:ascii="Arial" w:hAnsi="Arial" w:cs="Arial"/>
            <w:sz w:val="16"/>
            <w:szCs w:val="16"/>
          </w:rPr>
          <w:t>https://www.ifrc.org/our-work/disasters-climate-and-crises/what-disaster</w:t>
        </w:r>
      </w:hyperlink>
      <w:r w:rsidR="00D17084" w:rsidRPr="00F30A97">
        <w:t xml:space="preserve"> </w:t>
      </w:r>
    </w:p>
    <w:p w14:paraId="1FE98F99" w14:textId="77777777" w:rsidR="0030422A" w:rsidRPr="00F30A97" w:rsidRDefault="0030422A" w:rsidP="00CE08CB">
      <w:pPr>
        <w:pStyle w:val="Reftext"/>
        <w:tabs>
          <w:tab w:val="clear" w:pos="794"/>
          <w:tab w:val="clear" w:pos="1191"/>
          <w:tab w:val="clear" w:pos="1588"/>
          <w:tab w:val="clear" w:pos="1985"/>
          <w:tab w:val="left" w:pos="2410"/>
        </w:tabs>
        <w:ind w:left="2410" w:hanging="2410"/>
        <w:rPr>
          <w:rFonts w:ascii="Arial" w:hAnsi="Arial" w:cs="Arial"/>
          <w:sz w:val="16"/>
          <w:szCs w:val="16"/>
        </w:rPr>
      </w:pPr>
      <w:r w:rsidRPr="00F30A97">
        <w:t>[b-ISDR]</w:t>
      </w:r>
      <w:r w:rsidRPr="00F30A97">
        <w:tab/>
        <w:t xml:space="preserve">UN International Strategy for Disaster Reduction (2007) Hyogo Framework for Action 2005-2015: Building the Resilience of Nations and Communities to Disasters. </w:t>
      </w:r>
      <w:hyperlink r:id="rId49">
        <w:r w:rsidRPr="00F30A97">
          <w:rPr>
            <w:rFonts w:ascii="Arial" w:hAnsi="Arial" w:cs="Arial"/>
            <w:color w:val="1155CC"/>
            <w:sz w:val="16"/>
            <w:szCs w:val="16"/>
            <w:u w:val="single"/>
          </w:rPr>
          <w:t>https://www.unisdr.org/files/1037_hyogoframeworkforactionenglish.pdf</w:t>
        </w:r>
      </w:hyperlink>
      <w:r w:rsidRPr="00F30A97">
        <w:rPr>
          <w:rFonts w:ascii="Arial" w:hAnsi="Arial" w:cs="Arial"/>
          <w:sz w:val="16"/>
          <w:szCs w:val="16"/>
        </w:rPr>
        <w:t xml:space="preserve"> </w:t>
      </w:r>
    </w:p>
    <w:p w14:paraId="5E36A810" w14:textId="77777777" w:rsidR="0030422A" w:rsidRPr="00F30A97" w:rsidRDefault="0030422A" w:rsidP="00CE08CB">
      <w:pPr>
        <w:pStyle w:val="Reftext"/>
        <w:tabs>
          <w:tab w:val="clear" w:pos="794"/>
          <w:tab w:val="clear" w:pos="1191"/>
          <w:tab w:val="clear" w:pos="1588"/>
          <w:tab w:val="clear" w:pos="1985"/>
          <w:tab w:val="left" w:pos="2410"/>
        </w:tabs>
        <w:ind w:left="2410" w:hanging="2410"/>
      </w:pPr>
      <w:r w:rsidRPr="00F30A97">
        <w:t>[b-ISO-1]</w:t>
      </w:r>
      <w:r w:rsidRPr="00F30A97">
        <w:tab/>
        <w:t xml:space="preserve">International Organization for Standardization (2014) ISO/IEC 17788:2014: Information technology—Cloud computing—Overview and vocabulary. </w:t>
      </w:r>
      <w:hyperlink r:id="rId50">
        <w:r w:rsidRPr="00F30A97">
          <w:rPr>
            <w:rFonts w:ascii="Arial" w:hAnsi="Arial" w:cs="Arial"/>
            <w:color w:val="1155CC"/>
            <w:sz w:val="16"/>
            <w:szCs w:val="16"/>
            <w:u w:val="single"/>
          </w:rPr>
          <w:t>https://www.iso.org/standard/60544.html</w:t>
        </w:r>
      </w:hyperlink>
      <w:r w:rsidRPr="00F30A97">
        <w:t xml:space="preserve"> </w:t>
      </w:r>
    </w:p>
    <w:p w14:paraId="71DA5297" w14:textId="47E53FED" w:rsidR="0030422A" w:rsidRPr="00F30A97" w:rsidRDefault="0030422A" w:rsidP="00CE08CB">
      <w:pPr>
        <w:pStyle w:val="Reftext"/>
        <w:tabs>
          <w:tab w:val="clear" w:pos="794"/>
          <w:tab w:val="clear" w:pos="1191"/>
          <w:tab w:val="clear" w:pos="1588"/>
          <w:tab w:val="clear" w:pos="1985"/>
          <w:tab w:val="left" w:pos="2410"/>
        </w:tabs>
        <w:ind w:left="2410" w:hanging="2410"/>
        <w:rPr>
          <w:rFonts w:ascii="Arial" w:hAnsi="Arial" w:cs="Arial"/>
          <w:color w:val="212529"/>
          <w:sz w:val="16"/>
          <w:szCs w:val="16"/>
          <w:highlight w:val="white"/>
        </w:rPr>
      </w:pPr>
      <w:r w:rsidRPr="00F30A97">
        <w:t>[b-ISO-2]</w:t>
      </w:r>
      <w:r w:rsidRPr="00F30A97">
        <w:tab/>
      </w:r>
      <w:r w:rsidRPr="00F30A97">
        <w:rPr>
          <w:color w:val="404040"/>
          <w:highlight w:val="white"/>
        </w:rPr>
        <w:t xml:space="preserve">International Organization for Standardization (2015) ISO/IEC 2382:2015 </w:t>
      </w:r>
      <w:r w:rsidRPr="00F30A97">
        <w:rPr>
          <w:color w:val="212529"/>
          <w:highlight w:val="white"/>
        </w:rPr>
        <w:t xml:space="preserve">Information technology </w:t>
      </w:r>
      <w:r w:rsidR="00D17084" w:rsidRPr="00F30A97">
        <w:rPr>
          <w:color w:val="212529"/>
          <w:highlight w:val="white"/>
        </w:rPr>
        <w:t>–</w:t>
      </w:r>
      <w:r w:rsidRPr="00F30A97">
        <w:rPr>
          <w:color w:val="212529"/>
          <w:highlight w:val="white"/>
        </w:rPr>
        <w:t xml:space="preserve"> Vocabulary. </w:t>
      </w:r>
      <w:hyperlink r:id="rId51">
        <w:r w:rsidRPr="00F30A97">
          <w:rPr>
            <w:rFonts w:ascii="Arial" w:hAnsi="Arial" w:cs="Arial"/>
            <w:color w:val="1155CC"/>
            <w:sz w:val="16"/>
            <w:szCs w:val="16"/>
            <w:highlight w:val="white"/>
            <w:u w:val="single"/>
          </w:rPr>
          <w:t>https://www.iso.org/standard/63598.html</w:t>
        </w:r>
      </w:hyperlink>
      <w:r w:rsidRPr="00F30A97">
        <w:rPr>
          <w:rFonts w:ascii="Arial" w:hAnsi="Arial" w:cs="Arial"/>
          <w:color w:val="212529"/>
          <w:sz w:val="16"/>
          <w:szCs w:val="16"/>
          <w:highlight w:val="white"/>
        </w:rPr>
        <w:t xml:space="preserve"> </w:t>
      </w:r>
    </w:p>
    <w:p w14:paraId="7DDE7E07" w14:textId="77777777" w:rsidR="0030422A" w:rsidRPr="00F30A97" w:rsidRDefault="0030422A" w:rsidP="00CE08CB">
      <w:pPr>
        <w:pStyle w:val="Reftext"/>
        <w:tabs>
          <w:tab w:val="clear" w:pos="794"/>
          <w:tab w:val="clear" w:pos="1191"/>
          <w:tab w:val="clear" w:pos="1588"/>
          <w:tab w:val="clear" w:pos="1985"/>
          <w:tab w:val="left" w:pos="2410"/>
        </w:tabs>
        <w:ind w:left="2410" w:hanging="2410"/>
      </w:pPr>
      <w:r w:rsidRPr="00F30A97">
        <w:t>[b-JRC]</w:t>
      </w:r>
      <w:r w:rsidRPr="00F30A97">
        <w:tab/>
        <w:t xml:space="preserve">Joint Research Centre (n.d.) Natural and man-made hazards. </w:t>
      </w:r>
      <w:hyperlink r:id="rId52">
        <w:r w:rsidRPr="00F30A97">
          <w:rPr>
            <w:rFonts w:ascii="Arial" w:hAnsi="Arial" w:cs="Arial"/>
            <w:color w:val="1155CC"/>
            <w:sz w:val="16"/>
            <w:szCs w:val="16"/>
            <w:u w:val="single"/>
          </w:rPr>
          <w:t>https://joint-research-centre.ec.europa.eu/scientific-activities-z/natural-and-man-made-hazards_en</w:t>
        </w:r>
      </w:hyperlink>
      <w:r w:rsidRPr="00F30A97">
        <w:rPr>
          <w:rFonts w:ascii="Arial" w:hAnsi="Arial" w:cs="Arial"/>
          <w:sz w:val="16"/>
          <w:szCs w:val="16"/>
        </w:rPr>
        <w:t xml:space="preserve"> </w:t>
      </w:r>
    </w:p>
    <w:p w14:paraId="5B95D777" w14:textId="1BB850B6" w:rsidR="0030422A" w:rsidRPr="00F30A97" w:rsidRDefault="0030422A" w:rsidP="00CE08CB">
      <w:pPr>
        <w:pStyle w:val="Reftext"/>
        <w:tabs>
          <w:tab w:val="clear" w:pos="794"/>
          <w:tab w:val="clear" w:pos="1191"/>
          <w:tab w:val="clear" w:pos="1588"/>
          <w:tab w:val="clear" w:pos="1985"/>
          <w:tab w:val="left" w:pos="2410"/>
        </w:tabs>
        <w:ind w:left="2410" w:hanging="2410"/>
      </w:pPr>
      <w:r w:rsidRPr="00F30A97">
        <w:t>[b-Khekale]</w:t>
      </w:r>
      <w:r w:rsidRPr="00F30A97">
        <w:tab/>
        <w:t xml:space="preserve">Khekale, A. (2021) Machine learning/Artificial Intelligence on IBM I </w:t>
      </w:r>
      <w:hyperlink r:id="rId53" w:history="1">
        <w:r w:rsidR="00D17084" w:rsidRPr="00F30A97">
          <w:rPr>
            <w:rStyle w:val="Hyperlink"/>
            <w:rFonts w:ascii="Arial" w:hAnsi="Arial" w:cs="Arial"/>
            <w:sz w:val="16"/>
            <w:szCs w:val="16"/>
          </w:rPr>
          <w:t>https://www.anandk.dev/2021/02/Machine-learning-on-ibmi.html</w:t>
        </w:r>
      </w:hyperlink>
      <w:r w:rsidR="00D17084" w:rsidRPr="00F30A97">
        <w:t xml:space="preserve"> </w:t>
      </w:r>
    </w:p>
    <w:p w14:paraId="1E77D310" w14:textId="77777777" w:rsidR="0030422A" w:rsidRPr="00F30A97" w:rsidRDefault="0030422A" w:rsidP="00CE08CB">
      <w:pPr>
        <w:pStyle w:val="Reftext"/>
        <w:tabs>
          <w:tab w:val="clear" w:pos="794"/>
          <w:tab w:val="clear" w:pos="1191"/>
          <w:tab w:val="clear" w:pos="1588"/>
          <w:tab w:val="clear" w:pos="1985"/>
          <w:tab w:val="left" w:pos="2410"/>
        </w:tabs>
        <w:ind w:left="2410" w:hanging="2410"/>
      </w:pPr>
      <w:r w:rsidRPr="00F30A97">
        <w:t>[b-Kuglitsch]</w:t>
      </w:r>
      <w:r w:rsidRPr="00F30A97">
        <w:tab/>
        <w:t>Kuglitsch, M.M., Pelivan, I., Ceola, S. et al. (2022) Facilitating adoption of AI in natural disaster management through collaboration. Nat Commun 13, 1579</w:t>
      </w:r>
    </w:p>
    <w:p w14:paraId="75E8D6B0" w14:textId="77777777" w:rsidR="0030422A" w:rsidRPr="00F30A97" w:rsidRDefault="0030422A" w:rsidP="00CE08CB">
      <w:pPr>
        <w:pStyle w:val="Reftext"/>
        <w:tabs>
          <w:tab w:val="clear" w:pos="794"/>
          <w:tab w:val="clear" w:pos="1191"/>
          <w:tab w:val="clear" w:pos="1588"/>
          <w:tab w:val="clear" w:pos="1985"/>
          <w:tab w:val="left" w:pos="2410"/>
        </w:tabs>
        <w:ind w:left="2410" w:hanging="2410"/>
      </w:pPr>
      <w:r w:rsidRPr="00F30A97">
        <w:t>[b-Lin]</w:t>
      </w:r>
      <w:r w:rsidRPr="00F30A97">
        <w:tab/>
        <w:t>Lin, J.-T. et al. (2021) Early warning for great earthquakes from characterization of crustal deformation patterns with deep learning. J. Geophys. Res. Solid Earth 126, e2021JB022703</w:t>
      </w:r>
    </w:p>
    <w:p w14:paraId="008121E4" w14:textId="02CD548E" w:rsidR="0030422A" w:rsidRPr="00F30A97" w:rsidRDefault="0030422A" w:rsidP="00CE08CB">
      <w:pPr>
        <w:pStyle w:val="Reftext"/>
        <w:tabs>
          <w:tab w:val="clear" w:pos="794"/>
          <w:tab w:val="clear" w:pos="1191"/>
          <w:tab w:val="clear" w:pos="1588"/>
          <w:tab w:val="clear" w:pos="1985"/>
          <w:tab w:val="left" w:pos="2410"/>
        </w:tabs>
        <w:ind w:left="2410" w:hanging="2410"/>
      </w:pPr>
      <w:r w:rsidRPr="00F30A97">
        <w:t>[b-Marti]</w:t>
      </w:r>
      <w:r w:rsidRPr="00F30A97">
        <w:tab/>
        <w:t>Marti, A. (2021) Methodology for Windstorm and Hailstorm Hazard Modelling and Mapping for Georgia.</w:t>
      </w:r>
      <w:r w:rsidR="00644FA2" w:rsidRPr="00F30A97">
        <w:t xml:space="preserve"> </w:t>
      </w:r>
      <w:r w:rsidRPr="00F30A97">
        <w:t>Decision B.19/12 Scaling-up a Multi-Hazard Early Warning System and the Use of Climate Information in Georgia. United Nations Development Programme.</w:t>
      </w:r>
    </w:p>
    <w:p w14:paraId="74FDD65B" w14:textId="44BD2649" w:rsidR="0030422A" w:rsidRPr="00F30A97" w:rsidRDefault="0030422A" w:rsidP="00CE08CB">
      <w:pPr>
        <w:pStyle w:val="Reftext"/>
        <w:tabs>
          <w:tab w:val="clear" w:pos="794"/>
          <w:tab w:val="clear" w:pos="1191"/>
          <w:tab w:val="clear" w:pos="1588"/>
          <w:tab w:val="clear" w:pos="1985"/>
          <w:tab w:val="left" w:pos="2410"/>
        </w:tabs>
        <w:ind w:left="2410" w:hanging="2410"/>
      </w:pPr>
      <w:r w:rsidRPr="00F30A97">
        <w:t>[b-MeteoSwiss]</w:t>
      </w:r>
      <w:r w:rsidRPr="00F30A97">
        <w:tab/>
        <w:t xml:space="preserve">MeteoSwiss (n.d.) Measurement Instruments. </w:t>
      </w:r>
      <w:hyperlink r:id="rId54" w:history="1">
        <w:r w:rsidR="00D17084" w:rsidRPr="00F30A97">
          <w:rPr>
            <w:rStyle w:val="Hyperlink"/>
            <w:rFonts w:ascii="Arial" w:hAnsi="Arial" w:cs="Arial"/>
            <w:sz w:val="16"/>
            <w:szCs w:val="16"/>
          </w:rPr>
          <w:t>https://www.meteoswiss.admin.ch/weather/measurement-systems/land-based-stations/automatic-measurement-network/measurement-instruments.html</w:t>
        </w:r>
      </w:hyperlink>
      <w:r w:rsidR="00D17084" w:rsidRPr="00F30A97">
        <w:t xml:space="preserve"> </w:t>
      </w:r>
    </w:p>
    <w:p w14:paraId="4915598B" w14:textId="424D3CE6" w:rsidR="0030422A" w:rsidRPr="00F30A97" w:rsidRDefault="0030422A" w:rsidP="00CE08CB">
      <w:pPr>
        <w:pStyle w:val="Reftext"/>
        <w:tabs>
          <w:tab w:val="clear" w:pos="794"/>
          <w:tab w:val="clear" w:pos="1191"/>
          <w:tab w:val="clear" w:pos="1588"/>
          <w:tab w:val="clear" w:pos="1985"/>
          <w:tab w:val="left" w:pos="2410"/>
        </w:tabs>
        <w:ind w:left="2410" w:hanging="2410"/>
      </w:pPr>
      <w:r w:rsidRPr="00F30A97">
        <w:t>[b-Michael]</w:t>
      </w:r>
      <w:r w:rsidR="00D17084" w:rsidRPr="00F30A97">
        <w:t xml:space="preserve"> </w:t>
      </w:r>
      <w:r w:rsidR="00D17084" w:rsidRPr="00F30A97">
        <w:tab/>
        <w:t>Michael, K., and Miller, K.W. (2013) Big Data: New Opportunities and New Challenges [Guest Editors</w:t>
      </w:r>
      <w:r w:rsidR="00644FA2" w:rsidRPr="00F30A97">
        <w:t>'</w:t>
      </w:r>
      <w:r w:rsidR="00D17084" w:rsidRPr="00F30A97">
        <w:t xml:space="preserve"> Introduction] Computer 46, 6, pp. 22–24</w:t>
      </w:r>
    </w:p>
    <w:p w14:paraId="47FC439E" w14:textId="5E2E3F0C" w:rsidR="0030422A" w:rsidRPr="00F30A97" w:rsidRDefault="0030422A" w:rsidP="00CE08CB">
      <w:pPr>
        <w:pStyle w:val="Reftext"/>
        <w:tabs>
          <w:tab w:val="clear" w:pos="794"/>
          <w:tab w:val="clear" w:pos="1191"/>
          <w:tab w:val="clear" w:pos="1588"/>
          <w:tab w:val="clear" w:pos="1985"/>
          <w:tab w:val="left" w:pos="2410"/>
        </w:tabs>
        <w:ind w:left="2410" w:hanging="2410"/>
      </w:pPr>
      <w:r w:rsidRPr="00F30A97">
        <w:t>[b-Nature]</w:t>
      </w:r>
      <w:r w:rsidRPr="00F30A97">
        <w:tab/>
        <w:t>Early forecasting of tsunami inundation from tsunami and geodetic observation data with convolutional neural networks</w:t>
      </w:r>
      <w:r w:rsidRPr="00F30A97">
        <w:br/>
      </w:r>
      <w:hyperlink r:id="rId55" w:history="1">
        <w:r w:rsidR="00D17084" w:rsidRPr="00F30A97">
          <w:rPr>
            <w:rStyle w:val="Hyperlink"/>
            <w:rFonts w:ascii="Arial" w:hAnsi="Arial" w:cs="Arial"/>
            <w:sz w:val="16"/>
            <w:szCs w:val="16"/>
          </w:rPr>
          <w:t>https://www.nature.com/articles/s41467-021-22348-0</w:t>
        </w:r>
      </w:hyperlink>
      <w:r w:rsidR="00D17084" w:rsidRPr="00F30A97">
        <w:t xml:space="preserve"> </w:t>
      </w:r>
    </w:p>
    <w:p w14:paraId="33BAD77F" w14:textId="57934ED7" w:rsidR="0030422A" w:rsidRPr="00F30A97" w:rsidRDefault="0030422A" w:rsidP="00CE08CB">
      <w:pPr>
        <w:pStyle w:val="Reftext"/>
        <w:tabs>
          <w:tab w:val="clear" w:pos="794"/>
          <w:tab w:val="clear" w:pos="1191"/>
          <w:tab w:val="clear" w:pos="1588"/>
          <w:tab w:val="clear" w:pos="1985"/>
          <w:tab w:val="left" w:pos="2410"/>
        </w:tabs>
        <w:ind w:left="2410" w:hanging="2410"/>
      </w:pPr>
      <w:r w:rsidRPr="00F30A97">
        <w:t>[b-NRC-1]</w:t>
      </w:r>
      <w:r w:rsidRPr="00F30A97">
        <w:tab/>
        <w:t xml:space="preserve">Natural Resources Canada (n.d.) Passive vs. Active Sensing. </w:t>
      </w:r>
      <w:hyperlink r:id="rId56" w:history="1">
        <w:r w:rsidR="00D17084" w:rsidRPr="00F30A97">
          <w:rPr>
            <w:rStyle w:val="Hyperlink"/>
            <w:rFonts w:ascii="Arial" w:hAnsi="Arial" w:cs="Arial"/>
            <w:sz w:val="16"/>
            <w:szCs w:val="16"/>
          </w:rPr>
          <w:t>https://www.nrcan.gc.ca/maps-tools-publications/satellite-imagery-air-photos/remote-sensing-tutorials/introduction/passive-vs-active-sensing/14639</w:t>
        </w:r>
      </w:hyperlink>
      <w:r w:rsidR="00D17084" w:rsidRPr="00F30A97">
        <w:t xml:space="preserve"> </w:t>
      </w:r>
    </w:p>
    <w:p w14:paraId="21E9E779" w14:textId="3B5EA7E2" w:rsidR="0030422A" w:rsidRPr="00F30A97" w:rsidRDefault="0030422A" w:rsidP="00CE08CB">
      <w:pPr>
        <w:pStyle w:val="Reftext"/>
        <w:tabs>
          <w:tab w:val="clear" w:pos="794"/>
          <w:tab w:val="clear" w:pos="1191"/>
          <w:tab w:val="clear" w:pos="1588"/>
          <w:tab w:val="clear" w:pos="1985"/>
          <w:tab w:val="left" w:pos="2410"/>
        </w:tabs>
        <w:ind w:left="2410" w:hanging="2410"/>
      </w:pPr>
      <w:r w:rsidRPr="00F30A97">
        <w:t>[b-NRC-2]</w:t>
      </w:r>
      <w:r w:rsidRPr="00F30A97">
        <w:tab/>
        <w:t xml:space="preserve">Natural Resources Canada (n.d.) Thermal Imaging. </w:t>
      </w:r>
      <w:hyperlink r:id="rId57" w:history="1">
        <w:r w:rsidR="00D17084" w:rsidRPr="00F30A97">
          <w:rPr>
            <w:rStyle w:val="Hyperlink"/>
            <w:rFonts w:ascii="Arial" w:hAnsi="Arial" w:cs="Arial"/>
            <w:sz w:val="16"/>
            <w:szCs w:val="16"/>
          </w:rPr>
          <w:t>https://www.nrcan.gc.ca/maps-tools-and-publications/satellite-imagery-and-air-photos/tutorial-fundamentals-remote-sensing/satellites-and-sensors/thermal-imaging/9319</w:t>
        </w:r>
      </w:hyperlink>
      <w:r w:rsidR="00D17084" w:rsidRPr="00F30A97">
        <w:t xml:space="preserve"> </w:t>
      </w:r>
    </w:p>
    <w:p w14:paraId="2561D99C" w14:textId="62685025" w:rsidR="0030422A" w:rsidRPr="00F30A97" w:rsidRDefault="0030422A" w:rsidP="00CE08CB">
      <w:pPr>
        <w:pStyle w:val="Reftext"/>
        <w:tabs>
          <w:tab w:val="clear" w:pos="794"/>
          <w:tab w:val="clear" w:pos="1191"/>
          <w:tab w:val="clear" w:pos="1588"/>
          <w:tab w:val="clear" w:pos="1985"/>
          <w:tab w:val="left" w:pos="2410"/>
        </w:tabs>
        <w:ind w:left="2410" w:hanging="2410"/>
      </w:pPr>
      <w:r w:rsidRPr="00F30A97">
        <w:t>[b-OECD]</w:t>
      </w:r>
      <w:r w:rsidRPr="00F30A97">
        <w:tab/>
        <w:t xml:space="preserve">OECD (2022) Transparency and explainability (Principle 1.3) </w:t>
      </w:r>
      <w:hyperlink r:id="rId58" w:history="1">
        <w:r w:rsidR="00D17084" w:rsidRPr="00F30A97">
          <w:rPr>
            <w:rStyle w:val="Hyperlink"/>
            <w:rFonts w:ascii="Arial" w:hAnsi="Arial" w:cs="Arial"/>
            <w:sz w:val="16"/>
            <w:szCs w:val="16"/>
          </w:rPr>
          <w:t>https://oecd.ai/en/dashboards/ai-principles/P7</w:t>
        </w:r>
      </w:hyperlink>
      <w:r w:rsidR="00D17084" w:rsidRPr="00F30A97">
        <w:t xml:space="preserve"> </w:t>
      </w:r>
    </w:p>
    <w:p w14:paraId="35E6088B" w14:textId="77777777" w:rsidR="0030422A" w:rsidRPr="00F30A97" w:rsidRDefault="0030422A" w:rsidP="00CE08CB">
      <w:pPr>
        <w:pStyle w:val="Reftext"/>
        <w:tabs>
          <w:tab w:val="clear" w:pos="794"/>
          <w:tab w:val="clear" w:pos="1191"/>
          <w:tab w:val="clear" w:pos="1588"/>
          <w:tab w:val="clear" w:pos="1985"/>
          <w:tab w:val="left" w:pos="2410"/>
        </w:tabs>
        <w:ind w:left="2410" w:hanging="2410"/>
      </w:pPr>
      <w:r w:rsidRPr="00F30A97">
        <w:lastRenderedPageBreak/>
        <w:t>[b-OGC-1]</w:t>
      </w:r>
      <w:r w:rsidRPr="00F30A97">
        <w:tab/>
        <w:t xml:space="preserve">Open Geospatial Consortium (2022) </w:t>
      </w:r>
      <w:hyperlink r:id="rId59">
        <w:r w:rsidRPr="00F30A97">
          <w:rPr>
            <w:rFonts w:ascii="Arial" w:hAnsi="Arial" w:cs="Arial"/>
            <w:color w:val="1155CC"/>
            <w:sz w:val="16"/>
            <w:szCs w:val="16"/>
            <w:u w:val="single"/>
          </w:rPr>
          <w:t>https://www.ogc.org/about</w:t>
        </w:r>
      </w:hyperlink>
      <w:r w:rsidRPr="00F30A97">
        <w:rPr>
          <w:rFonts w:ascii="Arial" w:hAnsi="Arial" w:cs="Arial"/>
          <w:sz w:val="16"/>
          <w:szCs w:val="16"/>
        </w:rPr>
        <w:t xml:space="preserve"> </w:t>
      </w:r>
    </w:p>
    <w:p w14:paraId="54E2924A" w14:textId="77777777" w:rsidR="0030422A" w:rsidRPr="00F30A97" w:rsidRDefault="0030422A" w:rsidP="00CE08CB">
      <w:pPr>
        <w:pStyle w:val="Reftext"/>
        <w:tabs>
          <w:tab w:val="clear" w:pos="794"/>
          <w:tab w:val="clear" w:pos="1191"/>
          <w:tab w:val="clear" w:pos="1588"/>
          <w:tab w:val="clear" w:pos="1985"/>
          <w:tab w:val="left" w:pos="2410"/>
        </w:tabs>
        <w:ind w:left="2410" w:hanging="2410"/>
        <w:rPr>
          <w:rFonts w:ascii="Arial" w:hAnsi="Arial" w:cs="Arial"/>
          <w:sz w:val="16"/>
          <w:szCs w:val="16"/>
        </w:rPr>
      </w:pPr>
      <w:r w:rsidRPr="00F30A97">
        <w:t>[b-OGC-2]</w:t>
      </w:r>
      <w:r w:rsidRPr="00F30A97">
        <w:tab/>
        <w:t xml:space="preserve">Open Geospatial Consortium (2022) Geography Markup Language. </w:t>
      </w:r>
      <w:hyperlink r:id="rId60">
        <w:r w:rsidRPr="00F30A97">
          <w:rPr>
            <w:rFonts w:ascii="Arial" w:hAnsi="Arial" w:cs="Arial"/>
            <w:color w:val="1155CC"/>
            <w:sz w:val="16"/>
            <w:szCs w:val="16"/>
            <w:u w:val="single"/>
          </w:rPr>
          <w:t>https://www.ogc.org/standards/gml</w:t>
        </w:r>
      </w:hyperlink>
      <w:r w:rsidRPr="00F30A97">
        <w:rPr>
          <w:rFonts w:ascii="Arial" w:hAnsi="Arial" w:cs="Arial"/>
          <w:sz w:val="16"/>
          <w:szCs w:val="16"/>
        </w:rPr>
        <w:t xml:space="preserve"> </w:t>
      </w:r>
    </w:p>
    <w:p w14:paraId="1312F9E7" w14:textId="77777777" w:rsidR="0030422A" w:rsidRPr="00F30A97" w:rsidRDefault="0030422A" w:rsidP="00CE08CB">
      <w:pPr>
        <w:pStyle w:val="Reftext"/>
        <w:tabs>
          <w:tab w:val="clear" w:pos="794"/>
          <w:tab w:val="clear" w:pos="1191"/>
          <w:tab w:val="clear" w:pos="1588"/>
          <w:tab w:val="clear" w:pos="1985"/>
          <w:tab w:val="left" w:pos="2410"/>
        </w:tabs>
        <w:ind w:left="2410" w:hanging="2410"/>
        <w:rPr>
          <w:rFonts w:ascii="Arial" w:hAnsi="Arial" w:cs="Arial"/>
          <w:sz w:val="16"/>
          <w:szCs w:val="16"/>
        </w:rPr>
      </w:pPr>
      <w:r w:rsidRPr="00F30A97">
        <w:t>[b-OGC-3]</w:t>
      </w:r>
      <w:r w:rsidRPr="00F30A97">
        <w:tab/>
        <w:t xml:space="preserve">Open Geospatial Consortium (2022) Keyhole Markup Language. </w:t>
      </w:r>
      <w:hyperlink r:id="rId61">
        <w:r w:rsidRPr="00F30A97">
          <w:rPr>
            <w:rFonts w:ascii="Arial" w:hAnsi="Arial" w:cs="Arial"/>
            <w:color w:val="1155CC"/>
            <w:sz w:val="16"/>
            <w:szCs w:val="16"/>
            <w:u w:val="single"/>
          </w:rPr>
          <w:t>https://www.ogc.org/standards/kml</w:t>
        </w:r>
      </w:hyperlink>
      <w:r w:rsidRPr="00F30A97">
        <w:rPr>
          <w:rFonts w:ascii="Arial" w:hAnsi="Arial" w:cs="Arial"/>
          <w:sz w:val="16"/>
          <w:szCs w:val="16"/>
        </w:rPr>
        <w:t xml:space="preserve"> </w:t>
      </w:r>
    </w:p>
    <w:p w14:paraId="5A09BE4D" w14:textId="38CCCF6F" w:rsidR="0030422A" w:rsidRPr="00F30A97" w:rsidRDefault="0030422A" w:rsidP="00CE08CB">
      <w:pPr>
        <w:pStyle w:val="Reftext"/>
        <w:tabs>
          <w:tab w:val="clear" w:pos="794"/>
          <w:tab w:val="clear" w:pos="1191"/>
          <w:tab w:val="clear" w:pos="1588"/>
          <w:tab w:val="clear" w:pos="1985"/>
          <w:tab w:val="left" w:pos="2410"/>
        </w:tabs>
        <w:ind w:left="2410" w:hanging="2410"/>
      </w:pPr>
      <w:r w:rsidRPr="00F30A97">
        <w:t>[b-OGC-4]</w:t>
      </w:r>
      <w:r w:rsidRPr="00F30A97">
        <w:tab/>
        <w:t xml:space="preserve">Open Geospatial Consortium (2021) Sample Markup Language for Artificial Intelligence Machine Learning (SampleML-AI/ML) - Standards Working Group Charter. </w:t>
      </w:r>
      <w:hyperlink r:id="rId62" w:history="1">
        <w:r w:rsidR="00D17084" w:rsidRPr="00F30A97">
          <w:rPr>
            <w:rStyle w:val="Hyperlink"/>
            <w:rFonts w:ascii="Arial" w:hAnsi="Arial" w:cs="Arial"/>
            <w:sz w:val="16"/>
            <w:szCs w:val="16"/>
          </w:rPr>
          <w:t>https://portal.ogc.org/files/97072</w:t>
        </w:r>
      </w:hyperlink>
      <w:r w:rsidR="00D17084" w:rsidRPr="00F30A97">
        <w:t xml:space="preserve"> </w:t>
      </w:r>
    </w:p>
    <w:p w14:paraId="42D67055" w14:textId="4E7DD7B7" w:rsidR="0030422A" w:rsidRPr="00F30A97" w:rsidRDefault="0030422A" w:rsidP="00CE08CB">
      <w:pPr>
        <w:pStyle w:val="Reftext"/>
        <w:tabs>
          <w:tab w:val="clear" w:pos="794"/>
          <w:tab w:val="clear" w:pos="1191"/>
          <w:tab w:val="clear" w:pos="1588"/>
          <w:tab w:val="clear" w:pos="1985"/>
          <w:tab w:val="left" w:pos="2410"/>
        </w:tabs>
        <w:ind w:left="2410" w:hanging="2410"/>
        <w:rPr>
          <w:rFonts w:ascii="Arial" w:hAnsi="Arial" w:cs="Arial"/>
          <w:sz w:val="16"/>
          <w:szCs w:val="16"/>
        </w:rPr>
      </w:pPr>
      <w:r w:rsidRPr="00F30A97">
        <w:t>[b-Orora]</w:t>
      </w:r>
      <w:r w:rsidRPr="00F30A97">
        <w:tab/>
        <w:t xml:space="preserve">Orora Technologies (n.d.) Wildfire Solution. </w:t>
      </w:r>
      <w:hyperlink r:id="rId63" w:history="1">
        <w:r w:rsidR="00D17084" w:rsidRPr="00F30A97">
          <w:rPr>
            <w:rStyle w:val="Hyperlink"/>
            <w:rFonts w:ascii="Arial" w:hAnsi="Arial" w:cs="Arial"/>
            <w:sz w:val="16"/>
            <w:szCs w:val="16"/>
          </w:rPr>
          <w:t>https://ororatech.com/wildfire-solution/</w:t>
        </w:r>
      </w:hyperlink>
      <w:r w:rsidR="00D17084" w:rsidRPr="00F30A97">
        <w:rPr>
          <w:rFonts w:ascii="Arial" w:hAnsi="Arial" w:cs="Arial"/>
          <w:sz w:val="16"/>
          <w:szCs w:val="16"/>
        </w:rPr>
        <w:t xml:space="preserve"> </w:t>
      </w:r>
    </w:p>
    <w:p w14:paraId="37A036FC" w14:textId="77777777" w:rsidR="0030422A" w:rsidRPr="00F30A97" w:rsidRDefault="0030422A" w:rsidP="00CE08CB">
      <w:pPr>
        <w:pStyle w:val="Reftext"/>
        <w:tabs>
          <w:tab w:val="clear" w:pos="794"/>
          <w:tab w:val="clear" w:pos="1191"/>
          <w:tab w:val="clear" w:pos="1588"/>
          <w:tab w:val="clear" w:pos="1985"/>
          <w:tab w:val="left" w:pos="2410"/>
        </w:tabs>
        <w:ind w:left="2410" w:hanging="2410"/>
      </w:pPr>
      <w:r w:rsidRPr="00F30A97">
        <w:t>[b-Patel]</w:t>
      </w:r>
      <w:r w:rsidRPr="00F30A97">
        <w:tab/>
        <w:t>Patel, A.B., Birla, M., Nair, U. (2012) Addressing big data problem using Hadoop and Map Reduce, in: 2012 Nirma University International Conference on Engineering, NUiCONE, pp. 1–5</w:t>
      </w:r>
    </w:p>
    <w:p w14:paraId="186A2DAD" w14:textId="2FA33DCC" w:rsidR="0030422A" w:rsidRPr="00F30A97" w:rsidRDefault="0030422A" w:rsidP="00CE08CB">
      <w:pPr>
        <w:pStyle w:val="Reftext"/>
        <w:tabs>
          <w:tab w:val="clear" w:pos="794"/>
          <w:tab w:val="clear" w:pos="1191"/>
          <w:tab w:val="clear" w:pos="1588"/>
          <w:tab w:val="clear" w:pos="1985"/>
          <w:tab w:val="left" w:pos="2410"/>
        </w:tabs>
        <w:ind w:left="2410" w:hanging="2410"/>
      </w:pPr>
      <w:r w:rsidRPr="00F30A97">
        <w:t>[b-PNSN]</w:t>
      </w:r>
      <w:r w:rsidRPr="00F30A97">
        <w:tab/>
        <w:t xml:space="preserve">PNSN (n.d.) Hazard Maps. </w:t>
      </w:r>
      <w:hyperlink r:id="rId64" w:history="1">
        <w:r w:rsidR="00D17084" w:rsidRPr="00F30A97">
          <w:rPr>
            <w:rStyle w:val="Hyperlink"/>
            <w:rFonts w:ascii="Arial" w:hAnsi="Arial" w:cs="Arial"/>
            <w:sz w:val="16"/>
            <w:szCs w:val="16"/>
          </w:rPr>
          <w:t>https://pnsn.org/outreach/hazard-maps-and-scenarios/hazard-maps</w:t>
        </w:r>
      </w:hyperlink>
      <w:r w:rsidR="00D17084" w:rsidRPr="00F30A97">
        <w:t xml:space="preserve"> </w:t>
      </w:r>
    </w:p>
    <w:p w14:paraId="589C929D" w14:textId="338A677B" w:rsidR="0030422A" w:rsidRPr="00F30A97" w:rsidRDefault="0030422A" w:rsidP="00CE08CB">
      <w:pPr>
        <w:pStyle w:val="Reftext"/>
        <w:tabs>
          <w:tab w:val="clear" w:pos="794"/>
          <w:tab w:val="clear" w:pos="1191"/>
          <w:tab w:val="clear" w:pos="1588"/>
          <w:tab w:val="clear" w:pos="1985"/>
          <w:tab w:val="left" w:pos="2410"/>
        </w:tabs>
        <w:ind w:left="2410" w:hanging="2410"/>
      </w:pPr>
      <w:r w:rsidRPr="00F30A97">
        <w:t>[b-Rao]</w:t>
      </w:r>
      <w:r w:rsidRPr="00F30A97">
        <w:tab/>
        <w:t>Rao, C.R. &amp; Govindaraju, V. (eds.) (2013) Handbook of Statistics Volume</w:t>
      </w:r>
      <w:r w:rsidR="00D17084" w:rsidRPr="00F30A97">
        <w:t> </w:t>
      </w:r>
      <w:r w:rsidRPr="00F30A97">
        <w:t>31</w:t>
      </w:r>
    </w:p>
    <w:p w14:paraId="09B1676E" w14:textId="2A5B1413" w:rsidR="0030422A" w:rsidRPr="00F30A97" w:rsidRDefault="0030422A" w:rsidP="00CE08CB">
      <w:pPr>
        <w:pStyle w:val="Reftext"/>
        <w:tabs>
          <w:tab w:val="clear" w:pos="794"/>
          <w:tab w:val="clear" w:pos="1191"/>
          <w:tab w:val="clear" w:pos="1588"/>
          <w:tab w:val="clear" w:pos="1985"/>
          <w:tab w:val="left" w:pos="2410"/>
        </w:tabs>
        <w:ind w:left="2410" w:hanging="2410"/>
      </w:pPr>
      <w:r w:rsidRPr="00F30A97">
        <w:t>[b-SentinelOne]</w:t>
      </w:r>
      <w:r w:rsidRPr="00F30A97">
        <w:tab/>
        <w:t xml:space="preserve">Sentinel One Blog (2020) Data Visibility: A Guide to the What, Why, and How. </w:t>
      </w:r>
      <w:hyperlink r:id="rId65" w:history="1">
        <w:r w:rsidR="00D17084" w:rsidRPr="00F30A97">
          <w:rPr>
            <w:rStyle w:val="Hyperlink"/>
            <w:rFonts w:ascii="Arial" w:hAnsi="Arial" w:cs="Arial"/>
            <w:sz w:val="16"/>
            <w:szCs w:val="16"/>
          </w:rPr>
          <w:t>https://www.sentinelone.com/blog/data-visibility/</w:t>
        </w:r>
      </w:hyperlink>
      <w:r w:rsidR="00D17084" w:rsidRPr="00F30A97">
        <w:t xml:space="preserve"> </w:t>
      </w:r>
    </w:p>
    <w:p w14:paraId="75D9AAFE" w14:textId="5198DF73" w:rsidR="0030422A" w:rsidRPr="00F30A97" w:rsidRDefault="0030422A" w:rsidP="00CE08CB">
      <w:pPr>
        <w:pStyle w:val="Reftext"/>
        <w:tabs>
          <w:tab w:val="clear" w:pos="794"/>
          <w:tab w:val="clear" w:pos="1191"/>
          <w:tab w:val="clear" w:pos="1588"/>
          <w:tab w:val="clear" w:pos="1985"/>
          <w:tab w:val="left" w:pos="2410"/>
        </w:tabs>
        <w:ind w:left="2410" w:hanging="2410"/>
      </w:pPr>
      <w:r w:rsidRPr="00F30A97">
        <w:t>[b-SNIA]</w:t>
      </w:r>
      <w:r w:rsidRPr="00F30A97">
        <w:tab/>
        <w:t>SNIA (2022) What is Data Privacy?</w:t>
      </w:r>
      <w:r w:rsidRPr="00F30A97">
        <w:rPr>
          <w:rFonts w:ascii="Arial" w:hAnsi="Arial" w:cs="Arial"/>
          <w:sz w:val="16"/>
          <w:szCs w:val="16"/>
        </w:rPr>
        <w:t xml:space="preserve"> </w:t>
      </w:r>
      <w:hyperlink r:id="rId66" w:history="1">
        <w:r w:rsidR="00D17084" w:rsidRPr="00F30A97">
          <w:rPr>
            <w:rStyle w:val="Hyperlink"/>
            <w:rFonts w:ascii="Arial" w:hAnsi="Arial" w:cs="Arial"/>
            <w:sz w:val="16"/>
            <w:szCs w:val="16"/>
          </w:rPr>
          <w:t>https://www.snia.org/education/what-is-data-privacy</w:t>
        </w:r>
      </w:hyperlink>
      <w:r w:rsidR="00D17084" w:rsidRPr="00F30A97">
        <w:t xml:space="preserve"> </w:t>
      </w:r>
    </w:p>
    <w:p w14:paraId="3A81CFC7" w14:textId="77777777" w:rsidR="0030422A" w:rsidRPr="00F30A97" w:rsidRDefault="0030422A" w:rsidP="00CE08CB">
      <w:pPr>
        <w:pStyle w:val="Reftext"/>
        <w:tabs>
          <w:tab w:val="clear" w:pos="794"/>
          <w:tab w:val="clear" w:pos="1191"/>
          <w:tab w:val="clear" w:pos="1588"/>
          <w:tab w:val="clear" w:pos="1985"/>
          <w:tab w:val="left" w:pos="2410"/>
        </w:tabs>
        <w:ind w:left="2410" w:hanging="2410"/>
      </w:pPr>
      <w:r w:rsidRPr="00F30A97">
        <w:t>[b-Sun]</w:t>
      </w:r>
      <w:r w:rsidRPr="00F30A97">
        <w:tab/>
        <w:t>Sun, W., Bocchini, P. &amp; Davison, B.D. (2020) Applications of artificial intelligence for disaster management. Nat Hazards 103, pp. 2631–2689</w:t>
      </w:r>
    </w:p>
    <w:p w14:paraId="210CE8BA" w14:textId="21E138CF" w:rsidR="0030422A" w:rsidRPr="00F30A97" w:rsidRDefault="0030422A" w:rsidP="00CE08CB">
      <w:pPr>
        <w:pStyle w:val="Reftext"/>
        <w:tabs>
          <w:tab w:val="clear" w:pos="794"/>
          <w:tab w:val="clear" w:pos="1191"/>
          <w:tab w:val="clear" w:pos="1588"/>
          <w:tab w:val="clear" w:pos="1985"/>
          <w:tab w:val="left" w:pos="2410"/>
        </w:tabs>
        <w:ind w:left="2410" w:hanging="2410"/>
      </w:pPr>
      <w:r w:rsidRPr="00F30A97">
        <w:t>[b-Techopedia-1]</w:t>
      </w:r>
      <w:r w:rsidRPr="00F30A97">
        <w:tab/>
        <w:t xml:space="preserve">Techopedia (n.d.) What Does Data Ownership Mean? </w:t>
      </w:r>
      <w:hyperlink r:id="rId67" w:history="1">
        <w:r w:rsidR="00D17084" w:rsidRPr="00F30A97">
          <w:rPr>
            <w:rStyle w:val="Hyperlink"/>
            <w:rFonts w:ascii="Arial" w:hAnsi="Arial" w:cs="Arial"/>
            <w:sz w:val="16"/>
            <w:szCs w:val="16"/>
          </w:rPr>
          <w:t>https://www.techopedia.com/definition/29059/data-ownership</w:t>
        </w:r>
      </w:hyperlink>
      <w:r w:rsidR="00D17084" w:rsidRPr="00F30A97">
        <w:t xml:space="preserve"> </w:t>
      </w:r>
    </w:p>
    <w:p w14:paraId="0748DC79" w14:textId="77777777" w:rsidR="0030422A" w:rsidRPr="00F30A97" w:rsidRDefault="0030422A" w:rsidP="00CE08CB">
      <w:pPr>
        <w:pStyle w:val="Reftext"/>
        <w:tabs>
          <w:tab w:val="clear" w:pos="794"/>
          <w:tab w:val="clear" w:pos="1191"/>
          <w:tab w:val="clear" w:pos="1588"/>
          <w:tab w:val="clear" w:pos="1985"/>
          <w:tab w:val="left" w:pos="2410"/>
        </w:tabs>
        <w:ind w:left="2410" w:hanging="2410"/>
        <w:rPr>
          <w:rFonts w:ascii="Arial" w:hAnsi="Arial" w:cs="Arial"/>
          <w:sz w:val="16"/>
          <w:szCs w:val="16"/>
        </w:rPr>
      </w:pPr>
      <w:r w:rsidRPr="00F30A97">
        <w:t>[b-Techopedia-2]</w:t>
      </w:r>
      <w:r w:rsidRPr="00F30A97">
        <w:tab/>
        <w:t xml:space="preserve">Techopedia (2022) Explainable Artificial Intelligence (xAI) </w:t>
      </w:r>
      <w:hyperlink r:id="rId68">
        <w:r w:rsidRPr="00F30A97">
          <w:rPr>
            <w:rFonts w:ascii="Arial" w:hAnsi="Arial" w:cs="Arial"/>
            <w:color w:val="1155CC"/>
            <w:sz w:val="16"/>
            <w:szCs w:val="16"/>
            <w:u w:val="single"/>
          </w:rPr>
          <w:t>https://www.techopedia.com/definition/33240/explainable-artificial-intelligence-xai</w:t>
        </w:r>
      </w:hyperlink>
      <w:r w:rsidRPr="00F30A97">
        <w:rPr>
          <w:rFonts w:ascii="Arial" w:hAnsi="Arial" w:cs="Arial"/>
          <w:sz w:val="16"/>
          <w:szCs w:val="16"/>
        </w:rPr>
        <w:t xml:space="preserve"> </w:t>
      </w:r>
    </w:p>
    <w:p w14:paraId="113ECA94" w14:textId="77777777" w:rsidR="0030422A" w:rsidRPr="00F30A97" w:rsidRDefault="0030422A" w:rsidP="00CE08CB">
      <w:pPr>
        <w:pStyle w:val="Reftext"/>
        <w:tabs>
          <w:tab w:val="clear" w:pos="794"/>
          <w:tab w:val="clear" w:pos="1191"/>
          <w:tab w:val="clear" w:pos="1588"/>
          <w:tab w:val="clear" w:pos="1985"/>
          <w:tab w:val="left" w:pos="2410"/>
        </w:tabs>
        <w:ind w:left="2410" w:hanging="2410"/>
        <w:rPr>
          <w:rFonts w:ascii="Arial" w:hAnsi="Arial" w:cs="Arial"/>
          <w:sz w:val="16"/>
          <w:szCs w:val="16"/>
        </w:rPr>
      </w:pPr>
      <w:r w:rsidRPr="00F30A97">
        <w:t>[b-Techopedia-3]</w:t>
      </w:r>
      <w:r w:rsidRPr="00F30A97">
        <w:tab/>
        <w:t xml:space="preserve">Techopedia (2017) </w:t>
      </w:r>
      <w:hyperlink r:id="rId69">
        <w:r w:rsidRPr="00F30A97">
          <w:rPr>
            <w:rFonts w:ascii="Arial" w:hAnsi="Arial" w:cs="Arial"/>
            <w:color w:val="1155CC"/>
            <w:sz w:val="16"/>
            <w:szCs w:val="16"/>
            <w:u w:val="single"/>
          </w:rPr>
          <w:t>https://www.techopedia.com/definition/9269/scalability</w:t>
        </w:r>
      </w:hyperlink>
      <w:r w:rsidRPr="00F30A97">
        <w:rPr>
          <w:rFonts w:ascii="Arial" w:hAnsi="Arial" w:cs="Arial"/>
          <w:sz w:val="16"/>
          <w:szCs w:val="16"/>
        </w:rPr>
        <w:t xml:space="preserve"> </w:t>
      </w:r>
    </w:p>
    <w:p w14:paraId="30EE4138" w14:textId="77777777" w:rsidR="0030422A" w:rsidRPr="00F30A97" w:rsidRDefault="0030422A" w:rsidP="00CE08CB">
      <w:pPr>
        <w:pStyle w:val="Reftext"/>
        <w:tabs>
          <w:tab w:val="clear" w:pos="794"/>
          <w:tab w:val="clear" w:pos="1191"/>
          <w:tab w:val="clear" w:pos="1588"/>
          <w:tab w:val="clear" w:pos="1985"/>
          <w:tab w:val="left" w:pos="2410"/>
        </w:tabs>
        <w:ind w:left="2410" w:hanging="2410"/>
      </w:pPr>
      <w:r w:rsidRPr="00F30A97">
        <w:t>[b-Thüring]</w:t>
      </w:r>
      <w:r w:rsidRPr="00F30A97">
        <w:tab/>
        <w:t>Thüring, T. et al. (2015) Robust snow avalanche detection using supervised machine learning with infrasonic sensor arrays. Cold Reg. Sci. Technol. 111, pp. 60–66</w:t>
      </w:r>
    </w:p>
    <w:p w14:paraId="3F48D6B0" w14:textId="77777777" w:rsidR="0030422A" w:rsidRPr="00F30A97" w:rsidRDefault="0030422A" w:rsidP="00CE08CB">
      <w:pPr>
        <w:pStyle w:val="Reftext"/>
        <w:tabs>
          <w:tab w:val="clear" w:pos="794"/>
          <w:tab w:val="clear" w:pos="1191"/>
          <w:tab w:val="clear" w:pos="1588"/>
          <w:tab w:val="clear" w:pos="1985"/>
          <w:tab w:val="left" w:pos="2410"/>
        </w:tabs>
        <w:ind w:left="2410" w:hanging="2410"/>
      </w:pPr>
      <w:r w:rsidRPr="00F30A97">
        <w:t>[b-Tseng]</w:t>
      </w:r>
      <w:r w:rsidRPr="00F30A97">
        <w:tab/>
        <w:t>Tseng, T., Stent, A., &amp; Maida, D. (2020). Best Practices for Managing Data Annotation Projects. BloomBerg. arXiv preprint arXiv:2009.11654.</w:t>
      </w:r>
    </w:p>
    <w:p w14:paraId="6860F381" w14:textId="04253765" w:rsidR="0030422A" w:rsidRPr="00F30A97" w:rsidRDefault="0030422A" w:rsidP="00CE08CB">
      <w:pPr>
        <w:pStyle w:val="Reftext"/>
        <w:tabs>
          <w:tab w:val="clear" w:pos="794"/>
          <w:tab w:val="clear" w:pos="1191"/>
          <w:tab w:val="clear" w:pos="1588"/>
          <w:tab w:val="clear" w:pos="1985"/>
          <w:tab w:val="left" w:pos="2410"/>
        </w:tabs>
        <w:ind w:left="2410" w:hanging="2410"/>
      </w:pPr>
      <w:r w:rsidRPr="00F30A97">
        <w:t>[b-UNDP</w:t>
      </w:r>
      <w:r w:rsidR="007C0877" w:rsidRPr="00F30A97">
        <w:t>-1</w:t>
      </w:r>
      <w:r w:rsidRPr="00F30A97">
        <w:t>]</w:t>
      </w:r>
      <w:r w:rsidR="00D17084" w:rsidRPr="00F30A97">
        <w:t xml:space="preserve"> </w:t>
      </w:r>
      <w:r w:rsidR="00D17084" w:rsidRPr="00F30A97">
        <w:tab/>
        <w:t xml:space="preserve">UNDP (2018) Five approaches to build functional early warning systems. </w:t>
      </w:r>
      <w:hyperlink r:id="rId70" w:history="1">
        <w:r w:rsidR="00D17084" w:rsidRPr="00F30A97">
          <w:rPr>
            <w:rStyle w:val="Hyperlink"/>
            <w:rFonts w:ascii="Arial" w:hAnsi="Arial" w:cs="Arial"/>
            <w:sz w:val="16"/>
            <w:szCs w:val="16"/>
          </w:rPr>
          <w:t>https://www.adaptation-undp.org/resources/manual/five-approaches-build-functional-early-warning-systems</w:t>
        </w:r>
      </w:hyperlink>
      <w:r w:rsidR="00D17084" w:rsidRPr="00F30A97">
        <w:t xml:space="preserve"> </w:t>
      </w:r>
    </w:p>
    <w:p w14:paraId="65BFB521" w14:textId="505A3C1B" w:rsidR="0030422A" w:rsidRPr="00F30A97" w:rsidRDefault="0030422A" w:rsidP="00CE08CB">
      <w:pPr>
        <w:pStyle w:val="Reftext"/>
        <w:tabs>
          <w:tab w:val="clear" w:pos="794"/>
          <w:tab w:val="clear" w:pos="1191"/>
          <w:tab w:val="clear" w:pos="1588"/>
          <w:tab w:val="clear" w:pos="1985"/>
          <w:tab w:val="left" w:pos="2410"/>
        </w:tabs>
        <w:ind w:left="2410" w:hanging="2410"/>
      </w:pPr>
      <w:r w:rsidRPr="00F30A97">
        <w:t>[b-UNDP-</w:t>
      </w:r>
      <w:r w:rsidR="007C0877" w:rsidRPr="00F30A97">
        <w:t>2</w:t>
      </w:r>
      <w:r w:rsidRPr="00F30A97">
        <w:t>]</w:t>
      </w:r>
      <w:r w:rsidRPr="00F30A97">
        <w:tab/>
        <w:t>Windstorm and Hailstorm Hazard Methodology for Modelling and Mapping for Georgia</w:t>
      </w:r>
    </w:p>
    <w:p w14:paraId="069496B9" w14:textId="0AF727B3" w:rsidR="0030422A" w:rsidRPr="00F30A97" w:rsidRDefault="0030422A" w:rsidP="00CE08CB">
      <w:pPr>
        <w:pStyle w:val="Reftext"/>
        <w:tabs>
          <w:tab w:val="clear" w:pos="794"/>
          <w:tab w:val="clear" w:pos="1191"/>
          <w:tab w:val="clear" w:pos="1588"/>
          <w:tab w:val="clear" w:pos="1985"/>
          <w:tab w:val="left" w:pos="2410"/>
        </w:tabs>
        <w:ind w:left="2410" w:hanging="2410"/>
      </w:pPr>
      <w:r w:rsidRPr="00F30A97">
        <w:t>[b-UNDRR]</w:t>
      </w:r>
      <w:r w:rsidRPr="00F30A97">
        <w:tab/>
        <w:t xml:space="preserve">UNDRR (n.d.) Response. </w:t>
      </w:r>
      <w:hyperlink r:id="rId71" w:history="1">
        <w:r w:rsidR="00D17084" w:rsidRPr="00F30A97">
          <w:rPr>
            <w:rStyle w:val="Hyperlink"/>
            <w:rFonts w:ascii="Arial" w:hAnsi="Arial" w:cs="Arial"/>
            <w:sz w:val="16"/>
            <w:szCs w:val="16"/>
          </w:rPr>
          <w:t>https://www.undrr.org/terminology/response</w:t>
        </w:r>
      </w:hyperlink>
      <w:r w:rsidR="00D17084" w:rsidRPr="00F30A97">
        <w:t xml:space="preserve"> </w:t>
      </w:r>
    </w:p>
    <w:p w14:paraId="0D66E19F" w14:textId="58020D1E" w:rsidR="0030422A" w:rsidRPr="00F30A97" w:rsidRDefault="0030422A" w:rsidP="00CE08CB">
      <w:pPr>
        <w:pStyle w:val="Reftext"/>
        <w:tabs>
          <w:tab w:val="clear" w:pos="794"/>
          <w:tab w:val="clear" w:pos="1191"/>
          <w:tab w:val="clear" w:pos="1588"/>
          <w:tab w:val="clear" w:pos="1985"/>
          <w:tab w:val="left" w:pos="2410"/>
        </w:tabs>
        <w:ind w:left="2410" w:hanging="2410"/>
      </w:pPr>
      <w:r w:rsidRPr="00F30A97">
        <w:t>[b-UNESCO]</w:t>
      </w:r>
      <w:r w:rsidRPr="00F30A97">
        <w:tab/>
        <w:t xml:space="preserve">UNESCO (2022) Recommendation on the Ethics of Artificial Intelligence. </w:t>
      </w:r>
      <w:hyperlink r:id="rId72" w:history="1">
        <w:r w:rsidR="00D17084" w:rsidRPr="00F30A97">
          <w:rPr>
            <w:rStyle w:val="Hyperlink"/>
            <w:rFonts w:ascii="Arial" w:hAnsi="Arial" w:cs="Arial"/>
            <w:sz w:val="16"/>
            <w:szCs w:val="16"/>
          </w:rPr>
          <w:t>https://unesdoc.unesco.org/ark:/48223/pf0000381137</w:t>
        </w:r>
      </w:hyperlink>
      <w:r w:rsidR="00D17084" w:rsidRPr="00F30A97">
        <w:t xml:space="preserve"> </w:t>
      </w:r>
    </w:p>
    <w:p w14:paraId="3EEA3CE5" w14:textId="40D5C6DB" w:rsidR="0030422A" w:rsidRPr="00F30A97" w:rsidRDefault="0030422A" w:rsidP="00CE08CB">
      <w:pPr>
        <w:pStyle w:val="Reftext"/>
        <w:tabs>
          <w:tab w:val="clear" w:pos="794"/>
          <w:tab w:val="clear" w:pos="1191"/>
          <w:tab w:val="clear" w:pos="1588"/>
          <w:tab w:val="clear" w:pos="1985"/>
          <w:tab w:val="left" w:pos="2410"/>
        </w:tabs>
        <w:ind w:left="2410" w:hanging="2410"/>
      </w:pPr>
      <w:r w:rsidRPr="00F30A97">
        <w:t>[b-UN-GGIM]</w:t>
      </w:r>
      <w:r w:rsidR="00D17084" w:rsidRPr="00F30A97">
        <w:t xml:space="preserve"> </w:t>
      </w:r>
      <w:r w:rsidR="00D17084" w:rsidRPr="00F30A97">
        <w:tab/>
        <w:t xml:space="preserve">UN Global Geospatial Information Management (2018) E/C.20/2018/7/Add.1 ; ANNEX 1 - Minimum list of global fundamental geospatial data themes. </w:t>
      </w:r>
      <w:hyperlink r:id="rId73" w:history="1">
        <w:r w:rsidR="00D17084" w:rsidRPr="00F30A97">
          <w:rPr>
            <w:rStyle w:val="Hyperlink"/>
            <w:rFonts w:ascii="Arial" w:hAnsi="Arial" w:cs="Arial"/>
            <w:sz w:val="16"/>
            <w:szCs w:val="16"/>
          </w:rPr>
          <w:t>https://ggim.un.org/documents/E-C20-2018-7-Add_1-Global-fundamental-geospatial-data-themes.pdf</w:t>
        </w:r>
      </w:hyperlink>
    </w:p>
    <w:p w14:paraId="4DAA50B8" w14:textId="222B0CDC" w:rsidR="0030422A" w:rsidRPr="00F30A97" w:rsidRDefault="0030422A" w:rsidP="00CE08CB">
      <w:pPr>
        <w:pStyle w:val="Reftext"/>
        <w:tabs>
          <w:tab w:val="clear" w:pos="794"/>
          <w:tab w:val="clear" w:pos="1191"/>
          <w:tab w:val="clear" w:pos="1588"/>
          <w:tab w:val="clear" w:pos="1985"/>
          <w:tab w:val="left" w:pos="2410"/>
        </w:tabs>
        <w:ind w:left="2410" w:hanging="2410"/>
      </w:pPr>
      <w:r w:rsidRPr="00F30A97">
        <w:t>[b-UNOSAT]</w:t>
      </w:r>
      <w:r w:rsidRPr="00F30A97">
        <w:tab/>
        <w:t>UNOSAT Flood AI Dashboards for Nepal: The creation of a one-stop-shop for real-time evidence-based decision-making</w:t>
      </w:r>
      <w:r w:rsidRPr="00F30A97">
        <w:br/>
      </w:r>
      <w:hyperlink r:id="rId74" w:history="1">
        <w:r w:rsidR="00D17084" w:rsidRPr="00F30A97">
          <w:rPr>
            <w:rStyle w:val="Hyperlink"/>
            <w:rFonts w:ascii="Arial" w:hAnsi="Arial" w:cs="Arial"/>
            <w:sz w:val="16"/>
            <w:szCs w:val="16"/>
          </w:rPr>
          <w:t>https://nepal.un.org/en/158756-unosat-floodai-dashboards-nepal-creation-one-stop-shop-real-time-evidence-based-decision</w:t>
        </w:r>
      </w:hyperlink>
      <w:r w:rsidR="00D17084" w:rsidRPr="00F30A97">
        <w:t xml:space="preserve"> </w:t>
      </w:r>
    </w:p>
    <w:p w14:paraId="19E792F0" w14:textId="47324F67" w:rsidR="0030422A" w:rsidRPr="00F30A97" w:rsidRDefault="0030422A" w:rsidP="00CE08CB">
      <w:pPr>
        <w:pStyle w:val="Reftext"/>
        <w:tabs>
          <w:tab w:val="clear" w:pos="794"/>
          <w:tab w:val="clear" w:pos="1191"/>
          <w:tab w:val="clear" w:pos="1588"/>
          <w:tab w:val="clear" w:pos="1985"/>
          <w:tab w:val="left" w:pos="2410"/>
        </w:tabs>
        <w:ind w:left="2410" w:hanging="2410"/>
      </w:pPr>
      <w:r w:rsidRPr="00F30A97">
        <w:lastRenderedPageBreak/>
        <w:t>[b-UN-SPIDER]</w:t>
      </w:r>
      <w:r w:rsidRPr="00F30A97">
        <w:tab/>
        <w:t>UN-SPIDER (n.d.) Risks and Disasters.</w:t>
      </w:r>
      <w:r w:rsidRPr="00F30A97">
        <w:rPr>
          <w:rFonts w:ascii="Arial" w:hAnsi="Arial" w:cs="Arial"/>
          <w:sz w:val="16"/>
          <w:szCs w:val="16"/>
        </w:rPr>
        <w:t xml:space="preserve"> </w:t>
      </w:r>
      <w:hyperlink r:id="rId75" w:history="1">
        <w:r w:rsidR="00D17084" w:rsidRPr="00F30A97">
          <w:rPr>
            <w:rStyle w:val="Hyperlink"/>
            <w:rFonts w:ascii="Arial" w:hAnsi="Arial" w:cs="Arial"/>
            <w:sz w:val="16"/>
            <w:szCs w:val="16"/>
          </w:rPr>
          <w:t>https://www.un-spider.org/risks-and-disasters</w:t>
        </w:r>
      </w:hyperlink>
      <w:r w:rsidR="00D17084" w:rsidRPr="00F30A97">
        <w:t xml:space="preserve"> </w:t>
      </w:r>
    </w:p>
    <w:p w14:paraId="63FCD0D6" w14:textId="5B2B2760" w:rsidR="0030422A" w:rsidRPr="00F30A97" w:rsidRDefault="0030422A" w:rsidP="00CE08CB">
      <w:pPr>
        <w:pStyle w:val="Reftext"/>
        <w:tabs>
          <w:tab w:val="clear" w:pos="794"/>
          <w:tab w:val="clear" w:pos="1191"/>
          <w:tab w:val="clear" w:pos="1588"/>
          <w:tab w:val="clear" w:pos="1985"/>
          <w:tab w:val="left" w:pos="2410"/>
        </w:tabs>
        <w:ind w:left="2410" w:hanging="2410"/>
      </w:pPr>
      <w:r w:rsidRPr="00F30A97">
        <w:t>[b-USGS]</w:t>
      </w:r>
      <w:r w:rsidRPr="00F30A97">
        <w:tab/>
        <w:t>USGS (n.d.) Seismometers, seismographs, seismograms - what</w:t>
      </w:r>
      <w:r w:rsidR="00644FA2" w:rsidRPr="00F30A97">
        <w:t>'</w:t>
      </w:r>
      <w:r w:rsidRPr="00F30A97">
        <w:t xml:space="preserve">s the difference? How do they work? </w:t>
      </w:r>
      <w:hyperlink r:id="rId76" w:history="1">
        <w:r w:rsidR="00D17084" w:rsidRPr="00F30A97">
          <w:rPr>
            <w:rStyle w:val="Hyperlink"/>
            <w:rFonts w:ascii="Arial" w:hAnsi="Arial" w:cs="Arial"/>
            <w:sz w:val="16"/>
            <w:szCs w:val="16"/>
          </w:rPr>
          <w:t>https://www.usgs.gov/faqs/seismometers-seismographs-seismograms-whats-difference-how-do-they-work</w:t>
        </w:r>
      </w:hyperlink>
      <w:r w:rsidR="00D17084" w:rsidRPr="00F30A97">
        <w:t xml:space="preserve"> </w:t>
      </w:r>
    </w:p>
    <w:p w14:paraId="74E47ECD" w14:textId="77777777" w:rsidR="0030422A" w:rsidRPr="00F30A97" w:rsidRDefault="0030422A" w:rsidP="00CE08CB">
      <w:pPr>
        <w:pStyle w:val="Reftext"/>
        <w:tabs>
          <w:tab w:val="clear" w:pos="794"/>
          <w:tab w:val="clear" w:pos="1191"/>
          <w:tab w:val="clear" w:pos="1588"/>
          <w:tab w:val="clear" w:pos="1985"/>
          <w:tab w:val="left" w:pos="2410"/>
        </w:tabs>
        <w:ind w:left="2410" w:hanging="2410"/>
      </w:pPr>
      <w:r w:rsidRPr="00F30A97">
        <w:t>[b-van-Otterlo]</w:t>
      </w:r>
      <w:r w:rsidRPr="00F30A97">
        <w:tab/>
        <w:t xml:space="preserve">van Otterlo, M. &amp; Wiering, M. (2012) Reinforcement learning and markov decision processes. Reinforcement Learning. Adaptation, Learning, and Optimization. Vol. 12. pp. 3–42. </w:t>
      </w:r>
    </w:p>
    <w:p w14:paraId="7CE16F3D" w14:textId="0D2F05C7" w:rsidR="0030422A" w:rsidRPr="00F30A97" w:rsidRDefault="0030422A" w:rsidP="00CE08CB">
      <w:pPr>
        <w:pStyle w:val="Reftext"/>
        <w:tabs>
          <w:tab w:val="clear" w:pos="794"/>
          <w:tab w:val="clear" w:pos="1191"/>
          <w:tab w:val="clear" w:pos="1588"/>
          <w:tab w:val="clear" w:pos="1985"/>
          <w:tab w:val="left" w:pos="2410"/>
        </w:tabs>
        <w:ind w:left="2410" w:hanging="2410"/>
      </w:pPr>
      <w:r w:rsidRPr="00F30A97">
        <w:t>[b-Vert]</w:t>
      </w:r>
      <w:r w:rsidRPr="00F30A97">
        <w:tab/>
        <w:t xml:space="preserve">Vert, G. and Nasser, S. (2007) Spatial Data Authentication Using Mathematical Visualization. </w:t>
      </w:r>
      <w:hyperlink r:id="rId77" w:history="1">
        <w:r w:rsidR="00D17084" w:rsidRPr="00F30A97">
          <w:rPr>
            <w:rStyle w:val="Hyperlink"/>
            <w:rFonts w:ascii="Arial" w:hAnsi="Arial" w:cs="Arial"/>
            <w:sz w:val="16"/>
            <w:szCs w:val="16"/>
          </w:rPr>
          <w:t>https://www.cse.unr.edu/~fredh/papers/journal/17-sdaumv/paper.pdf</w:t>
        </w:r>
      </w:hyperlink>
      <w:r w:rsidR="00D17084" w:rsidRPr="00F30A97">
        <w:t xml:space="preserve"> </w:t>
      </w:r>
    </w:p>
    <w:p w14:paraId="6F755F3C" w14:textId="77777777" w:rsidR="0030422A" w:rsidRPr="00F30A97" w:rsidRDefault="0030422A" w:rsidP="00CE08CB">
      <w:pPr>
        <w:pStyle w:val="Reftext"/>
        <w:tabs>
          <w:tab w:val="clear" w:pos="794"/>
          <w:tab w:val="clear" w:pos="1191"/>
          <w:tab w:val="clear" w:pos="1588"/>
          <w:tab w:val="clear" w:pos="1985"/>
          <w:tab w:val="left" w:pos="2410"/>
        </w:tabs>
        <w:ind w:left="2410" w:hanging="2410"/>
      </w:pPr>
      <w:r w:rsidRPr="00F30A97">
        <w:t>[b-WEF]</w:t>
      </w:r>
      <w:r w:rsidRPr="00F30A97">
        <w:tab/>
        <w:t xml:space="preserve">World Economic Forum (2022) A Blueprint for Equity and Inclusion in Artificial Intelligence. </w:t>
      </w:r>
      <w:hyperlink r:id="rId78">
        <w:r w:rsidRPr="00F30A97">
          <w:rPr>
            <w:rFonts w:ascii="Arial" w:hAnsi="Arial" w:cs="Arial"/>
            <w:color w:val="1155CC"/>
            <w:sz w:val="16"/>
            <w:szCs w:val="16"/>
            <w:u w:val="single"/>
          </w:rPr>
          <w:t>https://www3.weforum.org/docs/WEF_A_Blueprint_for_Equity_and_Inclusion_in_Artificial_Intelligence_2022.pdf</w:t>
        </w:r>
      </w:hyperlink>
      <w:r w:rsidRPr="00F30A97">
        <w:t xml:space="preserve"> </w:t>
      </w:r>
    </w:p>
    <w:p w14:paraId="04D3662E" w14:textId="77777777" w:rsidR="0030422A" w:rsidRPr="00F30A97" w:rsidRDefault="0030422A" w:rsidP="00CE08CB">
      <w:pPr>
        <w:pStyle w:val="Reftext"/>
        <w:tabs>
          <w:tab w:val="clear" w:pos="794"/>
          <w:tab w:val="clear" w:pos="1191"/>
          <w:tab w:val="clear" w:pos="1588"/>
          <w:tab w:val="clear" w:pos="1985"/>
          <w:tab w:val="left" w:pos="2410"/>
        </w:tabs>
        <w:ind w:left="2410" w:hanging="2410"/>
      </w:pPr>
      <w:r w:rsidRPr="00F30A97">
        <w:t>[b-West]</w:t>
      </w:r>
      <w:r w:rsidRPr="00F30A97">
        <w:tab/>
        <w:t>West, J., Ventura, D., Warnick, S. (2007) Spring Research Presentation: A Theoretical Foundation for Inductive Transfer. Brigham Young University, College of Physical and Mathematical Sciences. Archived from the original on 2007-08-01. Retrieved 2007-08-05</w:t>
      </w:r>
    </w:p>
    <w:p w14:paraId="3D039D0C" w14:textId="775B1309" w:rsidR="0030422A" w:rsidRPr="00F30A97" w:rsidRDefault="0030422A" w:rsidP="00CE08CB">
      <w:pPr>
        <w:pStyle w:val="Reftext"/>
        <w:tabs>
          <w:tab w:val="clear" w:pos="794"/>
          <w:tab w:val="clear" w:pos="1191"/>
          <w:tab w:val="clear" w:pos="1588"/>
          <w:tab w:val="clear" w:pos="1985"/>
          <w:tab w:val="left" w:pos="2410"/>
        </w:tabs>
        <w:ind w:left="2410" w:hanging="2410"/>
      </w:pPr>
      <w:r w:rsidRPr="00F30A97">
        <w:t>[b-Zhang]</w:t>
      </w:r>
      <w:r w:rsidR="00D17084" w:rsidRPr="00F30A97">
        <w:t xml:space="preserve"> </w:t>
      </w:r>
      <w:r w:rsidR="00D17084" w:rsidRPr="00F30A97">
        <w:tab/>
        <w:t>Zhang, D., Zhang, Y., Li, Q., Plummer, T., and Wang, D. (2019) CrowdLearn: A Crowd-AI Hybrid System for Deep Learning-based Damage Assessment Applications. IEEE 39th International Conference on Distributed Computing Systems (ICDCS) pp. 1221-1232</w:t>
      </w:r>
    </w:p>
    <w:p w14:paraId="1D85A8DF" w14:textId="2C8FC9F4" w:rsidR="0030422A" w:rsidRPr="00F30A97" w:rsidRDefault="0030422A" w:rsidP="00CE08CB">
      <w:pPr>
        <w:pStyle w:val="Reftext"/>
        <w:tabs>
          <w:tab w:val="clear" w:pos="794"/>
          <w:tab w:val="clear" w:pos="1191"/>
          <w:tab w:val="clear" w:pos="1588"/>
          <w:tab w:val="clear" w:pos="1985"/>
          <w:tab w:val="left" w:pos="2410"/>
        </w:tabs>
        <w:ind w:left="2410" w:hanging="2410"/>
      </w:pPr>
      <w:r w:rsidRPr="00F30A97">
        <w:t>[b-Zhou]</w:t>
      </w:r>
      <w:r w:rsidRPr="00F30A97">
        <w:tab/>
        <w:t>Zhou,Y., Liu,W., Bi,H., Chen,R., Zong,S., Youqing Luo (2022) Special Issue Prevention and Control of Forest Diseases: A Detection Method for Individual Infected Pine Trees with Pine Wilt Disease Based on Deep Learning</w:t>
      </w:r>
    </w:p>
    <w:p w14:paraId="144BF863" w14:textId="77777777" w:rsidR="0020782B" w:rsidRPr="00F30A97" w:rsidRDefault="0020782B" w:rsidP="00CE08CB">
      <w:pPr>
        <w:spacing w:before="0" w:after="160" w:line="259" w:lineRule="auto"/>
      </w:pPr>
      <w:r w:rsidRPr="00F30A97">
        <w:br w:type="page"/>
      </w:r>
    </w:p>
    <w:p w14:paraId="4184A33D" w14:textId="71FDF79E" w:rsidR="0020782B" w:rsidRPr="00F30A97" w:rsidRDefault="0020782B" w:rsidP="00415ACD">
      <w:pPr>
        <w:pStyle w:val="AnnexNoTitle"/>
      </w:pPr>
      <w:bookmarkStart w:id="73" w:name="_Toc126934279"/>
      <w:r w:rsidRPr="00F30A97">
        <w:lastRenderedPageBreak/>
        <w:t>Annex 1</w:t>
      </w:r>
      <w:r w:rsidR="00486BFE" w:rsidRPr="00F30A97">
        <w:br/>
      </w:r>
      <w:r w:rsidR="00486BFE" w:rsidRPr="00F30A97">
        <w:br/>
      </w:r>
      <w:r w:rsidRPr="00F30A97">
        <w:t>List</w:t>
      </w:r>
      <w:r w:rsidR="00415ACD" w:rsidRPr="00F30A97">
        <w:t>s</w:t>
      </w:r>
      <w:r w:rsidRPr="00F30A97">
        <w:t xml:space="preserve"> of SDOs</w:t>
      </w:r>
      <w:bookmarkEnd w:id="73"/>
      <w:r w:rsidR="007C0877" w:rsidRPr="00F30A97">
        <w:t xml:space="preserve"> and related groups</w:t>
      </w:r>
    </w:p>
    <w:p w14:paraId="7D793655" w14:textId="77777777" w:rsidR="00415ACD" w:rsidRPr="00F30A97" w:rsidRDefault="00415ACD" w:rsidP="0004021B">
      <w:pPr>
        <w:pStyle w:val="Normalaftertitle"/>
      </w:pP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8"/>
        <w:gridCol w:w="7341"/>
      </w:tblGrid>
      <w:tr w:rsidR="0020782B" w:rsidRPr="00F30A97" w14:paraId="1844C3CF" w14:textId="77777777" w:rsidTr="00486BFE">
        <w:trPr>
          <w:trHeight w:val="132"/>
          <w:tblHeader/>
        </w:trPr>
        <w:tc>
          <w:tcPr>
            <w:tcW w:w="2298" w:type="dxa"/>
            <w:shd w:val="clear" w:color="auto" w:fill="EEECE1" w:themeFill="background2"/>
            <w:vAlign w:val="center"/>
          </w:tcPr>
          <w:p w14:paraId="3110A8F9" w14:textId="77777777" w:rsidR="0020782B" w:rsidRPr="00F30A97" w:rsidRDefault="0020782B" w:rsidP="00CE08CB">
            <w:pPr>
              <w:pStyle w:val="Tablehead"/>
            </w:pPr>
            <w:r w:rsidRPr="00F30A97">
              <w:t>SDO/Organization</w:t>
            </w:r>
          </w:p>
        </w:tc>
        <w:tc>
          <w:tcPr>
            <w:tcW w:w="7341" w:type="dxa"/>
            <w:shd w:val="clear" w:color="auto" w:fill="EEECE1" w:themeFill="background2"/>
            <w:vAlign w:val="center"/>
          </w:tcPr>
          <w:p w14:paraId="672F2FAC" w14:textId="77777777" w:rsidR="0020782B" w:rsidRPr="00F30A97" w:rsidRDefault="0020782B" w:rsidP="00CE08CB">
            <w:pPr>
              <w:pStyle w:val="Tablehead"/>
            </w:pPr>
            <w:r w:rsidRPr="00F30A97">
              <w:t>Description</w:t>
            </w:r>
          </w:p>
        </w:tc>
      </w:tr>
      <w:tr w:rsidR="0020782B" w:rsidRPr="00F30A97" w14:paraId="22AA2FA4" w14:textId="77777777" w:rsidTr="00486BFE">
        <w:trPr>
          <w:trHeight w:val="290"/>
        </w:trPr>
        <w:tc>
          <w:tcPr>
            <w:tcW w:w="2298" w:type="dxa"/>
            <w:vAlign w:val="center"/>
          </w:tcPr>
          <w:p w14:paraId="2118AC60" w14:textId="77777777" w:rsidR="0020782B" w:rsidRPr="00F30A97" w:rsidRDefault="0020782B" w:rsidP="00CE08CB">
            <w:pPr>
              <w:pStyle w:val="Tabletext"/>
            </w:pPr>
            <w:r w:rsidRPr="00F30A97">
              <w:t>Asia-Pacific Telecommunity Standardization Program (ASTAP)</w:t>
            </w:r>
          </w:p>
        </w:tc>
        <w:tc>
          <w:tcPr>
            <w:tcW w:w="7341" w:type="dxa"/>
            <w:vAlign w:val="center"/>
          </w:tcPr>
          <w:p w14:paraId="4A999FFD" w14:textId="77777777" w:rsidR="0020782B" w:rsidRPr="00F30A97" w:rsidRDefault="0020782B" w:rsidP="00CE08CB">
            <w:pPr>
              <w:pStyle w:val="Tabletext"/>
            </w:pPr>
            <w:r w:rsidRPr="00F30A97">
              <w:t>The Asia-Pacific Telecommunity (APT) Standardization Program (ASTAP) was formed in 1998 in order to establish regional cooperation on standardization among APT Members and to contribute to global standardization activities. It is one of the major APT Work Program in the Area of Standardization and Technology Development. Over the years, ASTAP has matured to fulfil its objectives and has become a regional platform for cooperative standardization activities. Currently, ASTAP is working on many important areas related to standardization and technology development. Among those are Bridging Standardization Gap, Green ICT, EMF Exposure, M2M, Future Network, NGN, Seamless Access Communication, Multimedia Applications, Information Security, SNLP and Accessibility and Usability. Recently, ASTAP has included the issues of Conformance and Interoperability (C&amp;I) in its activities.</w:t>
            </w:r>
          </w:p>
          <w:p w14:paraId="029B80D5" w14:textId="77777777" w:rsidR="0020782B" w:rsidRPr="00F30A97" w:rsidRDefault="0020782B" w:rsidP="00CE08CB">
            <w:pPr>
              <w:pStyle w:val="Tabletext"/>
            </w:pPr>
            <w:r w:rsidRPr="00F30A97">
              <w:t xml:space="preserve">Source: </w:t>
            </w:r>
            <w:hyperlink r:id="rId79" w:history="1">
              <w:r w:rsidRPr="00F30A97">
                <w:rPr>
                  <w:rStyle w:val="Hyperlink"/>
                  <w:sz w:val="18"/>
                  <w:szCs w:val="18"/>
                </w:rPr>
                <w:t>https://www.apt.int/APTASTAP</w:t>
              </w:r>
            </w:hyperlink>
            <w:r w:rsidRPr="00F30A97">
              <w:t xml:space="preserve"> </w:t>
            </w:r>
          </w:p>
        </w:tc>
      </w:tr>
      <w:tr w:rsidR="0020782B" w:rsidRPr="00F30A97" w14:paraId="3BAF0BA8" w14:textId="77777777" w:rsidTr="00486BFE">
        <w:trPr>
          <w:trHeight w:val="290"/>
        </w:trPr>
        <w:tc>
          <w:tcPr>
            <w:tcW w:w="2298" w:type="dxa"/>
            <w:vAlign w:val="center"/>
          </w:tcPr>
          <w:p w14:paraId="75F26C43" w14:textId="77777777" w:rsidR="0020782B" w:rsidRPr="00F30A97" w:rsidRDefault="0020782B" w:rsidP="00CE08CB">
            <w:pPr>
              <w:pStyle w:val="Tabletext"/>
            </w:pPr>
            <w:r w:rsidRPr="00F30A97">
              <w:t>European Telecommunications Standards Institute (ETSI)</w:t>
            </w:r>
          </w:p>
        </w:tc>
        <w:tc>
          <w:tcPr>
            <w:tcW w:w="7341" w:type="dxa"/>
            <w:vAlign w:val="center"/>
          </w:tcPr>
          <w:p w14:paraId="70303455" w14:textId="77777777" w:rsidR="0020782B" w:rsidRPr="00F30A97" w:rsidRDefault="0020782B" w:rsidP="00CE08CB">
            <w:pPr>
              <w:pStyle w:val="Tabletext"/>
            </w:pPr>
            <w:r w:rsidRPr="00F30A97">
              <w:t>ETSI provides members with an open, inclusive and collaborative environment. This environment supports the timely development, ratification and testing of globally applicable standards for ICT-enabled systems, applications and services.</w:t>
            </w:r>
          </w:p>
          <w:p w14:paraId="04549399" w14:textId="77777777" w:rsidR="0020782B" w:rsidRPr="00F30A97" w:rsidRDefault="0020782B" w:rsidP="00CE08CB">
            <w:pPr>
              <w:pStyle w:val="Tabletext"/>
            </w:pPr>
            <w:r w:rsidRPr="00F30A97">
              <w:t xml:space="preserve">Source: </w:t>
            </w:r>
            <w:hyperlink r:id="rId80" w:anchor="Pre-defined%20Collections" w:history="1">
              <w:r w:rsidRPr="00F30A97">
                <w:rPr>
                  <w:rStyle w:val="Hyperlink"/>
                  <w:sz w:val="18"/>
                  <w:szCs w:val="18"/>
                </w:rPr>
                <w:t>https://www.etsi.org/standards#Pre-defined%20Collections</w:t>
              </w:r>
            </w:hyperlink>
            <w:r w:rsidRPr="00F30A97">
              <w:t xml:space="preserve"> </w:t>
            </w:r>
          </w:p>
        </w:tc>
      </w:tr>
      <w:tr w:rsidR="0020782B" w:rsidRPr="00F30A97" w14:paraId="76004DA7" w14:textId="77777777" w:rsidTr="00486BFE">
        <w:trPr>
          <w:trHeight w:val="290"/>
        </w:trPr>
        <w:tc>
          <w:tcPr>
            <w:tcW w:w="2298" w:type="dxa"/>
            <w:vAlign w:val="center"/>
          </w:tcPr>
          <w:p w14:paraId="455EF2EA" w14:textId="77777777" w:rsidR="0020782B" w:rsidRPr="00F30A97" w:rsidRDefault="0020782B" w:rsidP="00CE08CB">
            <w:pPr>
              <w:pStyle w:val="Tabletext"/>
            </w:pPr>
            <w:r w:rsidRPr="00F30A97">
              <w:t>International Electrotechnical Commission (IEC)</w:t>
            </w:r>
          </w:p>
        </w:tc>
        <w:tc>
          <w:tcPr>
            <w:tcW w:w="7341" w:type="dxa"/>
            <w:vAlign w:val="center"/>
          </w:tcPr>
          <w:p w14:paraId="6699CE67" w14:textId="77777777" w:rsidR="0020782B" w:rsidRPr="00F30A97" w:rsidRDefault="0020782B" w:rsidP="00CE08CB">
            <w:pPr>
              <w:pStyle w:val="Tabletext"/>
            </w:pPr>
            <w:r w:rsidRPr="00F30A97">
              <w:t>The IEC is a global, not-for-profit membership organization, whose work underpins quality infrastructure and international trade in electrical and electronic goods. Our work facilitates technical innovation, affordable infrastructure development, efficient and sustainable energy access, smart urbanization and transportation systems, climate change mitigation, and increases the safety of people and the environment.</w:t>
            </w:r>
          </w:p>
          <w:p w14:paraId="359025A0" w14:textId="77777777" w:rsidR="0020782B" w:rsidRPr="00F30A97" w:rsidRDefault="0020782B" w:rsidP="00CE08CB">
            <w:pPr>
              <w:pStyle w:val="Tabletext"/>
            </w:pPr>
            <w:r w:rsidRPr="00F30A97">
              <w:t xml:space="preserve">Source: </w:t>
            </w:r>
            <w:hyperlink r:id="rId81" w:history="1">
              <w:r w:rsidRPr="00F30A97">
                <w:rPr>
                  <w:rStyle w:val="Hyperlink"/>
                  <w:sz w:val="18"/>
                  <w:szCs w:val="18"/>
                </w:rPr>
                <w:t>https://iec.ch/</w:t>
              </w:r>
            </w:hyperlink>
            <w:r w:rsidRPr="00F30A97">
              <w:t xml:space="preserve"> </w:t>
            </w:r>
          </w:p>
        </w:tc>
      </w:tr>
      <w:tr w:rsidR="0020782B" w:rsidRPr="00F30A97" w14:paraId="321A6816" w14:textId="77777777" w:rsidTr="00486BFE">
        <w:trPr>
          <w:trHeight w:val="290"/>
        </w:trPr>
        <w:tc>
          <w:tcPr>
            <w:tcW w:w="2298" w:type="dxa"/>
            <w:vAlign w:val="center"/>
          </w:tcPr>
          <w:p w14:paraId="04AFFA68" w14:textId="77777777" w:rsidR="0020782B" w:rsidRPr="00F30A97" w:rsidRDefault="0020782B" w:rsidP="00CE08CB">
            <w:pPr>
              <w:pStyle w:val="Tabletext"/>
            </w:pPr>
            <w:r w:rsidRPr="00F30A97">
              <w:t>Institute of Electrical and Electronics Engineers (IEEE)</w:t>
            </w:r>
          </w:p>
        </w:tc>
        <w:tc>
          <w:tcPr>
            <w:tcW w:w="7341" w:type="dxa"/>
            <w:vAlign w:val="center"/>
          </w:tcPr>
          <w:p w14:paraId="6E260946" w14:textId="0CCEF90C" w:rsidR="0020782B" w:rsidRPr="00F30A97" w:rsidRDefault="0020782B" w:rsidP="00CE08CB">
            <w:pPr>
              <w:pStyle w:val="Tabletext"/>
            </w:pPr>
            <w:r w:rsidRPr="00F30A97">
              <w:t>IEEE is the world</w:t>
            </w:r>
            <w:r w:rsidR="00644FA2" w:rsidRPr="00F30A97">
              <w:t>'</w:t>
            </w:r>
            <w:r w:rsidRPr="00F30A97">
              <w:t>s largest technical professional organization dedicated to advancing technology for the benefit of humanity. IEEE and its members inspire a global community through its highly cited publications, conferences, technology standards, and professional and educational activities.</w:t>
            </w:r>
          </w:p>
          <w:p w14:paraId="443EA3B0" w14:textId="77777777" w:rsidR="0020782B" w:rsidRPr="00F30A97" w:rsidRDefault="0020782B" w:rsidP="00CE08CB">
            <w:pPr>
              <w:pStyle w:val="Tabletext"/>
            </w:pPr>
            <w:r w:rsidRPr="00F30A97">
              <w:t xml:space="preserve">Source: </w:t>
            </w:r>
            <w:hyperlink r:id="rId82" w:history="1">
              <w:r w:rsidRPr="00F30A97">
                <w:rPr>
                  <w:rStyle w:val="Hyperlink"/>
                  <w:sz w:val="18"/>
                  <w:szCs w:val="18"/>
                </w:rPr>
                <w:t>https://www.ieee.org/</w:t>
              </w:r>
            </w:hyperlink>
            <w:r w:rsidRPr="00F30A97">
              <w:t xml:space="preserve"> </w:t>
            </w:r>
          </w:p>
        </w:tc>
      </w:tr>
      <w:tr w:rsidR="0020782B" w:rsidRPr="00F30A97" w14:paraId="4EC8DB5C" w14:textId="77777777" w:rsidTr="00486BFE">
        <w:trPr>
          <w:trHeight w:val="1405"/>
        </w:trPr>
        <w:tc>
          <w:tcPr>
            <w:tcW w:w="2298" w:type="dxa"/>
            <w:vAlign w:val="center"/>
          </w:tcPr>
          <w:p w14:paraId="3A17E2F8" w14:textId="77777777" w:rsidR="0020782B" w:rsidRPr="00F30A97" w:rsidRDefault="0020782B" w:rsidP="00CE08CB">
            <w:pPr>
              <w:pStyle w:val="Tabletext"/>
            </w:pPr>
            <w:r w:rsidRPr="00F30A97">
              <w:t>International Organization for Standardization (ISO)</w:t>
            </w:r>
          </w:p>
        </w:tc>
        <w:tc>
          <w:tcPr>
            <w:tcW w:w="7341" w:type="dxa"/>
            <w:vAlign w:val="center"/>
          </w:tcPr>
          <w:p w14:paraId="416B08CE" w14:textId="3935289B" w:rsidR="0020782B" w:rsidRPr="00F30A97" w:rsidRDefault="0020782B" w:rsidP="00CE08CB">
            <w:pPr>
              <w:pStyle w:val="Tabletext"/>
            </w:pPr>
            <w:r w:rsidRPr="00F30A97">
              <w:t>ISO is an independent, non-governmental international organization with a membership of 167 national standards bodies.</w:t>
            </w:r>
            <w:r w:rsidR="007C0877" w:rsidRPr="00F30A97">
              <w:t xml:space="preserve"> </w:t>
            </w:r>
            <w:r w:rsidRPr="00F30A97">
              <w:t>Through its members, it brings together experts to share knowledge and develop voluntary, consensus-based, market relevant International Standards that support innovation and provide solutions to global challenges.</w:t>
            </w:r>
          </w:p>
          <w:p w14:paraId="423D8FF7" w14:textId="77777777" w:rsidR="0020782B" w:rsidRPr="00F30A97" w:rsidRDefault="0020782B" w:rsidP="00CE08CB">
            <w:pPr>
              <w:pStyle w:val="Tabletext"/>
            </w:pPr>
            <w:r w:rsidRPr="00F30A97">
              <w:t xml:space="preserve">Source: </w:t>
            </w:r>
            <w:hyperlink r:id="rId83" w:history="1">
              <w:r w:rsidRPr="00F30A97">
                <w:rPr>
                  <w:rStyle w:val="Hyperlink"/>
                  <w:sz w:val="18"/>
                  <w:szCs w:val="18"/>
                </w:rPr>
                <w:t>https://www.iso.org/</w:t>
              </w:r>
            </w:hyperlink>
            <w:r w:rsidRPr="00F30A97">
              <w:t xml:space="preserve"> </w:t>
            </w:r>
          </w:p>
        </w:tc>
      </w:tr>
      <w:tr w:rsidR="0020782B" w:rsidRPr="00F30A97" w14:paraId="03EA7908" w14:textId="77777777" w:rsidTr="00486BFE">
        <w:trPr>
          <w:trHeight w:val="290"/>
        </w:trPr>
        <w:tc>
          <w:tcPr>
            <w:tcW w:w="2298" w:type="dxa"/>
            <w:vAlign w:val="center"/>
          </w:tcPr>
          <w:p w14:paraId="0A943017" w14:textId="77777777" w:rsidR="0020782B" w:rsidRPr="00F30A97" w:rsidRDefault="0020782B" w:rsidP="00CE08CB">
            <w:pPr>
              <w:pStyle w:val="Tabletext"/>
            </w:pPr>
            <w:r w:rsidRPr="00F30A97">
              <w:t>ITU Radiocommunication Sector (ITU-R)</w:t>
            </w:r>
          </w:p>
        </w:tc>
        <w:tc>
          <w:tcPr>
            <w:tcW w:w="7341" w:type="dxa"/>
            <w:vAlign w:val="center"/>
          </w:tcPr>
          <w:p w14:paraId="7205A9C2" w14:textId="77777777" w:rsidR="0020782B" w:rsidRPr="00F30A97" w:rsidRDefault="0020782B" w:rsidP="00CE08CB">
            <w:pPr>
              <w:pStyle w:val="Tabletext"/>
            </w:pPr>
            <w:r w:rsidRPr="00F30A97">
              <w:t>ITU-R plays a vital role in the global management of the radio-frequency spectrum and satellite orbits - limited natural resources which are increasingly in demand from a large and growing number of services such as fixed, mobile, broadcasting, amateur, space research, emergency telecommunications, meteorology, global positioning systems, environmental monitoring and communication services - that ensure safety of life on land, at sea and in the skies.</w:t>
            </w:r>
          </w:p>
          <w:p w14:paraId="5E4E7BA6" w14:textId="77777777" w:rsidR="0020782B" w:rsidRPr="00F30A97" w:rsidRDefault="0020782B" w:rsidP="00CE08CB">
            <w:pPr>
              <w:pStyle w:val="Tabletext"/>
            </w:pPr>
            <w:r w:rsidRPr="00F30A97">
              <w:t xml:space="preserve">Source: </w:t>
            </w:r>
            <w:hyperlink r:id="rId84" w:history="1">
              <w:r w:rsidRPr="00F30A97">
                <w:rPr>
                  <w:rStyle w:val="Hyperlink"/>
                  <w:sz w:val="18"/>
                  <w:szCs w:val="18"/>
                </w:rPr>
                <w:t>https://www.itu.int/en/ITU-R/</w:t>
              </w:r>
            </w:hyperlink>
            <w:r w:rsidRPr="00F30A97">
              <w:t xml:space="preserve"> </w:t>
            </w:r>
          </w:p>
        </w:tc>
      </w:tr>
      <w:tr w:rsidR="0020782B" w:rsidRPr="00F30A97" w14:paraId="4F546322" w14:textId="77777777" w:rsidTr="00486BFE">
        <w:trPr>
          <w:trHeight w:val="290"/>
        </w:trPr>
        <w:tc>
          <w:tcPr>
            <w:tcW w:w="2298" w:type="dxa"/>
            <w:vAlign w:val="center"/>
          </w:tcPr>
          <w:p w14:paraId="5531E6B2" w14:textId="77777777" w:rsidR="0020782B" w:rsidRPr="00F30A97" w:rsidRDefault="0020782B" w:rsidP="00CE08CB">
            <w:pPr>
              <w:pStyle w:val="Tabletext"/>
            </w:pPr>
            <w:r w:rsidRPr="00F30A97">
              <w:t xml:space="preserve">ITU Telecommunication </w:t>
            </w:r>
            <w:r w:rsidRPr="00F30A97">
              <w:lastRenderedPageBreak/>
              <w:t>Standardization Sector (ITU-T)</w:t>
            </w:r>
          </w:p>
        </w:tc>
        <w:tc>
          <w:tcPr>
            <w:tcW w:w="7341" w:type="dxa"/>
            <w:vAlign w:val="center"/>
          </w:tcPr>
          <w:p w14:paraId="766C1CBE" w14:textId="39C9C59B" w:rsidR="0020782B" w:rsidRPr="00F30A97" w:rsidRDefault="0020782B" w:rsidP="00CE08CB">
            <w:pPr>
              <w:pStyle w:val="Tabletext"/>
            </w:pPr>
            <w:r w:rsidRPr="00F30A97">
              <w:lastRenderedPageBreak/>
              <w:t>The Study Groups of ITU</w:t>
            </w:r>
            <w:r w:rsidR="00644FA2" w:rsidRPr="00F30A97">
              <w:t>'</w:t>
            </w:r>
            <w:r w:rsidRPr="00F30A97">
              <w:t xml:space="preserve">s Telecommunication Standardization Sector (ITU-T) assemble experts from around the world to develop international standards </w:t>
            </w:r>
            <w:r w:rsidRPr="00F30A97">
              <w:lastRenderedPageBreak/>
              <w:t>known as ITU-T Recommendations which act as defining elements in the global infrastructure of information and communication technologies (ICTs).</w:t>
            </w:r>
          </w:p>
          <w:p w14:paraId="2C979C50" w14:textId="77777777" w:rsidR="0020782B" w:rsidRPr="00F30A97" w:rsidRDefault="0020782B" w:rsidP="00CE08CB">
            <w:pPr>
              <w:pStyle w:val="Tabletext"/>
            </w:pPr>
            <w:r w:rsidRPr="00F30A97">
              <w:t xml:space="preserve">Source: </w:t>
            </w:r>
            <w:hyperlink r:id="rId85" w:history="1">
              <w:r w:rsidRPr="00F30A97">
                <w:rPr>
                  <w:rStyle w:val="Hyperlink"/>
                  <w:sz w:val="18"/>
                  <w:szCs w:val="18"/>
                </w:rPr>
                <w:t>https://www.itu.int/en/ITU-T/</w:t>
              </w:r>
            </w:hyperlink>
            <w:r w:rsidRPr="00F30A97">
              <w:t xml:space="preserve"> </w:t>
            </w:r>
          </w:p>
        </w:tc>
      </w:tr>
      <w:tr w:rsidR="0020782B" w:rsidRPr="00F30A97" w14:paraId="62FC49B4" w14:textId="77777777" w:rsidTr="00486BFE">
        <w:trPr>
          <w:trHeight w:val="290"/>
        </w:trPr>
        <w:tc>
          <w:tcPr>
            <w:tcW w:w="2298" w:type="dxa"/>
            <w:vAlign w:val="center"/>
          </w:tcPr>
          <w:p w14:paraId="736BE06C" w14:textId="77777777" w:rsidR="0020782B" w:rsidRPr="00F30A97" w:rsidRDefault="0020782B" w:rsidP="00CE08CB">
            <w:pPr>
              <w:pStyle w:val="Tabletext"/>
            </w:pPr>
            <w:r w:rsidRPr="00F30A97">
              <w:lastRenderedPageBreak/>
              <w:t>Open Geospatial Consortium (OGC)</w:t>
            </w:r>
          </w:p>
        </w:tc>
        <w:tc>
          <w:tcPr>
            <w:tcW w:w="7341" w:type="dxa"/>
            <w:vAlign w:val="center"/>
          </w:tcPr>
          <w:p w14:paraId="0C8D7D9B" w14:textId="77777777" w:rsidR="0020782B" w:rsidRPr="00F30A97" w:rsidRDefault="0020782B" w:rsidP="00CE08CB">
            <w:pPr>
              <w:pStyle w:val="Tabletext"/>
            </w:pPr>
            <w:r w:rsidRPr="00F30A97">
              <w:t>The Open Geospatial Consortium (OGC) is an international consortium of more than 500 businesses, government agencies, research organizations, and universities driven to make geospatial (location) information and services FAIR - Findable, Accessible, Interoperable, and Reusable.</w:t>
            </w:r>
          </w:p>
          <w:p w14:paraId="2B186C37" w14:textId="77777777" w:rsidR="0020782B" w:rsidRPr="00F30A97" w:rsidRDefault="0020782B" w:rsidP="00CE08CB">
            <w:pPr>
              <w:pStyle w:val="Tabletext"/>
            </w:pPr>
            <w:r w:rsidRPr="00F30A97">
              <w:t xml:space="preserve">Source: </w:t>
            </w:r>
            <w:hyperlink r:id="rId86" w:history="1">
              <w:r w:rsidRPr="00F30A97">
                <w:rPr>
                  <w:rStyle w:val="Hyperlink"/>
                  <w:sz w:val="18"/>
                  <w:szCs w:val="18"/>
                </w:rPr>
                <w:t>https://www.ogc.org/</w:t>
              </w:r>
            </w:hyperlink>
            <w:r w:rsidRPr="00F30A97">
              <w:t xml:space="preserve"> </w:t>
            </w:r>
          </w:p>
        </w:tc>
      </w:tr>
    </w:tbl>
    <w:p w14:paraId="54608F84" w14:textId="1EDFC6B9" w:rsidR="0020782B" w:rsidRPr="00F30A97" w:rsidRDefault="0020782B" w:rsidP="00CE08CB">
      <w:pPr>
        <w:spacing w:before="0" w:after="160" w:line="259" w:lineRule="auto"/>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2835"/>
        <w:gridCol w:w="4961"/>
      </w:tblGrid>
      <w:tr w:rsidR="0020782B" w:rsidRPr="00F30A97" w14:paraId="56BA82E7" w14:textId="77777777" w:rsidTr="00486BFE">
        <w:trPr>
          <w:trHeight w:val="290"/>
          <w:tblHeader/>
        </w:trPr>
        <w:tc>
          <w:tcPr>
            <w:tcW w:w="1980" w:type="dxa"/>
            <w:shd w:val="clear" w:color="auto" w:fill="EEECE1" w:themeFill="background2"/>
            <w:vAlign w:val="center"/>
          </w:tcPr>
          <w:p w14:paraId="176EA355" w14:textId="77777777" w:rsidR="0020782B" w:rsidRPr="00F30A97" w:rsidRDefault="0020782B" w:rsidP="00CE08CB">
            <w:pPr>
              <w:pStyle w:val="Tablehead"/>
            </w:pPr>
            <w:r w:rsidRPr="00F30A97">
              <w:t>SDO/Organization</w:t>
            </w:r>
          </w:p>
        </w:tc>
        <w:tc>
          <w:tcPr>
            <w:tcW w:w="2835" w:type="dxa"/>
            <w:shd w:val="clear" w:color="auto" w:fill="EEECE1" w:themeFill="background2"/>
            <w:vAlign w:val="center"/>
          </w:tcPr>
          <w:p w14:paraId="0A7CA855" w14:textId="77777777" w:rsidR="0020782B" w:rsidRPr="00F30A97" w:rsidRDefault="0020782B" w:rsidP="00CE08CB">
            <w:pPr>
              <w:pStyle w:val="Tablehead"/>
            </w:pPr>
            <w:r w:rsidRPr="00F30A97">
              <w:t>Related Group</w:t>
            </w:r>
          </w:p>
        </w:tc>
        <w:tc>
          <w:tcPr>
            <w:tcW w:w="4961" w:type="dxa"/>
            <w:shd w:val="clear" w:color="auto" w:fill="EEECE1" w:themeFill="background2"/>
          </w:tcPr>
          <w:p w14:paraId="6B527E0C" w14:textId="77777777" w:rsidR="0020782B" w:rsidRPr="00F30A97" w:rsidRDefault="0020782B" w:rsidP="00CE08CB">
            <w:pPr>
              <w:pStyle w:val="Tablehead"/>
            </w:pPr>
            <w:r w:rsidRPr="00F30A97">
              <w:t>Description</w:t>
            </w:r>
          </w:p>
        </w:tc>
      </w:tr>
      <w:tr w:rsidR="0020782B" w:rsidRPr="00F30A97" w14:paraId="75396F78" w14:textId="77777777" w:rsidTr="00C2623D">
        <w:trPr>
          <w:trHeight w:val="290"/>
        </w:trPr>
        <w:tc>
          <w:tcPr>
            <w:tcW w:w="1980" w:type="dxa"/>
            <w:vAlign w:val="center"/>
          </w:tcPr>
          <w:p w14:paraId="4C3CAB2A" w14:textId="77777777" w:rsidR="0020782B" w:rsidRPr="00F30A97" w:rsidRDefault="0020782B" w:rsidP="00CE08CB">
            <w:pPr>
              <w:pStyle w:val="Tabletext"/>
            </w:pPr>
            <w:r w:rsidRPr="00F30A97">
              <w:t>ASTAP</w:t>
            </w:r>
          </w:p>
        </w:tc>
        <w:tc>
          <w:tcPr>
            <w:tcW w:w="2835" w:type="dxa"/>
            <w:vAlign w:val="center"/>
          </w:tcPr>
          <w:p w14:paraId="4E7F3C87" w14:textId="77777777" w:rsidR="0020782B" w:rsidRPr="00F30A97" w:rsidRDefault="0020782B" w:rsidP="00CE08CB">
            <w:pPr>
              <w:pStyle w:val="Tabletext"/>
            </w:pPr>
            <w:r w:rsidRPr="00F30A97">
              <w:t>Expert Group on Disaster Risk Management Relief System (EG DRMRS)</w:t>
            </w:r>
          </w:p>
        </w:tc>
        <w:tc>
          <w:tcPr>
            <w:tcW w:w="4961" w:type="dxa"/>
          </w:tcPr>
          <w:p w14:paraId="0241F1D2" w14:textId="77777777" w:rsidR="0020782B" w:rsidRPr="00F30A97" w:rsidRDefault="0020782B" w:rsidP="00CE08CB">
            <w:pPr>
              <w:pStyle w:val="Tabletext"/>
            </w:pPr>
            <w:r w:rsidRPr="00F30A97">
              <w:t>This Group aims to:</w:t>
            </w:r>
          </w:p>
          <w:p w14:paraId="36E6B28C" w14:textId="2BEAABAD" w:rsidR="0020782B" w:rsidRPr="00F30A97" w:rsidRDefault="00486BFE" w:rsidP="00CE08CB">
            <w:pPr>
              <w:pStyle w:val="Tabletext"/>
              <w:ind w:left="284" w:hanging="284"/>
            </w:pPr>
            <w:r w:rsidRPr="00F30A97">
              <w:t>–</w:t>
            </w:r>
            <w:r w:rsidRPr="00F30A97">
              <w:tab/>
            </w:r>
            <w:r w:rsidR="0020782B" w:rsidRPr="00F30A97">
              <w:t>Study and discuss about future activities and related work items for strengthening and dissemination of information and communication solutions for management of emergency and disaster risk, based on the APT recommendations and other information and communication solutions</w:t>
            </w:r>
          </w:p>
          <w:p w14:paraId="4B5C739C" w14:textId="282BEA8C" w:rsidR="0020782B" w:rsidRPr="00F30A97" w:rsidRDefault="00486BFE" w:rsidP="00CE08CB">
            <w:pPr>
              <w:pStyle w:val="Tabletext"/>
            </w:pPr>
            <w:r w:rsidRPr="00F30A97">
              <w:t>–</w:t>
            </w:r>
            <w:r w:rsidRPr="00F30A97">
              <w:tab/>
            </w:r>
            <w:r w:rsidR="0020782B" w:rsidRPr="00F30A97">
              <w:t>Collaborate and cooperate with ITU</w:t>
            </w:r>
          </w:p>
          <w:p w14:paraId="34CC14D8" w14:textId="59405590" w:rsidR="0020782B" w:rsidRPr="00F30A97" w:rsidRDefault="00486BFE" w:rsidP="00CE08CB">
            <w:pPr>
              <w:pStyle w:val="Tabletext"/>
              <w:ind w:left="284" w:hanging="284"/>
            </w:pPr>
            <w:r w:rsidRPr="00F30A97">
              <w:t>–</w:t>
            </w:r>
            <w:r w:rsidRPr="00F30A97">
              <w:tab/>
            </w:r>
            <w:r w:rsidR="0020782B" w:rsidRPr="00F30A97">
              <w:t>Promote specific action items for strengthening and dissemination of information and communication solutions for management of emergency and disaster risk</w:t>
            </w:r>
          </w:p>
          <w:p w14:paraId="14486EE6" w14:textId="39319768" w:rsidR="0020782B" w:rsidRPr="00F30A97" w:rsidRDefault="00486BFE" w:rsidP="00CE08CB">
            <w:pPr>
              <w:pStyle w:val="Tabletext"/>
              <w:ind w:left="284" w:hanging="284"/>
            </w:pPr>
            <w:r w:rsidRPr="00F30A97">
              <w:t>–</w:t>
            </w:r>
            <w:r w:rsidRPr="00F30A97">
              <w:tab/>
            </w:r>
            <w:r w:rsidR="0020782B" w:rsidRPr="00F30A97">
              <w:t>Study and compare other standardizations which are related to information and communication solutions for management of emergency and disaster risk</w:t>
            </w:r>
          </w:p>
          <w:p w14:paraId="39D32B85" w14:textId="77777777" w:rsidR="0020782B" w:rsidRPr="00F30A97" w:rsidRDefault="0020782B" w:rsidP="00CE08CB">
            <w:pPr>
              <w:pStyle w:val="Tabletext"/>
            </w:pPr>
            <w:r w:rsidRPr="00F30A97">
              <w:rPr>
                <w:b/>
                <w:bCs/>
              </w:rPr>
              <w:t xml:space="preserve">Source: </w:t>
            </w:r>
            <w:hyperlink r:id="rId87" w:history="1">
              <w:r w:rsidRPr="00F30A97">
                <w:rPr>
                  <w:rStyle w:val="Hyperlink"/>
                  <w:sz w:val="20"/>
                </w:rPr>
                <w:t>https://www.apt.int/ASTAP-DRMRS</w:t>
              </w:r>
            </w:hyperlink>
            <w:r w:rsidRPr="00F30A97">
              <w:t xml:space="preserve"> </w:t>
            </w:r>
          </w:p>
        </w:tc>
      </w:tr>
      <w:tr w:rsidR="0020782B" w:rsidRPr="00F30A97" w14:paraId="381527DB" w14:textId="77777777" w:rsidTr="00C2623D">
        <w:trPr>
          <w:trHeight w:val="290"/>
        </w:trPr>
        <w:tc>
          <w:tcPr>
            <w:tcW w:w="1980" w:type="dxa"/>
            <w:vAlign w:val="center"/>
          </w:tcPr>
          <w:p w14:paraId="37764CD9" w14:textId="77777777" w:rsidR="0020782B" w:rsidRPr="00F30A97" w:rsidRDefault="0020782B" w:rsidP="00CE08CB">
            <w:pPr>
              <w:pStyle w:val="Tabletext"/>
            </w:pPr>
            <w:r w:rsidRPr="00F30A97">
              <w:t>ETSI</w:t>
            </w:r>
          </w:p>
        </w:tc>
        <w:tc>
          <w:tcPr>
            <w:tcW w:w="2835" w:type="dxa"/>
            <w:vAlign w:val="center"/>
          </w:tcPr>
          <w:p w14:paraId="506EFD38" w14:textId="77777777" w:rsidR="0020782B" w:rsidRPr="00F30A97" w:rsidRDefault="0020782B" w:rsidP="00CE08CB">
            <w:pPr>
              <w:pStyle w:val="Tabletext"/>
            </w:pPr>
            <w:r w:rsidRPr="00F30A97">
              <w:t>Technical Committee Emergency Telecommunication (EMTEL)</w:t>
            </w:r>
          </w:p>
        </w:tc>
        <w:tc>
          <w:tcPr>
            <w:tcW w:w="4961" w:type="dxa"/>
          </w:tcPr>
          <w:p w14:paraId="4CF525C2" w14:textId="77777777" w:rsidR="0020782B" w:rsidRPr="00F30A97" w:rsidRDefault="0020782B" w:rsidP="00CE08CB">
            <w:pPr>
              <w:pStyle w:val="Tabletext"/>
            </w:pPr>
            <w:r w:rsidRPr="00F30A97">
              <w:t>The TC EMTEL is responsible for the capture of European requirements concerning emergency communication services, covering typically the four scenarios in case of an emergency e.g. communication of citizens with authorities, from authorities to citizens, between authorities and amongst citizens. In addition, EMTEL deals with topics like location (e.g. Advanced Mobile Location), NG112 opening emergency services communications to data, video and text, communications involving IoT devices in emergency situations and alerting.</w:t>
            </w:r>
          </w:p>
          <w:p w14:paraId="73B66A33" w14:textId="77777777" w:rsidR="0020782B" w:rsidRPr="00F30A97" w:rsidRDefault="0020782B" w:rsidP="00CE08CB">
            <w:pPr>
              <w:pStyle w:val="Tabletext"/>
            </w:pPr>
            <w:r w:rsidRPr="00F30A97">
              <w:rPr>
                <w:b/>
                <w:bCs/>
              </w:rPr>
              <w:t xml:space="preserve">Source: </w:t>
            </w:r>
            <w:hyperlink r:id="rId88" w:history="1">
              <w:r w:rsidRPr="00F30A97">
                <w:rPr>
                  <w:rStyle w:val="Hyperlink"/>
                  <w:sz w:val="20"/>
                </w:rPr>
                <w:t>https://www.etsi.org/committee/emtel</w:t>
              </w:r>
            </w:hyperlink>
            <w:r w:rsidRPr="00F30A97">
              <w:t xml:space="preserve"> </w:t>
            </w:r>
          </w:p>
        </w:tc>
      </w:tr>
      <w:tr w:rsidR="0020782B" w:rsidRPr="00F30A97" w14:paraId="6ABE9E54" w14:textId="77777777" w:rsidTr="00C2623D">
        <w:trPr>
          <w:trHeight w:val="290"/>
        </w:trPr>
        <w:tc>
          <w:tcPr>
            <w:tcW w:w="1980" w:type="dxa"/>
            <w:vMerge w:val="restart"/>
            <w:vAlign w:val="center"/>
          </w:tcPr>
          <w:p w14:paraId="1EA6C3D1" w14:textId="77777777" w:rsidR="0020782B" w:rsidRPr="00F30A97" w:rsidRDefault="0020782B" w:rsidP="00CE08CB">
            <w:pPr>
              <w:pStyle w:val="Tabletext"/>
            </w:pPr>
            <w:r w:rsidRPr="00F30A97">
              <w:t>ITU-R</w:t>
            </w:r>
          </w:p>
          <w:p w14:paraId="7EB2F8CC" w14:textId="77777777" w:rsidR="0020782B" w:rsidRPr="00F30A97" w:rsidRDefault="0020782B" w:rsidP="00CE08CB">
            <w:pPr>
              <w:pStyle w:val="Tabletext"/>
            </w:pPr>
            <w:r w:rsidRPr="00F30A97">
              <w:t xml:space="preserve"> </w:t>
            </w:r>
          </w:p>
        </w:tc>
        <w:tc>
          <w:tcPr>
            <w:tcW w:w="2835" w:type="dxa"/>
            <w:vAlign w:val="center"/>
          </w:tcPr>
          <w:p w14:paraId="32FF9C14" w14:textId="77777777" w:rsidR="0020782B" w:rsidRPr="00F30A97" w:rsidRDefault="0020782B" w:rsidP="00CE08CB">
            <w:pPr>
              <w:pStyle w:val="Tabletext"/>
            </w:pPr>
            <w:r w:rsidRPr="00F30A97">
              <w:t>SG5 – Terrestrial services</w:t>
            </w:r>
          </w:p>
        </w:tc>
        <w:tc>
          <w:tcPr>
            <w:tcW w:w="4961" w:type="dxa"/>
          </w:tcPr>
          <w:p w14:paraId="13136962" w14:textId="77777777" w:rsidR="0020782B" w:rsidRPr="00F30A97" w:rsidRDefault="0020782B" w:rsidP="00CE08CB">
            <w:pPr>
              <w:pStyle w:val="Tabletext"/>
            </w:pPr>
            <w:r w:rsidRPr="00F30A97">
              <w:t>Scope of the Group includes systems and networks for fixed, mobile, radiodetermination, amateur and amateurs satellite services.</w:t>
            </w:r>
            <w:r w:rsidRPr="00F30A97">
              <w:br/>
            </w:r>
            <w:r w:rsidRPr="00F30A97">
              <w:rPr>
                <w:b/>
                <w:bCs/>
              </w:rPr>
              <w:t>Source:</w:t>
            </w:r>
            <w:r w:rsidRPr="00F30A97">
              <w:t xml:space="preserve"> </w:t>
            </w:r>
            <w:hyperlink r:id="rId89" w:anchor="page=36&amp;pagemode=none" w:history="1">
              <w:r w:rsidRPr="00F30A97">
                <w:rPr>
                  <w:rStyle w:val="Hyperlink"/>
                  <w:sz w:val="20"/>
                </w:rPr>
                <w:t>https://www.itu.int/dms_pub/itu-r/opb/gen/R-GEN-SGB-2020-PDF-E.pdf#page=36&amp;pagemode=none</w:t>
              </w:r>
            </w:hyperlink>
            <w:r w:rsidRPr="00F30A97">
              <w:t xml:space="preserve"> </w:t>
            </w:r>
          </w:p>
        </w:tc>
      </w:tr>
      <w:tr w:rsidR="0020782B" w:rsidRPr="00F30A97" w14:paraId="2BEA3EBC" w14:textId="77777777" w:rsidTr="00C2623D">
        <w:trPr>
          <w:trHeight w:val="290"/>
        </w:trPr>
        <w:tc>
          <w:tcPr>
            <w:tcW w:w="1980" w:type="dxa"/>
            <w:vMerge/>
            <w:vAlign w:val="center"/>
          </w:tcPr>
          <w:p w14:paraId="2DCCF287" w14:textId="77777777" w:rsidR="0020782B" w:rsidRPr="00F30A97" w:rsidRDefault="0020782B" w:rsidP="00CE08CB">
            <w:pPr>
              <w:pStyle w:val="Tabletext"/>
            </w:pPr>
          </w:p>
        </w:tc>
        <w:tc>
          <w:tcPr>
            <w:tcW w:w="2835" w:type="dxa"/>
            <w:vAlign w:val="center"/>
          </w:tcPr>
          <w:p w14:paraId="2A81021B" w14:textId="77777777" w:rsidR="0020782B" w:rsidRPr="00F30A97" w:rsidRDefault="0020782B" w:rsidP="00CE08CB">
            <w:pPr>
              <w:pStyle w:val="Tabletext"/>
            </w:pPr>
            <w:r w:rsidRPr="00F30A97">
              <w:t>SG6 – Broadcasting service</w:t>
            </w:r>
          </w:p>
        </w:tc>
        <w:tc>
          <w:tcPr>
            <w:tcW w:w="4961" w:type="dxa"/>
          </w:tcPr>
          <w:p w14:paraId="323A9037" w14:textId="77777777" w:rsidR="0020782B" w:rsidRPr="00F30A97" w:rsidRDefault="0020782B" w:rsidP="00CE08CB">
            <w:pPr>
              <w:pStyle w:val="Tabletext"/>
            </w:pPr>
            <w:r w:rsidRPr="00F30A97">
              <w:t>Scope of the Group includes radiocommunication broadcasting, including vision, sound, multimedia and data services principally intended for delivery to the general public.</w:t>
            </w:r>
          </w:p>
          <w:p w14:paraId="0BBB4F9F" w14:textId="77777777" w:rsidR="0020782B" w:rsidRPr="00F30A97" w:rsidRDefault="0020782B" w:rsidP="00CE08CB">
            <w:pPr>
              <w:pStyle w:val="Tabletext"/>
            </w:pPr>
            <w:r w:rsidRPr="00F30A97">
              <w:rPr>
                <w:b/>
                <w:bCs/>
              </w:rPr>
              <w:t>Source:</w:t>
            </w:r>
            <w:r w:rsidRPr="00F30A97">
              <w:t xml:space="preserve"> </w:t>
            </w:r>
            <w:hyperlink r:id="rId90" w:anchor="page=36&amp;pagemode=none" w:history="1">
              <w:r w:rsidRPr="00F30A97">
                <w:rPr>
                  <w:rStyle w:val="Hyperlink"/>
                  <w:sz w:val="20"/>
                </w:rPr>
                <w:t>https://www.itu.int/dms_pub/itu-r/opb/gen/R-GEN-SGB-2020-PDF-E.pdf#page=36&amp;pagemode=none</w:t>
              </w:r>
            </w:hyperlink>
          </w:p>
        </w:tc>
      </w:tr>
      <w:tr w:rsidR="0020782B" w:rsidRPr="00F30A97" w14:paraId="143DF13A" w14:textId="77777777" w:rsidTr="00C2623D">
        <w:trPr>
          <w:trHeight w:val="290"/>
        </w:trPr>
        <w:tc>
          <w:tcPr>
            <w:tcW w:w="1980" w:type="dxa"/>
            <w:vMerge/>
            <w:vAlign w:val="center"/>
          </w:tcPr>
          <w:p w14:paraId="54758012" w14:textId="77777777" w:rsidR="0020782B" w:rsidRPr="00F30A97" w:rsidRDefault="0020782B" w:rsidP="00CE08CB">
            <w:pPr>
              <w:pStyle w:val="Tabletext"/>
            </w:pPr>
          </w:p>
        </w:tc>
        <w:tc>
          <w:tcPr>
            <w:tcW w:w="2835" w:type="dxa"/>
            <w:vAlign w:val="center"/>
          </w:tcPr>
          <w:p w14:paraId="3ABF2135" w14:textId="77777777" w:rsidR="0020782B" w:rsidRPr="00F30A97" w:rsidRDefault="0020782B" w:rsidP="00CE08CB">
            <w:pPr>
              <w:pStyle w:val="Tabletext"/>
            </w:pPr>
            <w:r w:rsidRPr="00F30A97">
              <w:t>SG7 – Science Services</w:t>
            </w:r>
          </w:p>
        </w:tc>
        <w:tc>
          <w:tcPr>
            <w:tcW w:w="4961" w:type="dxa"/>
          </w:tcPr>
          <w:p w14:paraId="5169D2F5" w14:textId="77777777" w:rsidR="0020782B" w:rsidRPr="00F30A97" w:rsidRDefault="0020782B" w:rsidP="00CE08CB">
            <w:pPr>
              <w:pStyle w:val="Tabletext"/>
            </w:pPr>
            <w:r w:rsidRPr="00F30A97">
              <w:t>Scope includes:</w:t>
            </w:r>
          </w:p>
          <w:p w14:paraId="63CEDFA3" w14:textId="000A1E3B" w:rsidR="0020782B" w:rsidRPr="00F30A97" w:rsidRDefault="00486BFE" w:rsidP="00CE08CB">
            <w:pPr>
              <w:pStyle w:val="Tabletext"/>
              <w:ind w:left="284" w:hanging="284"/>
            </w:pPr>
            <w:r w:rsidRPr="00F30A97">
              <w:t>–</w:t>
            </w:r>
            <w:r w:rsidRPr="00F30A97">
              <w:tab/>
            </w:r>
            <w:r w:rsidR="0020782B" w:rsidRPr="00F30A97">
              <w:t>Systems for space operation, space research, Earth exploration and meteorology, including the related use of links in the inter-satellite service.</w:t>
            </w:r>
          </w:p>
          <w:p w14:paraId="126659DE" w14:textId="2C25536C" w:rsidR="0020782B" w:rsidRPr="00F30A97" w:rsidRDefault="00486BFE" w:rsidP="00CE08CB">
            <w:pPr>
              <w:pStyle w:val="Tabletext"/>
              <w:ind w:left="284" w:hanging="284"/>
            </w:pPr>
            <w:r w:rsidRPr="00F30A97">
              <w:t>–</w:t>
            </w:r>
            <w:r w:rsidRPr="00F30A97">
              <w:tab/>
            </w:r>
            <w:r w:rsidR="0020782B" w:rsidRPr="00F30A97">
              <w:t>Systems for remote sensing, including passive and active sensing systems, operating on both ground-based and space-based platforms.</w:t>
            </w:r>
          </w:p>
          <w:p w14:paraId="7B925177" w14:textId="444147C1" w:rsidR="0020782B" w:rsidRPr="00F30A97" w:rsidRDefault="00486BFE" w:rsidP="00CE08CB">
            <w:pPr>
              <w:pStyle w:val="Tabletext"/>
            </w:pPr>
            <w:r w:rsidRPr="00F30A97">
              <w:t>–</w:t>
            </w:r>
            <w:r w:rsidRPr="00F30A97">
              <w:tab/>
            </w:r>
            <w:r w:rsidR="0020782B" w:rsidRPr="00F30A97">
              <w:t>Radio astronomy and radar astronomy.</w:t>
            </w:r>
          </w:p>
          <w:p w14:paraId="374C4ECC" w14:textId="77FAC4D0" w:rsidR="0020782B" w:rsidRPr="00F30A97" w:rsidRDefault="00486BFE" w:rsidP="00CE08CB">
            <w:pPr>
              <w:pStyle w:val="Tabletext"/>
              <w:ind w:left="284" w:hanging="284"/>
            </w:pPr>
            <w:r w:rsidRPr="00F30A97">
              <w:t>–</w:t>
            </w:r>
            <w:r w:rsidRPr="00F30A97">
              <w:tab/>
            </w:r>
            <w:r w:rsidR="0020782B" w:rsidRPr="00F30A97">
              <w:t>Dissemination, reception and coordination of standard-frequency and time-signal services, including the application of satellite techniques, on a worldwide basis.</w:t>
            </w:r>
          </w:p>
          <w:p w14:paraId="5CF3E8FC" w14:textId="7838CE8B" w:rsidR="0020782B" w:rsidRPr="00F30A97" w:rsidRDefault="0020782B" w:rsidP="00CE08CB">
            <w:pPr>
              <w:pStyle w:val="Tabletext"/>
            </w:pPr>
            <w:r w:rsidRPr="00F30A97">
              <w:rPr>
                <w:b/>
                <w:bCs/>
              </w:rPr>
              <w:t>Source:</w:t>
            </w:r>
            <w:r w:rsidRPr="00F30A97">
              <w:t xml:space="preserve"> </w:t>
            </w:r>
            <w:hyperlink r:id="rId91" w:anchor="page=36&amp;pagemode=none" w:history="1">
              <w:r w:rsidRPr="00F30A97">
                <w:rPr>
                  <w:rStyle w:val="Hyperlink"/>
                  <w:sz w:val="20"/>
                </w:rPr>
                <w:t>https://www.itu.int/dms_pub/itu-r/opb/gen/R-GEN-SGB-2020-PDF-E.pdf#page=36&amp;pagemode=none</w:t>
              </w:r>
            </w:hyperlink>
          </w:p>
        </w:tc>
      </w:tr>
      <w:tr w:rsidR="0020782B" w:rsidRPr="00F30A97" w14:paraId="1E635658" w14:textId="77777777" w:rsidTr="00C2623D">
        <w:trPr>
          <w:trHeight w:val="290"/>
        </w:trPr>
        <w:tc>
          <w:tcPr>
            <w:tcW w:w="1980" w:type="dxa"/>
            <w:vAlign w:val="center"/>
          </w:tcPr>
          <w:p w14:paraId="275C0434" w14:textId="77777777" w:rsidR="0020782B" w:rsidRPr="00F30A97" w:rsidRDefault="0020782B" w:rsidP="00CE08CB">
            <w:pPr>
              <w:pStyle w:val="Tabletext"/>
            </w:pPr>
            <w:r w:rsidRPr="00F30A97">
              <w:t>ITU-T</w:t>
            </w:r>
          </w:p>
        </w:tc>
        <w:tc>
          <w:tcPr>
            <w:tcW w:w="2835" w:type="dxa"/>
            <w:vAlign w:val="center"/>
          </w:tcPr>
          <w:p w14:paraId="101A1955" w14:textId="77777777" w:rsidR="0020782B" w:rsidRPr="00F30A97" w:rsidRDefault="0020782B" w:rsidP="00CE08CB">
            <w:pPr>
              <w:pStyle w:val="Tabletext"/>
            </w:pPr>
            <w:r w:rsidRPr="00F30A97">
              <w:t>SG2 – Operational aspects of service provision and telecommunication management</w:t>
            </w:r>
          </w:p>
        </w:tc>
        <w:tc>
          <w:tcPr>
            <w:tcW w:w="4961" w:type="dxa"/>
          </w:tcPr>
          <w:p w14:paraId="544A8E92" w14:textId="77777777" w:rsidR="0020782B" w:rsidRPr="00F30A97" w:rsidRDefault="0020782B" w:rsidP="00CE08CB">
            <w:pPr>
              <w:pStyle w:val="Tabletext"/>
            </w:pPr>
            <w:r w:rsidRPr="00F30A97">
              <w:t>ITU-T Study Group 2 is responsible for studies relating to:</w:t>
            </w:r>
          </w:p>
          <w:p w14:paraId="4B4C55D3" w14:textId="1D0B43A8" w:rsidR="0020782B" w:rsidRPr="00F30A97" w:rsidRDefault="00486BFE" w:rsidP="00CE08CB">
            <w:pPr>
              <w:pStyle w:val="Tabletext"/>
              <w:ind w:left="284" w:hanging="284"/>
            </w:pPr>
            <w:r w:rsidRPr="00F30A97">
              <w:t>–</w:t>
            </w:r>
            <w:r w:rsidRPr="00F30A97">
              <w:tab/>
            </w:r>
            <w:r w:rsidR="0020782B" w:rsidRPr="00F30A97">
              <w:t>continued deployment of numbering, naming, addressing and identification (NNAI) requirements and resource assignment, including criteria and procedures for reservation, assignment and reclamation; </w:t>
            </w:r>
          </w:p>
          <w:p w14:paraId="4A8550E0" w14:textId="2F85BB25" w:rsidR="0020782B" w:rsidRPr="00F30A97" w:rsidRDefault="00486BFE" w:rsidP="00CE08CB">
            <w:pPr>
              <w:pStyle w:val="Tabletext"/>
              <w:ind w:left="284" w:hanging="284"/>
            </w:pPr>
            <w:r w:rsidRPr="00F30A97">
              <w:t>–</w:t>
            </w:r>
            <w:r w:rsidRPr="00F30A97">
              <w:tab/>
            </w:r>
            <w:r w:rsidR="0020782B" w:rsidRPr="00F30A97">
              <w:t>evolution of and specification of use of NNAI requirements and resource assignment, including criteria and procedures for reservation, assignment and reclamation for future telecommunication/ICT architectures, capabilities, technologies, applications and services;</w:t>
            </w:r>
          </w:p>
          <w:p w14:paraId="777C7751" w14:textId="7D1C39E8" w:rsidR="0020782B" w:rsidRPr="00F30A97" w:rsidRDefault="00486BFE" w:rsidP="00CE08CB">
            <w:pPr>
              <w:pStyle w:val="Tabletext"/>
              <w:ind w:left="284" w:hanging="284"/>
            </w:pPr>
            <w:r w:rsidRPr="00F30A97">
              <w:t>–</w:t>
            </w:r>
            <w:r w:rsidRPr="00F30A97">
              <w:tab/>
            </w:r>
            <w:r w:rsidR="0020782B" w:rsidRPr="00F30A97">
              <w:t>principles of administering global NNAI resources; </w:t>
            </w:r>
          </w:p>
          <w:p w14:paraId="7CFA4560" w14:textId="5D2EBFA7" w:rsidR="0020782B" w:rsidRPr="00F30A97" w:rsidRDefault="00486BFE" w:rsidP="00CE08CB">
            <w:pPr>
              <w:pStyle w:val="Tabletext"/>
              <w:ind w:left="284" w:hanging="284"/>
            </w:pPr>
            <w:r w:rsidRPr="00F30A97">
              <w:t>–</w:t>
            </w:r>
            <w:r w:rsidRPr="00F30A97">
              <w:tab/>
            </w:r>
            <w:r w:rsidR="0020782B" w:rsidRPr="00F30A97">
              <w:t>principles and operational aspects of routing, interworking, number portability and carrier switching;</w:t>
            </w:r>
          </w:p>
          <w:p w14:paraId="284463E5" w14:textId="6133F058" w:rsidR="0020782B" w:rsidRPr="00F30A97" w:rsidRDefault="00486BFE" w:rsidP="00CE08CB">
            <w:pPr>
              <w:pStyle w:val="Tabletext"/>
              <w:ind w:left="284" w:hanging="284"/>
            </w:pPr>
            <w:r w:rsidRPr="00F30A97">
              <w:t>–</w:t>
            </w:r>
            <w:r w:rsidRPr="00F30A97">
              <w:tab/>
            </w:r>
            <w:r w:rsidR="0020782B" w:rsidRPr="00F30A97">
              <w:t>principles of service provision, definition and operational requirements for current and future telecommunication/ICT architectures, capabilities, technologies, applications and services;</w:t>
            </w:r>
          </w:p>
          <w:p w14:paraId="62B910F2" w14:textId="7817AB31" w:rsidR="0020782B" w:rsidRPr="00F30A97" w:rsidRDefault="00486BFE" w:rsidP="00CE08CB">
            <w:pPr>
              <w:pStyle w:val="Tabletext"/>
              <w:ind w:left="284" w:hanging="284"/>
            </w:pPr>
            <w:r w:rsidRPr="00F30A97">
              <w:t>–</w:t>
            </w:r>
            <w:r w:rsidRPr="00F30A97">
              <w:tab/>
            </w:r>
            <w:r w:rsidR="0020782B" w:rsidRPr="00F30A97">
              <w:t>operational and management aspects of networks, including network traffic management, designations and transport-related operations procedures;</w:t>
            </w:r>
          </w:p>
          <w:p w14:paraId="70CBFC10" w14:textId="78981756" w:rsidR="0020782B" w:rsidRPr="00F30A97" w:rsidRDefault="00486BFE" w:rsidP="00CE08CB">
            <w:pPr>
              <w:pStyle w:val="Tabletext"/>
              <w:ind w:left="284" w:hanging="284"/>
            </w:pPr>
            <w:r w:rsidRPr="00F30A97">
              <w:t>–</w:t>
            </w:r>
            <w:r w:rsidRPr="00F30A97">
              <w:tab/>
            </w:r>
            <w:r w:rsidR="0020782B" w:rsidRPr="00F30A97">
              <w:t>operational aspects of interworking between traditional telecommunication networks and evolving and emerging telecommunication/ICT architectures, capabilities, technologies, applications and services;</w:t>
            </w:r>
          </w:p>
          <w:p w14:paraId="5C91DE15" w14:textId="1D77BA1F" w:rsidR="0020782B" w:rsidRPr="00F30A97" w:rsidRDefault="00486BFE" w:rsidP="00CE08CB">
            <w:pPr>
              <w:pStyle w:val="Tabletext"/>
              <w:ind w:left="284" w:hanging="284"/>
            </w:pPr>
            <w:r w:rsidRPr="00F30A97">
              <w:t>–</w:t>
            </w:r>
            <w:r w:rsidRPr="00F30A97">
              <w:tab/>
            </w:r>
            <w:r w:rsidR="0020782B" w:rsidRPr="00F30A97">
              <w:t>evaluation of feedback from operators, manufacturing companies and users on different aspects of network operation;</w:t>
            </w:r>
          </w:p>
          <w:p w14:paraId="6301B799" w14:textId="0BDE0FE3" w:rsidR="0020782B" w:rsidRPr="00F30A97" w:rsidRDefault="00486BFE" w:rsidP="00CE08CB">
            <w:pPr>
              <w:pStyle w:val="Tabletext"/>
              <w:ind w:left="284" w:hanging="284"/>
            </w:pPr>
            <w:r w:rsidRPr="00F30A97">
              <w:t>–</w:t>
            </w:r>
            <w:r w:rsidRPr="00F30A97">
              <w:tab/>
            </w:r>
            <w:r w:rsidR="0020782B" w:rsidRPr="00F30A97">
              <w:t>management of future telecommunication/ICT architectures, capabilities, technologies, applications and services;</w:t>
            </w:r>
          </w:p>
          <w:p w14:paraId="53ED5EF8" w14:textId="0DBB7952" w:rsidR="0020782B" w:rsidRPr="00F30A97" w:rsidRDefault="00486BFE" w:rsidP="00CE08CB">
            <w:pPr>
              <w:pStyle w:val="Tabletext"/>
              <w:ind w:left="284" w:hanging="284"/>
            </w:pPr>
            <w:r w:rsidRPr="00F30A97">
              <w:lastRenderedPageBreak/>
              <w:t>–</w:t>
            </w:r>
            <w:r w:rsidRPr="00F30A97">
              <w:tab/>
            </w:r>
            <w:r w:rsidR="0020782B" w:rsidRPr="00F30A97">
              <w:t>evolution of the management interface specification methodology;</w:t>
            </w:r>
          </w:p>
          <w:p w14:paraId="546129A2" w14:textId="067CAA22" w:rsidR="0020782B" w:rsidRPr="00F30A97" w:rsidRDefault="00486BFE" w:rsidP="00CE08CB">
            <w:pPr>
              <w:pStyle w:val="Tabletext"/>
              <w:ind w:left="284" w:hanging="284"/>
            </w:pPr>
            <w:r w:rsidRPr="00F30A97">
              <w:t>–</w:t>
            </w:r>
            <w:r w:rsidRPr="00F30A97">
              <w:tab/>
            </w:r>
            <w:r w:rsidR="0020782B" w:rsidRPr="00F30A97">
              <w:t>specifying interfaces to management systems to support the communication of identity information within or between organizational domains; and</w:t>
            </w:r>
          </w:p>
          <w:p w14:paraId="0D4B44F8" w14:textId="4751CA1E" w:rsidR="0020782B" w:rsidRPr="00F30A97" w:rsidRDefault="00486BFE" w:rsidP="00CE08CB">
            <w:pPr>
              <w:pStyle w:val="Tabletext"/>
              <w:ind w:left="284" w:hanging="284"/>
            </w:pPr>
            <w:r w:rsidRPr="00F30A97">
              <w:t>–</w:t>
            </w:r>
            <w:r w:rsidRPr="00F30A97">
              <w:tab/>
            </w:r>
            <w:r w:rsidR="0020782B" w:rsidRPr="00F30A97">
              <w:t>the operational impact of the Internet, convergence (services or infrastructure) and future services, such as over-the-top (OTT), on international telecommunication services and networks.</w:t>
            </w:r>
          </w:p>
          <w:p w14:paraId="1BA18476" w14:textId="77777777" w:rsidR="0020782B" w:rsidRPr="00F30A97" w:rsidRDefault="0020782B" w:rsidP="00CE08CB">
            <w:pPr>
              <w:pStyle w:val="Tabletext"/>
            </w:pPr>
            <w:r w:rsidRPr="00F30A97">
              <w:rPr>
                <w:b/>
                <w:bCs/>
              </w:rPr>
              <w:t>Source:</w:t>
            </w:r>
            <w:r w:rsidRPr="00F30A97">
              <w:t xml:space="preserve"> </w:t>
            </w:r>
            <w:hyperlink r:id="rId92" w:history="1">
              <w:r w:rsidRPr="00F30A97">
                <w:rPr>
                  <w:rStyle w:val="Hyperlink"/>
                  <w:sz w:val="20"/>
                </w:rPr>
                <w:t>https://www.itu.int/en/ITU-T/studygroups/2022-2024/02/Pages/default.aspx</w:t>
              </w:r>
            </w:hyperlink>
            <w:r w:rsidRPr="00F30A97">
              <w:t xml:space="preserve"> </w:t>
            </w:r>
          </w:p>
        </w:tc>
      </w:tr>
      <w:tr w:rsidR="0020782B" w:rsidRPr="00F30A97" w14:paraId="7DF22788" w14:textId="77777777" w:rsidTr="00C2623D">
        <w:trPr>
          <w:trHeight w:val="290"/>
        </w:trPr>
        <w:tc>
          <w:tcPr>
            <w:tcW w:w="1980" w:type="dxa"/>
            <w:vAlign w:val="center"/>
          </w:tcPr>
          <w:p w14:paraId="63F43FA4" w14:textId="77777777" w:rsidR="0020782B" w:rsidRPr="00F30A97" w:rsidRDefault="0020782B" w:rsidP="00CE08CB">
            <w:pPr>
              <w:pStyle w:val="Tabletext"/>
            </w:pPr>
            <w:r w:rsidRPr="00F30A97">
              <w:lastRenderedPageBreak/>
              <w:t xml:space="preserve">ITU-T </w:t>
            </w:r>
          </w:p>
        </w:tc>
        <w:tc>
          <w:tcPr>
            <w:tcW w:w="2835" w:type="dxa"/>
            <w:vAlign w:val="center"/>
          </w:tcPr>
          <w:p w14:paraId="2C3A4FF8" w14:textId="77777777" w:rsidR="0020782B" w:rsidRPr="00F30A97" w:rsidRDefault="0020782B" w:rsidP="00CE08CB">
            <w:pPr>
              <w:pStyle w:val="Tabletext"/>
            </w:pPr>
            <w:r w:rsidRPr="00F30A97">
              <w:t>SG5 – EMF, environment, climate action, sustainable digitalization, and circular economy</w:t>
            </w:r>
          </w:p>
        </w:tc>
        <w:tc>
          <w:tcPr>
            <w:tcW w:w="4961" w:type="dxa"/>
          </w:tcPr>
          <w:p w14:paraId="541AAB51" w14:textId="77777777" w:rsidR="0020782B" w:rsidRPr="00F30A97" w:rsidRDefault="0020782B" w:rsidP="00CE08CB">
            <w:pPr>
              <w:pStyle w:val="Tabletext"/>
            </w:pPr>
            <w:r w:rsidRPr="00F30A97">
              <w:t>ITU T Study Group 5 is responsible for the development of standards on the environmental aspects of ICT and digital technologies and protection of the environment, including electromagnetic phenomena and climate change.</w:t>
            </w:r>
          </w:p>
          <w:p w14:paraId="7A8B8478" w14:textId="77777777" w:rsidR="0020782B" w:rsidRPr="00F30A97" w:rsidRDefault="0020782B" w:rsidP="00CE08CB">
            <w:pPr>
              <w:pStyle w:val="Tabletext"/>
            </w:pPr>
            <w:r w:rsidRPr="00F30A97">
              <w:t>Study Group 5 will study how the digital transformation can be shaped to ensure it supports transitions towards more sustainable societies.</w:t>
            </w:r>
          </w:p>
          <w:p w14:paraId="5565F6D7" w14:textId="77777777" w:rsidR="0020782B" w:rsidRPr="00F30A97" w:rsidRDefault="0020782B" w:rsidP="00CE08CB">
            <w:pPr>
              <w:pStyle w:val="Tabletext"/>
            </w:pPr>
            <w:r w:rsidRPr="00F30A97">
              <w:t>Study Group 5 will also study issues related to resistibility, human exposure to electromagnetic fields (EMF), circular economy, energy efficiency and climate change adaptation and mitigation. It will develop international standards, guidelines, technical papers and assessment frameworks that support the sustainable use and deployment of ICTs and digital technologies, and evaluate the environmental performance, including biodiversity, of digital technologies such as, but not limited to, 5G, artificial intelligence (AI), smart manufacturing, automation, etc.</w:t>
            </w:r>
          </w:p>
          <w:p w14:paraId="07F931A4" w14:textId="77777777" w:rsidR="0020782B" w:rsidRPr="00F30A97" w:rsidRDefault="0020782B" w:rsidP="00CE08CB">
            <w:pPr>
              <w:pStyle w:val="Tabletext"/>
            </w:pPr>
            <w:r w:rsidRPr="00F30A97">
              <w:rPr>
                <w:b/>
                <w:bCs/>
              </w:rPr>
              <w:t>Source:</w:t>
            </w:r>
            <w:r w:rsidRPr="00F30A97">
              <w:t xml:space="preserve"> </w:t>
            </w:r>
            <w:hyperlink r:id="rId93" w:history="1">
              <w:r w:rsidRPr="00F30A97">
                <w:rPr>
                  <w:rStyle w:val="Hyperlink"/>
                  <w:sz w:val="20"/>
                </w:rPr>
                <w:t>https://www.itu.int/en/ITU-T/studygroups/2022-2024/05/Pages/default.aspx</w:t>
              </w:r>
            </w:hyperlink>
            <w:r w:rsidRPr="00F30A97">
              <w:t xml:space="preserve"> </w:t>
            </w:r>
          </w:p>
        </w:tc>
      </w:tr>
      <w:tr w:rsidR="0020782B" w:rsidRPr="00F30A97" w14:paraId="7B2B621E" w14:textId="77777777" w:rsidTr="00C2623D">
        <w:trPr>
          <w:trHeight w:val="290"/>
        </w:trPr>
        <w:tc>
          <w:tcPr>
            <w:tcW w:w="1980" w:type="dxa"/>
            <w:vAlign w:val="center"/>
          </w:tcPr>
          <w:p w14:paraId="4DE38D22" w14:textId="77777777" w:rsidR="0020782B" w:rsidRPr="00F30A97" w:rsidRDefault="0020782B" w:rsidP="00CE08CB">
            <w:pPr>
              <w:pStyle w:val="Tabletext"/>
            </w:pPr>
            <w:r w:rsidRPr="00F30A97">
              <w:t xml:space="preserve">ITU-T </w:t>
            </w:r>
          </w:p>
        </w:tc>
        <w:tc>
          <w:tcPr>
            <w:tcW w:w="2835" w:type="dxa"/>
            <w:vAlign w:val="center"/>
          </w:tcPr>
          <w:p w14:paraId="2DAA2D97" w14:textId="77777777" w:rsidR="0020782B" w:rsidRPr="00F30A97" w:rsidRDefault="0020782B" w:rsidP="00CE08CB">
            <w:pPr>
              <w:pStyle w:val="Tabletext"/>
            </w:pPr>
            <w:r w:rsidRPr="00F30A97">
              <w:t>SG11 – Signalling requirements, protocols, test specifications and combating counterfeit telecommunication/ICT devices</w:t>
            </w:r>
          </w:p>
        </w:tc>
        <w:tc>
          <w:tcPr>
            <w:tcW w:w="4961" w:type="dxa"/>
          </w:tcPr>
          <w:p w14:paraId="74A3C455" w14:textId="77777777" w:rsidR="0020782B" w:rsidRPr="00F30A97" w:rsidRDefault="0020782B" w:rsidP="00CE08CB">
            <w:pPr>
              <w:pStyle w:val="Tabletext"/>
            </w:pPr>
            <w:r w:rsidRPr="00F30A97">
              <w:t>ITU-T Study Group 11 (SG11) is responsible for signalling, producing international standards (ITU-T Recommendations) that define how telephone calls and other ICT services are handled in the network.</w:t>
            </w:r>
          </w:p>
          <w:p w14:paraId="49AFDFD9" w14:textId="77777777" w:rsidR="0020782B" w:rsidRPr="00F30A97" w:rsidRDefault="0020782B" w:rsidP="00CE08CB">
            <w:pPr>
              <w:pStyle w:val="Tabletext"/>
            </w:pPr>
            <w:r w:rsidRPr="00F30A97">
              <w:rPr>
                <w:b/>
                <w:bCs/>
              </w:rPr>
              <w:t xml:space="preserve">Source: </w:t>
            </w:r>
            <w:hyperlink r:id="rId94" w:history="1">
              <w:r w:rsidRPr="00F30A97">
                <w:rPr>
                  <w:rStyle w:val="Hyperlink"/>
                  <w:sz w:val="20"/>
                </w:rPr>
                <w:t>https://www.itu.int/en/ITU-T/studygroups/2022-2024/11/Pages/default.aspx</w:t>
              </w:r>
            </w:hyperlink>
            <w:r w:rsidRPr="00F30A97">
              <w:t xml:space="preserve"> </w:t>
            </w:r>
          </w:p>
        </w:tc>
      </w:tr>
      <w:tr w:rsidR="0020782B" w:rsidRPr="00F30A97" w14:paraId="2343D2F9" w14:textId="77777777" w:rsidTr="00C2623D">
        <w:trPr>
          <w:trHeight w:val="290"/>
        </w:trPr>
        <w:tc>
          <w:tcPr>
            <w:tcW w:w="1980" w:type="dxa"/>
            <w:vAlign w:val="center"/>
          </w:tcPr>
          <w:p w14:paraId="4A601461" w14:textId="77777777" w:rsidR="0020782B" w:rsidRPr="00F30A97" w:rsidRDefault="0020782B" w:rsidP="00CE08CB">
            <w:pPr>
              <w:pStyle w:val="Tabletext"/>
            </w:pPr>
            <w:r w:rsidRPr="00F30A97">
              <w:t xml:space="preserve">ITU-T </w:t>
            </w:r>
          </w:p>
        </w:tc>
        <w:tc>
          <w:tcPr>
            <w:tcW w:w="2835" w:type="dxa"/>
            <w:vAlign w:val="center"/>
          </w:tcPr>
          <w:p w14:paraId="62FAB443" w14:textId="77777777" w:rsidR="0020782B" w:rsidRPr="00F30A97" w:rsidRDefault="0020782B" w:rsidP="00CE08CB">
            <w:pPr>
              <w:pStyle w:val="Tabletext"/>
            </w:pPr>
            <w:r w:rsidRPr="00F30A97">
              <w:t>SG13 – Future networks and emerging network technologies</w:t>
            </w:r>
          </w:p>
        </w:tc>
        <w:tc>
          <w:tcPr>
            <w:tcW w:w="4961" w:type="dxa"/>
          </w:tcPr>
          <w:p w14:paraId="46E2652D" w14:textId="792EEB9C" w:rsidR="0020782B" w:rsidRPr="00F30A97" w:rsidRDefault="0020782B" w:rsidP="00CE08CB">
            <w:pPr>
              <w:pStyle w:val="Tabletext"/>
            </w:pPr>
            <w:r w:rsidRPr="00F30A97">
              <w:t>The international standards (ITU-T Recommendations) developed by ITU‑T Study Group 13 (SG13) address the requirements, architectures, functional capabilities and application programming interfaces of converged future networks. Key areas of focus include network softwarization and orchestration, information-centric networking, content-centric networking, and the application of machine learning technologies.</w:t>
            </w:r>
            <w:r w:rsidR="00644FA2" w:rsidRPr="00F30A97">
              <w:t xml:space="preserve"> </w:t>
            </w:r>
          </w:p>
          <w:p w14:paraId="018D42AF" w14:textId="77777777" w:rsidR="0020782B" w:rsidRPr="00F30A97" w:rsidRDefault="0020782B" w:rsidP="00CE08CB">
            <w:pPr>
              <w:pStyle w:val="Tabletext"/>
            </w:pPr>
            <w:r w:rsidRPr="00F30A97">
              <w:rPr>
                <w:b/>
                <w:bCs/>
              </w:rPr>
              <w:t>Source:</w:t>
            </w:r>
            <w:r w:rsidRPr="00F30A97">
              <w:t xml:space="preserve"> </w:t>
            </w:r>
            <w:hyperlink r:id="rId95" w:history="1">
              <w:r w:rsidRPr="00F30A97">
                <w:rPr>
                  <w:rStyle w:val="Hyperlink"/>
                  <w:sz w:val="20"/>
                </w:rPr>
                <w:t>https://www.itu.int/en/ITU-T/studygroups/2022-2024/13/Pages/default.aspx</w:t>
              </w:r>
            </w:hyperlink>
            <w:r w:rsidRPr="00F30A97">
              <w:t xml:space="preserve"> </w:t>
            </w:r>
          </w:p>
        </w:tc>
      </w:tr>
      <w:tr w:rsidR="0020782B" w:rsidRPr="00F30A97" w14:paraId="4D5A1313" w14:textId="77777777" w:rsidTr="00C2623D">
        <w:trPr>
          <w:trHeight w:val="290"/>
        </w:trPr>
        <w:tc>
          <w:tcPr>
            <w:tcW w:w="1980" w:type="dxa"/>
            <w:vAlign w:val="center"/>
          </w:tcPr>
          <w:p w14:paraId="7C01520D" w14:textId="77777777" w:rsidR="0020782B" w:rsidRPr="00F30A97" w:rsidRDefault="0020782B" w:rsidP="00CE08CB">
            <w:pPr>
              <w:pStyle w:val="Tabletext"/>
            </w:pPr>
            <w:r w:rsidRPr="00F30A97">
              <w:lastRenderedPageBreak/>
              <w:t xml:space="preserve">ITU-T </w:t>
            </w:r>
          </w:p>
        </w:tc>
        <w:tc>
          <w:tcPr>
            <w:tcW w:w="2835" w:type="dxa"/>
            <w:vAlign w:val="center"/>
          </w:tcPr>
          <w:p w14:paraId="59B5BFE2" w14:textId="77777777" w:rsidR="0020782B" w:rsidRPr="00F30A97" w:rsidRDefault="0020782B" w:rsidP="00CE08CB">
            <w:pPr>
              <w:pStyle w:val="Tabletext"/>
            </w:pPr>
            <w:r w:rsidRPr="00F30A97">
              <w:t>SG15 – Networks, technologies and infrastructures for transport, access and home</w:t>
            </w:r>
          </w:p>
        </w:tc>
        <w:tc>
          <w:tcPr>
            <w:tcW w:w="4961" w:type="dxa"/>
          </w:tcPr>
          <w:p w14:paraId="2C8F2CC6" w14:textId="200B969F" w:rsidR="0020782B" w:rsidRPr="00F30A97" w:rsidRDefault="0020782B" w:rsidP="00CE08CB">
            <w:pPr>
              <w:pStyle w:val="Tabletext"/>
            </w:pPr>
            <w:r w:rsidRPr="00F30A97">
              <w:t>The international standards (ITU-T Recommendations) developed by Study Group 15 detail technical specifications giving shape to global communication infrastructure. The group</w:t>
            </w:r>
            <w:r w:rsidR="00644FA2" w:rsidRPr="00F30A97">
              <w:t>'</w:t>
            </w:r>
            <w:r w:rsidRPr="00F30A97">
              <w:t>s standards define technologies and architectures of optical transport networks enabling long-haul global information exchange; fibre- or copper-based access networks through which subscribers connect; and home networks connecting in-premises devices and interfacing with the outside world.</w:t>
            </w:r>
          </w:p>
          <w:p w14:paraId="0BB58272" w14:textId="77777777" w:rsidR="0020782B" w:rsidRPr="00F30A97" w:rsidRDefault="0020782B" w:rsidP="00CE08CB">
            <w:pPr>
              <w:pStyle w:val="Tabletext"/>
            </w:pPr>
            <w:r w:rsidRPr="00F30A97">
              <w:rPr>
                <w:b/>
                <w:bCs/>
              </w:rPr>
              <w:t>Source:</w:t>
            </w:r>
            <w:r w:rsidRPr="00F30A97">
              <w:t xml:space="preserve"> </w:t>
            </w:r>
            <w:hyperlink r:id="rId96" w:history="1">
              <w:r w:rsidRPr="00F30A97">
                <w:rPr>
                  <w:rStyle w:val="Hyperlink"/>
                  <w:sz w:val="20"/>
                </w:rPr>
                <w:t>https://www.itu.int/en/ITU-T/studygroups/2022-2024/15/Pages/default.aspx</w:t>
              </w:r>
            </w:hyperlink>
            <w:r w:rsidRPr="00F30A97">
              <w:t xml:space="preserve"> </w:t>
            </w:r>
          </w:p>
        </w:tc>
      </w:tr>
      <w:tr w:rsidR="0020782B" w:rsidRPr="00F30A97" w14:paraId="44301E8B" w14:textId="77777777" w:rsidTr="00C2623D">
        <w:trPr>
          <w:trHeight w:val="290"/>
        </w:trPr>
        <w:tc>
          <w:tcPr>
            <w:tcW w:w="1980" w:type="dxa"/>
            <w:vAlign w:val="center"/>
          </w:tcPr>
          <w:p w14:paraId="139A9A92" w14:textId="77777777" w:rsidR="0020782B" w:rsidRPr="00F30A97" w:rsidRDefault="0020782B" w:rsidP="00CE08CB">
            <w:pPr>
              <w:pStyle w:val="Tabletext"/>
            </w:pPr>
            <w:r w:rsidRPr="00F30A97">
              <w:t xml:space="preserve">ITU-T </w:t>
            </w:r>
          </w:p>
        </w:tc>
        <w:tc>
          <w:tcPr>
            <w:tcW w:w="2835" w:type="dxa"/>
            <w:vAlign w:val="center"/>
          </w:tcPr>
          <w:p w14:paraId="2D287E46" w14:textId="77777777" w:rsidR="0020782B" w:rsidRPr="00F30A97" w:rsidRDefault="0020782B" w:rsidP="00CE08CB">
            <w:pPr>
              <w:pStyle w:val="Tabletext"/>
            </w:pPr>
            <w:r w:rsidRPr="00F30A97">
              <w:t>SG16 – Multimedia and related digital technologies</w:t>
            </w:r>
          </w:p>
        </w:tc>
        <w:tc>
          <w:tcPr>
            <w:tcW w:w="4961" w:type="dxa"/>
          </w:tcPr>
          <w:p w14:paraId="058115DB" w14:textId="77777777" w:rsidR="0020782B" w:rsidRPr="00F30A97" w:rsidRDefault="0020782B" w:rsidP="00CE08CB">
            <w:pPr>
              <w:pStyle w:val="Tabletext"/>
            </w:pPr>
            <w:r w:rsidRPr="00F30A97">
              <w:t>ITU-T Study Group 16 is responsible for studies relating to ubiquitous multimedia applications, multimedia capabilities, multimedia services and multimedia applications for existing and future networks. This encompasses information and communication technologies (ICTs) for multimedia systems, applications, terminals and delivery platforms; accessibility for digital inclusion; ICTs for active assisted living; human interfaces; multimedia aspects of distributed ledger technologies; media and signal coding and systems; and digital multimedia services in various verticals (health, culture, mobility, etc.).</w:t>
            </w:r>
          </w:p>
        </w:tc>
      </w:tr>
      <w:tr w:rsidR="0020782B" w:rsidRPr="00F30A97" w14:paraId="387D5F9B" w14:textId="77777777" w:rsidTr="00C2623D">
        <w:trPr>
          <w:trHeight w:val="290"/>
        </w:trPr>
        <w:tc>
          <w:tcPr>
            <w:tcW w:w="1980" w:type="dxa"/>
            <w:vAlign w:val="center"/>
          </w:tcPr>
          <w:p w14:paraId="051085E1" w14:textId="77777777" w:rsidR="0020782B" w:rsidRPr="00F30A97" w:rsidRDefault="0020782B" w:rsidP="00CE08CB">
            <w:pPr>
              <w:pStyle w:val="Tabletext"/>
            </w:pPr>
            <w:r w:rsidRPr="00F30A97">
              <w:t>ITU-T</w:t>
            </w:r>
          </w:p>
        </w:tc>
        <w:tc>
          <w:tcPr>
            <w:tcW w:w="2835" w:type="dxa"/>
            <w:vAlign w:val="center"/>
          </w:tcPr>
          <w:p w14:paraId="65ECB1DF" w14:textId="77777777" w:rsidR="0020782B" w:rsidRPr="00F30A97" w:rsidRDefault="0020782B" w:rsidP="00CE08CB">
            <w:pPr>
              <w:pStyle w:val="Tabletext"/>
            </w:pPr>
            <w:r w:rsidRPr="00F30A97">
              <w:t>SG20 – Internet of Things (IoT) and smart cities and communities</w:t>
            </w:r>
          </w:p>
        </w:tc>
        <w:tc>
          <w:tcPr>
            <w:tcW w:w="4961" w:type="dxa"/>
          </w:tcPr>
          <w:p w14:paraId="4470AD80" w14:textId="77777777" w:rsidR="0020782B" w:rsidRPr="00F30A97" w:rsidRDefault="0020782B" w:rsidP="00CE08CB">
            <w:pPr>
              <w:pStyle w:val="Tabletext"/>
            </w:pPr>
            <w:r w:rsidRPr="00F30A97">
              <w:t>ITU-T Study Group is the lead on</w:t>
            </w:r>
          </w:p>
          <w:p w14:paraId="31BCDA26" w14:textId="7DA303B5" w:rsidR="0020782B" w:rsidRPr="00F30A97" w:rsidRDefault="00486BFE" w:rsidP="00CE08CB">
            <w:pPr>
              <w:pStyle w:val="Tabletext"/>
            </w:pPr>
            <w:r w:rsidRPr="00F30A97">
              <w:t>–</w:t>
            </w:r>
            <w:r w:rsidRPr="00F30A97">
              <w:tab/>
            </w:r>
            <w:r w:rsidR="0020782B" w:rsidRPr="00F30A97">
              <w:t>Internet of Things and its applications</w:t>
            </w:r>
          </w:p>
          <w:p w14:paraId="3509A4B2" w14:textId="6BB86BC7" w:rsidR="0020782B" w:rsidRPr="00F30A97" w:rsidRDefault="00486BFE" w:rsidP="00CE08CB">
            <w:pPr>
              <w:pStyle w:val="Tabletext"/>
              <w:ind w:left="284" w:hanging="284"/>
            </w:pPr>
            <w:r w:rsidRPr="00F30A97">
              <w:t>–</w:t>
            </w:r>
            <w:r w:rsidRPr="00F30A97">
              <w:tab/>
            </w:r>
            <w:r w:rsidR="0020782B" w:rsidRPr="00F30A97">
              <w:t>smart cities and communities and related digital services</w:t>
            </w:r>
          </w:p>
          <w:p w14:paraId="4DFFFFAE" w14:textId="5D44AA55" w:rsidR="0020782B" w:rsidRPr="00F30A97" w:rsidRDefault="00486BFE" w:rsidP="00CE08CB">
            <w:pPr>
              <w:pStyle w:val="Tabletext"/>
              <w:ind w:left="284" w:hanging="284"/>
            </w:pPr>
            <w:r w:rsidRPr="00F30A97">
              <w:t>–</w:t>
            </w:r>
            <w:r w:rsidRPr="00F30A97">
              <w:tab/>
            </w:r>
            <w:r w:rsidR="0020782B" w:rsidRPr="00F30A97">
              <w:t>Internet of Things identification</w:t>
            </w:r>
          </w:p>
          <w:p w14:paraId="710086D5" w14:textId="304770DB" w:rsidR="0020782B" w:rsidRPr="00F30A97" w:rsidRDefault="00486BFE" w:rsidP="00CE08CB">
            <w:pPr>
              <w:pStyle w:val="Tabletext"/>
              <w:ind w:left="284" w:hanging="284"/>
            </w:pPr>
            <w:r w:rsidRPr="00F30A97">
              <w:t>–</w:t>
            </w:r>
            <w:r w:rsidRPr="00F30A97">
              <w:tab/>
            </w:r>
            <w:r w:rsidR="0020782B" w:rsidRPr="00F30A97">
              <w:t>digital health related to Internet of Things and smart cities and communities</w:t>
            </w:r>
          </w:p>
          <w:p w14:paraId="3C41844D" w14:textId="77777777" w:rsidR="0020782B" w:rsidRPr="00F30A97" w:rsidRDefault="0020782B" w:rsidP="00CE08CB">
            <w:pPr>
              <w:pStyle w:val="Tabletext"/>
            </w:pPr>
            <w:r w:rsidRPr="00F30A97">
              <w:rPr>
                <w:b/>
                <w:bCs/>
              </w:rPr>
              <w:t>Source:</w:t>
            </w:r>
            <w:r w:rsidRPr="00F30A97">
              <w:t xml:space="preserve"> </w:t>
            </w:r>
            <w:hyperlink r:id="rId97" w:history="1">
              <w:r w:rsidRPr="00F30A97">
                <w:rPr>
                  <w:rStyle w:val="Hyperlink"/>
                  <w:sz w:val="20"/>
                </w:rPr>
                <w:t>https://www.itu.int/en/ITU-T/studygroups/2022-2024/20/Pages/default.aspx</w:t>
              </w:r>
            </w:hyperlink>
            <w:r w:rsidRPr="00F30A97">
              <w:t xml:space="preserve"> </w:t>
            </w:r>
          </w:p>
        </w:tc>
      </w:tr>
      <w:tr w:rsidR="0020782B" w:rsidRPr="00F30A97" w14:paraId="1ECE2ED7" w14:textId="77777777" w:rsidTr="00C2623D">
        <w:trPr>
          <w:trHeight w:val="290"/>
        </w:trPr>
        <w:tc>
          <w:tcPr>
            <w:tcW w:w="1980" w:type="dxa"/>
            <w:vAlign w:val="center"/>
          </w:tcPr>
          <w:p w14:paraId="3CC98AC9" w14:textId="77777777" w:rsidR="0020782B" w:rsidRPr="00F30A97" w:rsidRDefault="0020782B" w:rsidP="00CE08CB">
            <w:pPr>
              <w:pStyle w:val="Tabletext"/>
            </w:pPr>
            <w:r w:rsidRPr="00F30A97">
              <w:t>ITU-T</w:t>
            </w:r>
          </w:p>
        </w:tc>
        <w:tc>
          <w:tcPr>
            <w:tcW w:w="2835" w:type="dxa"/>
            <w:vAlign w:val="center"/>
          </w:tcPr>
          <w:p w14:paraId="1ADE13D1" w14:textId="77777777" w:rsidR="0020782B" w:rsidRPr="00F30A97" w:rsidRDefault="0020782B" w:rsidP="00CE08CB">
            <w:pPr>
              <w:pStyle w:val="Tabletext"/>
            </w:pPr>
            <w:r w:rsidRPr="00F30A97">
              <w:t>Focus Group on Smart Sustainable Cities (FG-SSC)</w:t>
            </w:r>
          </w:p>
        </w:tc>
        <w:tc>
          <w:tcPr>
            <w:tcW w:w="4961" w:type="dxa"/>
          </w:tcPr>
          <w:p w14:paraId="54AB07C0" w14:textId="77777777" w:rsidR="0020782B" w:rsidRPr="00F30A97" w:rsidRDefault="0020782B" w:rsidP="00CE08CB">
            <w:pPr>
              <w:pStyle w:val="Tabletext"/>
            </w:pPr>
            <w:r w:rsidRPr="00F30A97">
              <w:t>The FG-SSC acted as an open platform for smart-city stakeholders – such as municipalities; academic and research institutes; non-governmental organizations (NGOs); and ICT organizations, industry forums and consortia – to exchange knowledge in the interests of identifying the standardized frameworks needed to support the integration of ICT services in smart cities.</w:t>
            </w:r>
          </w:p>
          <w:p w14:paraId="40552DE3" w14:textId="77777777" w:rsidR="0020782B" w:rsidRPr="00F30A97" w:rsidRDefault="0020782B" w:rsidP="00CE08CB">
            <w:pPr>
              <w:pStyle w:val="Tabletext"/>
            </w:pPr>
            <w:r w:rsidRPr="00F30A97">
              <w:rPr>
                <w:b/>
                <w:bCs/>
              </w:rPr>
              <w:t>Source:</w:t>
            </w:r>
            <w:r w:rsidRPr="00F30A97">
              <w:t xml:space="preserve"> </w:t>
            </w:r>
            <w:hyperlink r:id="rId98" w:history="1">
              <w:r w:rsidRPr="00F30A97">
                <w:rPr>
                  <w:rStyle w:val="Hyperlink"/>
                  <w:sz w:val="20"/>
                </w:rPr>
                <w:t>https://www.itu.int/en/ITU-T/focusgroups/ssc/Pages/default.aspx</w:t>
              </w:r>
            </w:hyperlink>
            <w:r w:rsidRPr="00F30A97">
              <w:t xml:space="preserve"> </w:t>
            </w:r>
          </w:p>
        </w:tc>
      </w:tr>
    </w:tbl>
    <w:p w14:paraId="2712ADB5" w14:textId="5B35CE5D" w:rsidR="00B46FF3" w:rsidRPr="00F30A97" w:rsidRDefault="00DF3A5B" w:rsidP="00CE08CB">
      <w:pPr>
        <w:jc w:val="center"/>
      </w:pPr>
      <w:r w:rsidRPr="00F30A97">
        <w:t>___________________</w:t>
      </w:r>
    </w:p>
    <w:sectPr w:rsidR="00B46FF3" w:rsidRPr="00F30A97" w:rsidSect="009A64BD">
      <w:headerReference w:type="even" r:id="rId99"/>
      <w:type w:val="oddPage"/>
      <w:pgSz w:w="11907" w:h="16834" w:code="9"/>
      <w:pgMar w:top="1134" w:right="1134" w:bottom="1134" w:left="1134" w:header="567" w:footer="567" w:gutter="0"/>
      <w:paperSrc w:first="15" w:other="15"/>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D8757" w14:textId="77777777" w:rsidR="00411E8E" w:rsidRDefault="00411E8E">
      <w:r>
        <w:separator/>
      </w:r>
    </w:p>
  </w:endnote>
  <w:endnote w:type="continuationSeparator" w:id="0">
    <w:p w14:paraId="7BD41BD9" w14:textId="77777777" w:rsidR="00411E8E" w:rsidRDefault="00411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Next W1G Medium">
    <w:altName w:val="Calibri"/>
    <w:panose1 w:val="00000000000000000000"/>
    <w:charset w:val="00"/>
    <w:family w:val="swiss"/>
    <w:notTrueType/>
    <w:pitch w:val="variable"/>
    <w:sig w:usb0="A00002EF" w:usb1="0000000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17354" w14:textId="77777777" w:rsidR="00C2623D" w:rsidRDefault="00C2623D" w:rsidP="00CE6FB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F9D8" w14:textId="53654F6E" w:rsidR="00C2623D" w:rsidRPr="008F0E27" w:rsidRDefault="00C2623D" w:rsidP="008F0E27">
    <w:pPr>
      <w:pStyle w:val="Footer"/>
      <w:tabs>
        <w:tab w:val="clear" w:pos="5954"/>
        <w:tab w:val="left" w:pos="851"/>
        <w:tab w:val="right" w:pos="9072"/>
      </w:tabs>
      <w:jc w:val="left"/>
      <w:rPr>
        <w:b/>
        <w:bCs/>
      </w:rPr>
    </w:pPr>
    <w:r w:rsidRPr="00926B6C">
      <w:fldChar w:fldCharType="begin"/>
    </w:r>
    <w:r w:rsidRPr="00926B6C">
      <w:instrText xml:space="preserve"> PAGE </w:instrText>
    </w:r>
    <w:r w:rsidRPr="00926B6C">
      <w:fldChar w:fldCharType="separate"/>
    </w:r>
    <w:r>
      <w:t>ii</w:t>
    </w:r>
    <w:r w:rsidRPr="00926B6C">
      <w:fldChar w:fldCharType="end"/>
    </w:r>
    <w:r>
      <w:tab/>
    </w:r>
    <w:r w:rsidRPr="000542C8">
      <w:rPr>
        <w:b/>
        <w:bCs/>
      </w:rPr>
      <w:t>FG-AI4NDM Roadmap</w:t>
    </w:r>
    <w:r>
      <w:rPr>
        <w:b/>
        <w:bCs/>
      </w:rPr>
      <w:t xml:space="preserve"> (2022-12)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C19B7" w14:textId="0A051B95" w:rsidR="00C2623D" w:rsidRPr="008F0E27" w:rsidRDefault="00C2623D" w:rsidP="008F0E27">
    <w:pPr>
      <w:pStyle w:val="Footer"/>
      <w:tabs>
        <w:tab w:val="clear" w:pos="5954"/>
        <w:tab w:val="right" w:pos="8789"/>
      </w:tabs>
      <w:jc w:val="right"/>
      <w:rPr>
        <w:b/>
        <w:bCs/>
      </w:rPr>
    </w:pPr>
    <w:r w:rsidRPr="00926B6C">
      <w:rPr>
        <w:b/>
        <w:bCs/>
      </w:rPr>
      <w:tab/>
    </w:r>
    <w:r w:rsidRPr="000542C8">
      <w:rPr>
        <w:b/>
        <w:bCs/>
      </w:rPr>
      <w:t>FG-AI4NDM Roadmap</w:t>
    </w:r>
    <w:r>
      <w:rPr>
        <w:b/>
        <w:bCs/>
      </w:rPr>
      <w:t xml:space="preserve"> (2022-12)</w:t>
    </w:r>
    <w:r w:rsidRPr="00926B6C">
      <w:rPr>
        <w:b/>
        <w:bCs/>
      </w:rPr>
      <w:tab/>
    </w:r>
    <w:r w:rsidRPr="00926B6C">
      <w:fldChar w:fldCharType="begin"/>
    </w:r>
    <w:r w:rsidRPr="00926B6C">
      <w:instrText xml:space="preserve"> PAGE </w:instrText>
    </w:r>
    <w:r w:rsidRPr="00926B6C">
      <w:fldChar w:fldCharType="separate"/>
    </w:r>
    <w:r>
      <w:t>i</w:t>
    </w:r>
    <w:r w:rsidRPr="00926B6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D7798" w14:textId="77777777" w:rsidR="00411E8E" w:rsidRDefault="00411E8E">
      <w:r>
        <w:t>____________________</w:t>
      </w:r>
    </w:p>
  </w:footnote>
  <w:footnote w:type="continuationSeparator" w:id="0">
    <w:p w14:paraId="6C67CF99" w14:textId="77777777" w:rsidR="00411E8E" w:rsidRDefault="00411E8E">
      <w:r>
        <w:continuationSeparator/>
      </w:r>
    </w:p>
  </w:footnote>
  <w:footnote w:id="1">
    <w:p w14:paraId="6EC8F2E1" w14:textId="35F73A33" w:rsidR="00C2623D" w:rsidRDefault="00C2623D" w:rsidP="0020782B">
      <w:pPr>
        <w:pStyle w:val="FootnoteText"/>
      </w:pPr>
      <w:r>
        <w:rPr>
          <w:rStyle w:val="FootnoteReference"/>
        </w:rPr>
        <w:footnoteRef/>
      </w:r>
      <w:r>
        <w:t xml:space="preserve"> </w:t>
      </w:r>
      <w:r>
        <w:tab/>
        <w:t>For instance, [</w:t>
      </w:r>
      <w:r w:rsidRPr="003510C2">
        <w:t>ITU-T Q.5050</w:t>
      </w:r>
      <w:r>
        <w:t>].</w:t>
      </w:r>
    </w:p>
  </w:footnote>
  <w:footnote w:id="2">
    <w:p w14:paraId="27EDD3F4" w14:textId="6BE46758" w:rsidR="00C2623D" w:rsidRPr="00A2641E" w:rsidRDefault="00C2623D">
      <w:pPr>
        <w:pStyle w:val="FootnoteText"/>
        <w:rPr>
          <w:lang w:val="fr-CH"/>
        </w:rPr>
      </w:pPr>
      <w:r>
        <w:rPr>
          <w:rStyle w:val="FootnoteReference"/>
        </w:rPr>
        <w:footnoteRef/>
      </w:r>
      <w:r>
        <w:t xml:space="preserve"> </w:t>
      </w:r>
      <w:r>
        <w:rPr>
          <w:lang w:val="fr-CH"/>
        </w:rPr>
        <w:tab/>
      </w:r>
      <w:r>
        <w:t>ITU-T SG2, ITU-T SG5, ITU-T SG11, ITU-T SG13, ITU-T SG16, ITU-T SG20, ITU-T JCA-AHF, ITU</w:t>
      </w:r>
      <w:r>
        <w:noBreakHyphen/>
        <w:t>T JCA-IoT, ITU-T SC&amp;C, ITU/WHO FG-AI4H, and ITU-T FG-AI4EE; ITU-D SG1 and ITU-D SG2; ITU</w:t>
      </w:r>
      <w:r>
        <w:noBreakHyphen/>
        <w:t>R SG5 and ITU-R SG7; ISO TC292; ETSI EMTEL; IEC Syc Smart Cities; and ETC) and UN bodies (i.e., WMO, UN Environment, UNHCR, IOM, UNDRR, UNFCCC, World Bank, UNOOSA, and UN GGIM.</w:t>
      </w:r>
    </w:p>
  </w:footnote>
  <w:footnote w:id="3">
    <w:p w14:paraId="4C118B56" w14:textId="6FA2A0AC" w:rsidR="00C2623D" w:rsidRPr="00E52B6C" w:rsidRDefault="00C2623D" w:rsidP="00520463">
      <w:pPr>
        <w:pStyle w:val="FootnoteText"/>
        <w:rPr>
          <w:sz w:val="20"/>
          <w:lang w:val="fr-CH"/>
        </w:rPr>
      </w:pPr>
      <w:r>
        <w:rPr>
          <w:rStyle w:val="FootnoteReference"/>
        </w:rPr>
        <w:footnoteRef/>
      </w:r>
      <w:r w:rsidRPr="00E52B6C">
        <w:rPr>
          <w:sz w:val="20"/>
          <w:lang w:val="fr-CH"/>
        </w:rPr>
        <w:t xml:space="preserve"> </w:t>
      </w:r>
      <w:r w:rsidRPr="00E52B6C">
        <w:rPr>
          <w:sz w:val="20"/>
          <w:lang w:val="fr-CH"/>
        </w:rPr>
        <w:tab/>
        <w:t>https://www.surveymonkey.de/r/T2SZ5RX</w:t>
      </w:r>
    </w:p>
  </w:footnote>
  <w:footnote w:id="4">
    <w:p w14:paraId="131BC6C3" w14:textId="436C153A" w:rsidR="00C2623D" w:rsidRPr="0004021B" w:rsidRDefault="00C2623D">
      <w:pPr>
        <w:pStyle w:val="FootnoteText"/>
        <w:rPr>
          <w:lang w:val="en-US"/>
        </w:rPr>
      </w:pPr>
      <w:r>
        <w:rPr>
          <w:rStyle w:val="FootnoteReference"/>
        </w:rPr>
        <w:footnoteRef/>
      </w:r>
      <w:r>
        <w:t xml:space="preserve"> Out of the 45 standards collected, 42 were a part of the analysis as the remaining three were not publicly made available.</w:t>
      </w:r>
    </w:p>
  </w:footnote>
  <w:footnote w:id="5">
    <w:p w14:paraId="39BF4CE4" w14:textId="77777777" w:rsidR="00C2623D" w:rsidRPr="00E36C99" w:rsidRDefault="00C2623D" w:rsidP="00520463">
      <w:pPr>
        <w:pStyle w:val="FootnoteText"/>
        <w:rPr>
          <w:lang w:val="en-US"/>
        </w:rPr>
      </w:pPr>
      <w:r>
        <w:rPr>
          <w:rStyle w:val="FootnoteReference"/>
        </w:rPr>
        <w:footnoteRef/>
      </w:r>
      <w:r>
        <w:t xml:space="preserve"> </w:t>
      </w:r>
      <w:r>
        <w:tab/>
      </w:r>
      <w:r w:rsidRPr="00E36C99">
        <w:t>Those accompanied by an asterisk (*) were included in the analysis</w:t>
      </w:r>
      <w:r>
        <w:t>.</w:t>
      </w:r>
    </w:p>
  </w:footnote>
  <w:footnote w:id="6">
    <w:p w14:paraId="35A540E4" w14:textId="727A07A7" w:rsidR="00C2623D" w:rsidRPr="00E52B6C" w:rsidRDefault="00C2623D">
      <w:pPr>
        <w:pStyle w:val="FootnoteText"/>
      </w:pPr>
      <w:r>
        <w:rPr>
          <w:rStyle w:val="FootnoteReference"/>
        </w:rPr>
        <w:footnoteRef/>
      </w:r>
      <w:r>
        <w:t xml:space="preserve"> </w:t>
      </w:r>
      <w:r>
        <w:tab/>
      </w:r>
      <w:r>
        <w:rPr>
          <w:sz w:val="20"/>
        </w:rPr>
        <w:t xml:space="preserve">A use case entitled "Unified Methodology for Windstorm and Hailstorm Hazard Modeling and Mapping" was submitted to FG-AI4NDM from Mitiga Solutions. The use-case was included under the </w:t>
      </w:r>
      <w:r w:rsidRPr="00CC1A3A">
        <w:rPr>
          <w:i/>
          <w:iCs/>
          <w:sz w:val="20"/>
        </w:rPr>
        <w:t>Topic Group-AI for Hail and Windstorm Hazard Mapping</w:t>
      </w:r>
    </w:p>
  </w:footnote>
  <w:footnote w:id="7">
    <w:p w14:paraId="165CE319" w14:textId="5E8C1CDB" w:rsidR="00C2623D" w:rsidRDefault="00C2623D" w:rsidP="00B40627">
      <w:pPr>
        <w:pStyle w:val="FootnoteText"/>
        <w:rPr>
          <w:sz w:val="16"/>
          <w:szCs w:val="16"/>
        </w:rPr>
      </w:pPr>
      <w:r>
        <w:rPr>
          <w:rStyle w:val="FootnoteReference"/>
        </w:rPr>
        <w:footnoteRef/>
      </w:r>
      <w:r>
        <w:rPr>
          <w:sz w:val="20"/>
        </w:rPr>
        <w:tab/>
        <w:t xml:space="preserve">A use case entitled "Identification and Classification of Pest Infested Coniferous Forest Using AI" from </w:t>
      </w:r>
      <w:r w:rsidRPr="00CC1A3A">
        <w:rPr>
          <w:sz w:val="20"/>
        </w:rPr>
        <w:t xml:space="preserve">Yamagata University </w:t>
      </w:r>
      <w:r>
        <w:rPr>
          <w:sz w:val="20"/>
        </w:rPr>
        <w:t xml:space="preserve">was submitted to FG-AI4NDM. The use-case was included under the </w:t>
      </w:r>
      <w:r w:rsidRPr="00CC1A3A">
        <w:rPr>
          <w:i/>
          <w:iCs/>
          <w:sz w:val="20"/>
        </w:rPr>
        <w:t>Topic Group-AI for Insect Plague Monitoring and Detection</w:t>
      </w:r>
      <w:r>
        <w:rPr>
          <w:sz w:val="20"/>
        </w:rPr>
        <w:t>.</w:t>
      </w:r>
    </w:p>
  </w:footnote>
  <w:footnote w:id="8">
    <w:p w14:paraId="0480FAF2" w14:textId="79E585D8" w:rsidR="00C2623D" w:rsidRDefault="00C2623D" w:rsidP="00B40627">
      <w:pPr>
        <w:pStyle w:val="FootnoteText"/>
        <w:rPr>
          <w:sz w:val="16"/>
          <w:szCs w:val="16"/>
        </w:rPr>
      </w:pPr>
      <w:r>
        <w:rPr>
          <w:rStyle w:val="FootnoteReference"/>
        </w:rPr>
        <w:footnoteRef/>
      </w:r>
      <w:r>
        <w:rPr>
          <w:sz w:val="20"/>
        </w:rPr>
        <w:t xml:space="preserve"> </w:t>
      </w:r>
      <w:r>
        <w:rPr>
          <w:sz w:val="20"/>
        </w:rPr>
        <w:tab/>
        <w:t xml:space="preserve">A use case entitled "Towards Forecasting Eruptions Using Machine Learning of Volcano Seismic Data" from </w:t>
      </w:r>
      <w:r w:rsidRPr="00C1623C">
        <w:rPr>
          <w:sz w:val="20"/>
        </w:rPr>
        <w:t>Institut des Sciences de la Terre</w:t>
      </w:r>
      <w:r>
        <w:rPr>
          <w:sz w:val="20"/>
        </w:rPr>
        <w:t xml:space="preserve"> and </w:t>
      </w:r>
      <w:r w:rsidRPr="00C1623C">
        <w:rPr>
          <w:sz w:val="20"/>
        </w:rPr>
        <w:t>University of Michigan</w:t>
      </w:r>
      <w:r>
        <w:rPr>
          <w:sz w:val="20"/>
        </w:rPr>
        <w:t xml:space="preserve">. </w:t>
      </w:r>
      <w:r w:rsidRPr="00C1623C">
        <w:rPr>
          <w:sz w:val="20"/>
        </w:rPr>
        <w:t>The use-case was included under the</w:t>
      </w:r>
      <w:r>
        <w:rPr>
          <w:sz w:val="20"/>
        </w:rPr>
        <w:t xml:space="preserve"> </w:t>
      </w:r>
      <w:r w:rsidRPr="00C1623C">
        <w:rPr>
          <w:i/>
          <w:iCs/>
          <w:sz w:val="20"/>
        </w:rPr>
        <w:t>Topic Group-AI for Volcanic Eruption Forecasting</w:t>
      </w:r>
      <w:r>
        <w:rPr>
          <w:sz w:val="20"/>
        </w:rPr>
        <w:t>.</w:t>
      </w:r>
    </w:p>
  </w:footnote>
  <w:footnote w:id="9">
    <w:p w14:paraId="6327C69E" w14:textId="71A2397F" w:rsidR="00C2623D" w:rsidRDefault="00C2623D" w:rsidP="00B40627">
      <w:pPr>
        <w:pStyle w:val="FootnoteText"/>
        <w:rPr>
          <w:sz w:val="16"/>
          <w:szCs w:val="16"/>
        </w:rPr>
      </w:pPr>
      <w:r>
        <w:rPr>
          <w:rStyle w:val="FootnoteReference"/>
        </w:rPr>
        <w:footnoteRef/>
      </w:r>
      <w:r>
        <w:rPr>
          <w:sz w:val="20"/>
        </w:rPr>
        <w:tab/>
        <w:t xml:space="preserve">A use case entitled "Using ML to Reconstruct Flooded Area under Clouds in Optical Satellite Images: The Mozambique Use Case" from RSS Hydro was submitted to FG-AI4NDM. </w:t>
      </w:r>
      <w:bookmarkStart w:id="56" w:name="_Hlk123157751"/>
      <w:r w:rsidRPr="00AF7263">
        <w:rPr>
          <w:sz w:val="20"/>
        </w:rPr>
        <w:t>The use-case was included under the</w:t>
      </w:r>
      <w:r>
        <w:rPr>
          <w:sz w:val="20"/>
        </w:rPr>
        <w:t xml:space="preserve"> </w:t>
      </w:r>
      <w:r w:rsidRPr="00AF7263">
        <w:rPr>
          <w:i/>
          <w:iCs/>
          <w:sz w:val="20"/>
        </w:rPr>
        <w:t>Topic Group-AI for Flood Monitoring and Detection</w:t>
      </w:r>
      <w:r>
        <w:rPr>
          <w:sz w:val="20"/>
        </w:rPr>
        <w:t>.</w:t>
      </w:r>
    </w:p>
    <w:bookmarkEnd w:id="56"/>
  </w:footnote>
  <w:footnote w:id="10">
    <w:p w14:paraId="07FB77CA" w14:textId="578D1E41" w:rsidR="00C2623D" w:rsidRDefault="00C2623D" w:rsidP="00B40627">
      <w:pPr>
        <w:pStyle w:val="FootnoteText"/>
        <w:rPr>
          <w:sz w:val="20"/>
        </w:rPr>
      </w:pPr>
      <w:r>
        <w:rPr>
          <w:rStyle w:val="FootnoteReference"/>
        </w:rPr>
        <w:footnoteRef/>
      </w:r>
      <w:r>
        <w:rPr>
          <w:sz w:val="20"/>
        </w:rPr>
        <w:t xml:space="preserve"> </w:t>
      </w:r>
      <w:r>
        <w:rPr>
          <w:sz w:val="20"/>
        </w:rPr>
        <w:tab/>
        <w:t>A use case entitled "</w:t>
      </w:r>
      <w:r>
        <w:rPr>
          <w:sz w:val="20"/>
          <w:highlight w:val="white"/>
        </w:rPr>
        <w:t>Enabling Natural Hazards Risk Information Sharing Using Derived Products of Export-Restricted Real-Time GNSS Data for Detection of Ionospheric Total Electron Disturbances</w:t>
      </w:r>
      <w:r>
        <w:rPr>
          <w:sz w:val="20"/>
        </w:rPr>
        <w:t xml:space="preserve">" from NASA </w:t>
      </w:r>
      <w:r w:rsidRPr="00AF7263">
        <w:rPr>
          <w:sz w:val="20"/>
        </w:rPr>
        <w:t xml:space="preserve">Jet Propulsion Laboratory </w:t>
      </w:r>
      <w:r>
        <w:rPr>
          <w:sz w:val="20"/>
        </w:rPr>
        <w:t xml:space="preserve">was submitted to FG-AI4NDM. </w:t>
      </w:r>
      <w:r w:rsidRPr="00AF7263">
        <w:rPr>
          <w:sz w:val="20"/>
        </w:rPr>
        <w:t>The use-case was included under the</w:t>
      </w:r>
      <w:r>
        <w:rPr>
          <w:sz w:val="20"/>
        </w:rPr>
        <w:t xml:space="preserve"> </w:t>
      </w:r>
      <w:r w:rsidRPr="00AF7263">
        <w:rPr>
          <w:i/>
          <w:iCs/>
          <w:sz w:val="20"/>
        </w:rPr>
        <w:t>Topic Group-AI for Geodetic Enhancements to Tsunami Monitoring and Detection</w:t>
      </w:r>
      <w:r>
        <w:rPr>
          <w:sz w:val="20"/>
        </w:rPr>
        <w:t>.</w:t>
      </w:r>
    </w:p>
  </w:footnote>
  <w:footnote w:id="11">
    <w:p w14:paraId="552F326F" w14:textId="0285DA3A" w:rsidR="00C2623D" w:rsidRDefault="00C2623D" w:rsidP="00B40627">
      <w:pPr>
        <w:pStyle w:val="FootnoteText"/>
        <w:rPr>
          <w:sz w:val="16"/>
          <w:szCs w:val="16"/>
        </w:rPr>
      </w:pPr>
      <w:r>
        <w:rPr>
          <w:rStyle w:val="FootnoteReference"/>
        </w:rPr>
        <w:footnoteRef/>
      </w:r>
      <w:r>
        <w:rPr>
          <w:sz w:val="20"/>
          <w:highlight w:val="white"/>
        </w:rPr>
        <w:tab/>
        <w:t>FG-AI4NDM is developing a Technical Report on "AI for Modeling."</w:t>
      </w:r>
    </w:p>
  </w:footnote>
  <w:footnote w:id="12">
    <w:p w14:paraId="0EAEB30E" w14:textId="57778FE9" w:rsidR="00C2623D" w:rsidRDefault="00C2623D" w:rsidP="00B40627">
      <w:pPr>
        <w:pStyle w:val="FootnoteText"/>
        <w:rPr>
          <w:sz w:val="16"/>
          <w:szCs w:val="16"/>
        </w:rPr>
      </w:pPr>
      <w:r>
        <w:rPr>
          <w:rStyle w:val="FootnoteReference"/>
        </w:rPr>
        <w:footnoteRef/>
      </w:r>
      <w:r>
        <w:rPr>
          <w:sz w:val="20"/>
        </w:rPr>
        <w:t xml:space="preserve"> </w:t>
      </w:r>
      <w:r>
        <w:rPr>
          <w:sz w:val="20"/>
        </w:rPr>
        <w:tab/>
        <w:t xml:space="preserve">A use case entitled "An Intelligent Big Data Analysis System for Wildfire Management" from </w:t>
      </w:r>
      <w:r w:rsidRPr="004324E6">
        <w:rPr>
          <w:sz w:val="20"/>
        </w:rPr>
        <w:t>China Academy of Information and Communications</w:t>
      </w:r>
      <w:r>
        <w:rPr>
          <w:sz w:val="20"/>
        </w:rPr>
        <w:t xml:space="preserve"> was submitted to FG-AI4NDM. </w:t>
      </w:r>
      <w:bookmarkStart w:id="58" w:name="_Hlk123157457"/>
      <w:r>
        <w:rPr>
          <w:sz w:val="20"/>
        </w:rPr>
        <w:t xml:space="preserve">The use-case was incorporated within </w:t>
      </w:r>
      <w:r w:rsidRPr="004324E6">
        <w:rPr>
          <w:i/>
          <w:iCs/>
          <w:sz w:val="20"/>
        </w:rPr>
        <w:t>Topic Group-AI for Wildfire Monitoring and Detection</w:t>
      </w:r>
      <w:r>
        <w:rPr>
          <w:sz w:val="20"/>
        </w:rPr>
        <w:t>.</w:t>
      </w:r>
    </w:p>
    <w:bookmarkEnd w:id="58"/>
  </w:footnote>
  <w:footnote w:id="13">
    <w:p w14:paraId="5F17D4AF" w14:textId="48D9A75D" w:rsidR="00C2623D" w:rsidRDefault="00C2623D" w:rsidP="00B40627">
      <w:pPr>
        <w:pStyle w:val="FootnoteText"/>
        <w:rPr>
          <w:sz w:val="16"/>
          <w:szCs w:val="16"/>
        </w:rPr>
      </w:pPr>
      <w:r>
        <w:rPr>
          <w:rStyle w:val="FootnoteReference"/>
        </w:rPr>
        <w:footnoteRef/>
      </w:r>
      <w:r>
        <w:rPr>
          <w:sz w:val="20"/>
        </w:rPr>
        <w:t xml:space="preserve"> </w:t>
      </w:r>
      <w:r>
        <w:rPr>
          <w:sz w:val="20"/>
        </w:rPr>
        <w:tab/>
      </w:r>
      <w:r>
        <w:rPr>
          <w:sz w:val="20"/>
          <w:highlight w:val="white"/>
        </w:rPr>
        <w:t>FG-AI4NDM is developing the Technical Report on "Data for AI."</w:t>
      </w:r>
    </w:p>
  </w:footnote>
  <w:footnote w:id="14">
    <w:p w14:paraId="30472B0C" w14:textId="1ABF85F9" w:rsidR="00C2623D" w:rsidRDefault="00C2623D" w:rsidP="00B40627">
      <w:pPr>
        <w:pStyle w:val="FootnoteText"/>
        <w:rPr>
          <w:sz w:val="20"/>
        </w:rPr>
      </w:pPr>
      <w:r>
        <w:rPr>
          <w:rStyle w:val="FootnoteReference"/>
        </w:rPr>
        <w:footnoteRef/>
      </w:r>
      <w:r>
        <w:rPr>
          <w:sz w:val="20"/>
        </w:rPr>
        <w:t xml:space="preserve"> </w:t>
      </w:r>
      <w:r>
        <w:rPr>
          <w:sz w:val="20"/>
        </w:rPr>
        <w:tab/>
        <w:t>A use case entitled "</w:t>
      </w:r>
      <w:r>
        <w:rPr>
          <w:sz w:val="20"/>
          <w:highlight w:val="white"/>
        </w:rPr>
        <w:t>Multimodal Databases and Artificial Intelligence for Airborne Wildfire Detection and Monitoring</w:t>
      </w:r>
      <w:r>
        <w:rPr>
          <w:sz w:val="20"/>
        </w:rPr>
        <w:t xml:space="preserve">" from </w:t>
      </w:r>
      <w:r w:rsidRPr="004324E6">
        <w:rPr>
          <w:sz w:val="20"/>
        </w:rPr>
        <w:t>Universidade de Lisboa, University of Coimbra</w:t>
      </w:r>
      <w:r>
        <w:rPr>
          <w:sz w:val="20"/>
        </w:rPr>
        <w:t xml:space="preserve"> was submitted to FG-AI4NDM</w:t>
      </w:r>
      <w:r>
        <w:rPr>
          <w:sz w:val="20"/>
          <w:highlight w:val="white"/>
        </w:rPr>
        <w:t xml:space="preserve">. </w:t>
      </w:r>
      <w:r w:rsidRPr="004324E6">
        <w:rPr>
          <w:sz w:val="20"/>
          <w:highlight w:val="white"/>
        </w:rPr>
        <w:t xml:space="preserve">The use-case was incorporated within </w:t>
      </w:r>
      <w:r w:rsidRPr="004324E6">
        <w:rPr>
          <w:i/>
          <w:iCs/>
          <w:sz w:val="20"/>
          <w:highlight w:val="white"/>
        </w:rPr>
        <w:t>Topic Group-AI for Wildfire Monitoring and Detection</w:t>
      </w:r>
      <w:r w:rsidRPr="004324E6">
        <w:rPr>
          <w:sz w:val="20"/>
          <w:highlight w:val="white"/>
        </w:rPr>
        <w:t>.</w:t>
      </w:r>
    </w:p>
  </w:footnote>
  <w:footnote w:id="15">
    <w:p w14:paraId="354B2D4C" w14:textId="7D1FED4C" w:rsidR="00C2623D" w:rsidRDefault="00C2623D" w:rsidP="00B40627">
      <w:pPr>
        <w:pStyle w:val="FootnoteText"/>
        <w:rPr>
          <w:sz w:val="20"/>
        </w:rPr>
      </w:pPr>
      <w:r>
        <w:rPr>
          <w:rStyle w:val="FootnoteReference"/>
        </w:rPr>
        <w:footnoteRef/>
      </w:r>
      <w:r>
        <w:rPr>
          <w:sz w:val="20"/>
        </w:rPr>
        <w:t xml:space="preserve"> </w:t>
      </w:r>
      <w:r>
        <w:rPr>
          <w:sz w:val="20"/>
        </w:rPr>
        <w:tab/>
        <w:t>A use case entitled "</w:t>
      </w:r>
      <w:r>
        <w:rPr>
          <w:sz w:val="20"/>
          <w:highlight w:val="white"/>
        </w:rPr>
        <w:t xml:space="preserve">Utilizing AI &amp; Probabilistic Modeling for </w:t>
      </w:r>
      <w:r w:rsidRPr="00B40627">
        <w:rPr>
          <w:sz w:val="20"/>
        </w:rPr>
        <w:t>Strategic</w:t>
      </w:r>
      <w:r>
        <w:rPr>
          <w:sz w:val="20"/>
          <w:highlight w:val="white"/>
        </w:rPr>
        <w:t xml:space="preserve"> Resilience</w:t>
      </w:r>
      <w:r>
        <w:rPr>
          <w:sz w:val="20"/>
        </w:rPr>
        <w:t>" from One Concern was submitted to FG-AI4NDM</w:t>
      </w:r>
      <w:r>
        <w:rPr>
          <w:sz w:val="20"/>
          <w:highlight w:val="white"/>
        </w:rPr>
        <w:t xml:space="preserve">. </w:t>
      </w:r>
      <w:r>
        <w:rPr>
          <w:sz w:val="20"/>
        </w:rPr>
        <w:t xml:space="preserve">The use-case was incorporated within </w:t>
      </w:r>
      <w:r w:rsidRPr="00516A67">
        <w:rPr>
          <w:i/>
          <w:iCs/>
          <w:sz w:val="20"/>
        </w:rPr>
        <w:t>Topic Group-AI for Multihazard Communications Technologies</w:t>
      </w:r>
      <w:r>
        <w:rPr>
          <w:sz w:val="20"/>
        </w:rPr>
        <w:t>.</w:t>
      </w:r>
    </w:p>
  </w:footnote>
  <w:footnote w:id="16">
    <w:p w14:paraId="20159075" w14:textId="79D70D70" w:rsidR="00C2623D" w:rsidRPr="00516A67" w:rsidRDefault="00C2623D" w:rsidP="00B40627">
      <w:pPr>
        <w:pStyle w:val="FootnoteText"/>
        <w:rPr>
          <w:sz w:val="20"/>
        </w:rPr>
      </w:pPr>
      <w:r>
        <w:rPr>
          <w:rStyle w:val="FootnoteReference"/>
        </w:rPr>
        <w:footnoteRef/>
      </w:r>
      <w:r>
        <w:rPr>
          <w:sz w:val="20"/>
        </w:rPr>
        <w:t xml:space="preserve"> </w:t>
      </w:r>
      <w:r>
        <w:rPr>
          <w:sz w:val="20"/>
        </w:rPr>
        <w:tab/>
        <w:t xml:space="preserve">A use case entitled "Flash Flooding Monitoring System in Mexico" from </w:t>
      </w:r>
      <w:r w:rsidRPr="00516A67">
        <w:rPr>
          <w:sz w:val="20"/>
        </w:rPr>
        <w:t>Instituto Tecnológico de Colima</w:t>
      </w:r>
      <w:r>
        <w:rPr>
          <w:sz w:val="20"/>
        </w:rPr>
        <w:t xml:space="preserve"> and University of Colima was submitted to FG-AI4NDM. </w:t>
      </w:r>
      <w:r w:rsidRPr="00516A67">
        <w:rPr>
          <w:sz w:val="20"/>
        </w:rPr>
        <w:t xml:space="preserve">The use-case was included under the </w:t>
      </w:r>
      <w:r w:rsidRPr="00516A67">
        <w:rPr>
          <w:i/>
          <w:iCs/>
          <w:sz w:val="20"/>
        </w:rPr>
        <w:t>Topic Group-AI for Flood Monitoring and Detection</w:t>
      </w:r>
      <w:r w:rsidRPr="00516A67">
        <w:rPr>
          <w:sz w:val="20"/>
        </w:rPr>
        <w:t>.</w:t>
      </w:r>
    </w:p>
  </w:footnote>
  <w:footnote w:id="17">
    <w:p w14:paraId="765395CB" w14:textId="186B55B4" w:rsidR="00C2623D" w:rsidRDefault="00C2623D" w:rsidP="00B40627">
      <w:pPr>
        <w:pStyle w:val="FootnoteText"/>
        <w:rPr>
          <w:sz w:val="20"/>
        </w:rPr>
      </w:pPr>
      <w:r>
        <w:rPr>
          <w:rStyle w:val="FootnoteReference"/>
        </w:rPr>
        <w:footnoteRef/>
      </w:r>
      <w:r>
        <w:rPr>
          <w:sz w:val="20"/>
        </w:rPr>
        <w:t xml:space="preserve"> </w:t>
      </w:r>
      <w:r>
        <w:rPr>
          <w:sz w:val="20"/>
        </w:rPr>
        <w:tab/>
        <w:t>A use case entitled "</w:t>
      </w:r>
      <w:r>
        <w:rPr>
          <w:sz w:val="20"/>
          <w:highlight w:val="white"/>
        </w:rPr>
        <w:t>Earthquake Disaster Mitigation through AI on Smart Seismic Networks</w:t>
      </w:r>
      <w:r>
        <w:rPr>
          <w:sz w:val="20"/>
        </w:rPr>
        <w:t xml:space="preserve">" from </w:t>
      </w:r>
      <w:r w:rsidRPr="00516A67">
        <w:rPr>
          <w:sz w:val="20"/>
        </w:rPr>
        <w:t>QuakeSaver</w:t>
      </w:r>
      <w:r>
        <w:rPr>
          <w:sz w:val="20"/>
        </w:rPr>
        <w:t xml:space="preserve">. </w:t>
      </w:r>
      <w:r w:rsidRPr="00516A67">
        <w:rPr>
          <w:sz w:val="20"/>
        </w:rPr>
        <w:t>The use-case was incorporated within</w:t>
      </w:r>
      <w:r>
        <w:rPr>
          <w:sz w:val="20"/>
        </w:rPr>
        <w:t xml:space="preserve"> </w:t>
      </w:r>
      <w:r w:rsidRPr="00516A67">
        <w:rPr>
          <w:i/>
          <w:iCs/>
          <w:sz w:val="20"/>
        </w:rPr>
        <w:t>Topic Group-AI for Earthquake Monitoring, Detection, and Forecasting</w:t>
      </w:r>
      <w:r>
        <w:rPr>
          <w:sz w:val="20"/>
        </w:rPr>
        <w:t>.</w:t>
      </w:r>
    </w:p>
  </w:footnote>
  <w:footnote w:id="18">
    <w:p w14:paraId="7FA67CE9" w14:textId="2C036B3A" w:rsidR="00C2623D" w:rsidRDefault="00C2623D" w:rsidP="00D940DD">
      <w:pPr>
        <w:pStyle w:val="FootnoteText"/>
        <w:rPr>
          <w:sz w:val="20"/>
        </w:rPr>
      </w:pPr>
      <w:r>
        <w:rPr>
          <w:rStyle w:val="FootnoteReference"/>
        </w:rPr>
        <w:footnoteRef/>
      </w:r>
      <w:r>
        <w:rPr>
          <w:sz w:val="20"/>
        </w:rPr>
        <w:t xml:space="preserve"> </w:t>
      </w:r>
      <w:r>
        <w:rPr>
          <w:sz w:val="20"/>
        </w:rPr>
        <w:tab/>
        <w:t>Please note the distinction between the acronym ML referring to machine learning and SampleML, where ML refers to markup language.</w:t>
      </w:r>
    </w:p>
  </w:footnote>
  <w:footnote w:id="19">
    <w:p w14:paraId="3112F3B3" w14:textId="77777777" w:rsidR="00C2623D" w:rsidRDefault="00C2623D" w:rsidP="0020782B">
      <w:pPr>
        <w:spacing w:before="0"/>
        <w:rPr>
          <w:sz w:val="20"/>
        </w:rPr>
      </w:pPr>
    </w:p>
  </w:footnote>
  <w:footnote w:id="20">
    <w:p w14:paraId="3F1BFA03" w14:textId="0772F1BB" w:rsidR="00C2623D" w:rsidRDefault="00C2623D" w:rsidP="00E51EDB">
      <w:pPr>
        <w:pStyle w:val="FootnoteText"/>
        <w:rPr>
          <w:sz w:val="20"/>
        </w:rPr>
      </w:pPr>
      <w:r>
        <w:rPr>
          <w:rStyle w:val="FootnoteReference"/>
        </w:rPr>
        <w:footnoteRef/>
      </w:r>
      <w:r>
        <w:rPr>
          <w:sz w:val="20"/>
        </w:rPr>
        <w:t xml:space="preserve"> </w:t>
      </w:r>
      <w:r>
        <w:rPr>
          <w:sz w:val="20"/>
          <w:highlight w:val="white"/>
        </w:rPr>
        <w:t>FG-AI4NDM is developing a Technical Report on "AI for Communications."</w:t>
      </w:r>
    </w:p>
  </w:footnote>
  <w:footnote w:id="21">
    <w:p w14:paraId="2F5312B8" w14:textId="4A2AA962" w:rsidR="00C2623D" w:rsidRDefault="00C2623D" w:rsidP="00E51EDB">
      <w:pPr>
        <w:pStyle w:val="FootnoteText"/>
        <w:rPr>
          <w:sz w:val="16"/>
          <w:szCs w:val="16"/>
        </w:rPr>
      </w:pPr>
      <w:r>
        <w:rPr>
          <w:rStyle w:val="FootnoteReference"/>
        </w:rPr>
        <w:footnoteRef/>
      </w:r>
      <w:r>
        <w:rPr>
          <w:sz w:val="20"/>
        </w:rPr>
        <w:t xml:space="preserve"> A use case entitled "Probing Seismogenesis for Fault Slip and Earthquake Hazards" from</w:t>
      </w:r>
      <w:r w:rsidRPr="002B183A">
        <w:t xml:space="preserve"> </w:t>
      </w:r>
      <w:r w:rsidRPr="002B183A">
        <w:rPr>
          <w:sz w:val="20"/>
        </w:rPr>
        <w:t>Los Alamos National Laboratory</w:t>
      </w:r>
      <w:r>
        <w:rPr>
          <w:sz w:val="20"/>
        </w:rPr>
        <w:t xml:space="preserve"> was submitted to FG-AI4NDM.</w:t>
      </w:r>
    </w:p>
  </w:footnote>
  <w:footnote w:id="22">
    <w:p w14:paraId="2101D737" w14:textId="51DA5BA4" w:rsidR="00C2623D" w:rsidRDefault="00C2623D" w:rsidP="00E51EDB">
      <w:pPr>
        <w:pStyle w:val="FootnoteText"/>
        <w:rPr>
          <w:sz w:val="20"/>
        </w:rPr>
      </w:pPr>
      <w:r>
        <w:rPr>
          <w:rStyle w:val="FootnoteReference"/>
        </w:rPr>
        <w:footnoteRef/>
      </w:r>
      <w:r>
        <w:rPr>
          <w:sz w:val="20"/>
        </w:rPr>
        <w:t xml:space="preserve"> As shown in the Focus Group use case entitled "</w:t>
      </w:r>
      <w:r>
        <w:rPr>
          <w:sz w:val="20"/>
          <w:highlight w:val="white"/>
        </w:rPr>
        <w:t>Unified Methodology for Windstorm and Hailstorm Hazard Modeling and Mapping</w:t>
      </w:r>
      <w:r>
        <w:rPr>
          <w:sz w:val="20"/>
        </w:rPr>
        <w:t>" from Alejandro Marti.</w:t>
      </w:r>
    </w:p>
  </w:footnote>
  <w:footnote w:id="23">
    <w:p w14:paraId="5EAA1F90" w14:textId="5125A89A" w:rsidR="00C2623D" w:rsidRDefault="00C2623D" w:rsidP="0030422A">
      <w:pPr>
        <w:pStyle w:val="FootnoteText"/>
        <w:rPr>
          <w:sz w:val="20"/>
        </w:rPr>
      </w:pPr>
      <w:r>
        <w:rPr>
          <w:rStyle w:val="FootnoteReference"/>
        </w:rPr>
        <w:footnoteRef/>
      </w:r>
      <w:r>
        <w:rPr>
          <w:sz w:val="20"/>
        </w:rPr>
        <w:t xml:space="preserve"> As shown in the Focus Group use case entitled "</w:t>
      </w:r>
      <w:r>
        <w:rPr>
          <w:sz w:val="20"/>
          <w:highlight w:val="white"/>
        </w:rPr>
        <w:t>AI Enabled Citizen-centric Decision Support System for Disaster Managers</w:t>
      </w:r>
      <w:r>
        <w:rPr>
          <w:sz w:val="20"/>
        </w:rPr>
        <w:t xml:space="preserve">" from </w:t>
      </w:r>
      <w:r>
        <w:rPr>
          <w:sz w:val="20"/>
          <w:highlight w:val="white"/>
        </w:rPr>
        <w:t>Rajkumar Upadhyay, Pankaj Kumar Dalela, Saurabh Basu, Sandeep Sharma, and Anugandula Naveen Kumar</w:t>
      </w:r>
      <w:r>
        <w:rPr>
          <w:sz w:val="20"/>
        </w:rPr>
        <w:t>.</w:t>
      </w:r>
    </w:p>
  </w:footnote>
  <w:footnote w:id="24">
    <w:p w14:paraId="3F89B533" w14:textId="754CBB7E" w:rsidR="00C2623D" w:rsidRDefault="00C2623D" w:rsidP="0030422A">
      <w:pPr>
        <w:pStyle w:val="FootnoteText"/>
        <w:rPr>
          <w:sz w:val="20"/>
        </w:rPr>
      </w:pPr>
      <w:r>
        <w:rPr>
          <w:rStyle w:val="FootnoteReference"/>
        </w:rPr>
        <w:footnoteRef/>
      </w:r>
      <w:r>
        <w:rPr>
          <w:sz w:val="20"/>
        </w:rPr>
        <w:t xml:space="preserve"> As shown in the Focus Group use case entitled "</w:t>
      </w:r>
      <w:r>
        <w:rPr>
          <w:sz w:val="20"/>
          <w:highlight w:val="white"/>
        </w:rPr>
        <w:t>Multi-hazard Use Case for Operations Risk Insights and Day One Relief for Natural Disaster Response</w:t>
      </w:r>
      <w:r>
        <w:rPr>
          <w:sz w:val="20"/>
        </w:rPr>
        <w:t xml:space="preserve">" from </w:t>
      </w:r>
      <w:r>
        <w:rPr>
          <w:sz w:val="20"/>
          <w:highlight w:val="white"/>
        </w:rPr>
        <w:t>Jil Christensen, Tom Ward, Chet Karwatowski, and Rinku Kanwar.</w:t>
      </w:r>
    </w:p>
  </w:footnote>
  <w:footnote w:id="25">
    <w:p w14:paraId="20F92FDC" w14:textId="755734D0" w:rsidR="00C2623D" w:rsidRDefault="00C2623D" w:rsidP="0030422A">
      <w:pPr>
        <w:pStyle w:val="FootnoteText"/>
        <w:rPr>
          <w:sz w:val="20"/>
        </w:rPr>
      </w:pPr>
      <w:r>
        <w:rPr>
          <w:rStyle w:val="FootnoteReference"/>
        </w:rPr>
        <w:footnoteRef/>
      </w:r>
      <w:r>
        <w:rPr>
          <w:sz w:val="20"/>
        </w:rPr>
        <w:t xml:space="preserve">  As shown in the Focus Group use case entitled "</w:t>
      </w:r>
      <w:r>
        <w:rPr>
          <w:sz w:val="20"/>
          <w:highlight w:val="white"/>
        </w:rPr>
        <w:t>Proposal of an AI Chatbot Use Case as a Multihazard Communication Technologies</w:t>
      </w:r>
      <w:r>
        <w:rPr>
          <w:sz w:val="20"/>
        </w:rPr>
        <w:t xml:space="preserve">" from </w:t>
      </w:r>
      <w:r>
        <w:rPr>
          <w:sz w:val="20"/>
          <w:highlight w:val="white"/>
        </w:rPr>
        <w:t>Kiyonori Ohtake, Toshiaki Kuri, Tsutomu Nagatsuma, Masugi Inoue, and Hideo Imanaka.</w:t>
      </w:r>
    </w:p>
  </w:footnote>
  <w:footnote w:id="26">
    <w:p w14:paraId="12ADC598" w14:textId="77777777" w:rsidR="00C2623D" w:rsidRPr="002B183A" w:rsidRDefault="00C2623D" w:rsidP="0020782B">
      <w:pPr>
        <w:pStyle w:val="FootnoteText"/>
        <w:rPr>
          <w:lang w:val="en-US"/>
        </w:rPr>
      </w:pPr>
      <w:r>
        <w:rPr>
          <w:rStyle w:val="FootnoteReference"/>
        </w:rPr>
        <w:footnoteRef/>
      </w:r>
      <w:r>
        <w:t xml:space="preserve"> </w:t>
      </w:r>
      <w:r w:rsidRPr="002B183A">
        <w:t xml:space="preserve">Multistakeholder inclusion, meanwhile, is something that FG-AI4NDM explored in detail in a recent publication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0FA1E" w14:textId="77777777" w:rsidR="00C2623D" w:rsidRDefault="00C2623D">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77C2F" w14:textId="77777777" w:rsidR="00C2623D" w:rsidRDefault="00C2623D" w:rsidP="00CE6FBD">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51705" w14:textId="77777777" w:rsidR="00C2623D" w:rsidRDefault="00C2623D">
    <w:pPr>
      <w:pStyle w:val="Header"/>
      <w:ind w:right="360" w:firstLine="360"/>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4D68D" w14:textId="77777777" w:rsidR="00C2623D" w:rsidRDefault="00C262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9EE94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08C5A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90E71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F0E8A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446C5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7C64B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360DC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042C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C275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BBEF6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51551"/>
    <w:multiLevelType w:val="multilevel"/>
    <w:tmpl w:val="CC44D8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DCB6554"/>
    <w:multiLevelType w:val="hybridMultilevel"/>
    <w:tmpl w:val="10E21F7A"/>
    <w:lvl w:ilvl="0" w:tplc="5DAE3134">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383603"/>
    <w:multiLevelType w:val="multilevel"/>
    <w:tmpl w:val="A490AAA4"/>
    <w:lvl w:ilvl="0">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4" w15:restartNumberingAfterBreak="0">
    <w:nsid w:val="44FF350A"/>
    <w:multiLevelType w:val="hybridMultilevel"/>
    <w:tmpl w:val="6C5A5692"/>
    <w:lvl w:ilvl="0" w:tplc="7A105D0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8835D0"/>
    <w:multiLevelType w:val="hybridMultilevel"/>
    <w:tmpl w:val="573E7034"/>
    <w:lvl w:ilvl="0" w:tplc="08090005">
      <w:start w:val="1"/>
      <w:numFmt w:val="bullet"/>
      <w:lvlText w:val=""/>
      <w:lvlJc w:val="left"/>
      <w:pPr>
        <w:ind w:left="770" w:hanging="360"/>
      </w:pPr>
      <w:rPr>
        <w:rFonts w:ascii="Wingdings" w:hAnsi="Wingding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15:restartNumberingAfterBreak="0">
    <w:nsid w:val="54297E8D"/>
    <w:multiLevelType w:val="hybridMultilevel"/>
    <w:tmpl w:val="93CEDE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556C77"/>
    <w:multiLevelType w:val="hybridMultilevel"/>
    <w:tmpl w:val="A926A4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2C0734"/>
    <w:multiLevelType w:val="hybridMultilevel"/>
    <w:tmpl w:val="FB22F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853973"/>
    <w:multiLevelType w:val="multilevel"/>
    <w:tmpl w:val="3F5281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013ABE"/>
    <w:multiLevelType w:val="multilevel"/>
    <w:tmpl w:val="2E909B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F28108D"/>
    <w:multiLevelType w:val="multilevel"/>
    <w:tmpl w:val="410015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8E58EC"/>
    <w:multiLevelType w:val="multilevel"/>
    <w:tmpl w:val="59E067E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86318858">
    <w:abstractNumId w:val="20"/>
  </w:num>
  <w:num w:numId="2" w16cid:durableId="1898736580">
    <w:abstractNumId w:val="12"/>
  </w:num>
  <w:num w:numId="3" w16cid:durableId="1226377284">
    <w:abstractNumId w:val="14"/>
  </w:num>
  <w:num w:numId="4" w16cid:durableId="1916548459">
    <w:abstractNumId w:val="9"/>
  </w:num>
  <w:num w:numId="5" w16cid:durableId="1464546216">
    <w:abstractNumId w:val="7"/>
  </w:num>
  <w:num w:numId="6" w16cid:durableId="983004772">
    <w:abstractNumId w:val="6"/>
  </w:num>
  <w:num w:numId="7" w16cid:durableId="1933278102">
    <w:abstractNumId w:val="5"/>
  </w:num>
  <w:num w:numId="8" w16cid:durableId="597755124">
    <w:abstractNumId w:val="4"/>
  </w:num>
  <w:num w:numId="9" w16cid:durableId="2100977181">
    <w:abstractNumId w:val="8"/>
  </w:num>
  <w:num w:numId="10" w16cid:durableId="1801534551">
    <w:abstractNumId w:val="3"/>
  </w:num>
  <w:num w:numId="11" w16cid:durableId="606622859">
    <w:abstractNumId w:val="2"/>
  </w:num>
  <w:num w:numId="12" w16cid:durableId="1498765588">
    <w:abstractNumId w:val="1"/>
  </w:num>
  <w:num w:numId="13" w16cid:durableId="282884278">
    <w:abstractNumId w:val="0"/>
  </w:num>
  <w:num w:numId="14" w16cid:durableId="92409590">
    <w:abstractNumId w:val="11"/>
  </w:num>
  <w:num w:numId="15" w16cid:durableId="993409210">
    <w:abstractNumId w:val="22"/>
  </w:num>
  <w:num w:numId="16" w16cid:durableId="874468326">
    <w:abstractNumId w:val="13"/>
  </w:num>
  <w:num w:numId="17" w16cid:durableId="1218973595">
    <w:abstractNumId w:val="10"/>
  </w:num>
  <w:num w:numId="18" w16cid:durableId="164706496">
    <w:abstractNumId w:val="18"/>
  </w:num>
  <w:num w:numId="19" w16cid:durableId="109976747">
    <w:abstractNumId w:val="21"/>
  </w:num>
  <w:num w:numId="20" w16cid:durableId="1392845905">
    <w:abstractNumId w:val="16"/>
  </w:num>
  <w:num w:numId="21" w16cid:durableId="1740253163">
    <w:abstractNumId w:val="19"/>
  </w:num>
  <w:num w:numId="22" w16cid:durableId="1640455591">
    <w:abstractNumId w:val="17"/>
  </w:num>
  <w:num w:numId="23" w16cid:durableId="66073838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IN" w:vendorID="64" w:dllVersion="0" w:nlCheck="1" w:checkStyle="0"/>
  <w:activeWritingStyle w:appName="MSWord" w:lang="fr-CH" w:vendorID="64" w:dllVersion="0" w:nlCheck="1" w:checkStyle="0"/>
  <w:activeWritingStyle w:appName="MSWord" w:lang="es-CO"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50" fillcolor="#9d170a" stroke="f">
      <v:fill color="#9d170a"/>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B4E"/>
    <w:rsid w:val="0004021B"/>
    <w:rsid w:val="000542C8"/>
    <w:rsid w:val="000612EE"/>
    <w:rsid w:val="00061407"/>
    <w:rsid w:val="0009116F"/>
    <w:rsid w:val="000A287B"/>
    <w:rsid w:val="000B08C7"/>
    <w:rsid w:val="000B48BF"/>
    <w:rsid w:val="000B4AF8"/>
    <w:rsid w:val="000C6BEC"/>
    <w:rsid w:val="000E355E"/>
    <w:rsid w:val="00104D75"/>
    <w:rsid w:val="00105F82"/>
    <w:rsid w:val="001244EB"/>
    <w:rsid w:val="0013384E"/>
    <w:rsid w:val="001423A8"/>
    <w:rsid w:val="00145F76"/>
    <w:rsid w:val="001546AA"/>
    <w:rsid w:val="00156515"/>
    <w:rsid w:val="00161217"/>
    <w:rsid w:val="0016509B"/>
    <w:rsid w:val="00177F8A"/>
    <w:rsid w:val="0018403B"/>
    <w:rsid w:val="00197C3B"/>
    <w:rsid w:val="001B5D54"/>
    <w:rsid w:val="001C107A"/>
    <w:rsid w:val="001D6AC9"/>
    <w:rsid w:val="001E6C55"/>
    <w:rsid w:val="00201F80"/>
    <w:rsid w:val="0020782B"/>
    <w:rsid w:val="002309F5"/>
    <w:rsid w:val="00240FAD"/>
    <w:rsid w:val="00260EEC"/>
    <w:rsid w:val="00263DE1"/>
    <w:rsid w:val="0028016E"/>
    <w:rsid w:val="002971EE"/>
    <w:rsid w:val="002A2404"/>
    <w:rsid w:val="002A5E68"/>
    <w:rsid w:val="002B2170"/>
    <w:rsid w:val="002B534E"/>
    <w:rsid w:val="002D599B"/>
    <w:rsid w:val="002E0F55"/>
    <w:rsid w:val="002E5890"/>
    <w:rsid w:val="00302A5B"/>
    <w:rsid w:val="0030422A"/>
    <w:rsid w:val="00323583"/>
    <w:rsid w:val="003239B9"/>
    <w:rsid w:val="00325985"/>
    <w:rsid w:val="003477D8"/>
    <w:rsid w:val="00356D5E"/>
    <w:rsid w:val="003911A6"/>
    <w:rsid w:val="00395AC8"/>
    <w:rsid w:val="003A0344"/>
    <w:rsid w:val="003A3E2B"/>
    <w:rsid w:val="003A4727"/>
    <w:rsid w:val="003B072D"/>
    <w:rsid w:val="003D02CB"/>
    <w:rsid w:val="00411E8E"/>
    <w:rsid w:val="0041539F"/>
    <w:rsid w:val="00415ACD"/>
    <w:rsid w:val="00445C10"/>
    <w:rsid w:val="004765B6"/>
    <w:rsid w:val="00486BFE"/>
    <w:rsid w:val="004913E7"/>
    <w:rsid w:val="004A0B50"/>
    <w:rsid w:val="004B0939"/>
    <w:rsid w:val="004C578E"/>
    <w:rsid w:val="004D0937"/>
    <w:rsid w:val="004E7D87"/>
    <w:rsid w:val="00520463"/>
    <w:rsid w:val="00535F83"/>
    <w:rsid w:val="0058112C"/>
    <w:rsid w:val="005A06F2"/>
    <w:rsid w:val="005B214E"/>
    <w:rsid w:val="005C552F"/>
    <w:rsid w:val="005D379B"/>
    <w:rsid w:val="005D57DA"/>
    <w:rsid w:val="00616128"/>
    <w:rsid w:val="0062037B"/>
    <w:rsid w:val="00623D17"/>
    <w:rsid w:val="00644FA2"/>
    <w:rsid w:val="006521CE"/>
    <w:rsid w:val="00671ADD"/>
    <w:rsid w:val="00681642"/>
    <w:rsid w:val="00694C7A"/>
    <w:rsid w:val="00695F72"/>
    <w:rsid w:val="006B01E4"/>
    <w:rsid w:val="006C28C2"/>
    <w:rsid w:val="006C3173"/>
    <w:rsid w:val="006F3E3B"/>
    <w:rsid w:val="00726163"/>
    <w:rsid w:val="007421F6"/>
    <w:rsid w:val="00747A7E"/>
    <w:rsid w:val="0076675B"/>
    <w:rsid w:val="00783586"/>
    <w:rsid w:val="007A125F"/>
    <w:rsid w:val="007A7AB6"/>
    <w:rsid w:val="007C0877"/>
    <w:rsid w:val="007D2075"/>
    <w:rsid w:val="007F1A66"/>
    <w:rsid w:val="00805790"/>
    <w:rsid w:val="00812EFA"/>
    <w:rsid w:val="00825E4E"/>
    <w:rsid w:val="00863002"/>
    <w:rsid w:val="00865987"/>
    <w:rsid w:val="00871818"/>
    <w:rsid w:val="008736E3"/>
    <w:rsid w:val="008F0E27"/>
    <w:rsid w:val="008F505C"/>
    <w:rsid w:val="00912FCC"/>
    <w:rsid w:val="00923C60"/>
    <w:rsid w:val="00934B4E"/>
    <w:rsid w:val="009374E1"/>
    <w:rsid w:val="00952BA0"/>
    <w:rsid w:val="00955972"/>
    <w:rsid w:val="00956289"/>
    <w:rsid w:val="00957911"/>
    <w:rsid w:val="00994FE7"/>
    <w:rsid w:val="009A64BD"/>
    <w:rsid w:val="009C4BD0"/>
    <w:rsid w:val="009F1303"/>
    <w:rsid w:val="00A03683"/>
    <w:rsid w:val="00A046A8"/>
    <w:rsid w:val="00A156C3"/>
    <w:rsid w:val="00A2301A"/>
    <w:rsid w:val="00A2641E"/>
    <w:rsid w:val="00A27CA7"/>
    <w:rsid w:val="00A3658D"/>
    <w:rsid w:val="00A411E9"/>
    <w:rsid w:val="00A43177"/>
    <w:rsid w:val="00A50CDF"/>
    <w:rsid w:val="00A927A7"/>
    <w:rsid w:val="00A9292D"/>
    <w:rsid w:val="00AA3ADA"/>
    <w:rsid w:val="00AA3BBA"/>
    <w:rsid w:val="00AB3E85"/>
    <w:rsid w:val="00AC6E7E"/>
    <w:rsid w:val="00AD60E6"/>
    <w:rsid w:val="00AE4626"/>
    <w:rsid w:val="00AF1EC1"/>
    <w:rsid w:val="00B01B93"/>
    <w:rsid w:val="00B06F7D"/>
    <w:rsid w:val="00B13842"/>
    <w:rsid w:val="00B267B9"/>
    <w:rsid w:val="00B3218C"/>
    <w:rsid w:val="00B40627"/>
    <w:rsid w:val="00B46FF3"/>
    <w:rsid w:val="00B63B7E"/>
    <w:rsid w:val="00B72114"/>
    <w:rsid w:val="00B84159"/>
    <w:rsid w:val="00B86866"/>
    <w:rsid w:val="00BB18B7"/>
    <w:rsid w:val="00BC5443"/>
    <w:rsid w:val="00BC64A2"/>
    <w:rsid w:val="00BD7411"/>
    <w:rsid w:val="00C11E4B"/>
    <w:rsid w:val="00C2521F"/>
    <w:rsid w:val="00C2623D"/>
    <w:rsid w:val="00C62C39"/>
    <w:rsid w:val="00C73ABC"/>
    <w:rsid w:val="00C812BE"/>
    <w:rsid w:val="00C84630"/>
    <w:rsid w:val="00CB4CB5"/>
    <w:rsid w:val="00CC0394"/>
    <w:rsid w:val="00CD5EE3"/>
    <w:rsid w:val="00CE08CB"/>
    <w:rsid w:val="00CE6FBD"/>
    <w:rsid w:val="00D0567B"/>
    <w:rsid w:val="00D12B60"/>
    <w:rsid w:val="00D17084"/>
    <w:rsid w:val="00D326A3"/>
    <w:rsid w:val="00D371CA"/>
    <w:rsid w:val="00D41983"/>
    <w:rsid w:val="00D45101"/>
    <w:rsid w:val="00D5148D"/>
    <w:rsid w:val="00D70E68"/>
    <w:rsid w:val="00D763EA"/>
    <w:rsid w:val="00D940DD"/>
    <w:rsid w:val="00DD73B6"/>
    <w:rsid w:val="00DD742A"/>
    <w:rsid w:val="00DE094A"/>
    <w:rsid w:val="00DE45D7"/>
    <w:rsid w:val="00DF3A5B"/>
    <w:rsid w:val="00E03EF0"/>
    <w:rsid w:val="00E503F8"/>
    <w:rsid w:val="00E51EDB"/>
    <w:rsid w:val="00E52B6C"/>
    <w:rsid w:val="00E539A4"/>
    <w:rsid w:val="00E5596B"/>
    <w:rsid w:val="00E57C50"/>
    <w:rsid w:val="00E71E21"/>
    <w:rsid w:val="00EA2536"/>
    <w:rsid w:val="00EA6B40"/>
    <w:rsid w:val="00EB5930"/>
    <w:rsid w:val="00EC34CE"/>
    <w:rsid w:val="00EC7D36"/>
    <w:rsid w:val="00EF115B"/>
    <w:rsid w:val="00F30A97"/>
    <w:rsid w:val="00F44D58"/>
    <w:rsid w:val="00F64A7B"/>
    <w:rsid w:val="00F92905"/>
    <w:rsid w:val="00FA2375"/>
    <w:rsid w:val="00FB29EF"/>
    <w:rsid w:val="00FB60E3"/>
    <w:rsid w:val="00FB6C40"/>
    <w:rsid w:val="00FC57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9d170a" stroke="f">
      <v:fill color="#9d170a"/>
      <v:stroke on="f"/>
    </o:shapedefaults>
    <o:shapelayout v:ext="edit">
      <o:idmap v:ext="edit" data="2"/>
    </o:shapelayout>
  </w:shapeDefaults>
  <w:decimalSymbol w:val="."/>
  <w:listSeparator w:val=","/>
  <w14:docId w14:val="174E365E"/>
  <w15:docId w15:val="{938C2942-2F7F-4D56-BA5E-537F0C7F9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0" w:unhideWhenUsed="1"/>
    <w:lsdException w:name="List 3" w:semiHidden="1" w:uiPriority="0" w:unhideWhenUsed="1"/>
    <w:lsdException w:name="List 4" w:uiPriority="0"/>
    <w:lsdException w:name="List 5"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4BD"/>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9A64BD"/>
    <w:pPr>
      <w:keepNext/>
      <w:keepLines/>
      <w:spacing w:before="360"/>
      <w:ind w:left="794" w:hanging="794"/>
      <w:jc w:val="left"/>
      <w:outlineLvl w:val="0"/>
    </w:pPr>
    <w:rPr>
      <w:b/>
    </w:rPr>
  </w:style>
  <w:style w:type="paragraph" w:styleId="Heading2">
    <w:name w:val="heading 2"/>
    <w:basedOn w:val="Heading1"/>
    <w:next w:val="Normal"/>
    <w:link w:val="Heading2Char"/>
    <w:uiPriority w:val="9"/>
    <w:qFormat/>
    <w:rsid w:val="009A64BD"/>
    <w:pPr>
      <w:spacing w:before="240"/>
      <w:outlineLvl w:val="1"/>
    </w:pPr>
  </w:style>
  <w:style w:type="paragraph" w:styleId="Heading3">
    <w:name w:val="heading 3"/>
    <w:basedOn w:val="Heading1"/>
    <w:next w:val="Normal"/>
    <w:link w:val="Heading3Char"/>
    <w:uiPriority w:val="9"/>
    <w:qFormat/>
    <w:rsid w:val="009A64BD"/>
    <w:pPr>
      <w:spacing w:before="160"/>
      <w:outlineLvl w:val="2"/>
    </w:pPr>
  </w:style>
  <w:style w:type="paragraph" w:styleId="Heading4">
    <w:name w:val="heading 4"/>
    <w:basedOn w:val="Heading3"/>
    <w:next w:val="Normal"/>
    <w:link w:val="Heading4Char"/>
    <w:uiPriority w:val="9"/>
    <w:qFormat/>
    <w:rsid w:val="009A64BD"/>
    <w:pPr>
      <w:tabs>
        <w:tab w:val="clear" w:pos="794"/>
        <w:tab w:val="left" w:pos="1021"/>
      </w:tabs>
      <w:ind w:left="1021" w:hanging="1021"/>
      <w:outlineLvl w:val="3"/>
    </w:pPr>
  </w:style>
  <w:style w:type="paragraph" w:styleId="Heading5">
    <w:name w:val="heading 5"/>
    <w:basedOn w:val="Heading4"/>
    <w:next w:val="Normal"/>
    <w:link w:val="Heading5Char"/>
    <w:uiPriority w:val="9"/>
    <w:qFormat/>
    <w:rsid w:val="009A64BD"/>
    <w:pPr>
      <w:outlineLvl w:val="4"/>
    </w:pPr>
  </w:style>
  <w:style w:type="paragraph" w:styleId="Heading6">
    <w:name w:val="heading 6"/>
    <w:basedOn w:val="Heading4"/>
    <w:next w:val="Normal"/>
    <w:link w:val="Heading6Char"/>
    <w:uiPriority w:val="9"/>
    <w:qFormat/>
    <w:rsid w:val="009A64BD"/>
    <w:pPr>
      <w:tabs>
        <w:tab w:val="clear" w:pos="1021"/>
        <w:tab w:val="clear" w:pos="1191"/>
      </w:tabs>
      <w:ind w:left="1588" w:hanging="1588"/>
      <w:outlineLvl w:val="5"/>
    </w:pPr>
  </w:style>
  <w:style w:type="paragraph" w:styleId="Heading7">
    <w:name w:val="heading 7"/>
    <w:basedOn w:val="Heading6"/>
    <w:next w:val="Normal"/>
    <w:link w:val="Heading7Char"/>
    <w:qFormat/>
    <w:rsid w:val="009A64BD"/>
    <w:pPr>
      <w:outlineLvl w:val="6"/>
    </w:pPr>
  </w:style>
  <w:style w:type="paragraph" w:styleId="Heading8">
    <w:name w:val="heading 8"/>
    <w:basedOn w:val="Heading6"/>
    <w:next w:val="Normal"/>
    <w:link w:val="Heading8Char"/>
    <w:qFormat/>
    <w:rsid w:val="009A64BD"/>
    <w:pPr>
      <w:outlineLvl w:val="7"/>
    </w:pPr>
  </w:style>
  <w:style w:type="paragraph" w:styleId="Heading9">
    <w:name w:val="heading 9"/>
    <w:basedOn w:val="Heading6"/>
    <w:next w:val="Normal"/>
    <w:link w:val="Heading9Char"/>
    <w:qFormat/>
    <w:rsid w:val="009A64B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9A64BD"/>
  </w:style>
  <w:style w:type="paragraph" w:styleId="TOC4">
    <w:name w:val="toc 4"/>
    <w:basedOn w:val="TOC3"/>
    <w:semiHidden/>
    <w:rsid w:val="009A64BD"/>
  </w:style>
  <w:style w:type="paragraph" w:styleId="TOC3">
    <w:name w:val="toc 3"/>
    <w:basedOn w:val="TOC2"/>
    <w:uiPriority w:val="39"/>
    <w:rsid w:val="009A64BD"/>
  </w:style>
  <w:style w:type="paragraph" w:styleId="TOC2">
    <w:name w:val="toc 2"/>
    <w:basedOn w:val="TOC1"/>
    <w:uiPriority w:val="39"/>
    <w:rsid w:val="009A64BD"/>
    <w:pPr>
      <w:spacing w:before="80"/>
      <w:ind w:left="1531" w:hanging="851"/>
    </w:pPr>
  </w:style>
  <w:style w:type="paragraph" w:styleId="TOC1">
    <w:name w:val="toc 1"/>
    <w:basedOn w:val="Normal"/>
    <w:uiPriority w:val="39"/>
    <w:rsid w:val="009A64BD"/>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9A64BD"/>
  </w:style>
  <w:style w:type="paragraph" w:styleId="TOC6">
    <w:name w:val="toc 6"/>
    <w:basedOn w:val="TOC4"/>
    <w:semiHidden/>
    <w:rsid w:val="009A64BD"/>
  </w:style>
  <w:style w:type="paragraph" w:styleId="TOC5">
    <w:name w:val="toc 5"/>
    <w:basedOn w:val="TOC4"/>
    <w:semiHidden/>
    <w:rsid w:val="009A64BD"/>
  </w:style>
  <w:style w:type="paragraph" w:styleId="Footer">
    <w:name w:val="footer"/>
    <w:basedOn w:val="Normal"/>
    <w:link w:val="FooterChar"/>
    <w:rsid w:val="009A64BD"/>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link w:val="HeaderChar"/>
    <w:rsid w:val="009A64BD"/>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uiPriority w:val="99"/>
    <w:semiHidden/>
    <w:rsid w:val="009A64BD"/>
    <w:rPr>
      <w:position w:val="6"/>
      <w:sz w:val="18"/>
    </w:rPr>
  </w:style>
  <w:style w:type="paragraph" w:styleId="FootnoteText">
    <w:name w:val="footnote text"/>
    <w:basedOn w:val="Note"/>
    <w:link w:val="FootnoteTextChar"/>
    <w:uiPriority w:val="99"/>
    <w:semiHidden/>
    <w:rsid w:val="009A64BD"/>
    <w:pPr>
      <w:keepLines/>
      <w:tabs>
        <w:tab w:val="left" w:pos="255"/>
      </w:tabs>
      <w:ind w:left="255" w:hanging="255"/>
    </w:pPr>
  </w:style>
  <w:style w:type="paragraph" w:customStyle="1" w:styleId="Note">
    <w:name w:val="Note"/>
    <w:basedOn w:val="Normal"/>
    <w:rsid w:val="009A64BD"/>
    <w:pPr>
      <w:spacing w:before="80"/>
    </w:pPr>
    <w:rPr>
      <w:sz w:val="22"/>
    </w:rPr>
  </w:style>
  <w:style w:type="paragraph" w:customStyle="1" w:styleId="enumlev1">
    <w:name w:val="enumlev1"/>
    <w:basedOn w:val="Normal"/>
    <w:rsid w:val="009A64BD"/>
    <w:pPr>
      <w:spacing w:before="80"/>
      <w:ind w:left="794" w:hanging="794"/>
    </w:pPr>
  </w:style>
  <w:style w:type="paragraph" w:customStyle="1" w:styleId="enumlev2">
    <w:name w:val="enumlev2"/>
    <w:basedOn w:val="enumlev1"/>
    <w:rsid w:val="009A64BD"/>
    <w:pPr>
      <w:ind w:left="1191" w:hanging="397"/>
    </w:pPr>
  </w:style>
  <w:style w:type="paragraph" w:customStyle="1" w:styleId="enumlev3">
    <w:name w:val="enumlev3"/>
    <w:basedOn w:val="enumlev2"/>
    <w:rsid w:val="009A64BD"/>
    <w:pPr>
      <w:ind w:left="1588"/>
    </w:pPr>
  </w:style>
  <w:style w:type="paragraph" w:customStyle="1" w:styleId="Equation">
    <w:name w:val="Equation"/>
    <w:basedOn w:val="Normal"/>
    <w:rsid w:val="009A64BD"/>
    <w:pPr>
      <w:tabs>
        <w:tab w:val="clear" w:pos="1191"/>
        <w:tab w:val="clear" w:pos="1588"/>
        <w:tab w:val="clear" w:pos="1985"/>
        <w:tab w:val="center" w:pos="4820"/>
        <w:tab w:val="right" w:pos="9639"/>
      </w:tabs>
      <w:jc w:val="left"/>
    </w:pPr>
  </w:style>
  <w:style w:type="paragraph" w:customStyle="1" w:styleId="toc0">
    <w:name w:val="toc 0"/>
    <w:basedOn w:val="Normal"/>
    <w:next w:val="TOC1"/>
    <w:rsid w:val="009A64BD"/>
    <w:pPr>
      <w:keepLines/>
      <w:tabs>
        <w:tab w:val="clear" w:pos="794"/>
        <w:tab w:val="clear" w:pos="1191"/>
        <w:tab w:val="clear" w:pos="1588"/>
        <w:tab w:val="clear" w:pos="1985"/>
        <w:tab w:val="right" w:pos="9639"/>
      </w:tabs>
      <w:jc w:val="left"/>
    </w:pPr>
    <w:rPr>
      <w:b/>
    </w:rPr>
  </w:style>
  <w:style w:type="paragraph" w:customStyle="1" w:styleId="ASN1">
    <w:name w:val="ASN.1"/>
    <w:rsid w:val="009A64BD"/>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en-GB" w:eastAsia="en-US"/>
    </w:rPr>
  </w:style>
  <w:style w:type="paragraph" w:styleId="TOC9">
    <w:name w:val="toc 9"/>
    <w:basedOn w:val="TOC3"/>
    <w:semiHidden/>
    <w:rsid w:val="009A64BD"/>
  </w:style>
  <w:style w:type="paragraph" w:customStyle="1" w:styleId="Chaptitle">
    <w:name w:val="Chap_title"/>
    <w:basedOn w:val="Normal"/>
    <w:next w:val="Normalaftertitle"/>
    <w:rsid w:val="009A64BD"/>
    <w:pPr>
      <w:keepNext/>
      <w:keepLines/>
      <w:spacing w:before="240"/>
      <w:jc w:val="center"/>
    </w:pPr>
    <w:rPr>
      <w:b/>
      <w:sz w:val="28"/>
    </w:rPr>
  </w:style>
  <w:style w:type="character" w:styleId="PageNumber">
    <w:name w:val="page number"/>
    <w:basedOn w:val="DefaultParagraphFont"/>
    <w:rsid w:val="009A64BD"/>
  </w:style>
  <w:style w:type="paragraph" w:styleId="Index1">
    <w:name w:val="index 1"/>
    <w:basedOn w:val="Normal"/>
    <w:next w:val="Normal"/>
    <w:uiPriority w:val="99"/>
    <w:semiHidden/>
    <w:rsid w:val="009A64BD"/>
    <w:pPr>
      <w:jc w:val="left"/>
    </w:pPr>
  </w:style>
  <w:style w:type="paragraph" w:customStyle="1" w:styleId="AnnexNoTitle">
    <w:name w:val="Annex_NoTitle"/>
    <w:basedOn w:val="Normal"/>
    <w:next w:val="Normalaftertitle"/>
    <w:rsid w:val="00E503F8"/>
    <w:pPr>
      <w:keepNext/>
      <w:keepLines/>
      <w:spacing w:before="720"/>
      <w:jc w:val="center"/>
      <w:outlineLvl w:val="0"/>
    </w:pPr>
    <w:rPr>
      <w:b/>
      <w:sz w:val="28"/>
    </w:rPr>
  </w:style>
  <w:style w:type="character" w:customStyle="1" w:styleId="Appdef">
    <w:name w:val="App_def"/>
    <w:basedOn w:val="DefaultParagraphFont"/>
    <w:rsid w:val="009A64BD"/>
    <w:rPr>
      <w:rFonts w:ascii="Times New Roman" w:hAnsi="Times New Roman"/>
      <w:b/>
    </w:rPr>
  </w:style>
  <w:style w:type="character" w:customStyle="1" w:styleId="Appref">
    <w:name w:val="App_ref"/>
    <w:basedOn w:val="DefaultParagraphFont"/>
    <w:rsid w:val="009A64BD"/>
  </w:style>
  <w:style w:type="paragraph" w:customStyle="1" w:styleId="AppendixNoTitle">
    <w:name w:val="Appendix_NoTitle"/>
    <w:basedOn w:val="AnnexNoTitle"/>
    <w:next w:val="Normalaftertitle"/>
    <w:rsid w:val="009A64BD"/>
  </w:style>
  <w:style w:type="character" w:customStyle="1" w:styleId="Artdef">
    <w:name w:val="Art_def"/>
    <w:basedOn w:val="DefaultParagraphFont"/>
    <w:rsid w:val="009A64BD"/>
    <w:rPr>
      <w:rFonts w:ascii="Times New Roman" w:hAnsi="Times New Roman"/>
      <w:b/>
    </w:rPr>
  </w:style>
  <w:style w:type="character" w:styleId="CommentReference">
    <w:name w:val="annotation reference"/>
    <w:basedOn w:val="DefaultParagraphFont"/>
    <w:uiPriority w:val="99"/>
    <w:semiHidden/>
    <w:rsid w:val="009A64BD"/>
    <w:rPr>
      <w:sz w:val="16"/>
      <w:szCs w:val="16"/>
    </w:rPr>
  </w:style>
  <w:style w:type="paragraph" w:customStyle="1" w:styleId="Reftitle">
    <w:name w:val="Ref_title"/>
    <w:basedOn w:val="Normal"/>
    <w:next w:val="Reftext"/>
    <w:rsid w:val="009A64BD"/>
    <w:pPr>
      <w:spacing w:before="480"/>
      <w:jc w:val="center"/>
    </w:pPr>
    <w:rPr>
      <w:b/>
    </w:rPr>
  </w:style>
  <w:style w:type="paragraph" w:customStyle="1" w:styleId="ArtNo">
    <w:name w:val="Art_No"/>
    <w:basedOn w:val="Normal"/>
    <w:next w:val="Arttitle"/>
    <w:rsid w:val="009A64BD"/>
    <w:pPr>
      <w:keepNext/>
      <w:keepLines/>
      <w:spacing w:before="480"/>
      <w:jc w:val="center"/>
    </w:pPr>
    <w:rPr>
      <w:caps/>
      <w:sz w:val="28"/>
    </w:rPr>
  </w:style>
  <w:style w:type="paragraph" w:customStyle="1" w:styleId="Arttitle">
    <w:name w:val="Art_title"/>
    <w:basedOn w:val="Normal"/>
    <w:next w:val="Normalaftertitle"/>
    <w:rsid w:val="009A64BD"/>
    <w:pPr>
      <w:keepNext/>
      <w:keepLines/>
      <w:spacing w:before="240"/>
      <w:jc w:val="center"/>
    </w:pPr>
    <w:rPr>
      <w:b/>
      <w:sz w:val="28"/>
    </w:rPr>
  </w:style>
  <w:style w:type="character" w:customStyle="1" w:styleId="Artref">
    <w:name w:val="Art_ref"/>
    <w:basedOn w:val="DefaultParagraphFont"/>
    <w:rsid w:val="009A64BD"/>
  </w:style>
  <w:style w:type="paragraph" w:customStyle="1" w:styleId="Call">
    <w:name w:val="Call"/>
    <w:basedOn w:val="Normal"/>
    <w:next w:val="Normal"/>
    <w:rsid w:val="009A64BD"/>
    <w:pPr>
      <w:keepNext/>
      <w:keepLines/>
      <w:spacing w:before="160"/>
      <w:ind w:left="794"/>
      <w:jc w:val="left"/>
    </w:pPr>
    <w:rPr>
      <w:i/>
    </w:rPr>
  </w:style>
  <w:style w:type="paragraph" w:customStyle="1" w:styleId="ChapNo">
    <w:name w:val="Chap_No"/>
    <w:basedOn w:val="Normal"/>
    <w:next w:val="Chaptitle"/>
    <w:rsid w:val="009A64BD"/>
    <w:pPr>
      <w:keepNext/>
      <w:keepLines/>
      <w:spacing w:before="480"/>
      <w:jc w:val="center"/>
    </w:pPr>
    <w:rPr>
      <w:b/>
      <w:caps/>
      <w:sz w:val="28"/>
    </w:rPr>
  </w:style>
  <w:style w:type="paragraph" w:customStyle="1" w:styleId="Equationlegend">
    <w:name w:val="Equation_legend"/>
    <w:basedOn w:val="Normal"/>
    <w:rsid w:val="009A64BD"/>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9A64BD"/>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9A64BD"/>
    <w:pPr>
      <w:keepNext/>
      <w:keepLines/>
      <w:spacing w:before="240" w:after="120"/>
      <w:jc w:val="center"/>
    </w:pPr>
  </w:style>
  <w:style w:type="paragraph" w:customStyle="1" w:styleId="FigureNoTitle">
    <w:name w:val="Figure_NoTitle"/>
    <w:basedOn w:val="Normal"/>
    <w:next w:val="Normalaftertitle"/>
    <w:rsid w:val="009A64BD"/>
    <w:pPr>
      <w:keepLines/>
      <w:spacing w:before="240" w:after="120"/>
      <w:jc w:val="center"/>
    </w:pPr>
    <w:rPr>
      <w:b/>
    </w:rPr>
  </w:style>
  <w:style w:type="paragraph" w:customStyle="1" w:styleId="Figurewithouttitle">
    <w:name w:val="Figure_without_title"/>
    <w:basedOn w:val="Normal"/>
    <w:next w:val="Normalaftertitle"/>
    <w:rsid w:val="009A64BD"/>
    <w:pPr>
      <w:keepLines/>
      <w:spacing w:before="240" w:after="120"/>
      <w:jc w:val="center"/>
    </w:pPr>
  </w:style>
  <w:style w:type="paragraph" w:customStyle="1" w:styleId="FooterQP">
    <w:name w:val="Footer_QP"/>
    <w:basedOn w:val="Normal"/>
    <w:rsid w:val="009A64BD"/>
    <w:pPr>
      <w:tabs>
        <w:tab w:val="clear" w:pos="794"/>
        <w:tab w:val="clear" w:pos="1191"/>
        <w:tab w:val="clear" w:pos="1588"/>
        <w:tab w:val="clear" w:pos="1985"/>
        <w:tab w:val="left" w:pos="907"/>
        <w:tab w:val="right" w:pos="8789"/>
        <w:tab w:val="right" w:pos="9639"/>
      </w:tabs>
      <w:spacing w:before="0"/>
      <w:jc w:val="left"/>
    </w:pPr>
    <w:rPr>
      <w:b/>
      <w:sz w:val="22"/>
    </w:rPr>
  </w:style>
  <w:style w:type="paragraph" w:customStyle="1" w:styleId="FirstFooter">
    <w:name w:val="FirstFooter"/>
    <w:basedOn w:val="Footer"/>
    <w:rsid w:val="009A64BD"/>
    <w:pPr>
      <w:tabs>
        <w:tab w:val="clear" w:pos="5954"/>
        <w:tab w:val="clear" w:pos="9639"/>
      </w:tabs>
      <w:overflowPunct/>
      <w:autoSpaceDE/>
      <w:autoSpaceDN/>
      <w:adjustRightInd/>
      <w:spacing w:before="40"/>
      <w:jc w:val="left"/>
      <w:textAlignment w:val="auto"/>
    </w:pPr>
    <w:rPr>
      <w:caps w:val="0"/>
      <w:noProof w:val="0"/>
    </w:rPr>
  </w:style>
  <w:style w:type="paragraph" w:customStyle="1" w:styleId="Formal">
    <w:name w:val="Formal"/>
    <w:basedOn w:val="ASN1"/>
    <w:rsid w:val="009A64BD"/>
    <w:rPr>
      <w:b w:val="0"/>
    </w:rPr>
  </w:style>
  <w:style w:type="paragraph" w:customStyle="1" w:styleId="Headingb">
    <w:name w:val="Heading_b"/>
    <w:basedOn w:val="Normal"/>
    <w:next w:val="Normal"/>
    <w:qFormat/>
    <w:rsid w:val="009A64BD"/>
    <w:pPr>
      <w:keepNext/>
      <w:spacing w:before="160"/>
      <w:jc w:val="left"/>
    </w:pPr>
    <w:rPr>
      <w:b/>
    </w:rPr>
  </w:style>
  <w:style w:type="paragraph" w:customStyle="1" w:styleId="Headingi">
    <w:name w:val="Heading_i"/>
    <w:basedOn w:val="Normal"/>
    <w:next w:val="Normal"/>
    <w:rsid w:val="009A64BD"/>
    <w:pPr>
      <w:keepNext/>
      <w:spacing w:before="160"/>
      <w:jc w:val="left"/>
    </w:pPr>
    <w:rPr>
      <w:i/>
    </w:rPr>
  </w:style>
  <w:style w:type="paragraph" w:styleId="Index2">
    <w:name w:val="index 2"/>
    <w:basedOn w:val="Normal"/>
    <w:next w:val="Normal"/>
    <w:uiPriority w:val="99"/>
    <w:semiHidden/>
    <w:rsid w:val="009A64BD"/>
    <w:pPr>
      <w:ind w:left="284"/>
      <w:jc w:val="left"/>
    </w:pPr>
  </w:style>
  <w:style w:type="paragraph" w:styleId="Index3">
    <w:name w:val="index 3"/>
    <w:basedOn w:val="Normal"/>
    <w:next w:val="Normal"/>
    <w:uiPriority w:val="99"/>
    <w:semiHidden/>
    <w:rsid w:val="009A64BD"/>
    <w:pPr>
      <w:ind w:left="567"/>
      <w:jc w:val="left"/>
    </w:pPr>
  </w:style>
  <w:style w:type="paragraph" w:customStyle="1" w:styleId="Normalaftertitle">
    <w:name w:val="Normal_after_title"/>
    <w:basedOn w:val="Normal"/>
    <w:next w:val="Normal"/>
    <w:rsid w:val="009A64BD"/>
    <w:pPr>
      <w:spacing w:before="360"/>
    </w:pPr>
  </w:style>
  <w:style w:type="paragraph" w:customStyle="1" w:styleId="PartNo">
    <w:name w:val="Part_No"/>
    <w:basedOn w:val="Normal"/>
    <w:next w:val="Partref"/>
    <w:rsid w:val="009A64BD"/>
    <w:pPr>
      <w:keepNext/>
      <w:keepLines/>
      <w:spacing w:before="480" w:after="80"/>
      <w:jc w:val="center"/>
    </w:pPr>
    <w:rPr>
      <w:caps/>
      <w:sz w:val="28"/>
    </w:rPr>
  </w:style>
  <w:style w:type="paragraph" w:customStyle="1" w:styleId="Partref">
    <w:name w:val="Part_ref"/>
    <w:basedOn w:val="Normal"/>
    <w:next w:val="Parttitle"/>
    <w:rsid w:val="009A64BD"/>
    <w:pPr>
      <w:keepNext/>
      <w:keepLines/>
      <w:spacing w:before="280"/>
      <w:jc w:val="center"/>
    </w:pPr>
  </w:style>
  <w:style w:type="paragraph" w:customStyle="1" w:styleId="Parttitle">
    <w:name w:val="Part_title"/>
    <w:basedOn w:val="Normal"/>
    <w:next w:val="Normalaftertitle"/>
    <w:rsid w:val="009A64BD"/>
    <w:pPr>
      <w:keepNext/>
      <w:keepLines/>
      <w:spacing w:before="240" w:after="280"/>
      <w:jc w:val="center"/>
    </w:pPr>
    <w:rPr>
      <w:b/>
      <w:sz w:val="28"/>
    </w:rPr>
  </w:style>
  <w:style w:type="paragraph" w:customStyle="1" w:styleId="Recdate">
    <w:name w:val="Rec_date"/>
    <w:basedOn w:val="Normal"/>
    <w:next w:val="Normalaftertitle"/>
    <w:rsid w:val="009A64BD"/>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9A64BD"/>
  </w:style>
  <w:style w:type="paragraph" w:customStyle="1" w:styleId="RecNo">
    <w:name w:val="Rec_No"/>
    <w:basedOn w:val="Normal"/>
    <w:next w:val="Rectitle"/>
    <w:rsid w:val="009A64BD"/>
    <w:pPr>
      <w:keepNext/>
      <w:keepLines/>
      <w:spacing w:before="0"/>
      <w:jc w:val="left"/>
    </w:pPr>
    <w:rPr>
      <w:b/>
      <w:sz w:val="28"/>
    </w:rPr>
  </w:style>
  <w:style w:type="paragraph" w:customStyle="1" w:styleId="QuestionNo">
    <w:name w:val="Question_No"/>
    <w:basedOn w:val="RecNo"/>
    <w:next w:val="Questiontitle"/>
    <w:rsid w:val="009A64BD"/>
  </w:style>
  <w:style w:type="paragraph" w:customStyle="1" w:styleId="Recref">
    <w:name w:val="Rec_ref"/>
    <w:basedOn w:val="Normal"/>
    <w:next w:val="Recdate"/>
    <w:rsid w:val="009A64BD"/>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9A64BD"/>
  </w:style>
  <w:style w:type="paragraph" w:customStyle="1" w:styleId="Rectitle">
    <w:name w:val="Rec_title"/>
    <w:basedOn w:val="Normal"/>
    <w:next w:val="Normalaftertitle"/>
    <w:rsid w:val="009A64BD"/>
    <w:pPr>
      <w:keepNext/>
      <w:keepLines/>
      <w:spacing w:before="360"/>
      <w:jc w:val="center"/>
    </w:pPr>
    <w:rPr>
      <w:b/>
      <w:sz w:val="28"/>
    </w:rPr>
  </w:style>
  <w:style w:type="paragraph" w:customStyle="1" w:styleId="Questiontitle">
    <w:name w:val="Question_title"/>
    <w:basedOn w:val="Rectitle"/>
    <w:next w:val="Questionref"/>
    <w:rsid w:val="009A64BD"/>
  </w:style>
  <w:style w:type="paragraph" w:customStyle="1" w:styleId="Reftext">
    <w:name w:val="Ref_text"/>
    <w:basedOn w:val="Normal"/>
    <w:rsid w:val="009A64BD"/>
    <w:pPr>
      <w:ind w:left="794" w:hanging="794"/>
      <w:jc w:val="left"/>
    </w:pPr>
  </w:style>
  <w:style w:type="paragraph" w:customStyle="1" w:styleId="Repdate">
    <w:name w:val="Rep_date"/>
    <w:basedOn w:val="Recdate"/>
    <w:next w:val="Normalaftertitle"/>
    <w:rsid w:val="009A64BD"/>
  </w:style>
  <w:style w:type="paragraph" w:customStyle="1" w:styleId="RepNo">
    <w:name w:val="Rep_No"/>
    <w:basedOn w:val="RecNo"/>
    <w:next w:val="Reptitle"/>
    <w:rsid w:val="009A64BD"/>
  </w:style>
  <w:style w:type="paragraph" w:customStyle="1" w:styleId="Repref">
    <w:name w:val="Rep_ref"/>
    <w:basedOn w:val="Recref"/>
    <w:next w:val="Repdate"/>
    <w:rsid w:val="009A64BD"/>
  </w:style>
  <w:style w:type="paragraph" w:customStyle="1" w:styleId="Reptitle">
    <w:name w:val="Rep_title"/>
    <w:basedOn w:val="Rectitle"/>
    <w:next w:val="Repref"/>
    <w:rsid w:val="009A64BD"/>
  </w:style>
  <w:style w:type="paragraph" w:customStyle="1" w:styleId="Resdate">
    <w:name w:val="Res_date"/>
    <w:basedOn w:val="Recdate"/>
    <w:next w:val="Normalaftertitle"/>
    <w:rsid w:val="009A64BD"/>
  </w:style>
  <w:style w:type="character" w:customStyle="1" w:styleId="Resdef">
    <w:name w:val="Res_def"/>
    <w:basedOn w:val="DefaultParagraphFont"/>
    <w:rsid w:val="009A64BD"/>
    <w:rPr>
      <w:rFonts w:ascii="Times New Roman" w:hAnsi="Times New Roman"/>
      <w:b/>
    </w:rPr>
  </w:style>
  <w:style w:type="paragraph" w:customStyle="1" w:styleId="ResNo">
    <w:name w:val="Res_No"/>
    <w:basedOn w:val="RecNo"/>
    <w:next w:val="Restitle"/>
    <w:rsid w:val="009A64BD"/>
  </w:style>
  <w:style w:type="paragraph" w:customStyle="1" w:styleId="Resref">
    <w:name w:val="Res_ref"/>
    <w:basedOn w:val="Recref"/>
    <w:next w:val="Resdate"/>
    <w:rsid w:val="009A64BD"/>
  </w:style>
  <w:style w:type="paragraph" w:customStyle="1" w:styleId="Restitle">
    <w:name w:val="Res_title"/>
    <w:basedOn w:val="Rectitle"/>
    <w:next w:val="Resref"/>
    <w:rsid w:val="009A64BD"/>
  </w:style>
  <w:style w:type="paragraph" w:customStyle="1" w:styleId="Section1">
    <w:name w:val="Section_1"/>
    <w:basedOn w:val="Normal"/>
    <w:next w:val="Normal"/>
    <w:rsid w:val="009A64BD"/>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9A64BD"/>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9A64BD"/>
    <w:pPr>
      <w:keepNext/>
      <w:keepLines/>
      <w:spacing w:before="480" w:after="80"/>
      <w:jc w:val="center"/>
    </w:pPr>
    <w:rPr>
      <w:caps/>
      <w:sz w:val="28"/>
    </w:rPr>
  </w:style>
  <w:style w:type="paragraph" w:customStyle="1" w:styleId="Sectiontitle">
    <w:name w:val="Section_title"/>
    <w:basedOn w:val="Normal"/>
    <w:next w:val="Normalaftertitle"/>
    <w:rsid w:val="009A64BD"/>
    <w:pPr>
      <w:keepNext/>
      <w:keepLines/>
      <w:spacing w:before="480" w:after="280"/>
      <w:jc w:val="center"/>
    </w:pPr>
    <w:rPr>
      <w:b/>
      <w:sz w:val="28"/>
    </w:rPr>
  </w:style>
  <w:style w:type="paragraph" w:customStyle="1" w:styleId="Source">
    <w:name w:val="Source"/>
    <w:basedOn w:val="Normal"/>
    <w:next w:val="Normalaftertitle"/>
    <w:rsid w:val="009A64BD"/>
    <w:pPr>
      <w:spacing w:before="840" w:after="200"/>
      <w:jc w:val="center"/>
    </w:pPr>
    <w:rPr>
      <w:b/>
      <w:sz w:val="28"/>
    </w:rPr>
  </w:style>
  <w:style w:type="paragraph" w:customStyle="1" w:styleId="SpecialFooter">
    <w:name w:val="Special Footer"/>
    <w:basedOn w:val="Footer"/>
    <w:rsid w:val="009A64BD"/>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9A64BD"/>
    <w:rPr>
      <w:b/>
      <w:color w:val="auto"/>
    </w:rPr>
  </w:style>
  <w:style w:type="paragraph" w:customStyle="1" w:styleId="Tablehead">
    <w:name w:val="Table_head"/>
    <w:basedOn w:val="Normal"/>
    <w:next w:val="Tabletext"/>
    <w:rsid w:val="009A64B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9A64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rPr>
      <w:sz w:val="22"/>
    </w:rPr>
  </w:style>
  <w:style w:type="paragraph" w:styleId="CommentText">
    <w:name w:val="annotation text"/>
    <w:basedOn w:val="Normal"/>
    <w:link w:val="CommentTextChar"/>
    <w:uiPriority w:val="99"/>
    <w:rsid w:val="009A64BD"/>
    <w:pPr>
      <w:tabs>
        <w:tab w:val="clear" w:pos="794"/>
        <w:tab w:val="clear" w:pos="1191"/>
        <w:tab w:val="clear" w:pos="1588"/>
        <w:tab w:val="clear" w:pos="1985"/>
      </w:tabs>
      <w:overflowPunct/>
      <w:autoSpaceDE/>
      <w:autoSpaceDN/>
      <w:adjustRightInd/>
      <w:spacing w:before="0"/>
      <w:jc w:val="left"/>
      <w:textAlignment w:val="auto"/>
    </w:pPr>
    <w:rPr>
      <w:sz w:val="20"/>
      <w:lang w:val="en-US"/>
    </w:rPr>
  </w:style>
  <w:style w:type="paragraph" w:customStyle="1" w:styleId="Tabletext">
    <w:name w:val="Table_text"/>
    <w:basedOn w:val="Normal"/>
    <w:rsid w:val="009A64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2"/>
    </w:rPr>
  </w:style>
  <w:style w:type="paragraph" w:customStyle="1" w:styleId="TableNoTitle">
    <w:name w:val="Table_NoTitle"/>
    <w:basedOn w:val="Normal"/>
    <w:next w:val="Tablehead"/>
    <w:rsid w:val="009A64BD"/>
    <w:pPr>
      <w:keepNext/>
      <w:keepLines/>
      <w:spacing w:before="360" w:after="120"/>
      <w:jc w:val="center"/>
    </w:pPr>
    <w:rPr>
      <w:b/>
    </w:rPr>
  </w:style>
  <w:style w:type="paragraph" w:customStyle="1" w:styleId="Title1">
    <w:name w:val="Title 1"/>
    <w:basedOn w:val="Source"/>
    <w:next w:val="Title2"/>
    <w:rsid w:val="009A64BD"/>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9A64BD"/>
  </w:style>
  <w:style w:type="paragraph" w:customStyle="1" w:styleId="Title3">
    <w:name w:val="Title 3"/>
    <w:basedOn w:val="Title2"/>
    <w:next w:val="Title4"/>
    <w:rsid w:val="009A64BD"/>
    <w:rPr>
      <w:caps w:val="0"/>
    </w:rPr>
  </w:style>
  <w:style w:type="paragraph" w:customStyle="1" w:styleId="Title4">
    <w:name w:val="Title 4"/>
    <w:basedOn w:val="Title3"/>
    <w:next w:val="Heading1"/>
    <w:rsid w:val="009A64BD"/>
    <w:rPr>
      <w:b/>
    </w:rPr>
  </w:style>
  <w:style w:type="paragraph" w:customStyle="1" w:styleId="Artheading">
    <w:name w:val="Art_heading"/>
    <w:basedOn w:val="Normal"/>
    <w:next w:val="Normalaftertitle"/>
    <w:rsid w:val="009A64BD"/>
    <w:pPr>
      <w:spacing w:before="480"/>
      <w:jc w:val="center"/>
    </w:pPr>
    <w:rPr>
      <w:b/>
      <w:sz w:val="28"/>
    </w:rPr>
  </w:style>
  <w:style w:type="character" w:styleId="Hyperlink">
    <w:name w:val="Hyperlink"/>
    <w:aliases w:val="超级链接"/>
    <w:basedOn w:val="DefaultParagraphFont"/>
    <w:uiPriority w:val="99"/>
    <w:rsid w:val="009A64BD"/>
    <w:rPr>
      <w:color w:val="0000FF"/>
      <w:u w:val="single"/>
    </w:rPr>
  </w:style>
  <w:style w:type="paragraph" w:styleId="BalloonText">
    <w:name w:val="Balloon Text"/>
    <w:basedOn w:val="Normal"/>
    <w:link w:val="BalloonTextChar"/>
    <w:rsid w:val="00A9292D"/>
    <w:pPr>
      <w:spacing w:before="0"/>
    </w:pPr>
    <w:rPr>
      <w:rFonts w:ascii="Tahoma" w:hAnsi="Tahoma" w:cs="Tahoma"/>
      <w:sz w:val="16"/>
      <w:szCs w:val="16"/>
    </w:rPr>
  </w:style>
  <w:style w:type="character" w:customStyle="1" w:styleId="BalloonTextChar">
    <w:name w:val="Balloon Text Char"/>
    <w:basedOn w:val="DefaultParagraphFont"/>
    <w:link w:val="BalloonText"/>
    <w:uiPriority w:val="99"/>
    <w:rsid w:val="00A9292D"/>
    <w:rPr>
      <w:rFonts w:ascii="Tahoma" w:hAnsi="Tahoma" w:cs="Tahoma"/>
      <w:sz w:val="16"/>
      <w:szCs w:val="16"/>
      <w:lang w:val="en-GB" w:eastAsia="en-US"/>
    </w:rPr>
  </w:style>
  <w:style w:type="paragraph" w:styleId="BodyText">
    <w:name w:val="Body Text"/>
    <w:basedOn w:val="Normal"/>
    <w:link w:val="BodyTextChar"/>
    <w:uiPriority w:val="99"/>
    <w:qFormat/>
    <w:rsid w:val="00D41983"/>
    <w:pPr>
      <w:widowControl w:val="0"/>
      <w:tabs>
        <w:tab w:val="clear" w:pos="794"/>
        <w:tab w:val="clear" w:pos="1191"/>
        <w:tab w:val="clear" w:pos="1588"/>
        <w:tab w:val="clear" w:pos="1985"/>
      </w:tabs>
      <w:overflowPunct/>
      <w:adjustRightInd/>
      <w:spacing w:before="0"/>
      <w:jc w:val="left"/>
      <w:textAlignment w:val="auto"/>
    </w:pPr>
    <w:rPr>
      <w:rFonts w:ascii="Avenir Next W1G Medium" w:eastAsia="Avenir Next W1G Medium" w:hAnsi="Avenir Next W1G Medium" w:cs="Avenir Next W1G Medium"/>
      <w:b/>
      <w:bCs/>
      <w:sz w:val="48"/>
      <w:szCs w:val="48"/>
      <w:lang w:val="en-US"/>
    </w:rPr>
  </w:style>
  <w:style w:type="character" w:customStyle="1" w:styleId="BodyTextChar">
    <w:name w:val="Body Text Char"/>
    <w:basedOn w:val="DefaultParagraphFont"/>
    <w:link w:val="BodyText"/>
    <w:uiPriority w:val="99"/>
    <w:rsid w:val="00D41983"/>
    <w:rPr>
      <w:rFonts w:ascii="Avenir Next W1G Medium" w:eastAsia="Avenir Next W1G Medium" w:hAnsi="Avenir Next W1G Medium" w:cs="Avenir Next W1G Medium"/>
      <w:b/>
      <w:bCs/>
      <w:sz w:val="48"/>
      <w:szCs w:val="48"/>
      <w:lang w:eastAsia="en-US"/>
    </w:rPr>
  </w:style>
  <w:style w:type="table" w:styleId="TableGrid">
    <w:name w:val="Table Grid"/>
    <w:basedOn w:val="TableNormal"/>
    <w:rsid w:val="002B5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934B4E"/>
    <w:rPr>
      <w:color w:val="605E5C"/>
      <w:shd w:val="clear" w:color="auto" w:fill="E1DFDD"/>
    </w:rPr>
  </w:style>
  <w:style w:type="paragraph" w:styleId="Revision">
    <w:name w:val="Revision"/>
    <w:hidden/>
    <w:uiPriority w:val="99"/>
    <w:semiHidden/>
    <w:rsid w:val="001B5D54"/>
    <w:rPr>
      <w:rFonts w:ascii="Times New Roman" w:hAnsi="Times New Roman"/>
      <w:sz w:val="24"/>
      <w:lang w:val="en-GB" w:eastAsia="en-US"/>
    </w:rPr>
  </w:style>
  <w:style w:type="character" w:customStyle="1" w:styleId="bidi">
    <w:name w:val="bidi"/>
    <w:basedOn w:val="DefaultParagraphFont"/>
    <w:rsid w:val="00DF3A5B"/>
  </w:style>
  <w:style w:type="character" w:customStyle="1" w:styleId="Heading1Char">
    <w:name w:val="Heading 1 Char"/>
    <w:link w:val="Heading1"/>
    <w:rsid w:val="00DF3A5B"/>
    <w:rPr>
      <w:rFonts w:ascii="Times New Roman" w:hAnsi="Times New Roman"/>
      <w:b/>
      <w:sz w:val="24"/>
      <w:lang w:val="en-GB" w:eastAsia="en-US"/>
    </w:rPr>
  </w:style>
  <w:style w:type="character" w:customStyle="1" w:styleId="Heading2Char">
    <w:name w:val="Heading 2 Char"/>
    <w:link w:val="Heading2"/>
    <w:rsid w:val="00DF3A5B"/>
    <w:rPr>
      <w:rFonts w:ascii="Times New Roman" w:hAnsi="Times New Roman"/>
      <w:b/>
      <w:sz w:val="24"/>
      <w:lang w:val="en-GB" w:eastAsia="en-US"/>
    </w:rPr>
  </w:style>
  <w:style w:type="paragraph" w:customStyle="1" w:styleId="AppendixNotitle0">
    <w:name w:val="Appendix_No &amp; title"/>
    <w:basedOn w:val="Normal"/>
    <w:next w:val="Normal"/>
    <w:rsid w:val="00DF3A5B"/>
    <w:pPr>
      <w:keepNext/>
      <w:keepLines/>
      <w:spacing w:before="480"/>
      <w:jc w:val="center"/>
    </w:pPr>
    <w:rPr>
      <w:b/>
      <w:sz w:val="28"/>
    </w:rPr>
  </w:style>
  <w:style w:type="paragraph" w:styleId="ListParagraph">
    <w:name w:val="List Paragraph"/>
    <w:basedOn w:val="Normal"/>
    <w:uiPriority w:val="34"/>
    <w:qFormat/>
    <w:rsid w:val="00805790"/>
    <w:pPr>
      <w:tabs>
        <w:tab w:val="clear" w:pos="794"/>
        <w:tab w:val="clear" w:pos="1191"/>
        <w:tab w:val="clear" w:pos="1588"/>
        <w:tab w:val="clear" w:pos="1985"/>
      </w:tabs>
      <w:ind w:left="720"/>
      <w:contextualSpacing/>
      <w:jc w:val="left"/>
    </w:pPr>
  </w:style>
  <w:style w:type="character" w:styleId="Emphasis">
    <w:name w:val="Emphasis"/>
    <w:basedOn w:val="DefaultParagraphFont"/>
    <w:qFormat/>
    <w:rsid w:val="00805790"/>
    <w:rPr>
      <w:i/>
      <w:iCs/>
    </w:rPr>
  </w:style>
  <w:style w:type="character" w:customStyle="1" w:styleId="author">
    <w:name w:val="author"/>
    <w:basedOn w:val="DefaultParagraphFont"/>
    <w:rsid w:val="00805790"/>
  </w:style>
  <w:style w:type="character" w:customStyle="1" w:styleId="articletitle">
    <w:name w:val="articletitle"/>
    <w:basedOn w:val="DefaultParagraphFont"/>
    <w:rsid w:val="00805790"/>
  </w:style>
  <w:style w:type="character" w:customStyle="1" w:styleId="pubyear">
    <w:name w:val="pubyear"/>
    <w:basedOn w:val="DefaultParagraphFont"/>
    <w:rsid w:val="00805790"/>
  </w:style>
  <w:style w:type="character" w:customStyle="1" w:styleId="vol">
    <w:name w:val="vol"/>
    <w:basedOn w:val="DefaultParagraphFont"/>
    <w:rsid w:val="00805790"/>
  </w:style>
  <w:style w:type="character" w:customStyle="1" w:styleId="pagefirst">
    <w:name w:val="pagefirst"/>
    <w:basedOn w:val="DefaultParagraphFont"/>
    <w:rsid w:val="00805790"/>
  </w:style>
  <w:style w:type="character" w:customStyle="1" w:styleId="pagelast">
    <w:name w:val="pagelast"/>
    <w:basedOn w:val="DefaultParagraphFont"/>
    <w:rsid w:val="00805790"/>
  </w:style>
  <w:style w:type="paragraph" w:styleId="CommentSubject">
    <w:name w:val="annotation subject"/>
    <w:basedOn w:val="CommentText"/>
    <w:next w:val="CommentText"/>
    <w:link w:val="CommentSubjectChar"/>
    <w:semiHidden/>
    <w:unhideWhenUsed/>
    <w:rsid w:val="00A046A8"/>
    <w:pPr>
      <w:tabs>
        <w:tab w:val="left" w:pos="794"/>
        <w:tab w:val="left" w:pos="1191"/>
        <w:tab w:val="left" w:pos="1588"/>
        <w:tab w:val="left" w:pos="1985"/>
      </w:tabs>
      <w:overflowPunct w:val="0"/>
      <w:autoSpaceDE w:val="0"/>
      <w:autoSpaceDN w:val="0"/>
      <w:adjustRightInd w:val="0"/>
      <w:spacing w:before="120"/>
      <w:jc w:val="both"/>
      <w:textAlignment w:val="baseline"/>
    </w:pPr>
    <w:rPr>
      <w:b/>
      <w:bCs/>
      <w:lang w:val="en-GB"/>
    </w:rPr>
  </w:style>
  <w:style w:type="character" w:customStyle="1" w:styleId="CommentTextChar">
    <w:name w:val="Comment Text Char"/>
    <w:basedOn w:val="DefaultParagraphFont"/>
    <w:link w:val="CommentText"/>
    <w:uiPriority w:val="99"/>
    <w:rsid w:val="00A046A8"/>
    <w:rPr>
      <w:rFonts w:ascii="Times New Roman" w:hAnsi="Times New Roman"/>
      <w:lang w:eastAsia="en-US"/>
    </w:rPr>
  </w:style>
  <w:style w:type="character" w:customStyle="1" w:styleId="CommentSubjectChar">
    <w:name w:val="Comment Subject Char"/>
    <w:basedOn w:val="CommentTextChar"/>
    <w:link w:val="CommentSubject"/>
    <w:uiPriority w:val="99"/>
    <w:semiHidden/>
    <w:rsid w:val="00A046A8"/>
    <w:rPr>
      <w:rFonts w:ascii="Times New Roman" w:hAnsi="Times New Roman"/>
      <w:b/>
      <w:bCs/>
      <w:lang w:val="en-GB" w:eastAsia="en-US"/>
    </w:rPr>
  </w:style>
  <w:style w:type="character" w:styleId="PlaceholderText">
    <w:name w:val="Placeholder Text"/>
    <w:basedOn w:val="DefaultParagraphFont"/>
    <w:uiPriority w:val="99"/>
    <w:semiHidden/>
    <w:rsid w:val="0020782B"/>
    <w:rPr>
      <w:rFonts w:ascii="Times New Roman" w:hAnsi="Times New Roman"/>
      <w:color w:val="808080"/>
    </w:rPr>
  </w:style>
  <w:style w:type="paragraph" w:customStyle="1" w:styleId="Docnumber">
    <w:name w:val="Docnumber"/>
    <w:basedOn w:val="Normal"/>
    <w:link w:val="DocnumberChar"/>
    <w:qFormat/>
    <w:rsid w:val="0020782B"/>
    <w:pPr>
      <w:jc w:val="right"/>
    </w:pPr>
    <w:rPr>
      <w:rFonts w:eastAsia="SimSun"/>
      <w:b/>
      <w:sz w:val="32"/>
    </w:rPr>
  </w:style>
  <w:style w:type="character" w:customStyle="1" w:styleId="DocnumberChar">
    <w:name w:val="Docnumber Char"/>
    <w:link w:val="Docnumber"/>
    <w:rsid w:val="0020782B"/>
    <w:rPr>
      <w:rFonts w:ascii="Times New Roman" w:eastAsia="SimSun" w:hAnsi="Times New Roman"/>
      <w:b/>
      <w:sz w:val="32"/>
      <w:lang w:val="en-GB" w:eastAsia="en-US"/>
    </w:rPr>
  </w:style>
  <w:style w:type="paragraph" w:customStyle="1" w:styleId="AnnexNotitle0">
    <w:name w:val="Annex_No &amp; title"/>
    <w:basedOn w:val="Normal"/>
    <w:next w:val="Normal"/>
    <w:rsid w:val="0020782B"/>
    <w:pPr>
      <w:keepNext/>
      <w:keepLines/>
      <w:spacing w:before="480"/>
      <w:jc w:val="center"/>
    </w:pPr>
    <w:rPr>
      <w:b/>
      <w:sz w:val="28"/>
    </w:rPr>
  </w:style>
  <w:style w:type="paragraph" w:customStyle="1" w:styleId="CorrectionSeparatorBegin">
    <w:name w:val="Correction Separator Begin"/>
    <w:basedOn w:val="Normal"/>
    <w:rsid w:val="0020782B"/>
    <w:pPr>
      <w:keepNext/>
      <w:pBdr>
        <w:bottom w:val="single" w:sz="12" w:space="1" w:color="auto"/>
      </w:pBdr>
      <w:tabs>
        <w:tab w:val="clear" w:pos="794"/>
        <w:tab w:val="clear" w:pos="1191"/>
        <w:tab w:val="clear" w:pos="1588"/>
        <w:tab w:val="clear" w:pos="1985"/>
      </w:tabs>
      <w:overflowPunct/>
      <w:autoSpaceDE/>
      <w:autoSpaceDN/>
      <w:adjustRightInd/>
      <w:spacing w:before="240" w:after="240"/>
      <w:ind w:left="1440" w:right="1440"/>
      <w:jc w:val="center"/>
      <w:textAlignment w:val="auto"/>
    </w:pPr>
    <w:rPr>
      <w:b/>
      <w:i/>
      <w:sz w:val="20"/>
      <w:lang w:val="en-US"/>
    </w:rPr>
  </w:style>
  <w:style w:type="paragraph" w:customStyle="1" w:styleId="CorrectionSeparatorEnd">
    <w:name w:val="Correction Separator End"/>
    <w:basedOn w:val="Normal"/>
    <w:rsid w:val="0020782B"/>
    <w:pPr>
      <w:pBdr>
        <w:top w:val="single" w:sz="12" w:space="1" w:color="auto"/>
      </w:pBdr>
      <w:tabs>
        <w:tab w:val="clear" w:pos="794"/>
        <w:tab w:val="clear" w:pos="1191"/>
        <w:tab w:val="clear" w:pos="1588"/>
        <w:tab w:val="clear" w:pos="1985"/>
      </w:tabs>
      <w:overflowPunct/>
      <w:autoSpaceDE/>
      <w:autoSpaceDN/>
      <w:adjustRightInd/>
      <w:spacing w:before="240" w:after="240"/>
      <w:ind w:left="1440" w:right="1440"/>
      <w:jc w:val="center"/>
      <w:textAlignment w:val="auto"/>
    </w:pPr>
    <w:rPr>
      <w:b/>
      <w:i/>
      <w:sz w:val="20"/>
      <w:lang w:val="en-US"/>
    </w:rPr>
  </w:style>
  <w:style w:type="paragraph" w:customStyle="1" w:styleId="FigureNotitle0">
    <w:name w:val="Figure_No &amp; title"/>
    <w:basedOn w:val="Normal"/>
    <w:next w:val="Normal"/>
    <w:qFormat/>
    <w:rsid w:val="0020782B"/>
    <w:pPr>
      <w:keepLines/>
      <w:spacing w:before="240" w:after="120"/>
      <w:jc w:val="center"/>
    </w:pPr>
    <w:rPr>
      <w:rFonts w:eastAsiaTheme="minorEastAsia"/>
      <w:b/>
      <w:lang w:eastAsia="ja-JP"/>
    </w:rPr>
  </w:style>
  <w:style w:type="paragraph" w:customStyle="1" w:styleId="Headingib">
    <w:name w:val="Heading_ib"/>
    <w:basedOn w:val="Headingi"/>
    <w:next w:val="Normal"/>
    <w:qFormat/>
    <w:rsid w:val="0020782B"/>
    <w:rPr>
      <w:rFonts w:eastAsiaTheme="minorEastAsia"/>
      <w:b/>
      <w:bCs/>
      <w:lang w:eastAsia="ja-JP"/>
    </w:rPr>
  </w:style>
  <w:style w:type="paragraph" w:customStyle="1" w:styleId="Normalbeforetable">
    <w:name w:val="Normal before table"/>
    <w:basedOn w:val="Normal"/>
    <w:rsid w:val="0020782B"/>
    <w:pPr>
      <w:keepNext/>
      <w:tabs>
        <w:tab w:val="clear" w:pos="794"/>
        <w:tab w:val="clear" w:pos="1191"/>
        <w:tab w:val="clear" w:pos="1588"/>
        <w:tab w:val="clear" w:pos="1985"/>
      </w:tabs>
      <w:overflowPunct/>
      <w:autoSpaceDE/>
      <w:autoSpaceDN/>
      <w:adjustRightInd/>
      <w:spacing w:after="120"/>
      <w:jc w:val="left"/>
      <w:textAlignment w:val="auto"/>
    </w:pPr>
    <w:rPr>
      <w:rFonts w:eastAsia="????"/>
      <w:szCs w:val="24"/>
    </w:rPr>
  </w:style>
  <w:style w:type="paragraph" w:customStyle="1" w:styleId="TableNotitle0">
    <w:name w:val="Table_No &amp; title"/>
    <w:basedOn w:val="Normal"/>
    <w:next w:val="Normal"/>
    <w:qFormat/>
    <w:rsid w:val="0020782B"/>
    <w:pPr>
      <w:keepNext/>
      <w:keepLines/>
      <w:spacing w:before="360" w:after="120"/>
      <w:jc w:val="center"/>
    </w:pPr>
    <w:rPr>
      <w:rFonts w:eastAsiaTheme="minorEastAsia"/>
      <w:b/>
      <w:lang w:eastAsia="ja-JP"/>
    </w:rPr>
  </w:style>
  <w:style w:type="paragraph" w:styleId="TableofFigures">
    <w:name w:val="table of figures"/>
    <w:basedOn w:val="Normal"/>
    <w:next w:val="Normal"/>
    <w:uiPriority w:val="99"/>
    <w:rsid w:val="0020782B"/>
    <w:pPr>
      <w:tabs>
        <w:tab w:val="clear" w:pos="794"/>
        <w:tab w:val="clear" w:pos="1191"/>
        <w:tab w:val="clear" w:pos="1588"/>
        <w:tab w:val="clear" w:pos="1985"/>
        <w:tab w:val="right" w:leader="dot" w:pos="9639"/>
      </w:tabs>
      <w:overflowPunct/>
      <w:autoSpaceDE/>
      <w:autoSpaceDN/>
      <w:adjustRightInd/>
      <w:jc w:val="left"/>
      <w:textAlignment w:val="auto"/>
    </w:pPr>
    <w:rPr>
      <w:rFonts w:eastAsia="MS Mincho"/>
      <w:szCs w:val="24"/>
      <w:lang w:eastAsia="ja-JP"/>
    </w:rPr>
  </w:style>
  <w:style w:type="character" w:customStyle="1" w:styleId="Heading3Char">
    <w:name w:val="Heading 3 Char"/>
    <w:basedOn w:val="DefaultParagraphFont"/>
    <w:link w:val="Heading3"/>
    <w:uiPriority w:val="9"/>
    <w:rsid w:val="0020782B"/>
    <w:rPr>
      <w:rFonts w:ascii="Times New Roman" w:hAnsi="Times New Roman"/>
      <w:b/>
      <w:sz w:val="24"/>
      <w:lang w:val="en-GB" w:eastAsia="en-US"/>
    </w:rPr>
  </w:style>
  <w:style w:type="character" w:customStyle="1" w:styleId="Heading4Char">
    <w:name w:val="Heading 4 Char"/>
    <w:basedOn w:val="DefaultParagraphFont"/>
    <w:link w:val="Heading4"/>
    <w:uiPriority w:val="9"/>
    <w:rsid w:val="0020782B"/>
    <w:rPr>
      <w:rFonts w:ascii="Times New Roman" w:hAnsi="Times New Roman"/>
      <w:b/>
      <w:sz w:val="24"/>
      <w:lang w:val="en-GB" w:eastAsia="en-US"/>
    </w:rPr>
  </w:style>
  <w:style w:type="character" w:customStyle="1" w:styleId="Heading5Char">
    <w:name w:val="Heading 5 Char"/>
    <w:basedOn w:val="DefaultParagraphFont"/>
    <w:link w:val="Heading5"/>
    <w:uiPriority w:val="9"/>
    <w:rsid w:val="0020782B"/>
    <w:rPr>
      <w:rFonts w:ascii="Times New Roman" w:hAnsi="Times New Roman"/>
      <w:b/>
      <w:sz w:val="24"/>
      <w:lang w:val="en-GB" w:eastAsia="en-US"/>
    </w:rPr>
  </w:style>
  <w:style w:type="character" w:customStyle="1" w:styleId="Heading6Char">
    <w:name w:val="Heading 6 Char"/>
    <w:basedOn w:val="DefaultParagraphFont"/>
    <w:link w:val="Heading6"/>
    <w:uiPriority w:val="9"/>
    <w:rsid w:val="0020782B"/>
    <w:rPr>
      <w:rFonts w:ascii="Times New Roman" w:hAnsi="Times New Roman"/>
      <w:b/>
      <w:sz w:val="24"/>
      <w:lang w:val="en-GB" w:eastAsia="en-US"/>
    </w:rPr>
  </w:style>
  <w:style w:type="character" w:customStyle="1" w:styleId="Heading7Char">
    <w:name w:val="Heading 7 Char"/>
    <w:basedOn w:val="DefaultParagraphFont"/>
    <w:link w:val="Heading7"/>
    <w:rsid w:val="0020782B"/>
    <w:rPr>
      <w:rFonts w:ascii="Times New Roman" w:hAnsi="Times New Roman"/>
      <w:b/>
      <w:sz w:val="24"/>
      <w:lang w:val="en-GB" w:eastAsia="en-US"/>
    </w:rPr>
  </w:style>
  <w:style w:type="character" w:customStyle="1" w:styleId="Heading8Char">
    <w:name w:val="Heading 8 Char"/>
    <w:basedOn w:val="DefaultParagraphFont"/>
    <w:link w:val="Heading8"/>
    <w:rsid w:val="0020782B"/>
    <w:rPr>
      <w:rFonts w:ascii="Times New Roman" w:hAnsi="Times New Roman"/>
      <w:b/>
      <w:sz w:val="24"/>
      <w:lang w:val="en-GB" w:eastAsia="en-US"/>
    </w:rPr>
  </w:style>
  <w:style w:type="character" w:customStyle="1" w:styleId="Heading9Char">
    <w:name w:val="Heading 9 Char"/>
    <w:basedOn w:val="DefaultParagraphFont"/>
    <w:link w:val="Heading9"/>
    <w:rsid w:val="0020782B"/>
    <w:rPr>
      <w:rFonts w:ascii="Times New Roman" w:hAnsi="Times New Roman"/>
      <w:b/>
      <w:sz w:val="24"/>
      <w:lang w:val="en-GB" w:eastAsia="en-US"/>
    </w:rPr>
  </w:style>
  <w:style w:type="paragraph" w:styleId="Caption">
    <w:name w:val="caption"/>
    <w:basedOn w:val="Normal"/>
    <w:next w:val="Normal"/>
    <w:unhideWhenUsed/>
    <w:rsid w:val="0020782B"/>
    <w:pPr>
      <w:tabs>
        <w:tab w:val="clear" w:pos="794"/>
        <w:tab w:val="clear" w:pos="1191"/>
        <w:tab w:val="clear" w:pos="1588"/>
        <w:tab w:val="clear" w:pos="1985"/>
      </w:tabs>
      <w:overflowPunct/>
      <w:autoSpaceDE/>
      <w:autoSpaceDN/>
      <w:adjustRightInd/>
      <w:spacing w:before="0" w:after="200"/>
      <w:jc w:val="left"/>
      <w:textAlignment w:val="auto"/>
    </w:pPr>
    <w:rPr>
      <w:rFonts w:eastAsiaTheme="minorEastAsia"/>
      <w:i/>
      <w:iCs/>
      <w:color w:val="1F497D" w:themeColor="text2"/>
      <w:sz w:val="18"/>
      <w:szCs w:val="18"/>
      <w:lang w:eastAsia="ja-JP"/>
    </w:rPr>
  </w:style>
  <w:style w:type="character" w:customStyle="1" w:styleId="HeaderChar">
    <w:name w:val="Header Char"/>
    <w:basedOn w:val="DefaultParagraphFont"/>
    <w:link w:val="Header"/>
    <w:rsid w:val="0020782B"/>
    <w:rPr>
      <w:rFonts w:ascii="Times New Roman" w:hAnsi="Times New Roman"/>
      <w:sz w:val="18"/>
      <w:lang w:val="en-GB" w:eastAsia="en-US"/>
    </w:rPr>
  </w:style>
  <w:style w:type="character" w:customStyle="1" w:styleId="FooterChar">
    <w:name w:val="Footer Char"/>
    <w:basedOn w:val="DefaultParagraphFont"/>
    <w:link w:val="Footer"/>
    <w:rsid w:val="0020782B"/>
    <w:rPr>
      <w:rFonts w:ascii="Times New Roman" w:hAnsi="Times New Roman"/>
      <w:caps/>
      <w:noProof/>
      <w:sz w:val="16"/>
      <w:lang w:val="en-GB" w:eastAsia="en-US"/>
    </w:rPr>
  </w:style>
  <w:style w:type="paragraph" w:styleId="Quote">
    <w:name w:val="Quote"/>
    <w:basedOn w:val="Normal"/>
    <w:next w:val="Normal"/>
    <w:link w:val="QuoteChar"/>
    <w:uiPriority w:val="29"/>
    <w:rsid w:val="0020782B"/>
    <w:pPr>
      <w:tabs>
        <w:tab w:val="clear" w:pos="794"/>
        <w:tab w:val="clear" w:pos="1191"/>
        <w:tab w:val="clear" w:pos="1588"/>
        <w:tab w:val="clear" w:pos="1985"/>
      </w:tabs>
      <w:overflowPunct/>
      <w:autoSpaceDE/>
      <w:autoSpaceDN/>
      <w:adjustRightInd/>
      <w:spacing w:before="200" w:after="160"/>
      <w:ind w:left="864" w:right="864"/>
      <w:jc w:val="center"/>
      <w:textAlignment w:val="auto"/>
    </w:pPr>
    <w:rPr>
      <w:rFonts w:eastAsiaTheme="minorEastAsia"/>
      <w:i/>
      <w:iCs/>
      <w:color w:val="404040" w:themeColor="text1" w:themeTint="BF"/>
      <w:szCs w:val="24"/>
      <w:lang w:eastAsia="ja-JP"/>
    </w:rPr>
  </w:style>
  <w:style w:type="character" w:customStyle="1" w:styleId="QuoteChar">
    <w:name w:val="Quote Char"/>
    <w:basedOn w:val="DefaultParagraphFont"/>
    <w:link w:val="Quote"/>
    <w:uiPriority w:val="29"/>
    <w:rsid w:val="0020782B"/>
    <w:rPr>
      <w:rFonts w:ascii="Times New Roman" w:eastAsiaTheme="minorEastAsia" w:hAnsi="Times New Roman"/>
      <w:i/>
      <w:iCs/>
      <w:color w:val="404040" w:themeColor="text1" w:themeTint="BF"/>
      <w:sz w:val="24"/>
      <w:szCs w:val="24"/>
      <w:lang w:val="en-GB" w:eastAsia="ja-JP"/>
    </w:rPr>
  </w:style>
  <w:style w:type="paragraph" w:customStyle="1" w:styleId="VenueDate">
    <w:name w:val="VenueDate"/>
    <w:basedOn w:val="Normal"/>
    <w:qFormat/>
    <w:rsid w:val="0020782B"/>
    <w:pPr>
      <w:tabs>
        <w:tab w:val="clear" w:pos="794"/>
        <w:tab w:val="clear" w:pos="1191"/>
        <w:tab w:val="clear" w:pos="1588"/>
        <w:tab w:val="clear" w:pos="1985"/>
      </w:tabs>
      <w:overflowPunct/>
      <w:autoSpaceDE/>
      <w:autoSpaceDN/>
      <w:adjustRightInd/>
      <w:jc w:val="right"/>
      <w:textAlignment w:val="auto"/>
    </w:pPr>
    <w:rPr>
      <w:rFonts w:eastAsiaTheme="minorEastAsia"/>
      <w:szCs w:val="24"/>
      <w:lang w:eastAsia="ja-JP"/>
    </w:rPr>
  </w:style>
  <w:style w:type="character" w:styleId="Mention">
    <w:name w:val="Mention"/>
    <w:basedOn w:val="DefaultParagraphFont"/>
    <w:uiPriority w:val="99"/>
    <w:unhideWhenUsed/>
    <w:rsid w:val="0020782B"/>
    <w:rPr>
      <w:color w:val="2B579A"/>
      <w:shd w:val="clear" w:color="auto" w:fill="E1DFDD"/>
    </w:rPr>
  </w:style>
  <w:style w:type="character" w:customStyle="1" w:styleId="ReftextArial9pt">
    <w:name w:val="Ref_text Arial 9 pt"/>
    <w:rsid w:val="0020782B"/>
    <w:rPr>
      <w:rFonts w:ascii="Arial" w:hAnsi="Arial" w:cs="Arial"/>
      <w:sz w:val="18"/>
      <w:szCs w:val="18"/>
    </w:rPr>
  </w:style>
  <w:style w:type="character" w:customStyle="1" w:styleId="FootnoteTextChar">
    <w:name w:val="Footnote Text Char"/>
    <w:basedOn w:val="DefaultParagraphFont"/>
    <w:link w:val="FootnoteText"/>
    <w:uiPriority w:val="99"/>
    <w:semiHidden/>
    <w:rsid w:val="0020782B"/>
    <w:rPr>
      <w:rFonts w:ascii="Times New Roman" w:hAnsi="Times New Roman"/>
      <w:sz w:val="22"/>
      <w:lang w:val="en-GB" w:eastAsia="en-US"/>
    </w:rPr>
  </w:style>
  <w:style w:type="paragraph" w:styleId="Bibliography">
    <w:name w:val="Bibliography"/>
    <w:basedOn w:val="Normal"/>
    <w:next w:val="Normal"/>
    <w:uiPriority w:val="37"/>
    <w:semiHidden/>
    <w:unhideWhenUsed/>
    <w:rsid w:val="0020782B"/>
    <w:pPr>
      <w:tabs>
        <w:tab w:val="clear" w:pos="794"/>
        <w:tab w:val="clear" w:pos="1191"/>
        <w:tab w:val="clear" w:pos="1588"/>
        <w:tab w:val="clear" w:pos="1985"/>
      </w:tabs>
      <w:overflowPunct/>
      <w:autoSpaceDE/>
      <w:autoSpaceDN/>
      <w:adjustRightInd/>
      <w:jc w:val="left"/>
      <w:textAlignment w:val="auto"/>
    </w:pPr>
    <w:rPr>
      <w:rFonts w:eastAsiaTheme="minorEastAsia"/>
      <w:szCs w:val="24"/>
      <w:lang w:eastAsia="ja-JP"/>
    </w:rPr>
  </w:style>
  <w:style w:type="paragraph" w:styleId="BlockText">
    <w:name w:val="Block Text"/>
    <w:basedOn w:val="Normal"/>
    <w:uiPriority w:val="99"/>
    <w:semiHidden/>
    <w:unhideWhenUsed/>
    <w:rsid w:val="0020782B"/>
    <w:pPr>
      <w:pBdr>
        <w:top w:val="single" w:sz="2" w:space="10" w:color="4F81BD" w:themeColor="accent1"/>
        <w:left w:val="single" w:sz="2" w:space="10" w:color="4F81BD" w:themeColor="accent1"/>
        <w:bottom w:val="single" w:sz="2" w:space="10" w:color="4F81BD" w:themeColor="accent1"/>
        <w:right w:val="single" w:sz="2" w:space="10" w:color="4F81BD" w:themeColor="accent1"/>
      </w:pBdr>
      <w:tabs>
        <w:tab w:val="clear" w:pos="794"/>
        <w:tab w:val="clear" w:pos="1191"/>
        <w:tab w:val="clear" w:pos="1588"/>
        <w:tab w:val="clear" w:pos="1985"/>
      </w:tabs>
      <w:overflowPunct/>
      <w:autoSpaceDE/>
      <w:autoSpaceDN/>
      <w:adjustRightInd/>
      <w:ind w:left="1152" w:right="1152"/>
      <w:jc w:val="left"/>
      <w:textAlignment w:val="auto"/>
    </w:pPr>
    <w:rPr>
      <w:rFonts w:asciiTheme="minorHAnsi" w:eastAsiaTheme="minorEastAsia" w:hAnsiTheme="minorHAnsi" w:cstheme="minorBidi"/>
      <w:i/>
      <w:iCs/>
      <w:color w:val="4F81BD" w:themeColor="accent1"/>
      <w:szCs w:val="24"/>
      <w:lang w:eastAsia="ja-JP"/>
    </w:rPr>
  </w:style>
  <w:style w:type="paragraph" w:styleId="BodyText2">
    <w:name w:val="Body Text 2"/>
    <w:basedOn w:val="Normal"/>
    <w:link w:val="BodyText2Char"/>
    <w:uiPriority w:val="99"/>
    <w:semiHidden/>
    <w:unhideWhenUsed/>
    <w:rsid w:val="0020782B"/>
    <w:pPr>
      <w:tabs>
        <w:tab w:val="clear" w:pos="794"/>
        <w:tab w:val="clear" w:pos="1191"/>
        <w:tab w:val="clear" w:pos="1588"/>
        <w:tab w:val="clear" w:pos="1985"/>
      </w:tabs>
      <w:overflowPunct/>
      <w:autoSpaceDE/>
      <w:autoSpaceDN/>
      <w:adjustRightInd/>
      <w:spacing w:after="120" w:line="480" w:lineRule="auto"/>
      <w:jc w:val="left"/>
      <w:textAlignment w:val="auto"/>
    </w:pPr>
    <w:rPr>
      <w:rFonts w:eastAsiaTheme="minorEastAsia"/>
      <w:szCs w:val="24"/>
      <w:lang w:eastAsia="ja-JP"/>
    </w:rPr>
  </w:style>
  <w:style w:type="character" w:customStyle="1" w:styleId="BodyText2Char">
    <w:name w:val="Body Text 2 Char"/>
    <w:basedOn w:val="DefaultParagraphFont"/>
    <w:link w:val="BodyText2"/>
    <w:uiPriority w:val="99"/>
    <w:semiHidden/>
    <w:rsid w:val="0020782B"/>
    <w:rPr>
      <w:rFonts w:ascii="Times New Roman" w:eastAsiaTheme="minorEastAsia" w:hAnsi="Times New Roman"/>
      <w:sz w:val="24"/>
      <w:szCs w:val="24"/>
      <w:lang w:val="en-GB" w:eastAsia="ja-JP"/>
    </w:rPr>
  </w:style>
  <w:style w:type="paragraph" w:styleId="BodyText3">
    <w:name w:val="Body Text 3"/>
    <w:basedOn w:val="Normal"/>
    <w:link w:val="BodyText3Char"/>
    <w:uiPriority w:val="99"/>
    <w:semiHidden/>
    <w:unhideWhenUsed/>
    <w:rsid w:val="0020782B"/>
    <w:pPr>
      <w:tabs>
        <w:tab w:val="clear" w:pos="794"/>
        <w:tab w:val="clear" w:pos="1191"/>
        <w:tab w:val="clear" w:pos="1588"/>
        <w:tab w:val="clear" w:pos="1985"/>
      </w:tabs>
      <w:overflowPunct/>
      <w:autoSpaceDE/>
      <w:autoSpaceDN/>
      <w:adjustRightInd/>
      <w:spacing w:after="120"/>
      <w:jc w:val="left"/>
      <w:textAlignment w:val="auto"/>
    </w:pPr>
    <w:rPr>
      <w:rFonts w:eastAsiaTheme="minorEastAsia"/>
      <w:sz w:val="16"/>
      <w:szCs w:val="16"/>
      <w:lang w:eastAsia="ja-JP"/>
    </w:rPr>
  </w:style>
  <w:style w:type="character" w:customStyle="1" w:styleId="BodyText3Char">
    <w:name w:val="Body Text 3 Char"/>
    <w:basedOn w:val="DefaultParagraphFont"/>
    <w:link w:val="BodyText3"/>
    <w:uiPriority w:val="99"/>
    <w:semiHidden/>
    <w:rsid w:val="0020782B"/>
    <w:rPr>
      <w:rFonts w:ascii="Times New Roman" w:eastAsiaTheme="minorEastAsia" w:hAnsi="Times New Roman"/>
      <w:sz w:val="16"/>
      <w:szCs w:val="16"/>
      <w:lang w:val="en-GB" w:eastAsia="ja-JP"/>
    </w:rPr>
  </w:style>
  <w:style w:type="paragraph" w:styleId="BodyTextFirstIndent">
    <w:name w:val="Body Text First Indent"/>
    <w:basedOn w:val="BodyText"/>
    <w:link w:val="BodyTextFirstIndentChar"/>
    <w:uiPriority w:val="99"/>
    <w:unhideWhenUsed/>
    <w:rsid w:val="0020782B"/>
    <w:pPr>
      <w:widowControl/>
      <w:autoSpaceDE/>
      <w:autoSpaceDN/>
      <w:spacing w:before="120"/>
      <w:ind w:firstLine="360"/>
    </w:pPr>
    <w:rPr>
      <w:rFonts w:ascii="Times New Roman" w:eastAsiaTheme="minorEastAsia" w:hAnsi="Times New Roman" w:cs="Times New Roman"/>
      <w:b w:val="0"/>
      <w:bCs w:val="0"/>
      <w:sz w:val="24"/>
      <w:szCs w:val="24"/>
      <w:lang w:val="en-GB" w:eastAsia="ja-JP"/>
    </w:rPr>
  </w:style>
  <w:style w:type="character" w:customStyle="1" w:styleId="BodyTextFirstIndentChar">
    <w:name w:val="Body Text First Indent Char"/>
    <w:basedOn w:val="BodyTextChar"/>
    <w:link w:val="BodyTextFirstIndent"/>
    <w:uiPriority w:val="99"/>
    <w:rsid w:val="0020782B"/>
    <w:rPr>
      <w:rFonts w:ascii="Times New Roman" w:eastAsiaTheme="minorEastAsia" w:hAnsi="Times New Roman" w:cs="Avenir Next W1G Medium"/>
      <w:b w:val="0"/>
      <w:bCs w:val="0"/>
      <w:sz w:val="24"/>
      <w:szCs w:val="24"/>
      <w:lang w:val="en-GB" w:eastAsia="ja-JP"/>
    </w:rPr>
  </w:style>
  <w:style w:type="paragraph" w:styleId="BodyTextIndent">
    <w:name w:val="Body Text Indent"/>
    <w:basedOn w:val="Normal"/>
    <w:link w:val="BodyTextIndentChar"/>
    <w:uiPriority w:val="99"/>
    <w:semiHidden/>
    <w:unhideWhenUsed/>
    <w:rsid w:val="0020782B"/>
    <w:pPr>
      <w:tabs>
        <w:tab w:val="clear" w:pos="794"/>
        <w:tab w:val="clear" w:pos="1191"/>
        <w:tab w:val="clear" w:pos="1588"/>
        <w:tab w:val="clear" w:pos="1985"/>
      </w:tabs>
      <w:overflowPunct/>
      <w:autoSpaceDE/>
      <w:autoSpaceDN/>
      <w:adjustRightInd/>
      <w:spacing w:after="120"/>
      <w:ind w:left="360"/>
      <w:jc w:val="left"/>
      <w:textAlignment w:val="auto"/>
    </w:pPr>
    <w:rPr>
      <w:rFonts w:eastAsiaTheme="minorEastAsia"/>
      <w:szCs w:val="24"/>
      <w:lang w:eastAsia="ja-JP"/>
    </w:rPr>
  </w:style>
  <w:style w:type="character" w:customStyle="1" w:styleId="BodyTextIndentChar">
    <w:name w:val="Body Text Indent Char"/>
    <w:basedOn w:val="DefaultParagraphFont"/>
    <w:link w:val="BodyTextIndent"/>
    <w:uiPriority w:val="99"/>
    <w:semiHidden/>
    <w:rsid w:val="0020782B"/>
    <w:rPr>
      <w:rFonts w:ascii="Times New Roman" w:eastAsiaTheme="minorEastAsia" w:hAnsi="Times New Roman"/>
      <w:sz w:val="24"/>
      <w:szCs w:val="24"/>
      <w:lang w:val="en-GB" w:eastAsia="ja-JP"/>
    </w:rPr>
  </w:style>
  <w:style w:type="paragraph" w:styleId="BodyTextFirstIndent2">
    <w:name w:val="Body Text First Indent 2"/>
    <w:basedOn w:val="BodyTextIndent"/>
    <w:link w:val="BodyTextFirstIndent2Char"/>
    <w:uiPriority w:val="99"/>
    <w:semiHidden/>
    <w:unhideWhenUsed/>
    <w:rsid w:val="0020782B"/>
    <w:pPr>
      <w:spacing w:after="0"/>
      <w:ind w:firstLine="360"/>
    </w:pPr>
  </w:style>
  <w:style w:type="character" w:customStyle="1" w:styleId="BodyTextFirstIndent2Char">
    <w:name w:val="Body Text First Indent 2 Char"/>
    <w:basedOn w:val="BodyTextIndentChar"/>
    <w:link w:val="BodyTextFirstIndent2"/>
    <w:uiPriority w:val="99"/>
    <w:semiHidden/>
    <w:rsid w:val="0020782B"/>
    <w:rPr>
      <w:rFonts w:ascii="Times New Roman" w:eastAsiaTheme="minorEastAsia" w:hAnsi="Times New Roman"/>
      <w:sz w:val="24"/>
      <w:szCs w:val="24"/>
      <w:lang w:val="en-GB" w:eastAsia="ja-JP"/>
    </w:rPr>
  </w:style>
  <w:style w:type="paragraph" w:styleId="BodyTextIndent2">
    <w:name w:val="Body Text Indent 2"/>
    <w:basedOn w:val="Normal"/>
    <w:link w:val="BodyTextIndent2Char"/>
    <w:uiPriority w:val="99"/>
    <w:semiHidden/>
    <w:unhideWhenUsed/>
    <w:rsid w:val="0020782B"/>
    <w:pPr>
      <w:tabs>
        <w:tab w:val="clear" w:pos="794"/>
        <w:tab w:val="clear" w:pos="1191"/>
        <w:tab w:val="clear" w:pos="1588"/>
        <w:tab w:val="clear" w:pos="1985"/>
      </w:tabs>
      <w:overflowPunct/>
      <w:autoSpaceDE/>
      <w:autoSpaceDN/>
      <w:adjustRightInd/>
      <w:spacing w:after="120" w:line="480" w:lineRule="auto"/>
      <w:ind w:left="360"/>
      <w:jc w:val="left"/>
      <w:textAlignment w:val="auto"/>
    </w:pPr>
    <w:rPr>
      <w:rFonts w:eastAsiaTheme="minorEastAsia"/>
      <w:szCs w:val="24"/>
      <w:lang w:eastAsia="ja-JP"/>
    </w:rPr>
  </w:style>
  <w:style w:type="character" w:customStyle="1" w:styleId="BodyTextIndent2Char">
    <w:name w:val="Body Text Indent 2 Char"/>
    <w:basedOn w:val="DefaultParagraphFont"/>
    <w:link w:val="BodyTextIndent2"/>
    <w:uiPriority w:val="99"/>
    <w:semiHidden/>
    <w:rsid w:val="0020782B"/>
    <w:rPr>
      <w:rFonts w:ascii="Times New Roman" w:eastAsiaTheme="minorEastAsia" w:hAnsi="Times New Roman"/>
      <w:sz w:val="24"/>
      <w:szCs w:val="24"/>
      <w:lang w:val="en-GB" w:eastAsia="ja-JP"/>
    </w:rPr>
  </w:style>
  <w:style w:type="paragraph" w:styleId="BodyTextIndent3">
    <w:name w:val="Body Text Indent 3"/>
    <w:basedOn w:val="Normal"/>
    <w:link w:val="BodyTextIndent3Char"/>
    <w:uiPriority w:val="99"/>
    <w:semiHidden/>
    <w:unhideWhenUsed/>
    <w:rsid w:val="0020782B"/>
    <w:pPr>
      <w:tabs>
        <w:tab w:val="clear" w:pos="794"/>
        <w:tab w:val="clear" w:pos="1191"/>
        <w:tab w:val="clear" w:pos="1588"/>
        <w:tab w:val="clear" w:pos="1985"/>
      </w:tabs>
      <w:overflowPunct/>
      <w:autoSpaceDE/>
      <w:autoSpaceDN/>
      <w:adjustRightInd/>
      <w:spacing w:after="120"/>
      <w:ind w:left="360"/>
      <w:jc w:val="left"/>
      <w:textAlignment w:val="auto"/>
    </w:pPr>
    <w:rPr>
      <w:rFonts w:eastAsiaTheme="minorEastAsia"/>
      <w:sz w:val="16"/>
      <w:szCs w:val="16"/>
      <w:lang w:eastAsia="ja-JP"/>
    </w:rPr>
  </w:style>
  <w:style w:type="character" w:customStyle="1" w:styleId="BodyTextIndent3Char">
    <w:name w:val="Body Text Indent 3 Char"/>
    <w:basedOn w:val="DefaultParagraphFont"/>
    <w:link w:val="BodyTextIndent3"/>
    <w:uiPriority w:val="99"/>
    <w:semiHidden/>
    <w:rsid w:val="0020782B"/>
    <w:rPr>
      <w:rFonts w:ascii="Times New Roman" w:eastAsiaTheme="minorEastAsia" w:hAnsi="Times New Roman"/>
      <w:sz w:val="16"/>
      <w:szCs w:val="16"/>
      <w:lang w:val="en-GB" w:eastAsia="ja-JP"/>
    </w:rPr>
  </w:style>
  <w:style w:type="character" w:styleId="BookTitle">
    <w:name w:val="Book Title"/>
    <w:basedOn w:val="DefaultParagraphFont"/>
    <w:uiPriority w:val="33"/>
    <w:rsid w:val="0020782B"/>
    <w:rPr>
      <w:b/>
      <w:bCs/>
      <w:i/>
      <w:iCs/>
      <w:spacing w:val="5"/>
    </w:rPr>
  </w:style>
  <w:style w:type="paragraph" w:styleId="Closing">
    <w:name w:val="Closing"/>
    <w:basedOn w:val="Normal"/>
    <w:link w:val="ClosingChar"/>
    <w:uiPriority w:val="99"/>
    <w:semiHidden/>
    <w:unhideWhenUsed/>
    <w:rsid w:val="0020782B"/>
    <w:pPr>
      <w:tabs>
        <w:tab w:val="clear" w:pos="794"/>
        <w:tab w:val="clear" w:pos="1191"/>
        <w:tab w:val="clear" w:pos="1588"/>
        <w:tab w:val="clear" w:pos="1985"/>
      </w:tabs>
      <w:overflowPunct/>
      <w:autoSpaceDE/>
      <w:autoSpaceDN/>
      <w:adjustRightInd/>
      <w:spacing w:before="0"/>
      <w:ind w:left="4320"/>
      <w:jc w:val="left"/>
      <w:textAlignment w:val="auto"/>
    </w:pPr>
    <w:rPr>
      <w:rFonts w:eastAsiaTheme="minorEastAsia"/>
      <w:szCs w:val="24"/>
      <w:lang w:eastAsia="ja-JP"/>
    </w:rPr>
  </w:style>
  <w:style w:type="character" w:customStyle="1" w:styleId="ClosingChar">
    <w:name w:val="Closing Char"/>
    <w:basedOn w:val="DefaultParagraphFont"/>
    <w:link w:val="Closing"/>
    <w:uiPriority w:val="99"/>
    <w:semiHidden/>
    <w:rsid w:val="0020782B"/>
    <w:rPr>
      <w:rFonts w:ascii="Times New Roman" w:eastAsiaTheme="minorEastAsia" w:hAnsi="Times New Roman"/>
      <w:sz w:val="24"/>
      <w:szCs w:val="24"/>
      <w:lang w:val="en-GB" w:eastAsia="ja-JP"/>
    </w:rPr>
  </w:style>
  <w:style w:type="paragraph" w:styleId="Date">
    <w:name w:val="Date"/>
    <w:basedOn w:val="Normal"/>
    <w:next w:val="Normal"/>
    <w:link w:val="DateChar"/>
    <w:uiPriority w:val="99"/>
    <w:unhideWhenUsed/>
    <w:rsid w:val="0020782B"/>
    <w:pPr>
      <w:tabs>
        <w:tab w:val="clear" w:pos="794"/>
        <w:tab w:val="clear" w:pos="1191"/>
        <w:tab w:val="clear" w:pos="1588"/>
        <w:tab w:val="clear" w:pos="1985"/>
      </w:tabs>
      <w:overflowPunct/>
      <w:autoSpaceDE/>
      <w:autoSpaceDN/>
      <w:adjustRightInd/>
      <w:jc w:val="left"/>
      <w:textAlignment w:val="auto"/>
    </w:pPr>
    <w:rPr>
      <w:rFonts w:eastAsiaTheme="minorEastAsia"/>
      <w:szCs w:val="24"/>
      <w:lang w:eastAsia="ja-JP"/>
    </w:rPr>
  </w:style>
  <w:style w:type="character" w:customStyle="1" w:styleId="DateChar">
    <w:name w:val="Date Char"/>
    <w:basedOn w:val="DefaultParagraphFont"/>
    <w:link w:val="Date"/>
    <w:uiPriority w:val="99"/>
    <w:rsid w:val="0020782B"/>
    <w:rPr>
      <w:rFonts w:ascii="Times New Roman" w:eastAsiaTheme="minorEastAsia" w:hAnsi="Times New Roman"/>
      <w:sz w:val="24"/>
      <w:szCs w:val="24"/>
      <w:lang w:val="en-GB" w:eastAsia="ja-JP"/>
    </w:rPr>
  </w:style>
  <w:style w:type="paragraph" w:styleId="DocumentMap">
    <w:name w:val="Document Map"/>
    <w:basedOn w:val="Normal"/>
    <w:link w:val="DocumentMapChar"/>
    <w:uiPriority w:val="99"/>
    <w:semiHidden/>
    <w:unhideWhenUsed/>
    <w:rsid w:val="0020782B"/>
    <w:pPr>
      <w:tabs>
        <w:tab w:val="clear" w:pos="794"/>
        <w:tab w:val="clear" w:pos="1191"/>
        <w:tab w:val="clear" w:pos="1588"/>
        <w:tab w:val="clear" w:pos="1985"/>
      </w:tabs>
      <w:overflowPunct/>
      <w:autoSpaceDE/>
      <w:autoSpaceDN/>
      <w:adjustRightInd/>
      <w:spacing w:before="0"/>
      <w:jc w:val="left"/>
      <w:textAlignment w:val="auto"/>
    </w:pPr>
    <w:rPr>
      <w:rFonts w:ascii="Segoe UI" w:eastAsiaTheme="minorEastAsia" w:hAnsi="Segoe UI" w:cs="Segoe UI"/>
      <w:sz w:val="16"/>
      <w:szCs w:val="16"/>
      <w:lang w:eastAsia="ja-JP"/>
    </w:rPr>
  </w:style>
  <w:style w:type="character" w:customStyle="1" w:styleId="DocumentMapChar">
    <w:name w:val="Document Map Char"/>
    <w:basedOn w:val="DefaultParagraphFont"/>
    <w:link w:val="DocumentMap"/>
    <w:uiPriority w:val="99"/>
    <w:semiHidden/>
    <w:rsid w:val="0020782B"/>
    <w:rPr>
      <w:rFonts w:ascii="Segoe UI" w:eastAsiaTheme="minorEastAsia" w:hAnsi="Segoe UI" w:cs="Segoe UI"/>
      <w:sz w:val="16"/>
      <w:szCs w:val="16"/>
      <w:lang w:val="en-GB" w:eastAsia="ja-JP"/>
    </w:rPr>
  </w:style>
  <w:style w:type="paragraph" w:styleId="E-mailSignature">
    <w:name w:val="E-mail Signature"/>
    <w:basedOn w:val="Normal"/>
    <w:link w:val="E-mailSignatureChar"/>
    <w:uiPriority w:val="99"/>
    <w:semiHidden/>
    <w:unhideWhenUsed/>
    <w:rsid w:val="0020782B"/>
    <w:pPr>
      <w:tabs>
        <w:tab w:val="clear" w:pos="794"/>
        <w:tab w:val="clear" w:pos="1191"/>
        <w:tab w:val="clear" w:pos="1588"/>
        <w:tab w:val="clear" w:pos="1985"/>
      </w:tabs>
      <w:overflowPunct/>
      <w:autoSpaceDE/>
      <w:autoSpaceDN/>
      <w:adjustRightInd/>
      <w:spacing w:before="0"/>
      <w:jc w:val="left"/>
      <w:textAlignment w:val="auto"/>
    </w:pPr>
    <w:rPr>
      <w:rFonts w:eastAsiaTheme="minorEastAsia"/>
      <w:szCs w:val="24"/>
      <w:lang w:eastAsia="ja-JP"/>
    </w:rPr>
  </w:style>
  <w:style w:type="character" w:customStyle="1" w:styleId="E-mailSignatureChar">
    <w:name w:val="E-mail Signature Char"/>
    <w:basedOn w:val="DefaultParagraphFont"/>
    <w:link w:val="E-mailSignature"/>
    <w:uiPriority w:val="99"/>
    <w:semiHidden/>
    <w:rsid w:val="0020782B"/>
    <w:rPr>
      <w:rFonts w:ascii="Times New Roman" w:eastAsiaTheme="minorEastAsia" w:hAnsi="Times New Roman"/>
      <w:sz w:val="24"/>
      <w:szCs w:val="24"/>
      <w:lang w:val="en-GB" w:eastAsia="ja-JP"/>
    </w:rPr>
  </w:style>
  <w:style w:type="character" w:styleId="EndnoteReference">
    <w:name w:val="endnote reference"/>
    <w:basedOn w:val="DefaultParagraphFont"/>
    <w:uiPriority w:val="99"/>
    <w:semiHidden/>
    <w:unhideWhenUsed/>
    <w:rsid w:val="0020782B"/>
    <w:rPr>
      <w:vertAlign w:val="superscript"/>
    </w:rPr>
  </w:style>
  <w:style w:type="paragraph" w:styleId="EndnoteText">
    <w:name w:val="endnote text"/>
    <w:basedOn w:val="Normal"/>
    <w:link w:val="EndnoteTextChar"/>
    <w:uiPriority w:val="99"/>
    <w:semiHidden/>
    <w:unhideWhenUsed/>
    <w:rsid w:val="0020782B"/>
    <w:pPr>
      <w:tabs>
        <w:tab w:val="clear" w:pos="794"/>
        <w:tab w:val="clear" w:pos="1191"/>
        <w:tab w:val="clear" w:pos="1588"/>
        <w:tab w:val="clear" w:pos="1985"/>
      </w:tabs>
      <w:overflowPunct/>
      <w:autoSpaceDE/>
      <w:autoSpaceDN/>
      <w:adjustRightInd/>
      <w:spacing w:before="0"/>
      <w:jc w:val="left"/>
      <w:textAlignment w:val="auto"/>
    </w:pPr>
    <w:rPr>
      <w:rFonts w:eastAsiaTheme="minorEastAsia"/>
      <w:sz w:val="20"/>
      <w:lang w:eastAsia="ja-JP"/>
    </w:rPr>
  </w:style>
  <w:style w:type="character" w:customStyle="1" w:styleId="EndnoteTextChar">
    <w:name w:val="Endnote Text Char"/>
    <w:basedOn w:val="DefaultParagraphFont"/>
    <w:link w:val="EndnoteText"/>
    <w:uiPriority w:val="99"/>
    <w:semiHidden/>
    <w:rsid w:val="0020782B"/>
    <w:rPr>
      <w:rFonts w:ascii="Times New Roman" w:eastAsiaTheme="minorEastAsia" w:hAnsi="Times New Roman"/>
      <w:lang w:val="en-GB" w:eastAsia="ja-JP"/>
    </w:rPr>
  </w:style>
  <w:style w:type="paragraph" w:styleId="EnvelopeAddress">
    <w:name w:val="envelope address"/>
    <w:basedOn w:val="Normal"/>
    <w:uiPriority w:val="99"/>
    <w:semiHidden/>
    <w:unhideWhenUsed/>
    <w:rsid w:val="0020782B"/>
    <w:pPr>
      <w:framePr w:w="7920" w:h="1980" w:hRule="exact" w:hSpace="180" w:wrap="auto" w:hAnchor="page" w:xAlign="center" w:yAlign="bottom"/>
      <w:tabs>
        <w:tab w:val="clear" w:pos="794"/>
        <w:tab w:val="clear" w:pos="1191"/>
        <w:tab w:val="clear" w:pos="1588"/>
        <w:tab w:val="clear" w:pos="1985"/>
      </w:tabs>
      <w:overflowPunct/>
      <w:autoSpaceDE/>
      <w:autoSpaceDN/>
      <w:adjustRightInd/>
      <w:spacing w:before="0"/>
      <w:ind w:left="2880"/>
      <w:jc w:val="left"/>
      <w:textAlignment w:val="auto"/>
    </w:pPr>
    <w:rPr>
      <w:rFonts w:asciiTheme="majorHAnsi" w:eastAsiaTheme="majorEastAsia" w:hAnsiTheme="majorHAnsi" w:cstheme="majorBidi"/>
      <w:szCs w:val="24"/>
      <w:lang w:eastAsia="ja-JP"/>
    </w:rPr>
  </w:style>
  <w:style w:type="paragraph" w:styleId="EnvelopeReturn">
    <w:name w:val="envelope return"/>
    <w:basedOn w:val="Normal"/>
    <w:uiPriority w:val="99"/>
    <w:semiHidden/>
    <w:unhideWhenUsed/>
    <w:rsid w:val="0020782B"/>
    <w:pPr>
      <w:tabs>
        <w:tab w:val="clear" w:pos="794"/>
        <w:tab w:val="clear" w:pos="1191"/>
        <w:tab w:val="clear" w:pos="1588"/>
        <w:tab w:val="clear" w:pos="1985"/>
      </w:tabs>
      <w:overflowPunct/>
      <w:autoSpaceDE/>
      <w:autoSpaceDN/>
      <w:adjustRightInd/>
      <w:spacing w:before="0"/>
      <w:jc w:val="left"/>
      <w:textAlignment w:val="auto"/>
    </w:pPr>
    <w:rPr>
      <w:rFonts w:asciiTheme="majorHAnsi" w:eastAsiaTheme="majorEastAsia" w:hAnsiTheme="majorHAnsi" w:cstheme="majorBidi"/>
      <w:sz w:val="20"/>
      <w:lang w:eastAsia="ja-JP"/>
    </w:rPr>
  </w:style>
  <w:style w:type="character" w:styleId="FollowedHyperlink">
    <w:name w:val="FollowedHyperlink"/>
    <w:basedOn w:val="DefaultParagraphFont"/>
    <w:unhideWhenUsed/>
    <w:rsid w:val="0020782B"/>
    <w:rPr>
      <w:color w:val="800080" w:themeColor="followedHyperlink"/>
      <w:u w:val="single"/>
    </w:rPr>
  </w:style>
  <w:style w:type="character" w:styleId="Hashtag">
    <w:name w:val="Hashtag"/>
    <w:basedOn w:val="DefaultParagraphFont"/>
    <w:uiPriority w:val="99"/>
    <w:semiHidden/>
    <w:unhideWhenUsed/>
    <w:rsid w:val="0020782B"/>
    <w:rPr>
      <w:color w:val="2B579A"/>
      <w:shd w:val="clear" w:color="auto" w:fill="E1DFDD"/>
    </w:rPr>
  </w:style>
  <w:style w:type="character" w:styleId="HTMLAcronym">
    <w:name w:val="HTML Acronym"/>
    <w:basedOn w:val="DefaultParagraphFont"/>
    <w:uiPriority w:val="99"/>
    <w:semiHidden/>
    <w:unhideWhenUsed/>
    <w:rsid w:val="0020782B"/>
  </w:style>
  <w:style w:type="paragraph" w:styleId="HTMLAddress">
    <w:name w:val="HTML Address"/>
    <w:basedOn w:val="Normal"/>
    <w:link w:val="HTMLAddressChar"/>
    <w:uiPriority w:val="99"/>
    <w:semiHidden/>
    <w:unhideWhenUsed/>
    <w:rsid w:val="0020782B"/>
    <w:pPr>
      <w:tabs>
        <w:tab w:val="clear" w:pos="794"/>
        <w:tab w:val="clear" w:pos="1191"/>
        <w:tab w:val="clear" w:pos="1588"/>
        <w:tab w:val="clear" w:pos="1985"/>
      </w:tabs>
      <w:overflowPunct/>
      <w:autoSpaceDE/>
      <w:autoSpaceDN/>
      <w:adjustRightInd/>
      <w:spacing w:before="0"/>
      <w:jc w:val="left"/>
      <w:textAlignment w:val="auto"/>
    </w:pPr>
    <w:rPr>
      <w:rFonts w:eastAsiaTheme="minorEastAsia"/>
      <w:i/>
      <w:iCs/>
      <w:szCs w:val="24"/>
      <w:lang w:eastAsia="ja-JP"/>
    </w:rPr>
  </w:style>
  <w:style w:type="character" w:customStyle="1" w:styleId="HTMLAddressChar">
    <w:name w:val="HTML Address Char"/>
    <w:basedOn w:val="DefaultParagraphFont"/>
    <w:link w:val="HTMLAddress"/>
    <w:uiPriority w:val="99"/>
    <w:semiHidden/>
    <w:rsid w:val="0020782B"/>
    <w:rPr>
      <w:rFonts w:ascii="Times New Roman" w:eastAsiaTheme="minorEastAsia" w:hAnsi="Times New Roman"/>
      <w:i/>
      <w:iCs/>
      <w:sz w:val="24"/>
      <w:szCs w:val="24"/>
      <w:lang w:val="en-GB" w:eastAsia="ja-JP"/>
    </w:rPr>
  </w:style>
  <w:style w:type="character" w:styleId="HTMLCite">
    <w:name w:val="HTML Cite"/>
    <w:basedOn w:val="DefaultParagraphFont"/>
    <w:uiPriority w:val="99"/>
    <w:semiHidden/>
    <w:unhideWhenUsed/>
    <w:rsid w:val="0020782B"/>
    <w:rPr>
      <w:i/>
      <w:iCs/>
    </w:rPr>
  </w:style>
  <w:style w:type="character" w:styleId="HTMLCode">
    <w:name w:val="HTML Code"/>
    <w:basedOn w:val="DefaultParagraphFont"/>
    <w:uiPriority w:val="99"/>
    <w:semiHidden/>
    <w:unhideWhenUsed/>
    <w:rsid w:val="0020782B"/>
    <w:rPr>
      <w:rFonts w:ascii="Consolas" w:hAnsi="Consolas"/>
      <w:sz w:val="20"/>
      <w:szCs w:val="20"/>
    </w:rPr>
  </w:style>
  <w:style w:type="character" w:styleId="HTMLDefinition">
    <w:name w:val="HTML Definition"/>
    <w:basedOn w:val="DefaultParagraphFont"/>
    <w:uiPriority w:val="99"/>
    <w:semiHidden/>
    <w:unhideWhenUsed/>
    <w:rsid w:val="0020782B"/>
    <w:rPr>
      <w:i/>
      <w:iCs/>
    </w:rPr>
  </w:style>
  <w:style w:type="character" w:styleId="HTMLKeyboard">
    <w:name w:val="HTML Keyboard"/>
    <w:basedOn w:val="DefaultParagraphFont"/>
    <w:uiPriority w:val="99"/>
    <w:semiHidden/>
    <w:unhideWhenUsed/>
    <w:rsid w:val="0020782B"/>
    <w:rPr>
      <w:rFonts w:ascii="Consolas" w:hAnsi="Consolas"/>
      <w:sz w:val="20"/>
      <w:szCs w:val="20"/>
    </w:rPr>
  </w:style>
  <w:style w:type="paragraph" w:styleId="HTMLPreformatted">
    <w:name w:val="HTML Preformatted"/>
    <w:basedOn w:val="Normal"/>
    <w:link w:val="HTMLPreformattedChar"/>
    <w:uiPriority w:val="99"/>
    <w:semiHidden/>
    <w:unhideWhenUsed/>
    <w:rsid w:val="0020782B"/>
    <w:pPr>
      <w:tabs>
        <w:tab w:val="clear" w:pos="794"/>
        <w:tab w:val="clear" w:pos="1191"/>
        <w:tab w:val="clear" w:pos="1588"/>
        <w:tab w:val="clear" w:pos="1985"/>
      </w:tabs>
      <w:overflowPunct/>
      <w:autoSpaceDE/>
      <w:autoSpaceDN/>
      <w:adjustRightInd/>
      <w:spacing w:before="0"/>
      <w:jc w:val="left"/>
      <w:textAlignment w:val="auto"/>
    </w:pPr>
    <w:rPr>
      <w:rFonts w:ascii="Consolas" w:eastAsiaTheme="minorEastAsia" w:hAnsi="Consolas"/>
      <w:sz w:val="20"/>
      <w:lang w:eastAsia="ja-JP"/>
    </w:rPr>
  </w:style>
  <w:style w:type="character" w:customStyle="1" w:styleId="HTMLPreformattedChar">
    <w:name w:val="HTML Preformatted Char"/>
    <w:basedOn w:val="DefaultParagraphFont"/>
    <w:link w:val="HTMLPreformatted"/>
    <w:uiPriority w:val="99"/>
    <w:semiHidden/>
    <w:rsid w:val="0020782B"/>
    <w:rPr>
      <w:rFonts w:ascii="Consolas" w:eastAsiaTheme="minorEastAsia" w:hAnsi="Consolas"/>
      <w:lang w:val="en-GB" w:eastAsia="ja-JP"/>
    </w:rPr>
  </w:style>
  <w:style w:type="character" w:styleId="HTMLSample">
    <w:name w:val="HTML Sample"/>
    <w:basedOn w:val="DefaultParagraphFont"/>
    <w:uiPriority w:val="99"/>
    <w:semiHidden/>
    <w:unhideWhenUsed/>
    <w:rsid w:val="0020782B"/>
    <w:rPr>
      <w:rFonts w:ascii="Consolas" w:hAnsi="Consolas"/>
      <w:sz w:val="24"/>
      <w:szCs w:val="24"/>
    </w:rPr>
  </w:style>
  <w:style w:type="character" w:styleId="HTMLTypewriter">
    <w:name w:val="HTML Typewriter"/>
    <w:basedOn w:val="DefaultParagraphFont"/>
    <w:uiPriority w:val="99"/>
    <w:semiHidden/>
    <w:unhideWhenUsed/>
    <w:rsid w:val="0020782B"/>
    <w:rPr>
      <w:rFonts w:ascii="Consolas" w:hAnsi="Consolas"/>
      <w:sz w:val="20"/>
      <w:szCs w:val="20"/>
    </w:rPr>
  </w:style>
  <w:style w:type="character" w:styleId="HTMLVariable">
    <w:name w:val="HTML Variable"/>
    <w:basedOn w:val="DefaultParagraphFont"/>
    <w:uiPriority w:val="99"/>
    <w:semiHidden/>
    <w:unhideWhenUsed/>
    <w:rsid w:val="0020782B"/>
    <w:rPr>
      <w:i/>
      <w:iCs/>
    </w:rPr>
  </w:style>
  <w:style w:type="paragraph" w:styleId="Index4">
    <w:name w:val="index 4"/>
    <w:basedOn w:val="Normal"/>
    <w:next w:val="Normal"/>
    <w:autoRedefine/>
    <w:uiPriority w:val="99"/>
    <w:semiHidden/>
    <w:unhideWhenUsed/>
    <w:rsid w:val="0020782B"/>
    <w:pPr>
      <w:tabs>
        <w:tab w:val="clear" w:pos="794"/>
        <w:tab w:val="clear" w:pos="1191"/>
        <w:tab w:val="clear" w:pos="1588"/>
        <w:tab w:val="clear" w:pos="1985"/>
      </w:tabs>
      <w:overflowPunct/>
      <w:autoSpaceDE/>
      <w:autoSpaceDN/>
      <w:adjustRightInd/>
      <w:spacing w:before="0"/>
      <w:ind w:left="960" w:hanging="240"/>
      <w:jc w:val="left"/>
      <w:textAlignment w:val="auto"/>
    </w:pPr>
    <w:rPr>
      <w:rFonts w:eastAsiaTheme="minorEastAsia"/>
      <w:szCs w:val="24"/>
      <w:lang w:eastAsia="ja-JP"/>
    </w:rPr>
  </w:style>
  <w:style w:type="paragraph" w:styleId="Index5">
    <w:name w:val="index 5"/>
    <w:basedOn w:val="Normal"/>
    <w:next w:val="Normal"/>
    <w:autoRedefine/>
    <w:uiPriority w:val="99"/>
    <w:semiHidden/>
    <w:unhideWhenUsed/>
    <w:rsid w:val="0020782B"/>
    <w:pPr>
      <w:tabs>
        <w:tab w:val="clear" w:pos="794"/>
        <w:tab w:val="clear" w:pos="1191"/>
        <w:tab w:val="clear" w:pos="1588"/>
        <w:tab w:val="clear" w:pos="1985"/>
      </w:tabs>
      <w:overflowPunct/>
      <w:autoSpaceDE/>
      <w:autoSpaceDN/>
      <w:adjustRightInd/>
      <w:spacing w:before="0"/>
      <w:ind w:left="1200" w:hanging="240"/>
      <w:jc w:val="left"/>
      <w:textAlignment w:val="auto"/>
    </w:pPr>
    <w:rPr>
      <w:rFonts w:eastAsiaTheme="minorEastAsia"/>
      <w:szCs w:val="24"/>
      <w:lang w:eastAsia="ja-JP"/>
    </w:rPr>
  </w:style>
  <w:style w:type="paragraph" w:styleId="Index6">
    <w:name w:val="index 6"/>
    <w:basedOn w:val="Normal"/>
    <w:next w:val="Normal"/>
    <w:autoRedefine/>
    <w:uiPriority w:val="99"/>
    <w:semiHidden/>
    <w:unhideWhenUsed/>
    <w:rsid w:val="0020782B"/>
    <w:pPr>
      <w:tabs>
        <w:tab w:val="clear" w:pos="794"/>
        <w:tab w:val="clear" w:pos="1191"/>
        <w:tab w:val="clear" w:pos="1588"/>
        <w:tab w:val="clear" w:pos="1985"/>
      </w:tabs>
      <w:overflowPunct/>
      <w:autoSpaceDE/>
      <w:autoSpaceDN/>
      <w:adjustRightInd/>
      <w:spacing w:before="0"/>
      <w:ind w:left="1440" w:hanging="240"/>
      <w:jc w:val="left"/>
      <w:textAlignment w:val="auto"/>
    </w:pPr>
    <w:rPr>
      <w:rFonts w:eastAsiaTheme="minorEastAsia"/>
      <w:szCs w:val="24"/>
      <w:lang w:eastAsia="ja-JP"/>
    </w:rPr>
  </w:style>
  <w:style w:type="paragraph" w:styleId="Index7">
    <w:name w:val="index 7"/>
    <w:basedOn w:val="Normal"/>
    <w:next w:val="Normal"/>
    <w:autoRedefine/>
    <w:uiPriority w:val="99"/>
    <w:semiHidden/>
    <w:unhideWhenUsed/>
    <w:rsid w:val="0020782B"/>
    <w:pPr>
      <w:tabs>
        <w:tab w:val="clear" w:pos="794"/>
        <w:tab w:val="clear" w:pos="1191"/>
        <w:tab w:val="clear" w:pos="1588"/>
        <w:tab w:val="clear" w:pos="1985"/>
      </w:tabs>
      <w:overflowPunct/>
      <w:autoSpaceDE/>
      <w:autoSpaceDN/>
      <w:adjustRightInd/>
      <w:spacing w:before="0"/>
      <w:ind w:left="1680" w:hanging="240"/>
      <w:jc w:val="left"/>
      <w:textAlignment w:val="auto"/>
    </w:pPr>
    <w:rPr>
      <w:rFonts w:eastAsiaTheme="minorEastAsia"/>
      <w:szCs w:val="24"/>
      <w:lang w:eastAsia="ja-JP"/>
    </w:rPr>
  </w:style>
  <w:style w:type="paragraph" w:styleId="Index8">
    <w:name w:val="index 8"/>
    <w:basedOn w:val="Normal"/>
    <w:next w:val="Normal"/>
    <w:autoRedefine/>
    <w:uiPriority w:val="99"/>
    <w:semiHidden/>
    <w:unhideWhenUsed/>
    <w:rsid w:val="0020782B"/>
    <w:pPr>
      <w:tabs>
        <w:tab w:val="clear" w:pos="794"/>
        <w:tab w:val="clear" w:pos="1191"/>
        <w:tab w:val="clear" w:pos="1588"/>
        <w:tab w:val="clear" w:pos="1985"/>
      </w:tabs>
      <w:overflowPunct/>
      <w:autoSpaceDE/>
      <w:autoSpaceDN/>
      <w:adjustRightInd/>
      <w:spacing w:before="0"/>
      <w:ind w:left="1920" w:hanging="240"/>
      <w:jc w:val="left"/>
      <w:textAlignment w:val="auto"/>
    </w:pPr>
    <w:rPr>
      <w:rFonts w:eastAsiaTheme="minorEastAsia"/>
      <w:szCs w:val="24"/>
      <w:lang w:eastAsia="ja-JP"/>
    </w:rPr>
  </w:style>
  <w:style w:type="paragraph" w:styleId="Index9">
    <w:name w:val="index 9"/>
    <w:basedOn w:val="Normal"/>
    <w:next w:val="Normal"/>
    <w:autoRedefine/>
    <w:uiPriority w:val="99"/>
    <w:semiHidden/>
    <w:unhideWhenUsed/>
    <w:rsid w:val="0020782B"/>
    <w:pPr>
      <w:tabs>
        <w:tab w:val="clear" w:pos="794"/>
        <w:tab w:val="clear" w:pos="1191"/>
        <w:tab w:val="clear" w:pos="1588"/>
        <w:tab w:val="clear" w:pos="1985"/>
      </w:tabs>
      <w:overflowPunct/>
      <w:autoSpaceDE/>
      <w:autoSpaceDN/>
      <w:adjustRightInd/>
      <w:spacing w:before="0"/>
      <w:ind w:left="2160" w:hanging="240"/>
      <w:jc w:val="left"/>
      <w:textAlignment w:val="auto"/>
    </w:pPr>
    <w:rPr>
      <w:rFonts w:eastAsiaTheme="minorEastAsia"/>
      <w:szCs w:val="24"/>
      <w:lang w:eastAsia="ja-JP"/>
    </w:rPr>
  </w:style>
  <w:style w:type="paragraph" w:styleId="IndexHeading">
    <w:name w:val="index heading"/>
    <w:basedOn w:val="Normal"/>
    <w:next w:val="Index1"/>
    <w:uiPriority w:val="99"/>
    <w:semiHidden/>
    <w:unhideWhenUsed/>
    <w:rsid w:val="0020782B"/>
    <w:pPr>
      <w:tabs>
        <w:tab w:val="clear" w:pos="794"/>
        <w:tab w:val="clear" w:pos="1191"/>
        <w:tab w:val="clear" w:pos="1588"/>
        <w:tab w:val="clear" w:pos="1985"/>
      </w:tabs>
      <w:overflowPunct/>
      <w:autoSpaceDE/>
      <w:autoSpaceDN/>
      <w:adjustRightInd/>
      <w:jc w:val="left"/>
      <w:textAlignment w:val="auto"/>
    </w:pPr>
    <w:rPr>
      <w:rFonts w:asciiTheme="majorHAnsi" w:eastAsiaTheme="majorEastAsia" w:hAnsiTheme="majorHAnsi" w:cstheme="majorBidi"/>
      <w:b/>
      <w:bCs/>
      <w:szCs w:val="24"/>
      <w:lang w:eastAsia="ja-JP"/>
    </w:rPr>
  </w:style>
  <w:style w:type="character" w:styleId="IntenseEmphasis">
    <w:name w:val="Intense Emphasis"/>
    <w:basedOn w:val="DefaultParagraphFont"/>
    <w:uiPriority w:val="21"/>
    <w:rsid w:val="0020782B"/>
    <w:rPr>
      <w:i/>
      <w:iCs/>
      <w:color w:val="4F81BD" w:themeColor="accent1"/>
    </w:rPr>
  </w:style>
  <w:style w:type="paragraph" w:styleId="IntenseQuote">
    <w:name w:val="Intense Quote"/>
    <w:basedOn w:val="Normal"/>
    <w:next w:val="Normal"/>
    <w:link w:val="IntenseQuoteChar"/>
    <w:uiPriority w:val="30"/>
    <w:rsid w:val="0020782B"/>
    <w:pPr>
      <w:pBdr>
        <w:top w:val="single" w:sz="4" w:space="10" w:color="4F81BD" w:themeColor="accent1"/>
        <w:bottom w:val="single" w:sz="4" w:space="10" w:color="4F81BD" w:themeColor="accent1"/>
      </w:pBdr>
      <w:tabs>
        <w:tab w:val="clear" w:pos="794"/>
        <w:tab w:val="clear" w:pos="1191"/>
        <w:tab w:val="clear" w:pos="1588"/>
        <w:tab w:val="clear" w:pos="1985"/>
      </w:tabs>
      <w:overflowPunct/>
      <w:autoSpaceDE/>
      <w:autoSpaceDN/>
      <w:adjustRightInd/>
      <w:spacing w:before="360" w:after="360"/>
      <w:ind w:left="864" w:right="864"/>
      <w:jc w:val="center"/>
      <w:textAlignment w:val="auto"/>
    </w:pPr>
    <w:rPr>
      <w:rFonts w:eastAsiaTheme="minorEastAsia"/>
      <w:i/>
      <w:iCs/>
      <w:color w:val="4F81BD" w:themeColor="accent1"/>
      <w:szCs w:val="24"/>
      <w:lang w:eastAsia="ja-JP"/>
    </w:rPr>
  </w:style>
  <w:style w:type="character" w:customStyle="1" w:styleId="IntenseQuoteChar">
    <w:name w:val="Intense Quote Char"/>
    <w:basedOn w:val="DefaultParagraphFont"/>
    <w:link w:val="IntenseQuote"/>
    <w:uiPriority w:val="30"/>
    <w:rsid w:val="0020782B"/>
    <w:rPr>
      <w:rFonts w:ascii="Times New Roman" w:eastAsiaTheme="minorEastAsia" w:hAnsi="Times New Roman"/>
      <w:i/>
      <w:iCs/>
      <w:color w:val="4F81BD" w:themeColor="accent1"/>
      <w:sz w:val="24"/>
      <w:szCs w:val="24"/>
      <w:lang w:val="en-GB" w:eastAsia="ja-JP"/>
    </w:rPr>
  </w:style>
  <w:style w:type="character" w:styleId="IntenseReference">
    <w:name w:val="Intense Reference"/>
    <w:basedOn w:val="DefaultParagraphFont"/>
    <w:uiPriority w:val="32"/>
    <w:rsid w:val="0020782B"/>
    <w:rPr>
      <w:b/>
      <w:bCs/>
      <w:smallCaps/>
      <w:color w:val="4F81BD" w:themeColor="accent1"/>
      <w:spacing w:val="5"/>
    </w:rPr>
  </w:style>
  <w:style w:type="character" w:styleId="LineNumber">
    <w:name w:val="line number"/>
    <w:basedOn w:val="DefaultParagraphFont"/>
    <w:uiPriority w:val="99"/>
    <w:semiHidden/>
    <w:unhideWhenUsed/>
    <w:rsid w:val="0020782B"/>
  </w:style>
  <w:style w:type="paragraph" w:styleId="List">
    <w:name w:val="List"/>
    <w:basedOn w:val="Normal"/>
    <w:uiPriority w:val="99"/>
    <w:semiHidden/>
    <w:unhideWhenUsed/>
    <w:rsid w:val="0020782B"/>
    <w:pPr>
      <w:tabs>
        <w:tab w:val="clear" w:pos="794"/>
        <w:tab w:val="clear" w:pos="1191"/>
        <w:tab w:val="clear" w:pos="1588"/>
        <w:tab w:val="clear" w:pos="1985"/>
      </w:tabs>
      <w:overflowPunct/>
      <w:autoSpaceDE/>
      <w:autoSpaceDN/>
      <w:adjustRightInd/>
      <w:ind w:left="360" w:hanging="360"/>
      <w:contextualSpacing/>
      <w:jc w:val="left"/>
      <w:textAlignment w:val="auto"/>
    </w:pPr>
    <w:rPr>
      <w:rFonts w:eastAsiaTheme="minorEastAsia"/>
      <w:szCs w:val="24"/>
      <w:lang w:eastAsia="ja-JP"/>
    </w:rPr>
  </w:style>
  <w:style w:type="paragraph" w:styleId="List2">
    <w:name w:val="List 2"/>
    <w:basedOn w:val="Normal"/>
    <w:unhideWhenUsed/>
    <w:rsid w:val="0020782B"/>
    <w:pPr>
      <w:tabs>
        <w:tab w:val="clear" w:pos="794"/>
        <w:tab w:val="clear" w:pos="1191"/>
        <w:tab w:val="clear" w:pos="1588"/>
        <w:tab w:val="clear" w:pos="1985"/>
      </w:tabs>
      <w:overflowPunct/>
      <w:autoSpaceDE/>
      <w:autoSpaceDN/>
      <w:adjustRightInd/>
      <w:ind w:left="720" w:hanging="360"/>
      <w:contextualSpacing/>
      <w:jc w:val="left"/>
      <w:textAlignment w:val="auto"/>
    </w:pPr>
    <w:rPr>
      <w:rFonts w:eastAsiaTheme="minorEastAsia"/>
      <w:szCs w:val="24"/>
      <w:lang w:eastAsia="ja-JP"/>
    </w:rPr>
  </w:style>
  <w:style w:type="paragraph" w:styleId="List3">
    <w:name w:val="List 3"/>
    <w:basedOn w:val="Normal"/>
    <w:unhideWhenUsed/>
    <w:rsid w:val="0020782B"/>
    <w:pPr>
      <w:tabs>
        <w:tab w:val="clear" w:pos="794"/>
        <w:tab w:val="clear" w:pos="1191"/>
        <w:tab w:val="clear" w:pos="1588"/>
        <w:tab w:val="clear" w:pos="1985"/>
      </w:tabs>
      <w:overflowPunct/>
      <w:autoSpaceDE/>
      <w:autoSpaceDN/>
      <w:adjustRightInd/>
      <w:ind w:left="1080" w:hanging="360"/>
      <w:contextualSpacing/>
      <w:jc w:val="left"/>
      <w:textAlignment w:val="auto"/>
    </w:pPr>
    <w:rPr>
      <w:rFonts w:eastAsiaTheme="minorEastAsia"/>
      <w:szCs w:val="24"/>
      <w:lang w:eastAsia="ja-JP"/>
    </w:rPr>
  </w:style>
  <w:style w:type="paragraph" w:styleId="List4">
    <w:name w:val="List 4"/>
    <w:basedOn w:val="Normal"/>
    <w:unhideWhenUsed/>
    <w:rsid w:val="0020782B"/>
    <w:pPr>
      <w:tabs>
        <w:tab w:val="clear" w:pos="794"/>
        <w:tab w:val="clear" w:pos="1191"/>
        <w:tab w:val="clear" w:pos="1588"/>
        <w:tab w:val="clear" w:pos="1985"/>
      </w:tabs>
      <w:overflowPunct/>
      <w:autoSpaceDE/>
      <w:autoSpaceDN/>
      <w:adjustRightInd/>
      <w:ind w:left="1440" w:hanging="360"/>
      <w:contextualSpacing/>
      <w:jc w:val="left"/>
      <w:textAlignment w:val="auto"/>
    </w:pPr>
    <w:rPr>
      <w:rFonts w:eastAsiaTheme="minorEastAsia"/>
      <w:szCs w:val="24"/>
      <w:lang w:eastAsia="ja-JP"/>
    </w:rPr>
  </w:style>
  <w:style w:type="paragraph" w:styleId="List5">
    <w:name w:val="List 5"/>
    <w:basedOn w:val="Normal"/>
    <w:unhideWhenUsed/>
    <w:rsid w:val="0020782B"/>
    <w:pPr>
      <w:tabs>
        <w:tab w:val="clear" w:pos="794"/>
        <w:tab w:val="clear" w:pos="1191"/>
        <w:tab w:val="clear" w:pos="1588"/>
        <w:tab w:val="clear" w:pos="1985"/>
      </w:tabs>
      <w:overflowPunct/>
      <w:autoSpaceDE/>
      <w:autoSpaceDN/>
      <w:adjustRightInd/>
      <w:ind w:left="1800" w:hanging="360"/>
      <w:contextualSpacing/>
      <w:jc w:val="left"/>
      <w:textAlignment w:val="auto"/>
    </w:pPr>
    <w:rPr>
      <w:rFonts w:eastAsiaTheme="minorEastAsia"/>
      <w:szCs w:val="24"/>
      <w:lang w:eastAsia="ja-JP"/>
    </w:rPr>
  </w:style>
  <w:style w:type="paragraph" w:styleId="ListBullet">
    <w:name w:val="List Bullet"/>
    <w:basedOn w:val="Normal"/>
    <w:uiPriority w:val="99"/>
    <w:semiHidden/>
    <w:unhideWhenUsed/>
    <w:rsid w:val="0020782B"/>
    <w:pPr>
      <w:numPr>
        <w:numId w:val="4"/>
      </w:numPr>
      <w:tabs>
        <w:tab w:val="clear" w:pos="794"/>
        <w:tab w:val="clear" w:pos="1191"/>
        <w:tab w:val="clear" w:pos="1588"/>
        <w:tab w:val="clear" w:pos="1985"/>
      </w:tabs>
      <w:overflowPunct/>
      <w:autoSpaceDE/>
      <w:autoSpaceDN/>
      <w:adjustRightInd/>
      <w:contextualSpacing/>
      <w:jc w:val="left"/>
      <w:textAlignment w:val="auto"/>
    </w:pPr>
    <w:rPr>
      <w:rFonts w:eastAsiaTheme="minorEastAsia"/>
      <w:szCs w:val="24"/>
      <w:lang w:eastAsia="ja-JP"/>
    </w:rPr>
  </w:style>
  <w:style w:type="paragraph" w:styleId="ListBullet2">
    <w:name w:val="List Bullet 2"/>
    <w:basedOn w:val="Normal"/>
    <w:uiPriority w:val="99"/>
    <w:semiHidden/>
    <w:unhideWhenUsed/>
    <w:rsid w:val="0020782B"/>
    <w:pPr>
      <w:numPr>
        <w:numId w:val="5"/>
      </w:numPr>
      <w:tabs>
        <w:tab w:val="clear" w:pos="794"/>
        <w:tab w:val="clear" w:pos="1191"/>
        <w:tab w:val="clear" w:pos="1588"/>
        <w:tab w:val="clear" w:pos="1985"/>
      </w:tabs>
      <w:overflowPunct/>
      <w:autoSpaceDE/>
      <w:autoSpaceDN/>
      <w:adjustRightInd/>
      <w:contextualSpacing/>
      <w:jc w:val="left"/>
      <w:textAlignment w:val="auto"/>
    </w:pPr>
    <w:rPr>
      <w:rFonts w:eastAsiaTheme="minorEastAsia"/>
      <w:szCs w:val="24"/>
      <w:lang w:eastAsia="ja-JP"/>
    </w:rPr>
  </w:style>
  <w:style w:type="paragraph" w:styleId="ListBullet3">
    <w:name w:val="List Bullet 3"/>
    <w:basedOn w:val="Normal"/>
    <w:uiPriority w:val="99"/>
    <w:semiHidden/>
    <w:unhideWhenUsed/>
    <w:rsid w:val="0020782B"/>
    <w:pPr>
      <w:numPr>
        <w:numId w:val="6"/>
      </w:numPr>
      <w:tabs>
        <w:tab w:val="clear" w:pos="794"/>
        <w:tab w:val="clear" w:pos="1191"/>
        <w:tab w:val="clear" w:pos="1588"/>
        <w:tab w:val="clear" w:pos="1985"/>
      </w:tabs>
      <w:overflowPunct/>
      <w:autoSpaceDE/>
      <w:autoSpaceDN/>
      <w:adjustRightInd/>
      <w:contextualSpacing/>
      <w:jc w:val="left"/>
      <w:textAlignment w:val="auto"/>
    </w:pPr>
    <w:rPr>
      <w:rFonts w:eastAsiaTheme="minorEastAsia"/>
      <w:szCs w:val="24"/>
      <w:lang w:eastAsia="ja-JP"/>
    </w:rPr>
  </w:style>
  <w:style w:type="paragraph" w:styleId="ListBullet4">
    <w:name w:val="List Bullet 4"/>
    <w:basedOn w:val="Normal"/>
    <w:uiPriority w:val="99"/>
    <w:semiHidden/>
    <w:unhideWhenUsed/>
    <w:rsid w:val="0020782B"/>
    <w:pPr>
      <w:numPr>
        <w:numId w:val="7"/>
      </w:numPr>
      <w:tabs>
        <w:tab w:val="clear" w:pos="794"/>
        <w:tab w:val="clear" w:pos="1588"/>
        <w:tab w:val="clear" w:pos="1985"/>
      </w:tabs>
      <w:overflowPunct/>
      <w:autoSpaceDE/>
      <w:autoSpaceDN/>
      <w:adjustRightInd/>
      <w:contextualSpacing/>
      <w:jc w:val="left"/>
      <w:textAlignment w:val="auto"/>
    </w:pPr>
    <w:rPr>
      <w:rFonts w:eastAsiaTheme="minorEastAsia"/>
      <w:szCs w:val="24"/>
      <w:lang w:eastAsia="ja-JP"/>
    </w:rPr>
  </w:style>
  <w:style w:type="paragraph" w:styleId="ListBullet5">
    <w:name w:val="List Bullet 5"/>
    <w:basedOn w:val="Normal"/>
    <w:uiPriority w:val="99"/>
    <w:semiHidden/>
    <w:unhideWhenUsed/>
    <w:rsid w:val="0020782B"/>
    <w:pPr>
      <w:numPr>
        <w:numId w:val="8"/>
      </w:numPr>
      <w:tabs>
        <w:tab w:val="clear" w:pos="794"/>
        <w:tab w:val="clear" w:pos="1191"/>
        <w:tab w:val="clear" w:pos="1588"/>
        <w:tab w:val="clear" w:pos="1985"/>
      </w:tabs>
      <w:overflowPunct/>
      <w:autoSpaceDE/>
      <w:autoSpaceDN/>
      <w:adjustRightInd/>
      <w:contextualSpacing/>
      <w:jc w:val="left"/>
      <w:textAlignment w:val="auto"/>
    </w:pPr>
    <w:rPr>
      <w:rFonts w:eastAsiaTheme="minorEastAsia"/>
      <w:szCs w:val="24"/>
      <w:lang w:eastAsia="ja-JP"/>
    </w:rPr>
  </w:style>
  <w:style w:type="paragraph" w:styleId="ListContinue">
    <w:name w:val="List Continue"/>
    <w:basedOn w:val="Normal"/>
    <w:uiPriority w:val="99"/>
    <w:semiHidden/>
    <w:unhideWhenUsed/>
    <w:rsid w:val="0020782B"/>
    <w:pPr>
      <w:tabs>
        <w:tab w:val="clear" w:pos="794"/>
        <w:tab w:val="clear" w:pos="1191"/>
        <w:tab w:val="clear" w:pos="1588"/>
        <w:tab w:val="clear" w:pos="1985"/>
      </w:tabs>
      <w:overflowPunct/>
      <w:autoSpaceDE/>
      <w:autoSpaceDN/>
      <w:adjustRightInd/>
      <w:spacing w:after="120"/>
      <w:ind w:left="360"/>
      <w:contextualSpacing/>
      <w:jc w:val="left"/>
      <w:textAlignment w:val="auto"/>
    </w:pPr>
    <w:rPr>
      <w:rFonts w:eastAsiaTheme="minorEastAsia"/>
      <w:szCs w:val="24"/>
      <w:lang w:eastAsia="ja-JP"/>
    </w:rPr>
  </w:style>
  <w:style w:type="paragraph" w:styleId="ListContinue2">
    <w:name w:val="List Continue 2"/>
    <w:basedOn w:val="Normal"/>
    <w:uiPriority w:val="99"/>
    <w:semiHidden/>
    <w:unhideWhenUsed/>
    <w:rsid w:val="0020782B"/>
    <w:pPr>
      <w:tabs>
        <w:tab w:val="clear" w:pos="794"/>
        <w:tab w:val="clear" w:pos="1191"/>
        <w:tab w:val="clear" w:pos="1588"/>
        <w:tab w:val="clear" w:pos="1985"/>
      </w:tabs>
      <w:overflowPunct/>
      <w:autoSpaceDE/>
      <w:autoSpaceDN/>
      <w:adjustRightInd/>
      <w:spacing w:after="120"/>
      <w:ind w:left="720"/>
      <w:contextualSpacing/>
      <w:jc w:val="left"/>
      <w:textAlignment w:val="auto"/>
    </w:pPr>
    <w:rPr>
      <w:rFonts w:eastAsiaTheme="minorEastAsia"/>
      <w:szCs w:val="24"/>
      <w:lang w:eastAsia="ja-JP"/>
    </w:rPr>
  </w:style>
  <w:style w:type="paragraph" w:styleId="ListContinue3">
    <w:name w:val="List Continue 3"/>
    <w:basedOn w:val="Normal"/>
    <w:uiPriority w:val="99"/>
    <w:semiHidden/>
    <w:unhideWhenUsed/>
    <w:rsid w:val="0020782B"/>
    <w:pPr>
      <w:tabs>
        <w:tab w:val="clear" w:pos="794"/>
        <w:tab w:val="clear" w:pos="1191"/>
        <w:tab w:val="clear" w:pos="1588"/>
        <w:tab w:val="clear" w:pos="1985"/>
      </w:tabs>
      <w:overflowPunct/>
      <w:autoSpaceDE/>
      <w:autoSpaceDN/>
      <w:adjustRightInd/>
      <w:spacing w:after="120"/>
      <w:ind w:left="1080"/>
      <w:contextualSpacing/>
      <w:jc w:val="left"/>
      <w:textAlignment w:val="auto"/>
    </w:pPr>
    <w:rPr>
      <w:rFonts w:eastAsiaTheme="minorEastAsia"/>
      <w:szCs w:val="24"/>
      <w:lang w:eastAsia="ja-JP"/>
    </w:rPr>
  </w:style>
  <w:style w:type="paragraph" w:styleId="ListContinue4">
    <w:name w:val="List Continue 4"/>
    <w:basedOn w:val="Normal"/>
    <w:uiPriority w:val="99"/>
    <w:semiHidden/>
    <w:unhideWhenUsed/>
    <w:rsid w:val="0020782B"/>
    <w:pPr>
      <w:tabs>
        <w:tab w:val="clear" w:pos="794"/>
        <w:tab w:val="clear" w:pos="1191"/>
        <w:tab w:val="clear" w:pos="1588"/>
        <w:tab w:val="clear" w:pos="1985"/>
      </w:tabs>
      <w:overflowPunct/>
      <w:autoSpaceDE/>
      <w:autoSpaceDN/>
      <w:adjustRightInd/>
      <w:spacing w:after="120"/>
      <w:ind w:left="1440"/>
      <w:contextualSpacing/>
      <w:jc w:val="left"/>
      <w:textAlignment w:val="auto"/>
    </w:pPr>
    <w:rPr>
      <w:rFonts w:eastAsiaTheme="minorEastAsia"/>
      <w:szCs w:val="24"/>
      <w:lang w:eastAsia="ja-JP"/>
    </w:rPr>
  </w:style>
  <w:style w:type="paragraph" w:styleId="ListContinue5">
    <w:name w:val="List Continue 5"/>
    <w:basedOn w:val="Normal"/>
    <w:uiPriority w:val="99"/>
    <w:semiHidden/>
    <w:unhideWhenUsed/>
    <w:rsid w:val="0020782B"/>
    <w:pPr>
      <w:tabs>
        <w:tab w:val="clear" w:pos="794"/>
        <w:tab w:val="clear" w:pos="1191"/>
        <w:tab w:val="clear" w:pos="1588"/>
        <w:tab w:val="clear" w:pos="1985"/>
      </w:tabs>
      <w:overflowPunct/>
      <w:autoSpaceDE/>
      <w:autoSpaceDN/>
      <w:adjustRightInd/>
      <w:spacing w:after="120"/>
      <w:ind w:left="1800"/>
      <w:contextualSpacing/>
      <w:jc w:val="left"/>
      <w:textAlignment w:val="auto"/>
    </w:pPr>
    <w:rPr>
      <w:rFonts w:eastAsiaTheme="minorEastAsia"/>
      <w:szCs w:val="24"/>
      <w:lang w:eastAsia="ja-JP"/>
    </w:rPr>
  </w:style>
  <w:style w:type="paragraph" w:styleId="ListNumber">
    <w:name w:val="List Number"/>
    <w:basedOn w:val="Normal"/>
    <w:uiPriority w:val="99"/>
    <w:unhideWhenUsed/>
    <w:rsid w:val="0020782B"/>
    <w:pPr>
      <w:numPr>
        <w:numId w:val="9"/>
      </w:numPr>
      <w:tabs>
        <w:tab w:val="clear" w:pos="794"/>
        <w:tab w:val="clear" w:pos="1191"/>
        <w:tab w:val="clear" w:pos="1588"/>
        <w:tab w:val="clear" w:pos="1985"/>
      </w:tabs>
      <w:overflowPunct/>
      <w:autoSpaceDE/>
      <w:autoSpaceDN/>
      <w:adjustRightInd/>
      <w:contextualSpacing/>
      <w:jc w:val="left"/>
      <w:textAlignment w:val="auto"/>
    </w:pPr>
    <w:rPr>
      <w:rFonts w:eastAsiaTheme="minorEastAsia"/>
      <w:szCs w:val="24"/>
      <w:lang w:eastAsia="ja-JP"/>
    </w:rPr>
  </w:style>
  <w:style w:type="paragraph" w:styleId="ListNumber2">
    <w:name w:val="List Number 2"/>
    <w:basedOn w:val="Normal"/>
    <w:uiPriority w:val="99"/>
    <w:semiHidden/>
    <w:unhideWhenUsed/>
    <w:rsid w:val="0020782B"/>
    <w:pPr>
      <w:numPr>
        <w:numId w:val="10"/>
      </w:numPr>
      <w:tabs>
        <w:tab w:val="clear" w:pos="794"/>
        <w:tab w:val="clear" w:pos="1191"/>
        <w:tab w:val="clear" w:pos="1588"/>
        <w:tab w:val="clear" w:pos="1985"/>
      </w:tabs>
      <w:overflowPunct/>
      <w:autoSpaceDE/>
      <w:autoSpaceDN/>
      <w:adjustRightInd/>
      <w:contextualSpacing/>
      <w:jc w:val="left"/>
      <w:textAlignment w:val="auto"/>
    </w:pPr>
    <w:rPr>
      <w:rFonts w:eastAsiaTheme="minorEastAsia"/>
      <w:szCs w:val="24"/>
      <w:lang w:eastAsia="ja-JP"/>
    </w:rPr>
  </w:style>
  <w:style w:type="paragraph" w:styleId="ListNumber3">
    <w:name w:val="List Number 3"/>
    <w:basedOn w:val="Normal"/>
    <w:uiPriority w:val="99"/>
    <w:semiHidden/>
    <w:unhideWhenUsed/>
    <w:rsid w:val="0020782B"/>
    <w:pPr>
      <w:numPr>
        <w:numId w:val="11"/>
      </w:numPr>
      <w:tabs>
        <w:tab w:val="clear" w:pos="794"/>
        <w:tab w:val="clear" w:pos="1191"/>
        <w:tab w:val="clear" w:pos="1588"/>
        <w:tab w:val="clear" w:pos="1985"/>
      </w:tabs>
      <w:overflowPunct/>
      <w:autoSpaceDE/>
      <w:autoSpaceDN/>
      <w:adjustRightInd/>
      <w:contextualSpacing/>
      <w:jc w:val="left"/>
      <w:textAlignment w:val="auto"/>
    </w:pPr>
    <w:rPr>
      <w:rFonts w:eastAsiaTheme="minorEastAsia"/>
      <w:szCs w:val="24"/>
      <w:lang w:eastAsia="ja-JP"/>
    </w:rPr>
  </w:style>
  <w:style w:type="paragraph" w:styleId="ListNumber4">
    <w:name w:val="List Number 4"/>
    <w:basedOn w:val="Normal"/>
    <w:uiPriority w:val="99"/>
    <w:semiHidden/>
    <w:unhideWhenUsed/>
    <w:rsid w:val="0020782B"/>
    <w:pPr>
      <w:numPr>
        <w:numId w:val="12"/>
      </w:numPr>
      <w:tabs>
        <w:tab w:val="clear" w:pos="794"/>
        <w:tab w:val="clear" w:pos="1588"/>
        <w:tab w:val="clear" w:pos="1985"/>
      </w:tabs>
      <w:overflowPunct/>
      <w:autoSpaceDE/>
      <w:autoSpaceDN/>
      <w:adjustRightInd/>
      <w:contextualSpacing/>
      <w:jc w:val="left"/>
      <w:textAlignment w:val="auto"/>
    </w:pPr>
    <w:rPr>
      <w:rFonts w:eastAsiaTheme="minorEastAsia"/>
      <w:szCs w:val="24"/>
      <w:lang w:eastAsia="ja-JP"/>
    </w:rPr>
  </w:style>
  <w:style w:type="paragraph" w:styleId="ListNumber5">
    <w:name w:val="List Number 5"/>
    <w:basedOn w:val="Normal"/>
    <w:uiPriority w:val="99"/>
    <w:semiHidden/>
    <w:unhideWhenUsed/>
    <w:rsid w:val="0020782B"/>
    <w:pPr>
      <w:numPr>
        <w:numId w:val="13"/>
      </w:numPr>
      <w:tabs>
        <w:tab w:val="clear" w:pos="794"/>
        <w:tab w:val="clear" w:pos="1191"/>
        <w:tab w:val="clear" w:pos="1588"/>
        <w:tab w:val="clear" w:pos="1985"/>
      </w:tabs>
      <w:overflowPunct/>
      <w:autoSpaceDE/>
      <w:autoSpaceDN/>
      <w:adjustRightInd/>
      <w:contextualSpacing/>
      <w:jc w:val="left"/>
      <w:textAlignment w:val="auto"/>
    </w:pPr>
    <w:rPr>
      <w:rFonts w:eastAsiaTheme="minorEastAsia"/>
      <w:szCs w:val="24"/>
      <w:lang w:eastAsia="ja-JP"/>
    </w:rPr>
  </w:style>
  <w:style w:type="paragraph" w:styleId="MacroText">
    <w:name w:val="macro"/>
    <w:link w:val="MacroTextChar"/>
    <w:uiPriority w:val="99"/>
    <w:semiHidden/>
    <w:unhideWhenUsed/>
    <w:rsid w:val="0020782B"/>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EastAsia" w:hAnsi="Consolas"/>
      <w:lang w:val="en-GB" w:eastAsia="ja-JP"/>
    </w:rPr>
  </w:style>
  <w:style w:type="character" w:customStyle="1" w:styleId="MacroTextChar">
    <w:name w:val="Macro Text Char"/>
    <w:basedOn w:val="DefaultParagraphFont"/>
    <w:link w:val="MacroText"/>
    <w:uiPriority w:val="99"/>
    <w:semiHidden/>
    <w:rsid w:val="0020782B"/>
    <w:rPr>
      <w:rFonts w:ascii="Consolas" w:eastAsiaTheme="minorEastAsia" w:hAnsi="Consolas"/>
      <w:lang w:val="en-GB" w:eastAsia="ja-JP"/>
    </w:rPr>
  </w:style>
  <w:style w:type="paragraph" w:styleId="MessageHeader">
    <w:name w:val="Message Header"/>
    <w:basedOn w:val="Normal"/>
    <w:link w:val="MessageHeaderChar"/>
    <w:uiPriority w:val="99"/>
    <w:semiHidden/>
    <w:unhideWhenUsed/>
    <w:rsid w:val="0020782B"/>
    <w:pPr>
      <w:pBdr>
        <w:top w:val="single" w:sz="6" w:space="1" w:color="auto"/>
        <w:left w:val="single" w:sz="6" w:space="1" w:color="auto"/>
        <w:bottom w:val="single" w:sz="6" w:space="1" w:color="auto"/>
        <w:right w:val="single" w:sz="6" w:space="1" w:color="auto"/>
      </w:pBdr>
      <w:shd w:val="pct20" w:color="auto" w:fill="auto"/>
      <w:tabs>
        <w:tab w:val="clear" w:pos="794"/>
        <w:tab w:val="clear" w:pos="1191"/>
        <w:tab w:val="clear" w:pos="1588"/>
        <w:tab w:val="clear" w:pos="1985"/>
      </w:tabs>
      <w:overflowPunct/>
      <w:autoSpaceDE/>
      <w:autoSpaceDN/>
      <w:adjustRightInd/>
      <w:spacing w:before="0"/>
      <w:ind w:left="1080" w:hanging="1080"/>
      <w:jc w:val="left"/>
      <w:textAlignment w:val="auto"/>
    </w:pPr>
    <w:rPr>
      <w:rFonts w:asciiTheme="majorHAnsi" w:eastAsiaTheme="majorEastAsia" w:hAnsiTheme="majorHAnsi" w:cstheme="majorBidi"/>
      <w:szCs w:val="24"/>
      <w:lang w:eastAsia="ja-JP"/>
    </w:rPr>
  </w:style>
  <w:style w:type="character" w:customStyle="1" w:styleId="MessageHeaderChar">
    <w:name w:val="Message Header Char"/>
    <w:basedOn w:val="DefaultParagraphFont"/>
    <w:link w:val="MessageHeader"/>
    <w:uiPriority w:val="99"/>
    <w:semiHidden/>
    <w:rsid w:val="0020782B"/>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20782B"/>
    <w:rPr>
      <w:rFonts w:ascii="Times New Roman" w:eastAsiaTheme="minorEastAsia" w:hAnsi="Times New Roman"/>
      <w:sz w:val="24"/>
      <w:szCs w:val="24"/>
      <w:lang w:val="en-GB" w:eastAsia="ja-JP"/>
    </w:rPr>
  </w:style>
  <w:style w:type="paragraph" w:styleId="NormalWeb">
    <w:name w:val="Normal (Web)"/>
    <w:basedOn w:val="Normal"/>
    <w:uiPriority w:val="99"/>
    <w:semiHidden/>
    <w:unhideWhenUsed/>
    <w:rsid w:val="0020782B"/>
    <w:pPr>
      <w:tabs>
        <w:tab w:val="clear" w:pos="794"/>
        <w:tab w:val="clear" w:pos="1191"/>
        <w:tab w:val="clear" w:pos="1588"/>
        <w:tab w:val="clear" w:pos="1985"/>
      </w:tabs>
      <w:overflowPunct/>
      <w:autoSpaceDE/>
      <w:autoSpaceDN/>
      <w:adjustRightInd/>
      <w:jc w:val="left"/>
      <w:textAlignment w:val="auto"/>
    </w:pPr>
    <w:rPr>
      <w:rFonts w:eastAsiaTheme="minorEastAsia"/>
      <w:szCs w:val="24"/>
      <w:lang w:eastAsia="ja-JP"/>
    </w:rPr>
  </w:style>
  <w:style w:type="paragraph" w:styleId="NormalIndent">
    <w:name w:val="Normal Indent"/>
    <w:basedOn w:val="Normal"/>
    <w:uiPriority w:val="99"/>
    <w:semiHidden/>
    <w:unhideWhenUsed/>
    <w:rsid w:val="0020782B"/>
    <w:pPr>
      <w:tabs>
        <w:tab w:val="clear" w:pos="794"/>
        <w:tab w:val="clear" w:pos="1191"/>
        <w:tab w:val="clear" w:pos="1588"/>
        <w:tab w:val="clear" w:pos="1985"/>
      </w:tabs>
      <w:overflowPunct/>
      <w:autoSpaceDE/>
      <w:autoSpaceDN/>
      <w:adjustRightInd/>
      <w:ind w:left="720"/>
      <w:jc w:val="left"/>
      <w:textAlignment w:val="auto"/>
    </w:pPr>
    <w:rPr>
      <w:rFonts w:eastAsiaTheme="minorEastAsia"/>
      <w:szCs w:val="24"/>
      <w:lang w:eastAsia="ja-JP"/>
    </w:rPr>
  </w:style>
  <w:style w:type="paragraph" w:styleId="NoteHeading">
    <w:name w:val="Note Heading"/>
    <w:basedOn w:val="Normal"/>
    <w:next w:val="Normal"/>
    <w:link w:val="NoteHeadingChar"/>
    <w:uiPriority w:val="99"/>
    <w:semiHidden/>
    <w:unhideWhenUsed/>
    <w:rsid w:val="0020782B"/>
    <w:pPr>
      <w:tabs>
        <w:tab w:val="clear" w:pos="794"/>
        <w:tab w:val="clear" w:pos="1191"/>
        <w:tab w:val="clear" w:pos="1588"/>
        <w:tab w:val="clear" w:pos="1985"/>
      </w:tabs>
      <w:overflowPunct/>
      <w:autoSpaceDE/>
      <w:autoSpaceDN/>
      <w:adjustRightInd/>
      <w:spacing w:before="0"/>
      <w:jc w:val="left"/>
      <w:textAlignment w:val="auto"/>
    </w:pPr>
    <w:rPr>
      <w:rFonts w:eastAsiaTheme="minorEastAsia"/>
      <w:szCs w:val="24"/>
      <w:lang w:eastAsia="ja-JP"/>
    </w:rPr>
  </w:style>
  <w:style w:type="character" w:customStyle="1" w:styleId="NoteHeadingChar">
    <w:name w:val="Note Heading Char"/>
    <w:basedOn w:val="DefaultParagraphFont"/>
    <w:link w:val="NoteHeading"/>
    <w:uiPriority w:val="99"/>
    <w:semiHidden/>
    <w:rsid w:val="0020782B"/>
    <w:rPr>
      <w:rFonts w:ascii="Times New Roman" w:eastAsiaTheme="minorEastAsia" w:hAnsi="Times New Roman"/>
      <w:sz w:val="24"/>
      <w:szCs w:val="24"/>
      <w:lang w:val="en-GB" w:eastAsia="ja-JP"/>
    </w:rPr>
  </w:style>
  <w:style w:type="paragraph" w:styleId="PlainText">
    <w:name w:val="Plain Text"/>
    <w:basedOn w:val="Normal"/>
    <w:link w:val="PlainTextChar"/>
    <w:uiPriority w:val="99"/>
    <w:semiHidden/>
    <w:unhideWhenUsed/>
    <w:rsid w:val="0020782B"/>
    <w:pPr>
      <w:tabs>
        <w:tab w:val="clear" w:pos="794"/>
        <w:tab w:val="clear" w:pos="1191"/>
        <w:tab w:val="clear" w:pos="1588"/>
        <w:tab w:val="clear" w:pos="1985"/>
      </w:tabs>
      <w:overflowPunct/>
      <w:autoSpaceDE/>
      <w:autoSpaceDN/>
      <w:adjustRightInd/>
      <w:spacing w:before="0"/>
      <w:jc w:val="left"/>
      <w:textAlignment w:val="auto"/>
    </w:pPr>
    <w:rPr>
      <w:rFonts w:ascii="Consolas" w:eastAsiaTheme="minorEastAsia" w:hAnsi="Consolas"/>
      <w:sz w:val="21"/>
      <w:szCs w:val="21"/>
      <w:lang w:eastAsia="ja-JP"/>
    </w:rPr>
  </w:style>
  <w:style w:type="character" w:customStyle="1" w:styleId="PlainTextChar">
    <w:name w:val="Plain Text Char"/>
    <w:basedOn w:val="DefaultParagraphFont"/>
    <w:link w:val="PlainText"/>
    <w:uiPriority w:val="99"/>
    <w:semiHidden/>
    <w:rsid w:val="0020782B"/>
    <w:rPr>
      <w:rFonts w:ascii="Consolas" w:eastAsiaTheme="minorEastAsia" w:hAnsi="Consolas"/>
      <w:sz w:val="21"/>
      <w:szCs w:val="21"/>
      <w:lang w:val="en-GB" w:eastAsia="ja-JP"/>
    </w:rPr>
  </w:style>
  <w:style w:type="paragraph" w:styleId="Salutation">
    <w:name w:val="Salutation"/>
    <w:basedOn w:val="Normal"/>
    <w:next w:val="Normal"/>
    <w:link w:val="SalutationChar"/>
    <w:uiPriority w:val="99"/>
    <w:unhideWhenUsed/>
    <w:rsid w:val="0020782B"/>
    <w:pPr>
      <w:tabs>
        <w:tab w:val="clear" w:pos="794"/>
        <w:tab w:val="clear" w:pos="1191"/>
        <w:tab w:val="clear" w:pos="1588"/>
        <w:tab w:val="clear" w:pos="1985"/>
      </w:tabs>
      <w:overflowPunct/>
      <w:autoSpaceDE/>
      <w:autoSpaceDN/>
      <w:adjustRightInd/>
      <w:jc w:val="left"/>
      <w:textAlignment w:val="auto"/>
    </w:pPr>
    <w:rPr>
      <w:rFonts w:eastAsiaTheme="minorEastAsia"/>
      <w:szCs w:val="24"/>
      <w:lang w:eastAsia="ja-JP"/>
    </w:rPr>
  </w:style>
  <w:style w:type="character" w:customStyle="1" w:styleId="SalutationChar">
    <w:name w:val="Salutation Char"/>
    <w:basedOn w:val="DefaultParagraphFont"/>
    <w:link w:val="Salutation"/>
    <w:uiPriority w:val="99"/>
    <w:rsid w:val="0020782B"/>
    <w:rPr>
      <w:rFonts w:ascii="Times New Roman" w:eastAsiaTheme="minorEastAsia" w:hAnsi="Times New Roman"/>
      <w:sz w:val="24"/>
      <w:szCs w:val="24"/>
      <w:lang w:val="en-GB" w:eastAsia="ja-JP"/>
    </w:rPr>
  </w:style>
  <w:style w:type="paragraph" w:styleId="Signature">
    <w:name w:val="Signature"/>
    <w:basedOn w:val="Normal"/>
    <w:link w:val="SignatureChar"/>
    <w:uiPriority w:val="99"/>
    <w:semiHidden/>
    <w:unhideWhenUsed/>
    <w:rsid w:val="0020782B"/>
    <w:pPr>
      <w:tabs>
        <w:tab w:val="clear" w:pos="794"/>
        <w:tab w:val="clear" w:pos="1191"/>
        <w:tab w:val="clear" w:pos="1588"/>
        <w:tab w:val="clear" w:pos="1985"/>
      </w:tabs>
      <w:overflowPunct/>
      <w:autoSpaceDE/>
      <w:autoSpaceDN/>
      <w:adjustRightInd/>
      <w:spacing w:before="0"/>
      <w:ind w:left="4320"/>
      <w:jc w:val="left"/>
      <w:textAlignment w:val="auto"/>
    </w:pPr>
    <w:rPr>
      <w:rFonts w:eastAsiaTheme="minorEastAsia"/>
      <w:szCs w:val="24"/>
      <w:lang w:eastAsia="ja-JP"/>
    </w:rPr>
  </w:style>
  <w:style w:type="character" w:customStyle="1" w:styleId="SignatureChar">
    <w:name w:val="Signature Char"/>
    <w:basedOn w:val="DefaultParagraphFont"/>
    <w:link w:val="Signature"/>
    <w:uiPriority w:val="99"/>
    <w:semiHidden/>
    <w:rsid w:val="0020782B"/>
    <w:rPr>
      <w:rFonts w:ascii="Times New Roman" w:eastAsiaTheme="minorEastAsia" w:hAnsi="Times New Roman"/>
      <w:sz w:val="24"/>
      <w:szCs w:val="24"/>
      <w:lang w:val="en-GB" w:eastAsia="ja-JP"/>
    </w:rPr>
  </w:style>
  <w:style w:type="character" w:styleId="SmartHyperlink">
    <w:name w:val="Smart Hyperlink"/>
    <w:basedOn w:val="DefaultParagraphFont"/>
    <w:uiPriority w:val="99"/>
    <w:semiHidden/>
    <w:unhideWhenUsed/>
    <w:rsid w:val="0020782B"/>
    <w:rPr>
      <w:u w:val="dotted"/>
    </w:rPr>
  </w:style>
  <w:style w:type="character" w:styleId="SmartLink">
    <w:name w:val="Smart Link"/>
    <w:basedOn w:val="DefaultParagraphFont"/>
    <w:uiPriority w:val="99"/>
    <w:semiHidden/>
    <w:unhideWhenUsed/>
    <w:rsid w:val="0020782B"/>
    <w:rPr>
      <w:color w:val="0000FF"/>
      <w:u w:val="single"/>
      <w:shd w:val="clear" w:color="auto" w:fill="F3F2F1"/>
    </w:rPr>
  </w:style>
  <w:style w:type="character" w:styleId="Strong">
    <w:name w:val="Strong"/>
    <w:basedOn w:val="DefaultParagraphFont"/>
    <w:rsid w:val="0020782B"/>
    <w:rPr>
      <w:b/>
      <w:bCs/>
    </w:rPr>
  </w:style>
  <w:style w:type="paragraph" w:styleId="Subtitle">
    <w:name w:val="Subtitle"/>
    <w:basedOn w:val="Normal"/>
    <w:next w:val="Normal"/>
    <w:link w:val="SubtitleChar"/>
    <w:uiPriority w:val="11"/>
    <w:qFormat/>
    <w:rsid w:val="0020782B"/>
    <w:pPr>
      <w:numPr>
        <w:ilvl w:val="1"/>
      </w:numPr>
      <w:tabs>
        <w:tab w:val="clear" w:pos="794"/>
        <w:tab w:val="clear" w:pos="1191"/>
        <w:tab w:val="clear" w:pos="1588"/>
        <w:tab w:val="clear" w:pos="1985"/>
      </w:tabs>
      <w:overflowPunct/>
      <w:autoSpaceDE/>
      <w:autoSpaceDN/>
      <w:adjustRightInd/>
      <w:spacing w:after="160"/>
      <w:jc w:val="left"/>
      <w:textAlignment w:val="auto"/>
    </w:pPr>
    <w:rPr>
      <w:rFonts w:asciiTheme="minorHAnsi" w:eastAsiaTheme="minorEastAsia" w:hAnsiTheme="minorHAnsi" w:cstheme="minorBidi"/>
      <w:color w:val="5A5A5A" w:themeColor="text1" w:themeTint="A5"/>
      <w:spacing w:val="15"/>
      <w:sz w:val="22"/>
      <w:szCs w:val="22"/>
      <w:lang w:eastAsia="ja-JP"/>
    </w:rPr>
  </w:style>
  <w:style w:type="character" w:customStyle="1" w:styleId="SubtitleChar">
    <w:name w:val="Subtitle Char"/>
    <w:basedOn w:val="DefaultParagraphFont"/>
    <w:link w:val="Subtitle"/>
    <w:uiPriority w:val="11"/>
    <w:rsid w:val="0020782B"/>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20782B"/>
    <w:rPr>
      <w:i/>
      <w:iCs/>
      <w:color w:val="404040" w:themeColor="text1" w:themeTint="BF"/>
    </w:rPr>
  </w:style>
  <w:style w:type="character" w:styleId="SubtleReference">
    <w:name w:val="Subtle Reference"/>
    <w:basedOn w:val="DefaultParagraphFont"/>
    <w:uiPriority w:val="31"/>
    <w:rsid w:val="0020782B"/>
    <w:rPr>
      <w:smallCaps/>
      <w:color w:val="5A5A5A" w:themeColor="text1" w:themeTint="A5"/>
    </w:rPr>
  </w:style>
  <w:style w:type="paragraph" w:styleId="TableofAuthorities">
    <w:name w:val="table of authorities"/>
    <w:basedOn w:val="Normal"/>
    <w:next w:val="Normal"/>
    <w:uiPriority w:val="99"/>
    <w:semiHidden/>
    <w:unhideWhenUsed/>
    <w:rsid w:val="0020782B"/>
    <w:pPr>
      <w:tabs>
        <w:tab w:val="clear" w:pos="794"/>
        <w:tab w:val="clear" w:pos="1191"/>
        <w:tab w:val="clear" w:pos="1588"/>
        <w:tab w:val="clear" w:pos="1985"/>
      </w:tabs>
      <w:overflowPunct/>
      <w:autoSpaceDE/>
      <w:autoSpaceDN/>
      <w:adjustRightInd/>
      <w:ind w:left="240" w:hanging="240"/>
      <w:jc w:val="left"/>
      <w:textAlignment w:val="auto"/>
    </w:pPr>
    <w:rPr>
      <w:rFonts w:eastAsiaTheme="minorEastAsia"/>
      <w:szCs w:val="24"/>
      <w:lang w:eastAsia="ja-JP"/>
    </w:rPr>
  </w:style>
  <w:style w:type="paragraph" w:styleId="Title">
    <w:name w:val="Title"/>
    <w:basedOn w:val="Normal"/>
    <w:next w:val="Normal"/>
    <w:link w:val="TitleChar"/>
    <w:uiPriority w:val="10"/>
    <w:qFormat/>
    <w:rsid w:val="0020782B"/>
    <w:pPr>
      <w:tabs>
        <w:tab w:val="clear" w:pos="794"/>
        <w:tab w:val="clear" w:pos="1191"/>
        <w:tab w:val="clear" w:pos="1588"/>
        <w:tab w:val="clear" w:pos="1985"/>
      </w:tabs>
      <w:overflowPunct/>
      <w:autoSpaceDE/>
      <w:autoSpaceDN/>
      <w:adjustRightInd/>
      <w:spacing w:before="0"/>
      <w:contextualSpacing/>
      <w:jc w:val="left"/>
      <w:textAlignment w:val="auto"/>
    </w:pPr>
    <w:rPr>
      <w:rFonts w:asciiTheme="majorHAnsi" w:eastAsiaTheme="majorEastAsia" w:hAnsiTheme="majorHAnsi" w:cstheme="majorBidi"/>
      <w:spacing w:val="-10"/>
      <w:kern w:val="28"/>
      <w:sz w:val="56"/>
      <w:szCs w:val="56"/>
      <w:lang w:eastAsia="ja-JP"/>
    </w:rPr>
  </w:style>
  <w:style w:type="character" w:customStyle="1" w:styleId="TitleChar">
    <w:name w:val="Title Char"/>
    <w:basedOn w:val="DefaultParagraphFont"/>
    <w:link w:val="Title"/>
    <w:uiPriority w:val="10"/>
    <w:rsid w:val="0020782B"/>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20782B"/>
    <w:pPr>
      <w:tabs>
        <w:tab w:val="clear" w:pos="794"/>
        <w:tab w:val="clear" w:pos="1191"/>
        <w:tab w:val="clear" w:pos="1588"/>
        <w:tab w:val="clear" w:pos="1985"/>
      </w:tabs>
      <w:overflowPunct/>
      <w:autoSpaceDE/>
      <w:autoSpaceDN/>
      <w:adjustRightInd/>
      <w:jc w:val="left"/>
      <w:textAlignment w:val="auto"/>
    </w:pPr>
    <w:rPr>
      <w:rFonts w:asciiTheme="majorHAnsi" w:eastAsiaTheme="majorEastAsia" w:hAnsiTheme="majorHAnsi" w:cstheme="majorBidi"/>
      <w:b/>
      <w:bCs/>
      <w:szCs w:val="24"/>
      <w:lang w:eastAsia="ja-JP"/>
    </w:rPr>
  </w:style>
  <w:style w:type="paragraph" w:styleId="TOCHeading">
    <w:name w:val="TOC Heading"/>
    <w:basedOn w:val="Heading1"/>
    <w:next w:val="Normal"/>
    <w:uiPriority w:val="39"/>
    <w:semiHidden/>
    <w:unhideWhenUsed/>
    <w:qFormat/>
    <w:rsid w:val="0020782B"/>
    <w:pPr>
      <w:tabs>
        <w:tab w:val="clear" w:pos="794"/>
        <w:tab w:val="clear" w:pos="1191"/>
        <w:tab w:val="clear" w:pos="1588"/>
        <w:tab w:val="clear" w:pos="1985"/>
      </w:tabs>
      <w:overflowPunct/>
      <w:autoSpaceDE/>
      <w:autoSpaceDN/>
      <w:adjustRightInd/>
      <w:spacing w:before="240"/>
      <w:ind w:left="0" w:firstLine="0"/>
      <w:textAlignment w:val="auto"/>
      <w:outlineLvl w:val="9"/>
    </w:pPr>
    <w:rPr>
      <w:rFonts w:asciiTheme="majorHAnsi" w:eastAsiaTheme="majorEastAsia" w:hAnsiTheme="majorHAnsi" w:cstheme="majorBidi"/>
      <w:b w:val="0"/>
      <w:color w:val="365F91" w:themeColor="accent1" w:themeShade="BF"/>
      <w:sz w:val="32"/>
      <w:szCs w:val="32"/>
      <w:lang w:eastAsia="ja-JP"/>
    </w:rPr>
  </w:style>
  <w:style w:type="paragraph" w:customStyle="1" w:styleId="TSBHeaderRight14">
    <w:name w:val="TSBHeaderRight14"/>
    <w:basedOn w:val="Normal"/>
    <w:qFormat/>
    <w:rsid w:val="0020782B"/>
    <w:pPr>
      <w:tabs>
        <w:tab w:val="clear" w:pos="794"/>
        <w:tab w:val="clear" w:pos="1191"/>
        <w:tab w:val="clear" w:pos="1588"/>
        <w:tab w:val="clear" w:pos="1985"/>
      </w:tabs>
      <w:overflowPunct/>
      <w:autoSpaceDE/>
      <w:autoSpaceDN/>
      <w:adjustRightInd/>
      <w:jc w:val="right"/>
      <w:textAlignment w:val="auto"/>
    </w:pPr>
    <w:rPr>
      <w:rFonts w:eastAsiaTheme="minorEastAsia"/>
      <w:b/>
      <w:bCs/>
      <w:sz w:val="28"/>
      <w:szCs w:val="28"/>
      <w:lang w:eastAsia="ja-JP"/>
    </w:rPr>
  </w:style>
  <w:style w:type="paragraph" w:customStyle="1" w:styleId="TSBHeaderQuestion">
    <w:name w:val="TSBHeaderQuestion"/>
    <w:basedOn w:val="Normal"/>
    <w:qFormat/>
    <w:rsid w:val="0020782B"/>
    <w:pPr>
      <w:tabs>
        <w:tab w:val="clear" w:pos="794"/>
        <w:tab w:val="clear" w:pos="1191"/>
        <w:tab w:val="clear" w:pos="1588"/>
        <w:tab w:val="clear" w:pos="1985"/>
      </w:tabs>
      <w:overflowPunct/>
      <w:autoSpaceDE/>
      <w:autoSpaceDN/>
      <w:adjustRightInd/>
      <w:jc w:val="left"/>
      <w:textAlignment w:val="auto"/>
    </w:pPr>
    <w:rPr>
      <w:rFonts w:eastAsiaTheme="minorEastAsia"/>
      <w:szCs w:val="24"/>
      <w:lang w:eastAsia="ja-JP"/>
    </w:rPr>
  </w:style>
  <w:style w:type="paragraph" w:customStyle="1" w:styleId="TSBHeaderSource">
    <w:name w:val="TSBHeaderSource"/>
    <w:basedOn w:val="Normal"/>
    <w:qFormat/>
    <w:rsid w:val="0020782B"/>
    <w:pPr>
      <w:tabs>
        <w:tab w:val="clear" w:pos="794"/>
        <w:tab w:val="clear" w:pos="1191"/>
        <w:tab w:val="clear" w:pos="1588"/>
        <w:tab w:val="clear" w:pos="1985"/>
      </w:tabs>
      <w:overflowPunct/>
      <w:autoSpaceDE/>
      <w:autoSpaceDN/>
      <w:adjustRightInd/>
      <w:jc w:val="left"/>
      <w:textAlignment w:val="auto"/>
    </w:pPr>
    <w:rPr>
      <w:rFonts w:eastAsiaTheme="minorEastAsia"/>
      <w:szCs w:val="24"/>
      <w:lang w:eastAsia="ja-JP"/>
    </w:rPr>
  </w:style>
  <w:style w:type="paragraph" w:customStyle="1" w:styleId="TSBHeaderTitle">
    <w:name w:val="TSBHeaderTitle"/>
    <w:basedOn w:val="Normal"/>
    <w:qFormat/>
    <w:rsid w:val="0020782B"/>
    <w:pPr>
      <w:tabs>
        <w:tab w:val="clear" w:pos="794"/>
        <w:tab w:val="clear" w:pos="1191"/>
        <w:tab w:val="clear" w:pos="1588"/>
        <w:tab w:val="clear" w:pos="1985"/>
      </w:tabs>
      <w:overflowPunct/>
      <w:autoSpaceDE/>
      <w:autoSpaceDN/>
      <w:adjustRightInd/>
      <w:jc w:val="left"/>
      <w:textAlignment w:val="auto"/>
    </w:pPr>
    <w:rPr>
      <w:rFonts w:eastAsiaTheme="minorEastAsia"/>
      <w:szCs w:val="24"/>
      <w:lang w:eastAsia="ja-JP"/>
    </w:rPr>
  </w:style>
  <w:style w:type="paragraph" w:customStyle="1" w:styleId="TSBHeaderSummary">
    <w:name w:val="TSBHeaderSummary"/>
    <w:basedOn w:val="Normal"/>
    <w:rsid w:val="0020782B"/>
    <w:pPr>
      <w:tabs>
        <w:tab w:val="clear" w:pos="794"/>
        <w:tab w:val="clear" w:pos="1191"/>
        <w:tab w:val="clear" w:pos="1588"/>
        <w:tab w:val="clear" w:pos="1985"/>
      </w:tabs>
      <w:overflowPunct/>
      <w:autoSpaceDE/>
      <w:autoSpaceDN/>
      <w:adjustRightInd/>
      <w:jc w:val="left"/>
      <w:textAlignment w:val="auto"/>
    </w:pPr>
    <w:rPr>
      <w:rFonts w:eastAsiaTheme="minorEastAsia"/>
      <w:szCs w:val="24"/>
      <w:lang w:eastAsia="ja-JP"/>
    </w:rPr>
  </w:style>
  <w:style w:type="paragraph" w:customStyle="1" w:styleId="Heading1Centered">
    <w:name w:val="Heading 1 Centered"/>
    <w:basedOn w:val="Heading1"/>
    <w:rsid w:val="0020782B"/>
    <w:pPr>
      <w:ind w:left="0" w:firstLine="0"/>
      <w:jc w:val="center"/>
    </w:pPr>
    <w:rPr>
      <w:rFonts w:eastAsia="MS Mincho"/>
      <w:bCs/>
    </w:rPr>
  </w:style>
  <w:style w:type="paragraph" w:customStyle="1" w:styleId="LSDeadline">
    <w:name w:val="LSDeadline"/>
    <w:basedOn w:val="LSForAction"/>
    <w:next w:val="Normal"/>
    <w:rsid w:val="0020782B"/>
    <w:rPr>
      <w:bCs w:val="0"/>
    </w:rPr>
  </w:style>
  <w:style w:type="paragraph" w:customStyle="1" w:styleId="LSSource">
    <w:name w:val="LSSource"/>
    <w:basedOn w:val="LSForAction"/>
    <w:next w:val="Normal"/>
    <w:rsid w:val="0020782B"/>
    <w:rPr>
      <w:rFonts w:eastAsia="Calibri"/>
      <w:bCs w:val="0"/>
    </w:rPr>
  </w:style>
  <w:style w:type="paragraph" w:customStyle="1" w:styleId="LSTitle">
    <w:name w:val="LSTitle"/>
    <w:basedOn w:val="LSForAction"/>
    <w:next w:val="Normal"/>
    <w:rsid w:val="0020782B"/>
    <w:rPr>
      <w:rFonts w:eastAsia="Calibri"/>
      <w:bCs w:val="0"/>
    </w:rPr>
  </w:style>
  <w:style w:type="paragraph" w:customStyle="1" w:styleId="References">
    <w:name w:val="References"/>
    <w:basedOn w:val="Normal"/>
    <w:rsid w:val="0020782B"/>
    <w:pPr>
      <w:widowControl w:val="0"/>
      <w:numPr>
        <w:numId w:val="14"/>
      </w:numPr>
      <w:tabs>
        <w:tab w:val="clear" w:pos="794"/>
        <w:tab w:val="clear" w:pos="1191"/>
        <w:tab w:val="clear" w:pos="1588"/>
        <w:tab w:val="clear" w:pos="1985"/>
      </w:tabs>
      <w:jc w:val="left"/>
    </w:pPr>
    <w:rPr>
      <w:lang w:eastAsia="zh-CN"/>
    </w:rPr>
  </w:style>
  <w:style w:type="paragraph" w:customStyle="1" w:styleId="NormalITU">
    <w:name w:val="Normal_ITU"/>
    <w:basedOn w:val="Normal"/>
    <w:rsid w:val="0020782B"/>
    <w:pPr>
      <w:tabs>
        <w:tab w:val="clear" w:pos="794"/>
        <w:tab w:val="clear" w:pos="1191"/>
        <w:tab w:val="clear" w:pos="1588"/>
        <w:tab w:val="clear" w:pos="1985"/>
      </w:tabs>
      <w:overflowPunct/>
      <w:jc w:val="left"/>
      <w:textAlignment w:val="auto"/>
    </w:pPr>
    <w:rPr>
      <w:rFonts w:eastAsiaTheme="minorHAnsi" w:cs="Arial"/>
      <w:lang w:val="en-US"/>
    </w:rPr>
  </w:style>
  <w:style w:type="paragraph" w:customStyle="1" w:styleId="LSForAction">
    <w:name w:val="LSForAction"/>
    <w:basedOn w:val="Normal"/>
    <w:rsid w:val="0020782B"/>
    <w:pPr>
      <w:jc w:val="left"/>
    </w:pPr>
    <w:rPr>
      <w:bCs/>
    </w:rPr>
  </w:style>
  <w:style w:type="paragraph" w:customStyle="1" w:styleId="LSForComment">
    <w:name w:val="LSForComment"/>
    <w:basedOn w:val="LSForAction"/>
    <w:next w:val="Normal"/>
    <w:rsid w:val="0020782B"/>
  </w:style>
  <w:style w:type="paragraph" w:customStyle="1" w:styleId="LSForInfo">
    <w:name w:val="LSForInfo"/>
    <w:basedOn w:val="LSForAction"/>
    <w:next w:val="Normal"/>
    <w:rsid w:val="0020782B"/>
  </w:style>
  <w:style w:type="character" w:customStyle="1" w:styleId="Hashtag1">
    <w:name w:val="Hashtag1"/>
    <w:basedOn w:val="DefaultParagraphFont"/>
    <w:uiPriority w:val="99"/>
    <w:semiHidden/>
    <w:unhideWhenUsed/>
    <w:rsid w:val="0020782B"/>
    <w:rPr>
      <w:color w:val="2B579A"/>
      <w:shd w:val="clear" w:color="auto" w:fill="E6E6E6"/>
    </w:rPr>
  </w:style>
  <w:style w:type="character" w:customStyle="1" w:styleId="Mention1">
    <w:name w:val="Mention1"/>
    <w:basedOn w:val="DefaultParagraphFont"/>
    <w:uiPriority w:val="99"/>
    <w:semiHidden/>
    <w:unhideWhenUsed/>
    <w:rsid w:val="0020782B"/>
    <w:rPr>
      <w:color w:val="2B579A"/>
      <w:shd w:val="clear" w:color="auto" w:fill="E6E6E6"/>
    </w:rPr>
  </w:style>
  <w:style w:type="character" w:customStyle="1" w:styleId="SmartHyperlink1">
    <w:name w:val="Smart Hyperlink1"/>
    <w:basedOn w:val="DefaultParagraphFont"/>
    <w:uiPriority w:val="99"/>
    <w:semiHidden/>
    <w:unhideWhenUsed/>
    <w:rsid w:val="0020782B"/>
    <w:rPr>
      <w:u w:val="dotted"/>
    </w:rPr>
  </w:style>
  <w:style w:type="character" w:customStyle="1" w:styleId="UnresolvedMention1">
    <w:name w:val="Unresolved Mention1"/>
    <w:basedOn w:val="DefaultParagraphFont"/>
    <w:uiPriority w:val="99"/>
    <w:semiHidden/>
    <w:unhideWhenUsed/>
    <w:rsid w:val="0020782B"/>
    <w:rPr>
      <w:color w:val="808080"/>
      <w:shd w:val="clear" w:color="auto" w:fill="E6E6E6"/>
    </w:rPr>
  </w:style>
  <w:style w:type="paragraph" w:customStyle="1" w:styleId="Normalaftertitle0">
    <w:name w:val="Normal after title"/>
    <w:basedOn w:val="Normal"/>
    <w:next w:val="Normal"/>
    <w:rsid w:val="0020782B"/>
    <w:pPr>
      <w:overflowPunct/>
      <w:autoSpaceDE/>
      <w:autoSpaceDN/>
      <w:adjustRightInd/>
      <w:spacing w:before="320"/>
      <w:jc w:val="left"/>
      <w:textAlignment w:val="auto"/>
    </w:pPr>
    <w:rPr>
      <w:rFonts w:eastAsia="SimSun"/>
      <w:szCs w:val="24"/>
    </w:rPr>
  </w:style>
  <w:style w:type="paragraph" w:customStyle="1" w:styleId="TPapproval">
    <w:name w:val="TPapproval"/>
    <w:basedOn w:val="Normal"/>
    <w:rsid w:val="0020782B"/>
    <w:pPr>
      <w:tabs>
        <w:tab w:val="clear" w:pos="794"/>
        <w:tab w:val="clear" w:pos="1191"/>
        <w:tab w:val="clear" w:pos="1588"/>
        <w:tab w:val="clear" w:pos="1985"/>
      </w:tabs>
      <w:wordWrap w:val="0"/>
      <w:overflowPunct/>
      <w:autoSpaceDE/>
      <w:autoSpaceDN/>
      <w:adjustRightInd/>
      <w:spacing w:before="284"/>
      <w:jc w:val="right"/>
      <w:textAlignment w:val="auto"/>
    </w:pPr>
    <w:rPr>
      <w:rFonts w:ascii="Arial" w:hAnsi="Arial"/>
      <w:sz w:val="28"/>
      <w:szCs w:val="24"/>
      <w:lang w:eastAsia="en-GB"/>
    </w:rPr>
  </w:style>
  <w:style w:type="paragraph" w:customStyle="1" w:styleId="TRnumber">
    <w:name w:val="TRnumber"/>
    <w:basedOn w:val="Normal"/>
    <w:rsid w:val="0020782B"/>
    <w:pPr>
      <w:tabs>
        <w:tab w:val="clear" w:pos="794"/>
        <w:tab w:val="clear" w:pos="1191"/>
        <w:tab w:val="clear" w:pos="1588"/>
        <w:tab w:val="clear" w:pos="1985"/>
        <w:tab w:val="right" w:pos="9639"/>
      </w:tabs>
      <w:overflowPunct/>
      <w:autoSpaceDE/>
      <w:autoSpaceDN/>
      <w:adjustRightInd/>
      <w:jc w:val="left"/>
      <w:textAlignment w:val="auto"/>
    </w:pPr>
    <w:rPr>
      <w:rFonts w:ascii="Arial" w:hAnsi="Arial" w:cs="Arial"/>
      <w:b/>
      <w:bCs/>
      <w:sz w:val="36"/>
      <w:szCs w:val="24"/>
      <w:lang w:eastAsia="en-GB"/>
    </w:rPr>
  </w:style>
  <w:style w:type="paragraph" w:customStyle="1" w:styleId="TRtitle">
    <w:name w:val="TRtitle"/>
    <w:basedOn w:val="Normal"/>
    <w:rsid w:val="0020782B"/>
    <w:pPr>
      <w:tabs>
        <w:tab w:val="clear" w:pos="794"/>
        <w:tab w:val="clear" w:pos="1191"/>
        <w:tab w:val="clear" w:pos="1588"/>
        <w:tab w:val="clear" w:pos="1985"/>
        <w:tab w:val="right" w:pos="9639"/>
      </w:tabs>
      <w:overflowPunct/>
      <w:autoSpaceDE/>
      <w:autoSpaceDN/>
      <w:adjustRightInd/>
      <w:spacing w:before="0"/>
      <w:jc w:val="left"/>
      <w:textAlignment w:val="auto"/>
    </w:pPr>
    <w:rPr>
      <w:rFonts w:ascii="Arial" w:hAnsi="Arial" w:cs="Arial"/>
      <w:b/>
      <w:bCs/>
      <w:sz w:val="36"/>
      <w:szCs w:val="24"/>
      <w:lang w:eastAsia="en-GB"/>
    </w:rPr>
  </w:style>
  <w:style w:type="table" w:customStyle="1" w:styleId="11">
    <w:name w:val="11"/>
    <w:basedOn w:val="TableNormal"/>
    <w:rsid w:val="0020782B"/>
    <w:pPr>
      <w:spacing w:before="120"/>
    </w:pPr>
    <w:rPr>
      <w:rFonts w:ascii="Times New Roman" w:hAnsi="Times New Roman"/>
      <w:sz w:val="24"/>
      <w:szCs w:val="24"/>
      <w:lang w:eastAsia="en-GB"/>
    </w:rPr>
    <w:tblPr>
      <w:tblStyleRowBandSize w:val="1"/>
      <w:tblStyleColBandSize w:val="1"/>
      <w:tblCellMar>
        <w:left w:w="57" w:type="dxa"/>
        <w:right w:w="57" w:type="dxa"/>
      </w:tblCellMar>
    </w:tblPr>
  </w:style>
  <w:style w:type="table" w:customStyle="1" w:styleId="10">
    <w:name w:val="10"/>
    <w:basedOn w:val="TableNormal"/>
    <w:rsid w:val="0020782B"/>
    <w:pPr>
      <w:spacing w:before="120"/>
    </w:pPr>
    <w:rPr>
      <w:rFonts w:ascii="Times New Roman" w:hAnsi="Times New Roman"/>
      <w:sz w:val="24"/>
      <w:szCs w:val="24"/>
      <w:lang w:eastAsia="en-GB"/>
    </w:rPr>
    <w:tblPr>
      <w:tblStyleRowBandSize w:val="1"/>
      <w:tblStyleColBandSize w:val="1"/>
      <w:tblCellMar>
        <w:left w:w="57" w:type="dxa"/>
        <w:right w:w="57" w:type="dxa"/>
      </w:tblCellMar>
    </w:tblPr>
  </w:style>
  <w:style w:type="table" w:customStyle="1" w:styleId="9">
    <w:name w:val="9"/>
    <w:basedOn w:val="TableNormal"/>
    <w:rsid w:val="0020782B"/>
    <w:pPr>
      <w:spacing w:before="120"/>
    </w:pPr>
    <w:rPr>
      <w:rFonts w:ascii="Times New Roman" w:hAnsi="Times New Roman"/>
      <w:sz w:val="24"/>
      <w:szCs w:val="24"/>
      <w:lang w:eastAsia="en-GB"/>
    </w:rPr>
    <w:tblPr>
      <w:tblStyleRowBandSize w:val="1"/>
      <w:tblStyleColBandSize w:val="1"/>
      <w:tblCellMar>
        <w:left w:w="115" w:type="dxa"/>
        <w:right w:w="115" w:type="dxa"/>
      </w:tblCellMar>
    </w:tblPr>
  </w:style>
  <w:style w:type="table" w:customStyle="1" w:styleId="8">
    <w:name w:val="8"/>
    <w:basedOn w:val="TableNormal"/>
    <w:rsid w:val="0020782B"/>
    <w:pPr>
      <w:spacing w:before="120"/>
    </w:pPr>
    <w:rPr>
      <w:rFonts w:ascii="Times New Roman" w:hAnsi="Times New Roman"/>
      <w:sz w:val="24"/>
      <w:szCs w:val="24"/>
      <w:lang w:eastAsia="en-GB"/>
    </w:rPr>
    <w:tblPr>
      <w:tblStyleRowBandSize w:val="1"/>
      <w:tblStyleColBandSize w:val="1"/>
      <w:tblCellMar>
        <w:left w:w="57" w:type="dxa"/>
        <w:right w:w="57" w:type="dxa"/>
      </w:tblCellMar>
    </w:tblPr>
  </w:style>
  <w:style w:type="table" w:customStyle="1" w:styleId="7">
    <w:name w:val="7"/>
    <w:basedOn w:val="TableNormal"/>
    <w:rsid w:val="0020782B"/>
    <w:pPr>
      <w:spacing w:before="120"/>
    </w:pPr>
    <w:rPr>
      <w:rFonts w:ascii="Times New Roman" w:hAnsi="Times New Roman"/>
      <w:sz w:val="24"/>
      <w:szCs w:val="24"/>
      <w:lang w:eastAsia="en-GB"/>
    </w:rPr>
    <w:tblPr>
      <w:tblStyleRowBandSize w:val="1"/>
      <w:tblStyleColBandSize w:val="1"/>
      <w:tblCellMar>
        <w:left w:w="115" w:type="dxa"/>
        <w:right w:w="115" w:type="dxa"/>
      </w:tblCellMar>
    </w:tblPr>
  </w:style>
  <w:style w:type="table" w:customStyle="1" w:styleId="6">
    <w:name w:val="6"/>
    <w:basedOn w:val="TableNormal"/>
    <w:rsid w:val="0020782B"/>
    <w:pPr>
      <w:spacing w:before="120"/>
    </w:pPr>
    <w:rPr>
      <w:rFonts w:ascii="Times New Roman" w:hAnsi="Times New Roman"/>
      <w:sz w:val="24"/>
      <w:szCs w:val="24"/>
      <w:lang w:eastAsia="en-GB"/>
    </w:rPr>
    <w:tblPr>
      <w:tblStyleRowBandSize w:val="1"/>
      <w:tblStyleColBandSize w:val="1"/>
      <w:tblCellMar>
        <w:left w:w="115" w:type="dxa"/>
        <w:right w:w="115" w:type="dxa"/>
      </w:tblCellMar>
    </w:tblPr>
  </w:style>
  <w:style w:type="table" w:customStyle="1" w:styleId="5">
    <w:name w:val="5"/>
    <w:basedOn w:val="TableNormal"/>
    <w:rsid w:val="0020782B"/>
    <w:pPr>
      <w:spacing w:before="120"/>
    </w:pPr>
    <w:rPr>
      <w:rFonts w:ascii="Times New Roman" w:hAnsi="Times New Roman"/>
      <w:sz w:val="24"/>
      <w:szCs w:val="24"/>
      <w:lang w:eastAsia="en-GB"/>
    </w:rPr>
    <w:tblPr>
      <w:tblStyleRowBandSize w:val="1"/>
      <w:tblStyleColBandSize w:val="1"/>
      <w:tblCellMar>
        <w:left w:w="115" w:type="dxa"/>
        <w:right w:w="115" w:type="dxa"/>
      </w:tblCellMar>
    </w:tblPr>
  </w:style>
  <w:style w:type="table" w:customStyle="1" w:styleId="4">
    <w:name w:val="4"/>
    <w:basedOn w:val="TableNormal"/>
    <w:rsid w:val="0020782B"/>
    <w:pPr>
      <w:spacing w:before="120"/>
    </w:pPr>
    <w:rPr>
      <w:rFonts w:ascii="Times New Roman" w:hAnsi="Times New Roman"/>
      <w:sz w:val="24"/>
      <w:szCs w:val="24"/>
      <w:lang w:eastAsia="en-GB"/>
    </w:rPr>
    <w:tblPr>
      <w:tblStyleRowBandSize w:val="1"/>
      <w:tblStyleColBandSize w:val="1"/>
      <w:tblCellMar>
        <w:left w:w="115" w:type="dxa"/>
        <w:right w:w="115" w:type="dxa"/>
      </w:tblCellMar>
    </w:tblPr>
  </w:style>
  <w:style w:type="table" w:customStyle="1" w:styleId="3">
    <w:name w:val="3"/>
    <w:basedOn w:val="TableNormal"/>
    <w:rsid w:val="0020782B"/>
    <w:pPr>
      <w:spacing w:before="120"/>
    </w:pPr>
    <w:rPr>
      <w:rFonts w:ascii="Times New Roman" w:hAnsi="Times New Roman"/>
      <w:sz w:val="24"/>
      <w:szCs w:val="24"/>
      <w:lang w:eastAsia="en-GB"/>
    </w:rPr>
    <w:tblPr>
      <w:tblStyleRowBandSize w:val="1"/>
      <w:tblStyleColBandSize w:val="1"/>
      <w:tblCellMar>
        <w:top w:w="100" w:type="dxa"/>
        <w:left w:w="100" w:type="dxa"/>
        <w:bottom w:w="100" w:type="dxa"/>
        <w:right w:w="100" w:type="dxa"/>
      </w:tblCellMar>
    </w:tblPr>
  </w:style>
  <w:style w:type="table" w:customStyle="1" w:styleId="2">
    <w:name w:val="2"/>
    <w:basedOn w:val="TableNormal"/>
    <w:rsid w:val="0020782B"/>
    <w:pPr>
      <w:spacing w:before="120"/>
    </w:pPr>
    <w:rPr>
      <w:rFonts w:ascii="Times New Roman" w:hAnsi="Times New Roman"/>
      <w:sz w:val="24"/>
      <w:szCs w:val="24"/>
      <w:lang w:eastAsia="en-GB"/>
    </w:rPr>
    <w:tblPr>
      <w:tblStyleRowBandSize w:val="1"/>
      <w:tblStyleColBandSize w:val="1"/>
      <w:tblCellMar>
        <w:top w:w="100" w:type="dxa"/>
        <w:left w:w="100" w:type="dxa"/>
        <w:bottom w:w="100" w:type="dxa"/>
        <w:right w:w="100" w:type="dxa"/>
      </w:tblCellMar>
    </w:tblPr>
  </w:style>
  <w:style w:type="table" w:customStyle="1" w:styleId="1">
    <w:name w:val="1"/>
    <w:basedOn w:val="TableNormal"/>
    <w:rsid w:val="0020782B"/>
    <w:pPr>
      <w:spacing w:before="120"/>
    </w:pPr>
    <w:rPr>
      <w:rFonts w:ascii="Times New Roman" w:hAnsi="Times New Roman"/>
      <w:sz w:val="24"/>
      <w:szCs w:val="24"/>
      <w:lang w:eastAsia="en-GB"/>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64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9.png"/><Relationship Id="rId21" Type="http://schemas.openxmlformats.org/officeDocument/2006/relationships/image" Target="media/image4.png"/><Relationship Id="rId42" Type="http://schemas.openxmlformats.org/officeDocument/2006/relationships/hyperlink" Target="https://training.fema.gov/emiweb/downloads/is111_unit%204.pdf" TargetMode="External"/><Relationship Id="rId47" Type="http://schemas.openxmlformats.org/officeDocument/2006/relationships/hyperlink" Target="https://id4d.worldbank.org/guide/data-standards" TargetMode="External"/><Relationship Id="rId63" Type="http://schemas.openxmlformats.org/officeDocument/2006/relationships/hyperlink" Target="https://ororatech.com/wildfire-solution/" TargetMode="External"/><Relationship Id="rId68" Type="http://schemas.openxmlformats.org/officeDocument/2006/relationships/hyperlink" Target="https://www.techopedia.com/definition/33240/explainable-artificial-intelligence-xai" TargetMode="External"/><Relationship Id="rId84" Type="http://schemas.openxmlformats.org/officeDocument/2006/relationships/hyperlink" Target="https://www.itu.int/en/ITU-R/" TargetMode="External"/><Relationship Id="rId89" Type="http://schemas.openxmlformats.org/officeDocument/2006/relationships/hyperlink" Target="https://www.itu.int/dms_pub/itu-r/opb/gen/R-GEN-SGB-2020-PDF-E.pdf" TargetMode="External"/><Relationship Id="rId16" Type="http://schemas.openxmlformats.org/officeDocument/2006/relationships/header" Target="header3.xml"/><Relationship Id="rId11" Type="http://schemas.openxmlformats.org/officeDocument/2006/relationships/footer" Target="footer1.xml"/><Relationship Id="rId32" Type="http://schemas.openxmlformats.org/officeDocument/2006/relationships/hyperlink" Target="https://doi.org/10.3389/feart.2019.00135" TargetMode="External"/><Relationship Id="rId37" Type="http://schemas.openxmlformats.org/officeDocument/2006/relationships/hyperlink" Target="https://data.europa.eu/doi/10.2795/861482" TargetMode="External"/><Relationship Id="rId53" Type="http://schemas.openxmlformats.org/officeDocument/2006/relationships/hyperlink" Target="https://www.anandk.dev/2021/02/Machine-learning-on-ibmi.html" TargetMode="External"/><Relationship Id="rId58" Type="http://schemas.openxmlformats.org/officeDocument/2006/relationships/hyperlink" Target="https://oecd.ai/en/dashboards/ai-principles/P7" TargetMode="External"/><Relationship Id="rId74" Type="http://schemas.openxmlformats.org/officeDocument/2006/relationships/hyperlink" Target="https://nepal.un.org/en/158756-unosat-floodai-dashboards-nepal-creation-one-stop-shop-real-time-evidence-based-decision" TargetMode="External"/><Relationship Id="rId79" Type="http://schemas.openxmlformats.org/officeDocument/2006/relationships/hyperlink" Target="https://www.apt.int/APTASTAP" TargetMode="External"/><Relationship Id="rId5" Type="http://schemas.openxmlformats.org/officeDocument/2006/relationships/webSettings" Target="webSettings.xml"/><Relationship Id="rId90" Type="http://schemas.openxmlformats.org/officeDocument/2006/relationships/hyperlink" Target="https://www.itu.int/dms_pub/itu-r/opb/gen/R-GEN-SGB-2020-PDF-E.pdf" TargetMode="External"/><Relationship Id="rId95" Type="http://schemas.openxmlformats.org/officeDocument/2006/relationships/hyperlink" Target="https://www.itu.int/en/ITU-T/studygroups/2022-2024/13/Pages/default.aspx" TargetMode="External"/><Relationship Id="rId22" Type="http://schemas.openxmlformats.org/officeDocument/2006/relationships/image" Target="media/image5.png"/><Relationship Id="rId27" Type="http://schemas.openxmlformats.org/officeDocument/2006/relationships/image" Target="media/image10.png"/><Relationship Id="rId43" Type="http://schemas.openxmlformats.org/officeDocument/2006/relationships/hyperlink" Target="https://www.earthobservations.org/g_faq.html" TargetMode="External"/><Relationship Id="rId48" Type="http://schemas.openxmlformats.org/officeDocument/2006/relationships/hyperlink" Target="https://www.ifrc.org/our-work/disasters-climate-and-crises/what-disaster" TargetMode="External"/><Relationship Id="rId64" Type="http://schemas.openxmlformats.org/officeDocument/2006/relationships/hyperlink" Target="https://pnsn.org/outreach/hazard-maps-and-scenarios/hazard-maps" TargetMode="External"/><Relationship Id="rId69" Type="http://schemas.openxmlformats.org/officeDocument/2006/relationships/hyperlink" Target="https://www.techopedia.com/definition/9269/scalability" TargetMode="External"/><Relationship Id="rId80" Type="http://schemas.openxmlformats.org/officeDocument/2006/relationships/hyperlink" Target="https://www.etsi.org/standards" TargetMode="External"/><Relationship Id="rId85" Type="http://schemas.openxmlformats.org/officeDocument/2006/relationships/hyperlink" Target="https://www.itu.int/en/ITU-T/" TargetMode="External"/><Relationship Id="rId12" Type="http://schemas.openxmlformats.org/officeDocument/2006/relationships/hyperlink" Target="mailto:doehmen@unfccc.int" TargetMode="External"/><Relationship Id="rId17" Type="http://schemas.openxmlformats.org/officeDocument/2006/relationships/footer" Target="footer2.xml"/><Relationship Id="rId25" Type="http://schemas.openxmlformats.org/officeDocument/2006/relationships/image" Target="media/image8.png"/><Relationship Id="rId33" Type="http://schemas.openxmlformats.org/officeDocument/2006/relationships/hyperlink" Target="https://www.copernicus.eu/en/access-data/dias" TargetMode="External"/><Relationship Id="rId38" Type="http://schemas.openxmlformats.org/officeDocument/2006/relationships/hyperlink" Target="https://www.doi.org/doi_handbook/1_Introduction.html" TargetMode="External"/><Relationship Id="rId46" Type="http://schemas.openxmlformats.org/officeDocument/2006/relationships/hyperlink" Target="https://www.ibm.com/topics/data-governance" TargetMode="External"/><Relationship Id="rId59" Type="http://schemas.openxmlformats.org/officeDocument/2006/relationships/hyperlink" Target="https://www.ogc.org/about" TargetMode="External"/><Relationship Id="rId67" Type="http://schemas.openxmlformats.org/officeDocument/2006/relationships/hyperlink" Target="https://www.techopedia.com/definition/29059/data-ownership" TargetMode="External"/><Relationship Id="rId20" Type="http://schemas.openxmlformats.org/officeDocument/2006/relationships/image" Target="media/image3.jpg"/><Relationship Id="rId41" Type="http://schemas.openxmlformats.org/officeDocument/2006/relationships/hyperlink" Target="https://www.esri.com/en-us/what-is-gis/overview" TargetMode="External"/><Relationship Id="rId54" Type="http://schemas.openxmlformats.org/officeDocument/2006/relationships/hyperlink" Target="https://www.meteoswiss.admin.ch/weather/measurement-systems/land-based-stations/automatic-measurement-network/measurement-instruments.html" TargetMode="External"/><Relationship Id="rId62" Type="http://schemas.openxmlformats.org/officeDocument/2006/relationships/hyperlink" Target="https://portal.ogc.org/files/97072" TargetMode="External"/><Relationship Id="rId70" Type="http://schemas.openxmlformats.org/officeDocument/2006/relationships/hyperlink" Target="https://www.adaptation-undp.org/resources/manual/five-approaches-build-functional-early-warning-systems" TargetMode="External"/><Relationship Id="rId75" Type="http://schemas.openxmlformats.org/officeDocument/2006/relationships/hyperlink" Target="https://www.un-spider.org/risks-and-disasters" TargetMode="External"/><Relationship Id="rId83" Type="http://schemas.openxmlformats.org/officeDocument/2006/relationships/hyperlink" Target="https://www.iso.org/" TargetMode="External"/><Relationship Id="rId88" Type="http://schemas.openxmlformats.org/officeDocument/2006/relationships/hyperlink" Target="https://www.etsi.org/committee/emtel" TargetMode="External"/><Relationship Id="rId91" Type="http://schemas.openxmlformats.org/officeDocument/2006/relationships/hyperlink" Target="https://www.itu.int/dms_pub/itu-r/opb/gen/R-GEN-SGB-2020-PDF-E.pdf" TargetMode="External"/><Relationship Id="rId96" Type="http://schemas.openxmlformats.org/officeDocument/2006/relationships/hyperlink" Target="https://www.itu.int/en/ITU-T/studygroups/2022-2024/15/Pages/default.asp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TSBmail@itu.int" TargetMode="Externa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hyperlink" Target="https://reliefweb.int/report/world/dg-echo-guidance-note-disaster-preparedness-2021" TargetMode="External"/><Relationship Id="rId49" Type="http://schemas.openxmlformats.org/officeDocument/2006/relationships/hyperlink" Target="https://www.unisdr.org/files/1037_hyogoframeworkforactionenglish.pdf" TargetMode="External"/><Relationship Id="rId57" Type="http://schemas.openxmlformats.org/officeDocument/2006/relationships/hyperlink" Target="https://www.nrcan.gc.ca/maps-tools-and-publications/satellite-imagery-and-air-photos/tutorial-fundamentals-remote-sensing/satellites-and-sensors/thermal-imaging/9319" TargetMode="External"/><Relationship Id="rId10" Type="http://schemas.openxmlformats.org/officeDocument/2006/relationships/header" Target="header2.xml"/><Relationship Id="rId31" Type="http://schemas.openxmlformats.org/officeDocument/2006/relationships/hyperlink" Target="https://doi.org/10.1016/j.mlwa.2020.100006" TargetMode="External"/><Relationship Id="rId44" Type="http://schemas.openxmlformats.org/officeDocument/2006/relationships/hyperlink" Target="https://www.ibm.com/topics/what-is-a-digital-twin" TargetMode="External"/><Relationship Id="rId52" Type="http://schemas.openxmlformats.org/officeDocument/2006/relationships/hyperlink" Target="https://joint-research-centre.ec.europa.eu/scientific-activities-z/natural-and-man-made-hazards_en" TargetMode="External"/><Relationship Id="rId60" Type="http://schemas.openxmlformats.org/officeDocument/2006/relationships/hyperlink" Target="https://www.ogc.org/standards/gml" TargetMode="External"/><Relationship Id="rId65" Type="http://schemas.openxmlformats.org/officeDocument/2006/relationships/hyperlink" Target="https://www.sentinelone.com/blog/data-visibility/" TargetMode="External"/><Relationship Id="rId73" Type="http://schemas.openxmlformats.org/officeDocument/2006/relationships/hyperlink" Target="https://ggim.un.org/documents/E-C20-2018-7-Add_1-Global-fundamental-geospatial-data-themes.pdf" TargetMode="External"/><Relationship Id="rId78" Type="http://schemas.openxmlformats.org/officeDocument/2006/relationships/hyperlink" Target="https://www3.weforum.org/docs/WEF_A_Blueprint_for_Equity_and_Inclusion_in_Artificial_Intelligence_2022.pdf" TargetMode="External"/><Relationship Id="rId81" Type="http://schemas.openxmlformats.org/officeDocument/2006/relationships/hyperlink" Target="https://iec.ch/" TargetMode="External"/><Relationship Id="rId86" Type="http://schemas.openxmlformats.org/officeDocument/2006/relationships/hyperlink" Target="https://www.ogc.org/" TargetMode="External"/><Relationship Id="rId94" Type="http://schemas.openxmlformats.org/officeDocument/2006/relationships/hyperlink" Target="https://www.itu.int/en/ITU-T/studygroups/2022-2024/11/Pages/default.aspx" TargetMode="External"/><Relationship Id="rId99" Type="http://schemas.openxmlformats.org/officeDocument/2006/relationships/header" Target="header4.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mailto:rodwyer-stock@unfccc.int" TargetMode="External"/><Relationship Id="rId18" Type="http://schemas.openxmlformats.org/officeDocument/2006/relationships/footer" Target="footer3.xml"/><Relationship Id="rId39" Type="http://schemas.openxmlformats.org/officeDocument/2006/relationships/hyperlink" Target="https://www.europarl.europa.eu/RegData/etudes/STUD/2020/654179/EPRS_STU(2020)654179_EN.pdf" TargetMode="External"/><Relationship Id="rId34" Type="http://schemas.openxmlformats.org/officeDocument/2006/relationships/hyperlink" Target="https://data.europa.eu/elearning/en/module1/" TargetMode="External"/><Relationship Id="rId50" Type="http://schemas.openxmlformats.org/officeDocument/2006/relationships/hyperlink" Target="https://www.iso.org/standard/60544.html" TargetMode="External"/><Relationship Id="rId55" Type="http://schemas.openxmlformats.org/officeDocument/2006/relationships/hyperlink" Target="https://www.nature.com/articles/s41467-021-22348-0" TargetMode="External"/><Relationship Id="rId76" Type="http://schemas.openxmlformats.org/officeDocument/2006/relationships/hyperlink" Target="https://www.usgs.gov/faqs/seismometers-seismographs-seismograms-whats-difference-how-do-they-work" TargetMode="External"/><Relationship Id="rId97" Type="http://schemas.openxmlformats.org/officeDocument/2006/relationships/hyperlink" Target="https://www.itu.int/en/ITU-T/studygroups/2022-2024/20/Pages/default.aspx" TargetMode="External"/><Relationship Id="rId7" Type="http://schemas.openxmlformats.org/officeDocument/2006/relationships/endnotes" Target="endnotes.xml"/><Relationship Id="rId71" Type="http://schemas.openxmlformats.org/officeDocument/2006/relationships/hyperlink" Target="https://www.undrr.org/terminology/response" TargetMode="External"/><Relationship Id="rId92" Type="http://schemas.openxmlformats.org/officeDocument/2006/relationships/hyperlink" Target="https://www.itu.int/en/ITU-T/studygroups/2022-2024/02/Pages/default.aspx" TargetMode="External"/><Relationship Id="rId2" Type="http://schemas.openxmlformats.org/officeDocument/2006/relationships/numbering" Target="numbering.xml"/><Relationship Id="rId29" Type="http://schemas.openxmlformats.org/officeDocument/2006/relationships/image" Target="media/image12.png"/><Relationship Id="rId24" Type="http://schemas.openxmlformats.org/officeDocument/2006/relationships/image" Target="media/image7.png"/><Relationship Id="rId40" Type="http://schemas.openxmlformats.org/officeDocument/2006/relationships/hyperlink" Target="https://www.europarl.europa.eu/RegData/etudes/STUD/2020/641530/EPRS_STU(2020)641530_EN.pdf" TargetMode="External"/><Relationship Id="rId45" Type="http://schemas.openxmlformats.org/officeDocument/2006/relationships/hyperlink" Target="https://www.ibm.com/cloud/what-is-edge-computing" TargetMode="External"/><Relationship Id="rId66" Type="http://schemas.openxmlformats.org/officeDocument/2006/relationships/hyperlink" Target="https://www.snia.org/education/what-is-data-privacy" TargetMode="External"/><Relationship Id="rId87" Type="http://schemas.openxmlformats.org/officeDocument/2006/relationships/hyperlink" Target="https://www.apt.int/ASTAP-DRMRS" TargetMode="External"/><Relationship Id="rId61" Type="http://schemas.openxmlformats.org/officeDocument/2006/relationships/hyperlink" Target="https://www.ogc.org/standards/kml" TargetMode="External"/><Relationship Id="rId82" Type="http://schemas.openxmlformats.org/officeDocument/2006/relationships/hyperlink" Target="https://www.ieee.org/" TargetMode="External"/><Relationship Id="rId19" Type="http://schemas.openxmlformats.org/officeDocument/2006/relationships/image" Target="media/image2.jpg"/><Relationship Id="rId14" Type="http://schemas.openxmlformats.org/officeDocument/2006/relationships/hyperlink" Target="https://eur03.safelinks.protection.outlook.com/?url=https%3A%2F%2Fcreativecommons.org%2Flicenses%2Fby-nc-sa%2F3.0%2Figo&amp;data=05%7C02%7Canibal.cabrera%40itu.int%7C0fe5406e5055456a0b5a08dc7bce06f3%7C23e464d704e64b87913c24bd89219fd3%7C0%7C0%7C638521372007831165%7CUnknown%7CTWFpbGZsb3d8eyJWIjoiMC4wLjAwMDAiLCJQIjoiV2luMzIiLCJBTiI6Ik1haWwiLCJXVCI6Mn0%3D%7C0%7C%7C%7C&amp;sdata=V4LM72V7Z%2F80irqs1MTJY8U1C%2FFVgqCq26On8J9MZuo%3D&amp;reserved=0" TargetMode="External"/><Relationship Id="rId30" Type="http://schemas.openxmlformats.org/officeDocument/2006/relationships/hyperlink" Target="https://www.abdn.ac.uk/stories/volcanic-eruptions/index.html" TargetMode="External"/><Relationship Id="rId35" Type="http://schemas.openxmlformats.org/officeDocument/2006/relationships/hyperlink" Target="https://digital-strategy.ec.europa.eu/en/policies/destination-earth" TargetMode="External"/><Relationship Id="rId56" Type="http://schemas.openxmlformats.org/officeDocument/2006/relationships/hyperlink" Target="https://www.nrcan.gc.ca/maps-tools-publications/satellite-imagery-air-photos/remote-sensing-tutorials/introduction/passive-vs-active-sensing/14639" TargetMode="External"/><Relationship Id="rId77" Type="http://schemas.openxmlformats.org/officeDocument/2006/relationships/hyperlink" Target="https://www.cse.unr.edu/~fredh/papers/journal/17-sdaumv/paper.pdf" TargetMode="External"/><Relationship Id="rId100"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www.iso.org/standard/63598.html" TargetMode="External"/><Relationship Id="rId72" Type="http://schemas.openxmlformats.org/officeDocument/2006/relationships/hyperlink" Target="https://unesdoc.unesco.org/ark:/48223/pf0000381137" TargetMode="External"/><Relationship Id="rId93" Type="http://schemas.openxmlformats.org/officeDocument/2006/relationships/hyperlink" Target="https://www.itu.int/en/ITU-T/studygroups/2022-2024/05/Pages/default.aspx" TargetMode="External"/><Relationship Id="rId98" Type="http://schemas.openxmlformats.org/officeDocument/2006/relationships/hyperlink" Target="https://www.itu.int/en/ITU-T/focusgroups/ssc/Pages/default.aspx"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chetc\AppData\Roaming\Microsoft\Templates\T-REC-FINAL-COVER-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A4E3D-3854-451A-9BED-0F7292603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T-REC-FINAL-COVER-E.dotm</Template>
  <TotalTime>36</TotalTime>
  <Pages>50</Pages>
  <Words>17027</Words>
  <Characters>97060</Characters>
  <Application>Microsoft Office Word</Application>
  <DocSecurity>0</DocSecurity>
  <Lines>808</Lines>
  <Paragraphs>227</Paragraphs>
  <ScaleCrop>false</ScaleCrop>
  <HeadingPairs>
    <vt:vector size="2" baseType="variant">
      <vt:variant>
        <vt:lpstr>Title</vt:lpstr>
      </vt:variant>
      <vt:variant>
        <vt:i4>1</vt:i4>
      </vt:variant>
    </vt:vector>
  </HeadingPairs>
  <TitlesOfParts>
    <vt:vector size="1" baseType="lpstr">
      <vt:lpstr>FG-AI4NDM Roadmap (12/2022) Technical Report on Standardization Roadmap for Natural Disaster Management</vt:lpstr>
    </vt:vector>
  </TitlesOfParts>
  <Company>ITU</Company>
  <LinksUpToDate>false</LinksUpToDate>
  <CharactersWithSpaces>113860</CharactersWithSpaces>
  <SharedDoc>false</SharedDoc>
  <HLinks>
    <vt:vector size="6" baseType="variant">
      <vt:variant>
        <vt:i4>5832781</vt:i4>
      </vt:variant>
      <vt:variant>
        <vt:i4>0</vt:i4>
      </vt:variant>
      <vt:variant>
        <vt:i4>0</vt:i4>
      </vt:variant>
      <vt:variant>
        <vt:i4>5</vt:i4>
      </vt:variant>
      <vt:variant>
        <vt:lpwstr>http://www.itu.int/ITU-T/ipr/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FG-AI4NDM Roadmap (12/2022) Technical Report on Standardization Roadmap for Natural Disaster Management</dc:title>
  <dc:creator>Gachet, Christelle</dc:creator>
  <cp:lastModifiedBy>TSB-AC</cp:lastModifiedBy>
  <cp:revision>21</cp:revision>
  <cp:lastPrinted>2023-02-13T14:40:00Z</cp:lastPrinted>
  <dcterms:created xsi:type="dcterms:W3CDTF">2023-02-13T13:46:00Z</dcterms:created>
  <dcterms:modified xsi:type="dcterms:W3CDTF">2024-05-27T07:43:00Z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ies>
</file>