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521E65" w:rsidRPr="00521E65" w:rsidTr="00235D88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235D88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235D8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235D8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521E65" w:rsidP="00235D88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B951262" wp14:editId="20EF3DED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Default="00521E65" w:rsidP="00521E65">
      <w:pPr>
        <w:rPr>
          <w:rtl/>
          <w:lang w:bidi="ar-EG"/>
        </w:rPr>
      </w:pPr>
    </w:p>
    <w:p w:rsidR="00D86913" w:rsidRPr="00521E65" w:rsidRDefault="00D86913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rtl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AD00B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AD00BA">
              <w:t>23</w:t>
            </w:r>
            <w:r w:rsidR="00AD00BA">
              <w:rPr>
                <w:rFonts w:hint="cs"/>
                <w:rtl/>
                <w:lang w:bidi="ar-SY"/>
              </w:rPr>
              <w:t xml:space="preserve"> سبتمبر </w:t>
            </w:r>
            <w:r w:rsidR="00AD00BA">
              <w:rPr>
                <w:lang w:bidi="ar-SY"/>
              </w:rPr>
              <w:t>2015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542CB3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542CB3">
              <w:rPr>
                <w:b/>
                <w:lang w:bidi="ar-SY"/>
              </w:rPr>
              <w:t> </w:t>
            </w:r>
            <w:r w:rsidR="00AD00BA">
              <w:rPr>
                <w:b/>
                <w:lang w:bidi="ar-SY"/>
              </w:rPr>
              <w:t>175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542CB3">
              <w:rPr>
                <w:bCs/>
                <w:lang w:bidi="ar-SY"/>
              </w:rPr>
              <w:t> </w:t>
            </w:r>
            <w:r w:rsidR="00AD00BA">
              <w:rPr>
                <w:bCs/>
                <w:lang w:bidi="ar-SY"/>
              </w:rPr>
              <w:t>17</w:t>
            </w:r>
            <w:r w:rsidRPr="00521E65">
              <w:rPr>
                <w:bCs/>
                <w:lang w:bidi="ar-SY"/>
              </w:rPr>
              <w:t>/</w:t>
            </w:r>
            <w:r w:rsidR="00AD00BA">
              <w:rPr>
                <w:bCs/>
                <w:lang w:bidi="ar-SY"/>
              </w:rPr>
              <w:t>MEU</w:t>
            </w:r>
          </w:p>
        </w:tc>
        <w:tc>
          <w:tcPr>
            <w:tcW w:w="2470" w:type="pct"/>
            <w:vMerge w:val="restar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AD00BA">
            <w:pPr>
              <w:spacing w:before="60" w:after="60" w:line="300" w:lineRule="exact"/>
              <w:jc w:val="left"/>
              <w:rPr>
                <w:b/>
                <w:rtl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AD00BA" w:rsidRPr="00AD00BA">
              <w:rPr>
                <w:lang w:val="en-GB" w:bidi="ar-SY"/>
              </w:rPr>
              <w:t>5866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A41343" w:rsidRDefault="00235D88" w:rsidP="00AD00BA">
            <w:pPr>
              <w:spacing w:before="60" w:after="60" w:line="300" w:lineRule="exact"/>
              <w:jc w:val="left"/>
              <w:rPr>
                <w:color w:val="0000FF"/>
                <w:lang w:bidi="ar-SY"/>
              </w:rPr>
            </w:pPr>
            <w:hyperlink r:id="rId10" w:history="1">
              <w:r w:rsidR="00AD00BA" w:rsidRPr="00A41343">
                <w:rPr>
                  <w:rStyle w:val="Hyperlink"/>
                  <w:color w:val="0000FF"/>
                  <w:lang w:val="en-GB"/>
                </w:rPr>
                <w:t>tsbsg17@itu.int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A73F97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</w:t>
            </w:r>
            <w:r w:rsidR="00A73F97">
              <w:rPr>
                <w:rFonts w:hint="cs"/>
                <w:rtl/>
              </w:rPr>
              <w:t xml:space="preserve"> </w:t>
            </w:r>
            <w:r w:rsidR="00A73F97" w:rsidRPr="00521E65">
              <w:rPr>
                <w:rFonts w:hint="cs"/>
                <w:rtl/>
              </w:rPr>
              <w:t>في الات</w:t>
            </w:r>
            <w:r w:rsidR="00A73F97" w:rsidRPr="00521E65">
              <w:rPr>
                <w:rFonts w:hint="cs"/>
                <w:rtl/>
                <w:lang w:bidi="ar-EG"/>
              </w:rPr>
              <w:t>‍</w:t>
            </w:r>
            <w:r w:rsidR="00A73F97" w:rsidRPr="00521E65">
              <w:rPr>
                <w:rFonts w:hint="cs"/>
                <w:rtl/>
              </w:rPr>
              <w:t>حاد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521E65" w:rsidRPr="00521E65" w:rsidRDefault="00521E65" w:rsidP="00AD00B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AD00BA">
              <w:rPr>
                <w:lang w:bidi="ar-SY"/>
              </w:rPr>
              <w:t>17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DB55E6" w:rsidRDefault="00AD00BA" w:rsidP="00AD00BA">
            <w:pPr>
              <w:spacing w:before="60" w:after="60" w:line="340" w:lineRule="exact"/>
              <w:ind w:left="57" w:right="57"/>
              <w:jc w:val="left"/>
              <w:rPr>
                <w:b/>
                <w:bCs/>
                <w:spacing w:val="4"/>
                <w:rtl/>
                <w:lang w:bidi="ar-EG"/>
              </w:rPr>
            </w:pPr>
            <w:r w:rsidRPr="00DB55E6">
              <w:rPr>
                <w:rFonts w:hint="cs"/>
                <w:b/>
                <w:bCs/>
                <w:spacing w:val="4"/>
                <w:rtl/>
              </w:rPr>
              <w:t xml:space="preserve">اقتراح بإلغاء </w:t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التوصيات </w:t>
            </w:r>
            <w:r w:rsidRPr="00DB55E6">
              <w:rPr>
                <w:b/>
                <w:bCs/>
                <w:spacing w:val="4"/>
                <w:lang w:bidi="ar-EG"/>
              </w:rPr>
              <w:t>ITU-T Z.400</w:t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و</w:t>
            </w:r>
            <w:r w:rsidRPr="00DB55E6">
              <w:rPr>
                <w:b/>
                <w:bCs/>
                <w:spacing w:val="4"/>
                <w:lang w:bidi="ar-EG"/>
              </w:rPr>
              <w:t>ITU-T Z.600</w:t>
            </w:r>
            <w:r w:rsidRPr="00DB55E6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>و</w:t>
            </w:r>
            <w:r w:rsidRPr="00DB55E6">
              <w:rPr>
                <w:b/>
                <w:bCs/>
                <w:spacing w:val="4"/>
                <w:lang w:bidi="ar-EG"/>
              </w:rPr>
              <w:t>ITU-T Z.601</w:t>
            </w:r>
            <w:r w:rsidRPr="00DB55E6">
              <w:rPr>
                <w:b/>
                <w:bCs/>
                <w:spacing w:val="4"/>
                <w:rtl/>
                <w:lang w:bidi="ar-EG"/>
              </w:rPr>
              <w:br/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وافقت عليه لجنة الدراسات </w:t>
            </w:r>
            <w:r w:rsidRPr="00DB55E6">
              <w:rPr>
                <w:b/>
                <w:bCs/>
                <w:spacing w:val="4"/>
                <w:lang w:bidi="ar-EG"/>
              </w:rPr>
              <w:t>17</w:t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في اجتماعها الذي عُقد في </w:t>
            </w:r>
            <w:r w:rsidRPr="00DB55E6">
              <w:rPr>
                <w:b/>
                <w:bCs/>
                <w:spacing w:val="4"/>
                <w:lang w:bidi="ar-EG"/>
              </w:rPr>
              <w:t>17-8</w:t>
            </w:r>
            <w:r w:rsidRPr="00DB55E6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سبتمبر </w:t>
            </w:r>
            <w:r w:rsidRPr="00DB55E6">
              <w:rPr>
                <w:b/>
                <w:bCs/>
                <w:spacing w:val="4"/>
                <w:lang w:bidi="ar-EG"/>
              </w:rPr>
              <w:t>2015</w:t>
            </w:r>
          </w:p>
        </w:tc>
      </w:tr>
    </w:tbl>
    <w:p w:rsidR="00521E65" w:rsidRPr="00521E65" w:rsidRDefault="00521E65" w:rsidP="00D86913">
      <w:pPr>
        <w:pStyle w:val="Normalaftertitle"/>
        <w:spacing w:before="600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521E65">
      <w:pPr>
        <w:rPr>
          <w:rtl/>
          <w:lang w:bidi="ar-EG"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AD00BA" w:rsidRPr="00D86913" w:rsidRDefault="00AD00BA" w:rsidP="00D86913">
      <w:pPr>
        <w:rPr>
          <w:rtl/>
          <w:lang w:bidi="ar-EG"/>
        </w:rPr>
      </w:pPr>
      <w:r w:rsidRPr="00D86913">
        <w:rPr>
          <w:lang w:bidi="ar-EG"/>
        </w:rPr>
        <w:t>1</w:t>
      </w:r>
      <w:r w:rsidRPr="00D86913">
        <w:rPr>
          <w:lang w:bidi="ar-EG"/>
        </w:rPr>
        <w:tab/>
      </w:r>
      <w:r w:rsidRPr="00D86913">
        <w:rPr>
          <w:rFonts w:hint="cs"/>
          <w:rtl/>
        </w:rPr>
        <w:t>بناء</w:t>
      </w:r>
      <w:r w:rsidR="00D3287C" w:rsidRPr="00D86913">
        <w:rPr>
          <w:rFonts w:hint="cs"/>
          <w:rtl/>
        </w:rPr>
        <w:t>ً</w:t>
      </w:r>
      <w:r w:rsidRPr="00D86913">
        <w:rPr>
          <w:rFonts w:hint="cs"/>
          <w:rtl/>
        </w:rPr>
        <w:t xml:space="preserve"> على طلب رئيس ل</w:t>
      </w:r>
      <w:r w:rsidR="00D86913" w:rsidRPr="00D86913">
        <w:rPr>
          <w:rFonts w:hint="cs"/>
          <w:rtl/>
        </w:rPr>
        <w:t>‍</w:t>
      </w:r>
      <w:r w:rsidRPr="00D86913">
        <w:rPr>
          <w:rFonts w:hint="cs"/>
          <w:rtl/>
        </w:rPr>
        <w:t xml:space="preserve">جنة الدراسات </w:t>
      </w:r>
      <w:r w:rsidRPr="00D86913">
        <w:rPr>
          <w:lang w:bidi="ar-EG"/>
        </w:rPr>
        <w:t>17</w:t>
      </w:r>
      <w:r w:rsidRPr="00D86913">
        <w:rPr>
          <w:rFonts w:hint="cs"/>
          <w:rtl/>
          <w:lang w:bidi="ar-EG"/>
        </w:rPr>
        <w:t>، (</w:t>
      </w:r>
      <w:r w:rsidRPr="00D86913">
        <w:rPr>
          <w:rFonts w:hint="eastAsia"/>
          <w:sz w:val="8"/>
          <w:szCs w:val="16"/>
          <w:rtl/>
          <w:lang w:bidi="ar-EG"/>
        </w:rPr>
        <w:t> </w:t>
      </w:r>
      <w:r w:rsidRPr="00D86913">
        <w:rPr>
          <w:rFonts w:hint="cs"/>
          <w:i/>
          <w:iCs/>
          <w:rtl/>
          <w:lang w:bidi="ar-EG"/>
        </w:rPr>
        <w:t>الأمن</w:t>
      </w:r>
      <w:r w:rsidRPr="00D86913">
        <w:rPr>
          <w:rFonts w:hint="cs"/>
          <w:rtl/>
          <w:lang w:bidi="ar-EG"/>
        </w:rPr>
        <w:t>)، أتشرف بأن أعلمكم أن ل</w:t>
      </w:r>
      <w:r w:rsidR="00D86913" w:rsidRPr="00D86913">
        <w:rPr>
          <w:rFonts w:hint="cs"/>
          <w:rtl/>
          <w:lang w:bidi="ar-EG"/>
        </w:rPr>
        <w:t>‍</w:t>
      </w:r>
      <w:r w:rsidRPr="00D86913">
        <w:rPr>
          <w:rFonts w:hint="cs"/>
          <w:rtl/>
          <w:lang w:bidi="ar-EG"/>
        </w:rPr>
        <w:t>جنة الدراسات هذه اتفقت في</w:t>
      </w:r>
      <w:r w:rsidR="00D86913" w:rsidRPr="00D86913">
        <w:rPr>
          <w:rFonts w:hint="eastAsia"/>
          <w:rtl/>
          <w:lang w:bidi="ar-EG"/>
        </w:rPr>
        <w:t> </w:t>
      </w:r>
      <w:r w:rsidRPr="00D86913">
        <w:rPr>
          <w:rFonts w:hint="cs"/>
          <w:rtl/>
          <w:lang w:bidi="ar-EG"/>
        </w:rPr>
        <w:t>اجتماعها الذي ع</w:t>
      </w:r>
      <w:r w:rsidR="00D86913" w:rsidRPr="00D86913">
        <w:rPr>
          <w:rFonts w:hint="cs"/>
          <w:rtl/>
          <w:lang w:bidi="ar-EG"/>
        </w:rPr>
        <w:t>ُ</w:t>
      </w:r>
      <w:r w:rsidRPr="00D86913">
        <w:rPr>
          <w:rFonts w:hint="cs"/>
          <w:rtl/>
          <w:lang w:bidi="ar-EG"/>
        </w:rPr>
        <w:t xml:space="preserve">قد في الفترة من </w:t>
      </w:r>
      <w:r w:rsidRPr="00D86913">
        <w:rPr>
          <w:lang w:bidi="ar-EG"/>
        </w:rPr>
        <w:t>8</w:t>
      </w:r>
      <w:r w:rsidRPr="00D86913">
        <w:rPr>
          <w:rFonts w:hint="cs"/>
          <w:rtl/>
          <w:lang w:bidi="ar-EG"/>
        </w:rPr>
        <w:t xml:space="preserve"> إلى </w:t>
      </w:r>
      <w:r w:rsidRPr="00D86913">
        <w:rPr>
          <w:lang w:bidi="ar-EG"/>
        </w:rPr>
        <w:t>17</w:t>
      </w:r>
      <w:r w:rsidRPr="00D86913">
        <w:rPr>
          <w:rFonts w:hint="cs"/>
          <w:rtl/>
          <w:lang w:bidi="ar-EG"/>
        </w:rPr>
        <w:t xml:space="preserve"> سبتمبر </w:t>
      </w:r>
      <w:r w:rsidRPr="00D86913">
        <w:rPr>
          <w:lang w:bidi="ar-EG"/>
        </w:rPr>
        <w:t>2015</w:t>
      </w:r>
      <w:r w:rsidRPr="00D86913">
        <w:rPr>
          <w:rFonts w:hint="cs"/>
          <w:rtl/>
          <w:lang w:bidi="ar-EG"/>
        </w:rPr>
        <w:t xml:space="preserve"> على </w:t>
      </w:r>
      <w:r w:rsidR="00D3287C" w:rsidRPr="00D86913">
        <w:rPr>
          <w:rFonts w:hint="cs"/>
          <w:rtl/>
          <w:lang w:bidi="ar-EG"/>
        </w:rPr>
        <w:t>إلغاء</w:t>
      </w:r>
      <w:r w:rsidRPr="00D86913">
        <w:rPr>
          <w:rFonts w:hint="cs"/>
          <w:rtl/>
          <w:lang w:bidi="ar-EG"/>
        </w:rPr>
        <w:t xml:space="preserve"> التوصيات </w:t>
      </w:r>
      <w:r w:rsidRPr="00D86913">
        <w:rPr>
          <w:lang w:bidi="ar-EG"/>
        </w:rPr>
        <w:t>ITU</w:t>
      </w:r>
      <w:r w:rsidR="00D86913" w:rsidRPr="00D86913">
        <w:rPr>
          <w:lang w:bidi="ar-EG"/>
        </w:rPr>
        <w:noBreakHyphen/>
      </w:r>
      <w:r w:rsidRPr="00D86913">
        <w:rPr>
          <w:lang w:bidi="ar-EG"/>
        </w:rPr>
        <w:t>T Z.400</w:t>
      </w:r>
      <w:r w:rsidRPr="00D86913">
        <w:rPr>
          <w:rFonts w:hint="cs"/>
          <w:rtl/>
          <w:lang w:bidi="ar-EG"/>
        </w:rPr>
        <w:t xml:space="preserve"> و</w:t>
      </w:r>
      <w:r w:rsidRPr="00D86913">
        <w:rPr>
          <w:lang w:bidi="ar-EG"/>
        </w:rPr>
        <w:t>ITU</w:t>
      </w:r>
      <w:r w:rsidR="00D86913" w:rsidRPr="00D86913">
        <w:rPr>
          <w:lang w:bidi="ar-EG"/>
        </w:rPr>
        <w:noBreakHyphen/>
      </w:r>
      <w:r w:rsidRPr="00D86913">
        <w:rPr>
          <w:lang w:bidi="ar-EG"/>
        </w:rPr>
        <w:t>T Z.600</w:t>
      </w:r>
      <w:r w:rsidRPr="00D86913">
        <w:rPr>
          <w:rFonts w:hint="cs"/>
          <w:rtl/>
        </w:rPr>
        <w:t xml:space="preserve"> </w:t>
      </w:r>
      <w:r w:rsidRPr="00D86913">
        <w:rPr>
          <w:rFonts w:hint="cs"/>
          <w:rtl/>
          <w:lang w:bidi="ar-EG"/>
        </w:rPr>
        <w:t>و</w:t>
      </w:r>
      <w:r w:rsidRPr="00D86913">
        <w:rPr>
          <w:lang w:bidi="ar-EG"/>
        </w:rPr>
        <w:t>ITU</w:t>
      </w:r>
      <w:r w:rsidR="00D86913" w:rsidRPr="00D86913">
        <w:rPr>
          <w:lang w:bidi="ar-EG"/>
        </w:rPr>
        <w:noBreakHyphen/>
      </w:r>
      <w:r w:rsidRPr="00D86913">
        <w:rPr>
          <w:lang w:bidi="ar-EG"/>
        </w:rPr>
        <w:t>T Z.601</w:t>
      </w:r>
      <w:r w:rsidR="00D3287C" w:rsidRPr="00D86913">
        <w:rPr>
          <w:rFonts w:hint="cs"/>
          <w:rtl/>
          <w:lang w:bidi="ar-EG"/>
        </w:rPr>
        <w:t xml:space="preserve"> </w:t>
      </w:r>
      <w:r w:rsidRPr="00D86913">
        <w:rPr>
          <w:rFonts w:hint="cs"/>
          <w:rtl/>
          <w:lang w:bidi="ar-EG"/>
        </w:rPr>
        <w:t>عملاً بأحكام الفقرة</w:t>
      </w:r>
      <w:r w:rsidR="000E0D31" w:rsidRPr="00D86913">
        <w:rPr>
          <w:rFonts w:hint="eastAsia"/>
          <w:rtl/>
          <w:lang w:bidi="ar-EG"/>
        </w:rPr>
        <w:t> </w:t>
      </w:r>
      <w:r w:rsidRPr="00D86913">
        <w:rPr>
          <w:lang w:bidi="ar-EG"/>
        </w:rPr>
        <w:t>2.8.9</w:t>
      </w:r>
      <w:r w:rsidRPr="00D86913">
        <w:rPr>
          <w:rFonts w:hint="cs"/>
          <w:rtl/>
          <w:lang w:bidi="ar-EG"/>
        </w:rPr>
        <w:t xml:space="preserve"> من القسم</w:t>
      </w:r>
      <w:r w:rsidR="000E0D31" w:rsidRPr="00D86913">
        <w:rPr>
          <w:rFonts w:hint="eastAsia"/>
          <w:rtl/>
          <w:lang w:bidi="ar-EG"/>
        </w:rPr>
        <w:t> </w:t>
      </w:r>
      <w:r w:rsidRPr="00D86913">
        <w:rPr>
          <w:lang w:bidi="ar-EG"/>
        </w:rPr>
        <w:t>9</w:t>
      </w:r>
      <w:r w:rsidRPr="00D86913">
        <w:rPr>
          <w:rFonts w:hint="cs"/>
          <w:rtl/>
          <w:lang w:bidi="ar-EG"/>
        </w:rPr>
        <w:t xml:space="preserve"> من القرار</w:t>
      </w:r>
      <w:r w:rsidR="000E0D31" w:rsidRPr="00D86913">
        <w:rPr>
          <w:rFonts w:hint="eastAsia"/>
          <w:rtl/>
          <w:lang w:bidi="ar-EG"/>
        </w:rPr>
        <w:t> </w:t>
      </w:r>
      <w:r w:rsidRPr="00D86913">
        <w:rPr>
          <w:lang w:bidi="ar-EG"/>
        </w:rPr>
        <w:t>1</w:t>
      </w:r>
      <w:r w:rsidRPr="00D86913">
        <w:rPr>
          <w:rFonts w:hint="cs"/>
          <w:rtl/>
          <w:lang w:bidi="ar-EG"/>
        </w:rPr>
        <w:t xml:space="preserve"> الصادر عن ال</w:t>
      </w:r>
      <w:r w:rsidR="00D86913">
        <w:rPr>
          <w:rFonts w:hint="cs"/>
          <w:rtl/>
          <w:lang w:bidi="ar-EG"/>
        </w:rPr>
        <w:t>‍</w:t>
      </w:r>
      <w:r w:rsidRPr="00D86913">
        <w:rPr>
          <w:rFonts w:hint="cs"/>
          <w:rtl/>
          <w:lang w:bidi="ar-EG"/>
        </w:rPr>
        <w:t>جمعية العال</w:t>
      </w:r>
      <w:r w:rsidR="00D86913">
        <w:rPr>
          <w:rFonts w:hint="cs"/>
          <w:rtl/>
          <w:lang w:bidi="ar-EG"/>
        </w:rPr>
        <w:t>‍</w:t>
      </w:r>
      <w:r w:rsidRPr="00D86913">
        <w:rPr>
          <w:rFonts w:hint="cs"/>
          <w:rtl/>
          <w:lang w:bidi="ar-EG"/>
        </w:rPr>
        <w:t xml:space="preserve">مية لتقييس الاتصالات (دبي، </w:t>
      </w:r>
      <w:r w:rsidRPr="00D86913">
        <w:rPr>
          <w:lang w:bidi="ar-EG"/>
        </w:rPr>
        <w:t>2012</w:t>
      </w:r>
      <w:r w:rsidRPr="00D86913">
        <w:rPr>
          <w:rFonts w:hint="cs"/>
          <w:rtl/>
          <w:lang w:bidi="ar-EG"/>
        </w:rPr>
        <w:t xml:space="preserve">). وقد شاركت </w:t>
      </w:r>
      <w:r w:rsidRPr="00D86913">
        <w:rPr>
          <w:rFonts w:hint="cs"/>
          <w:rtl/>
        </w:rPr>
        <w:t>الدول الأعضاء</w:t>
      </w:r>
      <w:r w:rsidRPr="00D86913">
        <w:rPr>
          <w:rFonts w:hint="cs"/>
          <w:rtl/>
          <w:lang w:bidi="ar-EG"/>
        </w:rPr>
        <w:t xml:space="preserve"> في</w:t>
      </w:r>
      <w:r w:rsidR="00D86913" w:rsidRPr="00D86913">
        <w:rPr>
          <w:rFonts w:hint="eastAsia"/>
          <w:rtl/>
          <w:lang w:bidi="ar-EG"/>
        </w:rPr>
        <w:t> </w:t>
      </w:r>
      <w:r w:rsidRPr="00D86913">
        <w:rPr>
          <w:rFonts w:hint="cs"/>
          <w:rtl/>
          <w:lang w:bidi="ar-EG"/>
        </w:rPr>
        <w:t>الاجتماع ول</w:t>
      </w:r>
      <w:r w:rsidR="00D86913">
        <w:rPr>
          <w:rFonts w:hint="cs"/>
          <w:rtl/>
          <w:lang w:bidi="ar-EG"/>
        </w:rPr>
        <w:t>‍</w:t>
      </w:r>
      <w:r w:rsidRPr="00D86913">
        <w:rPr>
          <w:rFonts w:hint="cs"/>
          <w:rtl/>
          <w:lang w:bidi="ar-EG"/>
        </w:rPr>
        <w:t>م يلق هذا الاتفاق أي اعتراض.</w:t>
      </w:r>
    </w:p>
    <w:p w:rsidR="00AD00BA" w:rsidRPr="00AD00BA" w:rsidRDefault="00AD00BA" w:rsidP="00D3287C">
      <w:pPr>
        <w:rPr>
          <w:rtl/>
          <w:lang w:bidi="ar-EG"/>
        </w:rPr>
      </w:pPr>
      <w:r w:rsidRPr="00AD00BA">
        <w:rPr>
          <w:lang w:bidi="ar-EG"/>
        </w:rPr>
        <w:t>2</w:t>
      </w:r>
      <w:r w:rsidRPr="00AD00BA">
        <w:rPr>
          <w:rFonts w:hint="cs"/>
          <w:rtl/>
          <w:lang w:bidi="ar-EG"/>
        </w:rPr>
        <w:tab/>
      </w:r>
      <w:r w:rsidR="00D3287C">
        <w:rPr>
          <w:rFonts w:hint="cs"/>
          <w:rtl/>
          <w:lang w:bidi="ar-EG"/>
        </w:rPr>
        <w:t>وترد</w:t>
      </w:r>
      <w:r w:rsidRPr="00AD00BA">
        <w:rPr>
          <w:rFonts w:hint="cs"/>
          <w:rtl/>
          <w:lang w:bidi="ar-EG"/>
        </w:rPr>
        <w:t xml:space="preserve"> في</w:t>
      </w:r>
      <w:r w:rsidRPr="00AD00BA">
        <w:rPr>
          <w:rFonts w:hint="cs"/>
          <w:b/>
          <w:bCs/>
          <w:rtl/>
          <w:lang w:bidi="ar-EG"/>
        </w:rPr>
        <w:t xml:space="preserve"> الملحق </w:t>
      </w:r>
      <w:r w:rsidRPr="00AD00BA">
        <w:rPr>
          <w:b/>
          <w:bCs/>
          <w:lang w:bidi="ar-EG"/>
        </w:rPr>
        <w:t>1</w:t>
      </w:r>
      <w:r w:rsidR="00D3287C">
        <w:rPr>
          <w:rFonts w:hint="cs"/>
          <w:rtl/>
          <w:lang w:bidi="ar-EG"/>
        </w:rPr>
        <w:t xml:space="preserve"> معلومات عن هذا الاتفاق، ب</w:t>
      </w:r>
      <w:r w:rsidR="00D86913">
        <w:rPr>
          <w:rFonts w:hint="cs"/>
          <w:rtl/>
          <w:lang w:bidi="ar-EG"/>
        </w:rPr>
        <w:t>‍</w:t>
      </w:r>
      <w:r w:rsidR="00D3287C">
        <w:rPr>
          <w:rFonts w:hint="cs"/>
          <w:rtl/>
          <w:lang w:bidi="ar-EG"/>
        </w:rPr>
        <w:t xml:space="preserve">ما في ذلك </w:t>
      </w:r>
      <w:r w:rsidRPr="00AD00BA">
        <w:rPr>
          <w:rFonts w:hint="cs"/>
          <w:rtl/>
          <w:lang w:bidi="ar-EG"/>
        </w:rPr>
        <w:t xml:space="preserve">ملخص توضيحي لأسباب </w:t>
      </w:r>
      <w:r w:rsidR="00D3287C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>.</w:t>
      </w:r>
    </w:p>
    <w:p w:rsidR="00521E65" w:rsidRDefault="00AD00BA" w:rsidP="00720831">
      <w:pPr>
        <w:rPr>
          <w:rtl/>
          <w:lang w:bidi="ar-EG"/>
        </w:rPr>
      </w:pPr>
      <w:r w:rsidRPr="00AD00BA">
        <w:rPr>
          <w:lang w:bidi="ar-EG"/>
        </w:rPr>
        <w:t>3</w:t>
      </w:r>
      <w:r w:rsidRPr="00AD00BA">
        <w:rPr>
          <w:rFonts w:hint="cs"/>
          <w:rtl/>
          <w:lang w:bidi="ar-EG"/>
        </w:rPr>
        <w:tab/>
        <w:t>وتبعاً لأحكام القسم</w:t>
      </w:r>
      <w:r w:rsidR="00720831">
        <w:rPr>
          <w:rFonts w:hint="eastAsia"/>
          <w:rtl/>
          <w:lang w:bidi="ar-EG"/>
        </w:rPr>
        <w:t> </w:t>
      </w:r>
      <w:r w:rsidRPr="00AD00BA">
        <w:rPr>
          <w:lang w:bidi="ar-EG"/>
        </w:rPr>
        <w:t>9</w:t>
      </w:r>
      <w:r w:rsidRPr="00AD00BA">
        <w:rPr>
          <w:rFonts w:hint="cs"/>
          <w:rtl/>
          <w:lang w:bidi="ar-EG"/>
        </w:rPr>
        <w:t xml:space="preserve"> من القرار</w:t>
      </w:r>
      <w:r w:rsidR="00720831">
        <w:rPr>
          <w:rFonts w:hint="eastAsia"/>
          <w:rtl/>
          <w:lang w:bidi="ar-EG"/>
        </w:rPr>
        <w:t> </w:t>
      </w:r>
      <w:r w:rsidRPr="00AD00BA">
        <w:rPr>
          <w:lang w:bidi="ar-EG"/>
        </w:rPr>
        <w:t>1</w:t>
      </w:r>
      <w:r w:rsidRPr="00AD00BA">
        <w:rPr>
          <w:rFonts w:hint="cs"/>
          <w:rtl/>
          <w:lang w:bidi="ar-EG"/>
        </w:rPr>
        <w:t>، سأكون م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متناً لو تفضلتم بإعلامي في موعد أقصاه الساعة </w:t>
      </w:r>
      <w:r w:rsidRPr="00AD00BA">
        <w:rPr>
          <w:lang w:bidi="ar-EG"/>
        </w:rPr>
        <w:t>2400</w:t>
      </w:r>
      <w:r w:rsidRPr="00AD00BA">
        <w:rPr>
          <w:rFonts w:hint="cs"/>
          <w:rtl/>
          <w:lang w:bidi="ar-EG"/>
        </w:rPr>
        <w:t xml:space="preserve"> بالتوقيت العال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مي ال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منسّق </w:t>
      </w:r>
      <w:r w:rsidR="00D3287C">
        <w:rPr>
          <w:rFonts w:hint="cs"/>
          <w:b/>
          <w:bCs/>
          <w:rtl/>
          <w:lang w:bidi="ar-EG"/>
        </w:rPr>
        <w:t>يوم</w:t>
      </w:r>
      <w:r w:rsidRPr="00AD00BA">
        <w:rPr>
          <w:rFonts w:hint="cs"/>
          <w:b/>
          <w:bCs/>
          <w:rtl/>
          <w:lang w:bidi="ar-EG"/>
        </w:rPr>
        <w:t xml:space="preserve"> </w:t>
      </w:r>
      <w:r w:rsidRPr="00AD00BA">
        <w:rPr>
          <w:b/>
          <w:bCs/>
          <w:lang w:bidi="ar-EG"/>
        </w:rPr>
        <w:t>23</w:t>
      </w:r>
      <w:r w:rsidRPr="00AD00BA">
        <w:rPr>
          <w:rFonts w:hint="cs"/>
          <w:b/>
          <w:bCs/>
          <w:rtl/>
          <w:lang w:bidi="ar-EG"/>
        </w:rPr>
        <w:t xml:space="preserve"> ديسمبر </w:t>
      </w:r>
      <w:r w:rsidRPr="00AD00BA">
        <w:rPr>
          <w:b/>
          <w:bCs/>
          <w:lang w:bidi="ar-EG"/>
        </w:rPr>
        <w:t>2015</w:t>
      </w:r>
      <w:r w:rsidRPr="00AD00BA">
        <w:rPr>
          <w:rFonts w:hint="cs"/>
          <w:rtl/>
          <w:lang w:bidi="ar-EG"/>
        </w:rPr>
        <w:t xml:space="preserve"> ما إذا كانت إدارتكم تؤيد أم ترفض هذا </w:t>
      </w:r>
      <w:r w:rsidR="00D3287C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>.</w:t>
      </w:r>
    </w:p>
    <w:p w:rsidR="00AD00BA" w:rsidRPr="00AD00BA" w:rsidRDefault="00D3287C" w:rsidP="00701507">
      <w:pPr>
        <w:rPr>
          <w:rtl/>
          <w:lang w:bidi="ar-EG"/>
        </w:rPr>
      </w:pPr>
      <w:r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 xml:space="preserve">وإذا رأت أي دولة من الدول الأعضاء </w:t>
      </w:r>
      <w:r w:rsidR="00701507">
        <w:rPr>
          <w:rFonts w:hint="cs"/>
          <w:rtl/>
          <w:lang w:bidi="ar-EG"/>
        </w:rPr>
        <w:t>عدم ال</w:t>
      </w:r>
      <w:r w:rsidR="00D86913">
        <w:rPr>
          <w:rFonts w:hint="cs"/>
          <w:rtl/>
          <w:lang w:bidi="ar-EG"/>
        </w:rPr>
        <w:t>‍</w:t>
      </w:r>
      <w:r w:rsidR="00701507">
        <w:rPr>
          <w:rFonts w:hint="cs"/>
          <w:rtl/>
          <w:lang w:bidi="ar-EG"/>
        </w:rPr>
        <w:t>موافقة على الإلغاء</w:t>
      </w:r>
      <w:r w:rsidR="00AD00BA" w:rsidRPr="00AD00BA">
        <w:rPr>
          <w:rFonts w:hint="cs"/>
          <w:rtl/>
          <w:lang w:bidi="ar-EG"/>
        </w:rPr>
        <w:t xml:space="preserve">، يرجى منها أن تبين أسباب </w:t>
      </w:r>
      <w:r w:rsidR="00701507">
        <w:rPr>
          <w:rFonts w:hint="cs"/>
          <w:rtl/>
          <w:lang w:bidi="ar-EG"/>
        </w:rPr>
        <w:t xml:space="preserve">عدم موافقتها </w:t>
      </w:r>
      <w:r w:rsidR="00AD00BA" w:rsidRPr="00AD00BA">
        <w:rPr>
          <w:rFonts w:hint="cs"/>
          <w:rtl/>
          <w:lang w:bidi="ar-EG"/>
        </w:rPr>
        <w:t>وعندئذ</w:t>
      </w:r>
      <w:r w:rsidR="00701507">
        <w:rPr>
          <w:rFonts w:hint="cs"/>
          <w:rtl/>
          <w:lang w:bidi="ar-EG"/>
        </w:rPr>
        <w:t>ٍ</w:t>
      </w:r>
      <w:r w:rsidR="00AD00BA" w:rsidRPr="00AD00BA">
        <w:rPr>
          <w:rFonts w:hint="cs"/>
          <w:rtl/>
          <w:lang w:bidi="ar-EG"/>
        </w:rPr>
        <w:t xml:space="preserve"> ت</w:t>
      </w:r>
      <w:r w:rsidR="00B15298">
        <w:rPr>
          <w:rFonts w:hint="cs"/>
          <w:rtl/>
          <w:lang w:bidi="ar-EG"/>
        </w:rPr>
        <w:t>‍</w:t>
      </w:r>
      <w:r w:rsidR="00AD00BA" w:rsidRPr="00AD00BA">
        <w:rPr>
          <w:rFonts w:hint="cs"/>
          <w:rtl/>
          <w:lang w:bidi="ar-EG"/>
        </w:rPr>
        <w:t>حال ال</w:t>
      </w:r>
      <w:r w:rsidR="00D86913">
        <w:rPr>
          <w:rFonts w:hint="cs"/>
          <w:rtl/>
          <w:lang w:bidi="ar-EG"/>
        </w:rPr>
        <w:t>‍</w:t>
      </w:r>
      <w:r w:rsidR="00AD00BA" w:rsidRPr="00AD00BA">
        <w:rPr>
          <w:rFonts w:hint="cs"/>
          <w:rtl/>
          <w:lang w:bidi="ar-EG"/>
        </w:rPr>
        <w:t>مسألة ثانية إلى ل</w:t>
      </w:r>
      <w:r w:rsidR="00D86913">
        <w:rPr>
          <w:rFonts w:hint="cs"/>
          <w:rtl/>
          <w:lang w:bidi="ar-EG"/>
        </w:rPr>
        <w:t>‍</w:t>
      </w:r>
      <w:r w:rsidR="00AD00BA" w:rsidRPr="00AD00BA">
        <w:rPr>
          <w:rFonts w:hint="cs"/>
          <w:rtl/>
          <w:lang w:bidi="ar-EG"/>
        </w:rPr>
        <w:t>جنة الدراسات.</w:t>
      </w:r>
    </w:p>
    <w:p w:rsidR="00AD00BA" w:rsidRPr="00521E65" w:rsidRDefault="00AD00BA" w:rsidP="00E3058C">
      <w:pPr>
        <w:keepNext/>
        <w:keepLines/>
        <w:rPr>
          <w:rtl/>
          <w:lang w:bidi="ar-EG"/>
        </w:rPr>
      </w:pPr>
      <w:r w:rsidRPr="00AD00BA">
        <w:rPr>
          <w:lang w:bidi="ar-EG"/>
        </w:rPr>
        <w:lastRenderedPageBreak/>
        <w:t>4</w:t>
      </w:r>
      <w:r w:rsidRPr="00AD00BA">
        <w:rPr>
          <w:rFonts w:hint="cs"/>
          <w:rtl/>
          <w:lang w:bidi="ar-EG"/>
        </w:rPr>
        <w:tab/>
      </w:r>
      <w:r w:rsidR="00701507">
        <w:rPr>
          <w:rFonts w:hint="cs"/>
          <w:rtl/>
          <w:lang w:bidi="ar-EG"/>
        </w:rPr>
        <w:t>وبعد ال</w:t>
      </w:r>
      <w:r w:rsidR="00D86913">
        <w:rPr>
          <w:rFonts w:hint="cs"/>
          <w:rtl/>
          <w:lang w:bidi="ar-EG"/>
        </w:rPr>
        <w:t>‍</w:t>
      </w:r>
      <w:r w:rsidR="00701507">
        <w:rPr>
          <w:rFonts w:hint="cs"/>
          <w:rtl/>
          <w:lang w:bidi="ar-EG"/>
        </w:rPr>
        <w:t>موعد النهائي ال</w:t>
      </w:r>
      <w:r w:rsidR="00D86913">
        <w:rPr>
          <w:rFonts w:hint="cs"/>
          <w:rtl/>
          <w:lang w:bidi="ar-EG"/>
        </w:rPr>
        <w:t>‍</w:t>
      </w:r>
      <w:r w:rsidR="00701507">
        <w:rPr>
          <w:rFonts w:hint="cs"/>
          <w:rtl/>
          <w:lang w:bidi="ar-EG"/>
        </w:rPr>
        <w:t>مذكور</w:t>
      </w:r>
      <w:r w:rsidRPr="00AD00BA">
        <w:rPr>
          <w:rFonts w:hint="cs"/>
          <w:rtl/>
          <w:lang w:bidi="ar-EG"/>
        </w:rPr>
        <w:t xml:space="preserve"> (</w:t>
      </w:r>
      <w:r w:rsidRPr="00AD00BA">
        <w:rPr>
          <w:lang w:bidi="ar-EG"/>
        </w:rPr>
        <w:t>23</w:t>
      </w:r>
      <w:r w:rsidRPr="00AD00BA">
        <w:rPr>
          <w:rFonts w:hint="cs"/>
          <w:rtl/>
          <w:lang w:bidi="ar-EG"/>
        </w:rPr>
        <w:t xml:space="preserve"> ديسمبر </w:t>
      </w:r>
      <w:r w:rsidRPr="00AD00BA">
        <w:rPr>
          <w:lang w:bidi="ar-EG"/>
        </w:rPr>
        <w:t>2015</w:t>
      </w:r>
      <w:r w:rsidRPr="00AD00BA">
        <w:rPr>
          <w:rFonts w:hint="cs"/>
          <w:rtl/>
          <w:lang w:bidi="ar-EG"/>
        </w:rPr>
        <w:t>) سوف يعلن مدير مكتب تقييس الاتصالات، في رسالة معممة، نتيجة ال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مشاورة. وسوف ت</w:t>
      </w:r>
      <w:r w:rsidR="004F3513">
        <w:rPr>
          <w:rFonts w:hint="cs"/>
          <w:rtl/>
          <w:lang w:bidi="ar-EG"/>
        </w:rPr>
        <w:t>ُ</w:t>
      </w:r>
      <w:r w:rsidRPr="00AD00BA">
        <w:rPr>
          <w:rFonts w:hint="cs"/>
          <w:rtl/>
          <w:lang w:bidi="ar-EG"/>
        </w:rPr>
        <w:t>نشر هذه ال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معلومات أيضاً في النشرة التشغيلية للات</w:t>
      </w:r>
      <w:r w:rsidR="00D8691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حاد.</w:t>
      </w:r>
    </w:p>
    <w:p w:rsidR="00706D7A" w:rsidRDefault="00521E65" w:rsidP="00521E65">
      <w:pPr>
        <w:spacing w:before="240"/>
        <w:rPr>
          <w:rtl/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521E65" w:rsidRDefault="00521E65" w:rsidP="00521E65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521E65" w:rsidRDefault="00521E65" w:rsidP="00521E65">
      <w:pPr>
        <w:spacing w:before="1440"/>
        <w:jc w:val="left"/>
        <w:rPr>
          <w:b/>
          <w:bCs/>
          <w:rtl/>
          <w:lang w:bidi="ar-SY"/>
        </w:rPr>
      </w:pPr>
      <w:r w:rsidRPr="00521E65">
        <w:rPr>
          <w:rFonts w:hint="cs"/>
          <w:b/>
          <w:bCs/>
          <w:rtl/>
          <w:lang w:bidi="ar-SY"/>
        </w:rPr>
        <w:t xml:space="preserve">الملحقات: </w:t>
      </w:r>
      <w:r w:rsidR="00AD00BA" w:rsidRPr="00C447B5">
        <w:rPr>
          <w:lang w:bidi="ar-SY"/>
        </w:rPr>
        <w:t>1</w:t>
      </w:r>
    </w:p>
    <w:p w:rsidR="00521E65" w:rsidRDefault="00521E65" w:rsidP="00C447B5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:rsidR="00AD00BA" w:rsidRPr="006F2FB1" w:rsidRDefault="00AD00BA" w:rsidP="00501E94">
      <w:pPr>
        <w:pStyle w:val="AnnexNo"/>
        <w:rPr>
          <w:sz w:val="22"/>
          <w:szCs w:val="30"/>
          <w:rtl/>
        </w:rPr>
      </w:pPr>
      <w:r w:rsidRPr="006F2FB1">
        <w:rPr>
          <w:rFonts w:hint="cs"/>
          <w:rtl/>
        </w:rPr>
        <w:lastRenderedPageBreak/>
        <w:t>ال</w:t>
      </w:r>
      <w:r w:rsidR="00501E94">
        <w:rPr>
          <w:rFonts w:hint="cs"/>
          <w:rtl/>
        </w:rPr>
        <w:t>‍</w:t>
      </w:r>
      <w:r w:rsidRPr="006F2FB1">
        <w:rPr>
          <w:rFonts w:hint="cs"/>
          <w:rtl/>
        </w:rPr>
        <w:t xml:space="preserve">ملحـق </w:t>
      </w:r>
      <w:r w:rsidRPr="006F2FB1">
        <w:t>1</w:t>
      </w:r>
      <w:r w:rsidRPr="006F2FB1">
        <w:rPr>
          <w:rtl/>
        </w:rPr>
        <w:br/>
      </w:r>
      <w:r w:rsidRPr="006F2FB1">
        <w:rPr>
          <w:rFonts w:hint="cs"/>
          <w:sz w:val="22"/>
          <w:szCs w:val="30"/>
          <w:rtl/>
        </w:rPr>
        <w:t>(بالرسالة ال</w:t>
      </w:r>
      <w:r w:rsidR="00E0261B">
        <w:rPr>
          <w:rFonts w:hint="cs"/>
          <w:sz w:val="22"/>
          <w:szCs w:val="30"/>
          <w:rtl/>
        </w:rPr>
        <w:t>‍</w:t>
      </w:r>
      <w:r w:rsidRPr="006F2FB1">
        <w:rPr>
          <w:rFonts w:hint="cs"/>
          <w:sz w:val="22"/>
          <w:szCs w:val="30"/>
          <w:rtl/>
        </w:rPr>
        <w:t xml:space="preserve">معممة </w:t>
      </w:r>
      <w:r w:rsidRPr="006F2FB1">
        <w:rPr>
          <w:sz w:val="22"/>
          <w:szCs w:val="30"/>
          <w:lang w:val="en-GB"/>
        </w:rPr>
        <w:t>175</w:t>
      </w:r>
      <w:r w:rsidRPr="006F2FB1">
        <w:rPr>
          <w:rFonts w:hint="cs"/>
          <w:sz w:val="22"/>
          <w:szCs w:val="30"/>
          <w:rtl/>
        </w:rPr>
        <w:t xml:space="preserve"> </w:t>
      </w:r>
      <w:r w:rsidR="00501E94">
        <w:rPr>
          <w:rFonts w:hint="cs"/>
          <w:sz w:val="22"/>
          <w:szCs w:val="30"/>
          <w:rtl/>
        </w:rPr>
        <w:t>ل‍مكتب</w:t>
      </w:r>
      <w:r w:rsidRPr="006F2FB1">
        <w:rPr>
          <w:rFonts w:hint="cs"/>
          <w:sz w:val="22"/>
          <w:szCs w:val="30"/>
          <w:rtl/>
        </w:rPr>
        <w:t xml:space="preserve"> تقييس الاتصالات)</w:t>
      </w:r>
    </w:p>
    <w:p w:rsidR="00AD00BA" w:rsidRPr="00AD00BA" w:rsidRDefault="00AD00BA" w:rsidP="006F2FB1">
      <w:pPr>
        <w:pStyle w:val="Annextitle"/>
      </w:pPr>
      <w:r w:rsidRPr="00AD00BA">
        <w:rPr>
          <w:rFonts w:hint="cs"/>
          <w:rtl/>
        </w:rPr>
        <w:t xml:space="preserve">ملخص ومسوغات </w:t>
      </w:r>
      <w:r w:rsidR="006F2FB1">
        <w:rPr>
          <w:rFonts w:hint="cs"/>
          <w:rtl/>
        </w:rPr>
        <w:t>إلغاء</w:t>
      </w:r>
      <w:r w:rsidRPr="00AD00BA">
        <w:rPr>
          <w:rFonts w:hint="cs"/>
          <w:rtl/>
        </w:rPr>
        <w:t xml:space="preserve"> النصوص</w:t>
      </w:r>
    </w:p>
    <w:p w:rsidR="00AD00BA" w:rsidRPr="006F2FB1" w:rsidRDefault="00AD00BA" w:rsidP="0017495B">
      <w:pPr>
        <w:pStyle w:val="Headingb"/>
        <w:rPr>
          <w:rtl/>
        </w:rPr>
      </w:pPr>
      <w:r w:rsidRPr="006F2FB1">
        <w:rPr>
          <w:rFonts w:hint="cs"/>
          <w:rtl/>
        </w:rPr>
        <w:t xml:space="preserve">التوصية المقترح </w:t>
      </w:r>
      <w:r w:rsidR="006F2FB1">
        <w:rPr>
          <w:rFonts w:hint="cs"/>
          <w:rtl/>
        </w:rPr>
        <w:t>إلغاؤها</w:t>
      </w:r>
      <w:r w:rsidRPr="006F2FB1">
        <w:rPr>
          <w:rFonts w:hint="cs"/>
          <w:rtl/>
        </w:rPr>
        <w:t xml:space="preserve">: </w:t>
      </w:r>
      <w:r w:rsidRPr="006F2FB1">
        <w:rPr>
          <w:lang w:val="en-GB"/>
        </w:rPr>
        <w:t>ITU</w:t>
      </w:r>
      <w:r w:rsidR="0017495B">
        <w:rPr>
          <w:lang w:val="en-GB"/>
        </w:rPr>
        <w:noBreakHyphen/>
      </w:r>
      <w:r w:rsidRPr="006F2FB1">
        <w:rPr>
          <w:lang w:val="en-GB"/>
        </w:rPr>
        <w:t>T Z.400</w:t>
      </w:r>
      <w:r w:rsidRPr="006F2FB1">
        <w:rPr>
          <w:rFonts w:hint="cs"/>
          <w:rtl/>
        </w:rPr>
        <w:t xml:space="preserve">، </w:t>
      </w:r>
      <w:r w:rsidRPr="00FF4221">
        <w:rPr>
          <w:rFonts w:hint="cs"/>
          <w:i/>
          <w:iCs/>
          <w:rtl/>
        </w:rPr>
        <w:t>هيكل ونسق كتيبات الجودة فيما يتعلق ببرمجيات الاتصالات</w:t>
      </w:r>
    </w:p>
    <w:p w:rsidR="00AD00BA" w:rsidRPr="00AD00BA" w:rsidRDefault="00AD00BA" w:rsidP="00EC6060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تاريخ ال</w:t>
      </w:r>
      <w:r w:rsidR="00FC4A4B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موافقة على </w:t>
      </w:r>
      <w:r w:rsidR="00EC6060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 xml:space="preserve">: </w:t>
      </w:r>
      <w:r w:rsidRPr="00AD00BA">
        <w:rPr>
          <w:lang w:val="en-GB"/>
        </w:rPr>
        <w:t>1993-03-12</w:t>
      </w:r>
    </w:p>
    <w:p w:rsidR="00AD00BA" w:rsidRPr="00AD00BA" w:rsidRDefault="00AD00BA" w:rsidP="006922E0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ال</w:t>
      </w:r>
      <w:r w:rsidR="000650D1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ملخص: (لا يوجد </w:t>
      </w:r>
      <w:r w:rsidR="006F2FB1">
        <w:rPr>
          <w:rFonts w:hint="cs"/>
          <w:rtl/>
          <w:lang w:bidi="ar-EG"/>
        </w:rPr>
        <w:t xml:space="preserve">ملخص </w:t>
      </w:r>
      <w:r w:rsidRPr="00AD00BA">
        <w:rPr>
          <w:rFonts w:hint="cs"/>
          <w:rtl/>
          <w:lang w:bidi="ar-EG"/>
        </w:rPr>
        <w:t xml:space="preserve">لهذه التوصية </w:t>
      </w:r>
      <w:r w:rsidR="006922E0">
        <w:rPr>
          <w:rFonts w:hint="cs"/>
          <w:rtl/>
          <w:lang w:bidi="ar-EG"/>
        </w:rPr>
        <w:t>-</w:t>
      </w:r>
      <w:r w:rsidRPr="00AD00BA">
        <w:rPr>
          <w:rFonts w:hint="cs"/>
          <w:rtl/>
          <w:lang w:bidi="ar-EG"/>
        </w:rPr>
        <w:t xml:space="preserve"> وفيما يلي المقدمة)</w:t>
      </w:r>
    </w:p>
    <w:p w:rsidR="00AD00BA" w:rsidRPr="00AD00BA" w:rsidRDefault="00AD00BA" w:rsidP="00FF422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 xml:space="preserve">نظراً </w:t>
      </w:r>
      <w:r w:rsidR="00FF4221">
        <w:rPr>
          <w:rFonts w:hint="cs"/>
          <w:rtl/>
          <w:lang w:bidi="ar-EG"/>
        </w:rPr>
        <w:t>لتنامي</w:t>
      </w:r>
      <w:r w:rsidRPr="00AD00BA">
        <w:rPr>
          <w:rFonts w:hint="cs"/>
          <w:rtl/>
          <w:lang w:bidi="ar-EG"/>
        </w:rPr>
        <w:t xml:space="preserve"> تطبيقات الاتصالات من حيث وظائفها وحجمها وتعقيدها، </w:t>
      </w:r>
      <w:r w:rsidR="00FF4221">
        <w:rPr>
          <w:rFonts w:hint="cs"/>
          <w:rtl/>
          <w:lang w:bidi="ar-EG"/>
        </w:rPr>
        <w:t xml:space="preserve">فقد </w:t>
      </w:r>
      <w:r w:rsidRPr="00AD00BA">
        <w:rPr>
          <w:rFonts w:hint="cs"/>
          <w:rtl/>
          <w:lang w:bidi="ar-EG"/>
        </w:rPr>
        <w:t xml:space="preserve">شهدت </w:t>
      </w:r>
      <w:r w:rsidR="00FF4221">
        <w:rPr>
          <w:rFonts w:hint="cs"/>
          <w:rtl/>
          <w:lang w:bidi="ar-EG"/>
        </w:rPr>
        <w:t xml:space="preserve">أيضاً تنامياً </w:t>
      </w:r>
      <w:r w:rsidRPr="00AD00BA">
        <w:rPr>
          <w:rFonts w:hint="cs"/>
          <w:rtl/>
          <w:lang w:bidi="ar-EG"/>
        </w:rPr>
        <w:t xml:space="preserve">من حيث </w:t>
      </w:r>
      <w:r w:rsidR="00FF4221">
        <w:rPr>
          <w:rFonts w:hint="cs"/>
          <w:rtl/>
          <w:lang w:bidi="ar-EG"/>
        </w:rPr>
        <w:t xml:space="preserve">أهمية </w:t>
      </w:r>
      <w:r w:rsidRPr="00AD00BA">
        <w:rPr>
          <w:rFonts w:hint="cs"/>
          <w:rtl/>
          <w:lang w:bidi="ar-EG"/>
        </w:rPr>
        <w:t xml:space="preserve">جودتها. وبغية تلبية متطلبات الجودة، يتعين على </w:t>
      </w:r>
      <w:r w:rsidR="00FF4221">
        <w:rPr>
          <w:rFonts w:hint="cs"/>
          <w:rtl/>
          <w:lang w:bidi="ar-EG"/>
        </w:rPr>
        <w:t xml:space="preserve">موردي </w:t>
      </w:r>
      <w:r w:rsidRPr="00AD00BA">
        <w:rPr>
          <w:rFonts w:hint="cs"/>
          <w:rtl/>
          <w:lang w:bidi="ar-EG"/>
        </w:rPr>
        <w:t xml:space="preserve">منتجات الاتصالات وخدماتها تطوير نظام جودة معرّف جيداً واعتماده واتباعه. وينبغي </w:t>
      </w:r>
      <w:r w:rsidR="00FF4221">
        <w:rPr>
          <w:rFonts w:hint="cs"/>
          <w:rtl/>
          <w:lang w:bidi="ar-EG"/>
        </w:rPr>
        <w:t>ل</w:t>
      </w:r>
      <w:r w:rsidRPr="00AD00BA">
        <w:rPr>
          <w:rFonts w:hint="cs"/>
          <w:rtl/>
          <w:lang w:bidi="ar-EG"/>
        </w:rPr>
        <w:t xml:space="preserve">نظام الجودة </w:t>
      </w:r>
      <w:r w:rsidR="00FF4221">
        <w:rPr>
          <w:rFonts w:hint="cs"/>
          <w:rtl/>
          <w:lang w:bidi="ar-EG"/>
        </w:rPr>
        <w:t xml:space="preserve">أن يحدد </w:t>
      </w:r>
      <w:r w:rsidRPr="00AD00BA">
        <w:rPr>
          <w:rFonts w:hint="cs"/>
          <w:rtl/>
          <w:lang w:bidi="ar-EG"/>
        </w:rPr>
        <w:t xml:space="preserve">الهيكل التنظيمي والمسؤوليات والإجراءات والعمليات والموارد المطلوبة والمستخدمة لتنفيذ هذه المتطلبات. </w:t>
      </w:r>
      <w:r w:rsidR="00FF4221">
        <w:rPr>
          <w:rFonts w:hint="cs"/>
          <w:rtl/>
          <w:lang w:bidi="ar-EG"/>
        </w:rPr>
        <w:t xml:space="preserve">ويوفر </w:t>
      </w:r>
      <w:r w:rsidRPr="00AD00BA">
        <w:rPr>
          <w:rFonts w:hint="cs"/>
          <w:rtl/>
          <w:lang w:bidi="ar-EG"/>
        </w:rPr>
        <w:t xml:space="preserve">المعيار </w:t>
      </w:r>
      <w:r w:rsidRPr="00AD00BA">
        <w:t>ISO 9001</w:t>
      </w:r>
      <w:r w:rsidRPr="00AD00BA">
        <w:rPr>
          <w:rFonts w:hint="cs"/>
          <w:rtl/>
          <w:lang w:bidi="ar-EG"/>
        </w:rPr>
        <w:t xml:space="preserve"> المعايير الدولية المتعلقة بأنظمة الجودة للمنتجات/الخدمات العامة. ويتضمن المعيار </w:t>
      </w:r>
      <w:r w:rsidRPr="00AD00BA">
        <w:t>ISO 9000</w:t>
      </w:r>
      <w:r w:rsidR="00FF4221">
        <w:noBreakHyphen/>
      </w:r>
      <w:r w:rsidRPr="00AD00BA">
        <w:t>3</w:t>
      </w:r>
      <w:r w:rsidRPr="00AD00BA">
        <w:rPr>
          <w:rFonts w:hint="cs"/>
          <w:rtl/>
          <w:lang w:bidi="ar-EG"/>
        </w:rPr>
        <w:t>، الجزء</w:t>
      </w:r>
      <w:r w:rsidR="00FF4221">
        <w:rPr>
          <w:rFonts w:hint="eastAsia"/>
          <w:rtl/>
          <w:lang w:bidi="ar-EG"/>
        </w:rPr>
        <w:t> </w:t>
      </w:r>
      <w:r w:rsidRPr="00AD00BA">
        <w:t>3</w:t>
      </w:r>
      <w:r w:rsidRPr="00AD00BA">
        <w:rPr>
          <w:rFonts w:hint="cs"/>
          <w:rtl/>
          <w:lang w:bidi="ar-EG"/>
        </w:rPr>
        <w:t xml:space="preserve"> المبادئ التوجيهية المتعلقة بتطبيق المعيار </w:t>
      </w:r>
      <w:r w:rsidRPr="00AD00BA">
        <w:t>ISO 9001</w:t>
      </w:r>
      <w:r w:rsidRPr="00AD00BA">
        <w:rPr>
          <w:rFonts w:hint="cs"/>
          <w:rtl/>
          <w:lang w:bidi="ar-EG"/>
        </w:rPr>
        <w:t xml:space="preserve"> </w:t>
      </w:r>
      <w:r w:rsidR="00FF4221">
        <w:rPr>
          <w:rFonts w:hint="cs"/>
          <w:rtl/>
          <w:lang w:bidi="ar-EG"/>
        </w:rPr>
        <w:t xml:space="preserve">من أجل </w:t>
      </w:r>
      <w:r w:rsidRPr="00AD00BA">
        <w:rPr>
          <w:rFonts w:hint="cs"/>
          <w:rtl/>
          <w:lang w:bidi="ar-EG"/>
        </w:rPr>
        <w:t xml:space="preserve">تطوير </w:t>
      </w:r>
      <w:r w:rsidR="00FF4221">
        <w:rPr>
          <w:rFonts w:hint="cs"/>
          <w:rtl/>
          <w:lang w:bidi="ar-EG"/>
        </w:rPr>
        <w:t>البرم</w:t>
      </w:r>
      <w:r w:rsidR="003E697A">
        <w:rPr>
          <w:rFonts w:hint="cs"/>
          <w:rtl/>
          <w:lang w:bidi="ar-EG"/>
        </w:rPr>
        <w:t>‍</w:t>
      </w:r>
      <w:r w:rsidR="00FF4221">
        <w:rPr>
          <w:rFonts w:hint="cs"/>
          <w:rtl/>
          <w:lang w:bidi="ar-EG"/>
        </w:rPr>
        <w:t xml:space="preserve">جيات وتوفيرها </w:t>
      </w:r>
      <w:r w:rsidRPr="00AD00BA">
        <w:rPr>
          <w:rFonts w:hint="cs"/>
          <w:rtl/>
          <w:lang w:bidi="ar-EG"/>
        </w:rPr>
        <w:t>وصيانتها.</w:t>
      </w:r>
    </w:p>
    <w:p w:rsidR="00AD00BA" w:rsidRPr="00AD00BA" w:rsidRDefault="00AD00BA" w:rsidP="00FF4221">
      <w:pPr>
        <w:pStyle w:val="HeadingI"/>
        <w:rPr>
          <w:rtl/>
          <w:lang w:bidi="ar-EG"/>
        </w:rPr>
      </w:pPr>
      <w:r w:rsidRPr="00AD00BA">
        <w:rPr>
          <w:rFonts w:hint="cs"/>
          <w:rtl/>
          <w:lang w:bidi="ar-EG"/>
        </w:rPr>
        <w:t xml:space="preserve">ملخص توضيحي للأسباب الداعية إلى </w:t>
      </w:r>
      <w:r w:rsidR="00FF4221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>:</w:t>
      </w:r>
    </w:p>
    <w:p w:rsidR="00AD00BA" w:rsidRPr="00AD00BA" w:rsidRDefault="00FF4221" w:rsidP="00FF4221">
      <w:pPr>
        <w:ind w:left="794" w:hanging="794"/>
        <w:rPr>
          <w:rtl/>
          <w:lang w:bidi="ar-EG"/>
        </w:rPr>
      </w:pPr>
      <w:r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 xml:space="preserve">هذه التوصية </w:t>
      </w:r>
      <w:r>
        <w:rPr>
          <w:rFonts w:hint="cs"/>
          <w:rtl/>
          <w:lang w:bidi="ar-EG"/>
        </w:rPr>
        <w:t xml:space="preserve">الخاصة </w:t>
      </w:r>
      <w:r w:rsidR="00AD00BA" w:rsidRPr="00AD00BA">
        <w:rPr>
          <w:rFonts w:hint="cs"/>
          <w:rtl/>
          <w:lang w:bidi="ar-EG"/>
        </w:rPr>
        <w:t xml:space="preserve">غير ضرورية نظراً إلى أن </w:t>
      </w:r>
      <w:r>
        <w:rPr>
          <w:rFonts w:hint="cs"/>
          <w:rtl/>
          <w:lang w:bidi="ar-EG"/>
        </w:rPr>
        <w:t>المعايير الأساسية للمنظمة الدولية للتوحيد</w:t>
      </w:r>
      <w:r w:rsidR="00AD00BA" w:rsidRPr="00AD00BA">
        <w:rPr>
          <w:rFonts w:hint="cs"/>
          <w:rtl/>
          <w:lang w:bidi="ar-EG"/>
        </w:rPr>
        <w:t xml:space="preserve"> القياسي (</w:t>
      </w:r>
      <w:r w:rsidR="00AD00BA" w:rsidRPr="00AD00BA">
        <w:t>ISO</w:t>
      </w:r>
      <w:r>
        <w:t> </w:t>
      </w:r>
      <w:r w:rsidR="00AD00BA" w:rsidRPr="00AD00BA">
        <w:t>9000</w:t>
      </w:r>
      <w:r w:rsidR="00AD00BA" w:rsidRPr="00AD00BA">
        <w:rPr>
          <w:rFonts w:hint="cs"/>
          <w:rtl/>
          <w:lang w:bidi="ar-EG"/>
        </w:rPr>
        <w:t xml:space="preserve"> و</w:t>
      </w:r>
      <w:r w:rsidR="00AD00BA" w:rsidRPr="00AD00BA">
        <w:t>ISO</w:t>
      </w:r>
      <w:r>
        <w:t> </w:t>
      </w:r>
      <w:r w:rsidR="00AD00BA" w:rsidRPr="00AD00BA">
        <w:t>9001</w:t>
      </w:r>
      <w:r w:rsidR="00AD00BA" w:rsidRPr="00AD00BA">
        <w:rPr>
          <w:rFonts w:hint="cs"/>
          <w:rtl/>
          <w:lang w:bidi="ar-EG"/>
        </w:rPr>
        <w:t xml:space="preserve"> المشار إليهما في النص، والمعياران </w:t>
      </w:r>
      <w:r w:rsidR="00AD00BA" w:rsidRPr="00AD00BA">
        <w:t>ISO</w:t>
      </w:r>
      <w:r>
        <w:t> </w:t>
      </w:r>
      <w:r w:rsidR="00AD00BA" w:rsidRPr="00AD00BA">
        <w:t>8402</w:t>
      </w:r>
      <w:r w:rsidR="00AD00BA" w:rsidRPr="00AD00BA">
        <w:rPr>
          <w:rFonts w:hint="cs"/>
          <w:rtl/>
          <w:lang w:bidi="ar-EG"/>
        </w:rPr>
        <w:t xml:space="preserve"> و</w:t>
      </w:r>
      <w:r w:rsidR="00AD00BA" w:rsidRPr="00AD00BA">
        <w:t>ISO</w:t>
      </w:r>
      <w:r>
        <w:t> </w:t>
      </w:r>
      <w:r w:rsidR="00AD00BA" w:rsidRPr="00AD00BA">
        <w:t>9126</w:t>
      </w:r>
      <w:r>
        <w:rPr>
          <w:rFonts w:hint="cs"/>
          <w:rtl/>
        </w:rPr>
        <w:t xml:space="preserve"> </w:t>
      </w:r>
      <w:r w:rsidR="00AD00BA" w:rsidRPr="00AD00BA">
        <w:rPr>
          <w:rFonts w:hint="cs"/>
          <w:rtl/>
          <w:lang w:bidi="ar-EG"/>
        </w:rPr>
        <w:t xml:space="preserve">الواردان في البيبليوغرافيا) </w:t>
      </w:r>
      <w:r>
        <w:rPr>
          <w:rFonts w:hint="cs"/>
          <w:rtl/>
          <w:lang w:bidi="ar-EG"/>
        </w:rPr>
        <w:t xml:space="preserve">تغيرت </w:t>
      </w:r>
      <w:r w:rsidR="00AD00BA" w:rsidRPr="00AD00BA">
        <w:rPr>
          <w:rFonts w:hint="cs"/>
          <w:rtl/>
          <w:lang w:bidi="ar-EG"/>
        </w:rPr>
        <w:t xml:space="preserve">منذ عام </w:t>
      </w:r>
      <w:r w:rsidR="00AD00BA" w:rsidRPr="00AD00BA">
        <w:t>1993</w:t>
      </w:r>
      <w:r w:rsidR="00AD00BA" w:rsidRPr="00AD00BA">
        <w:rPr>
          <w:rFonts w:hint="cs"/>
          <w:rtl/>
          <w:lang w:bidi="ar-EG"/>
        </w:rPr>
        <w:t xml:space="preserve"> وهو العام الذي صدرت فيه هذه التوصية </w:t>
      </w:r>
      <w:r>
        <w:rPr>
          <w:rFonts w:hint="cs"/>
          <w:rtl/>
          <w:lang w:bidi="ar-EG"/>
        </w:rPr>
        <w:t xml:space="preserve">وتغطي </w:t>
      </w:r>
      <w:r w:rsidR="00AD00BA" w:rsidRPr="00AD00BA">
        <w:rPr>
          <w:rFonts w:hint="cs"/>
          <w:rtl/>
          <w:lang w:bidi="ar-EG"/>
        </w:rPr>
        <w:t>هذا المجال على نحو تام. ومن غير المرجح أن يستفيد أي عضو من الأعضاء من استعمال هذه التوصية. وبالتالي فإنها تعتبر متقادمة وغير عملية حتى في حالة تحديثها.</w:t>
      </w:r>
    </w:p>
    <w:p w:rsidR="00AD00BA" w:rsidRPr="00AD00BA" w:rsidRDefault="00AD00BA" w:rsidP="0017495B">
      <w:pPr>
        <w:pStyle w:val="Headingb"/>
        <w:rPr>
          <w:rtl/>
        </w:rPr>
      </w:pPr>
      <w:r w:rsidRPr="00AD00BA">
        <w:rPr>
          <w:rFonts w:hint="cs"/>
          <w:rtl/>
        </w:rPr>
        <w:t xml:space="preserve">التوصية المقترح </w:t>
      </w:r>
      <w:r w:rsidR="00FF4221">
        <w:rPr>
          <w:rFonts w:hint="cs"/>
          <w:rtl/>
        </w:rPr>
        <w:t>إلغاؤها</w:t>
      </w:r>
      <w:r w:rsidRPr="00AD00BA">
        <w:rPr>
          <w:rFonts w:hint="cs"/>
          <w:rtl/>
        </w:rPr>
        <w:t xml:space="preserve">: </w:t>
      </w:r>
      <w:r w:rsidRPr="00AD00BA">
        <w:rPr>
          <w:lang w:val="en-GB"/>
        </w:rPr>
        <w:t>ITU</w:t>
      </w:r>
      <w:r w:rsidR="0017495B">
        <w:rPr>
          <w:lang w:val="en-GB"/>
        </w:rPr>
        <w:noBreakHyphen/>
      </w:r>
      <w:r w:rsidRPr="00AD00BA">
        <w:rPr>
          <w:lang w:val="en-GB"/>
        </w:rPr>
        <w:t>T Z.600</w:t>
      </w:r>
      <w:r w:rsidRPr="00AD00BA">
        <w:rPr>
          <w:rFonts w:hint="cs"/>
          <w:rtl/>
        </w:rPr>
        <w:t xml:space="preserve">، </w:t>
      </w:r>
      <w:r w:rsidRPr="00FF4221">
        <w:rPr>
          <w:rFonts w:hint="cs"/>
          <w:i/>
          <w:iCs/>
          <w:rtl/>
        </w:rPr>
        <w:t>معمارية بيئة المعالجة الموزعة</w:t>
      </w:r>
    </w:p>
    <w:p w:rsidR="00AD00BA" w:rsidRPr="00AD00BA" w:rsidRDefault="00AD00BA" w:rsidP="00E13DA0">
      <w:pPr>
        <w:rPr>
          <w:rtl/>
        </w:rPr>
      </w:pPr>
      <w:r w:rsidRPr="00AD00BA">
        <w:rPr>
          <w:rFonts w:hint="cs"/>
          <w:rtl/>
          <w:lang w:bidi="ar-EG"/>
        </w:rPr>
        <w:t>تاريخ ال</w:t>
      </w:r>
      <w:r w:rsidR="00FC4A4B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موافقة على </w:t>
      </w:r>
      <w:r w:rsidR="00E13DA0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 xml:space="preserve">: </w:t>
      </w:r>
      <w:r w:rsidRPr="00AD00BA">
        <w:rPr>
          <w:lang w:val="en-GB"/>
        </w:rPr>
        <w:t>2000-11-24</w:t>
      </w:r>
    </w:p>
    <w:p w:rsidR="00AD00BA" w:rsidRPr="00AD00BA" w:rsidRDefault="00AD00BA" w:rsidP="00AD00BA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ال</w:t>
      </w:r>
      <w:r w:rsidR="001D4D0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ملخص:</w:t>
      </w:r>
    </w:p>
    <w:p w:rsidR="00AD00BA" w:rsidRPr="00E13DA0" w:rsidRDefault="00AD00BA" w:rsidP="00E13DA0">
      <w:pPr>
        <w:ind w:left="794" w:hanging="794"/>
        <w:rPr>
          <w:spacing w:val="-4"/>
          <w:rtl/>
          <w:lang w:bidi="ar-EG"/>
        </w:rPr>
      </w:pPr>
      <w:r w:rsidRPr="00E13DA0">
        <w:rPr>
          <w:spacing w:val="-4"/>
          <w:rtl/>
          <w:lang w:bidi="ar-EG"/>
        </w:rPr>
        <w:tab/>
      </w:r>
      <w:r w:rsidRPr="00E13DA0">
        <w:rPr>
          <w:rFonts w:hint="cs"/>
          <w:spacing w:val="-4"/>
          <w:rtl/>
          <w:lang w:bidi="ar-EG"/>
        </w:rPr>
        <w:t xml:space="preserve">تصف هذه التوصية معمارية بيئة المعالجة الموزعة </w:t>
      </w:r>
      <w:r w:rsidRPr="00E13DA0">
        <w:rPr>
          <w:spacing w:val="-4"/>
        </w:rPr>
        <w:t>(DPE)</w:t>
      </w:r>
      <w:r w:rsidRPr="00E13DA0">
        <w:rPr>
          <w:rFonts w:hint="cs"/>
          <w:spacing w:val="-4"/>
          <w:rtl/>
          <w:lang w:bidi="ar-EG"/>
        </w:rPr>
        <w:t xml:space="preserve"> التي تمثل بيئة التنفيذ المتعلقة بخدمات الاتصالات والمعلومات وتطبيقاتها.</w:t>
      </w:r>
    </w:p>
    <w:p w:rsidR="00AD00BA" w:rsidRPr="00AD00BA" w:rsidRDefault="00AD00BA" w:rsidP="00E13DA0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 xml:space="preserve">والغرض من بيئة المعالجة </w:t>
      </w:r>
      <w:r w:rsidR="00E13DA0">
        <w:rPr>
          <w:rFonts w:hint="cs"/>
          <w:rtl/>
          <w:lang w:bidi="ar-EG"/>
        </w:rPr>
        <w:t xml:space="preserve">التطبيقات </w:t>
      </w:r>
      <w:r w:rsidRPr="00AD00BA">
        <w:rPr>
          <w:rFonts w:hint="cs"/>
          <w:rtl/>
          <w:lang w:bidi="ar-EG"/>
        </w:rPr>
        <w:t>الموزعة تقديم متطلبات تقنية مفصلة تؤدي إلى المواصفات اللازمة لمساعدة موردي بيئة المعالجة الموزعة لتطوير منتجاتهم ومطوري</w:t>
      </w:r>
      <w:r w:rsidR="00EC6060">
        <w:rPr>
          <w:rFonts w:hint="cs"/>
          <w:rtl/>
          <w:lang w:bidi="ar-EG"/>
        </w:rPr>
        <w:t xml:space="preserve"> التطبيقات</w:t>
      </w:r>
      <w:r w:rsidRPr="00AD00BA">
        <w:rPr>
          <w:rFonts w:hint="cs"/>
          <w:rtl/>
          <w:lang w:bidi="ar-EG"/>
        </w:rPr>
        <w:t xml:space="preserve"> لفهم دعم البنية التحتية الذي تتيحه بيئة المعالجة الموزعة.</w:t>
      </w:r>
    </w:p>
    <w:p w:rsidR="00AD00BA" w:rsidRPr="00AD00BA" w:rsidRDefault="00AD00BA" w:rsidP="00475CE7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 xml:space="preserve">وتستند المواد المقدمة فيما </w:t>
      </w:r>
      <w:r w:rsidR="00E13DA0">
        <w:rPr>
          <w:rFonts w:hint="cs"/>
          <w:rtl/>
          <w:lang w:bidi="ar-EG"/>
        </w:rPr>
        <w:t xml:space="preserve">بعد </w:t>
      </w:r>
      <w:r w:rsidRPr="00AD00BA">
        <w:rPr>
          <w:rFonts w:hint="cs"/>
          <w:rtl/>
          <w:lang w:bidi="ar-EG"/>
        </w:rPr>
        <w:t>إلى العمل الذي أنجزه الفريق الرئيسي المعني بمعمارية شبكة معلومات الاتصالات</w:t>
      </w:r>
      <w:r w:rsidR="00475CE7">
        <w:rPr>
          <w:rFonts w:hint="eastAsia"/>
          <w:rtl/>
          <w:lang w:bidi="ar-EG"/>
        </w:rPr>
        <w:t> </w:t>
      </w:r>
      <w:r w:rsidR="00E13DA0">
        <w:rPr>
          <w:lang w:bidi="ar-EG"/>
        </w:rPr>
        <w:t>(TINA)</w:t>
      </w:r>
      <w:r w:rsidR="00E13DA0">
        <w:rPr>
          <w:rFonts w:hint="cs"/>
          <w:rtl/>
          <w:lang w:bidi="ar-EG"/>
        </w:rPr>
        <w:t xml:space="preserve"> </w:t>
      </w:r>
      <w:r w:rsidRPr="00AD00BA">
        <w:rPr>
          <w:rFonts w:hint="cs"/>
          <w:rtl/>
          <w:lang w:bidi="ar-EG"/>
        </w:rPr>
        <w:t>في</w:t>
      </w:r>
      <w:r w:rsidR="00E13DA0">
        <w:rPr>
          <w:rFonts w:hint="eastAsia"/>
          <w:rtl/>
          <w:lang w:bidi="ar-EG"/>
        </w:rPr>
        <w:t> </w:t>
      </w:r>
      <w:r w:rsidRPr="00AD00BA">
        <w:rPr>
          <w:rFonts w:hint="cs"/>
          <w:rtl/>
          <w:lang w:bidi="ar-EG"/>
        </w:rPr>
        <w:t xml:space="preserve">إطار اتحاد </w:t>
      </w:r>
      <w:r w:rsidRPr="00AD00BA">
        <w:t>TINA</w:t>
      </w:r>
      <w:r w:rsidRPr="00AD00BA">
        <w:rPr>
          <w:rFonts w:hint="cs"/>
          <w:rtl/>
          <w:lang w:bidi="ar-EG"/>
        </w:rPr>
        <w:t xml:space="preserve"> </w:t>
      </w:r>
      <w:r w:rsidR="00E13DA0">
        <w:rPr>
          <w:rFonts w:hint="cs"/>
          <w:rtl/>
          <w:lang w:bidi="ar-EG"/>
        </w:rPr>
        <w:t>و</w:t>
      </w:r>
      <w:r w:rsidRPr="00AD00BA">
        <w:rPr>
          <w:rFonts w:hint="cs"/>
          <w:rtl/>
          <w:lang w:bidi="ar-EG"/>
        </w:rPr>
        <w:t>العديد من المشاريع المساعدة في الشركات الأعضاء في</w:t>
      </w:r>
      <w:r w:rsidR="00E13DA0">
        <w:rPr>
          <w:rFonts w:hint="eastAsia"/>
          <w:rtl/>
          <w:lang w:bidi="ar-EG"/>
        </w:rPr>
        <w:t> </w:t>
      </w:r>
      <w:r w:rsidRPr="00AD00BA">
        <w:rPr>
          <w:rFonts w:hint="cs"/>
          <w:rtl/>
          <w:lang w:bidi="ar-EG"/>
        </w:rPr>
        <w:t xml:space="preserve">اتحاد </w:t>
      </w:r>
      <w:r w:rsidRPr="00AD00BA">
        <w:t>TINA</w:t>
      </w:r>
      <w:r w:rsidRPr="00AD00BA">
        <w:rPr>
          <w:rFonts w:hint="cs"/>
          <w:rtl/>
          <w:lang w:bidi="ar-EG"/>
        </w:rPr>
        <w:t xml:space="preserve"> دعماً للفريق الأساسي.</w:t>
      </w:r>
    </w:p>
    <w:p w:rsidR="00AD00BA" w:rsidRPr="00AD00BA" w:rsidRDefault="00AD00BA" w:rsidP="00AD00BA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وت</w:t>
      </w:r>
      <w:r w:rsidR="001D4D0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حتوي هذه التوصية على ما يلي:</w:t>
      </w:r>
    </w:p>
    <w:p w:rsidR="00AD00BA" w:rsidRPr="00AD00BA" w:rsidRDefault="00E13DA0" w:rsidP="00E13DA0">
      <w:pPr>
        <w:pStyle w:val="enumlev2"/>
        <w:rPr>
          <w:rtl/>
          <w:lang w:bidi="ar-EG"/>
        </w:rPr>
      </w:pPr>
      <w:r>
        <w:t>•</w:t>
      </w:r>
      <w:r w:rsidR="00AD00BA" w:rsidRPr="00AD00BA"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 xml:space="preserve">شرح العلاقة بين مفاهيم النمذجة بحيث </w:t>
      </w:r>
      <w:r>
        <w:rPr>
          <w:rFonts w:hint="cs"/>
          <w:rtl/>
          <w:lang w:bidi="ar-EG"/>
        </w:rPr>
        <w:t xml:space="preserve">تراعى </w:t>
      </w:r>
      <w:r w:rsidR="00AD00BA" w:rsidRPr="00AD00BA">
        <w:rPr>
          <w:rFonts w:hint="cs"/>
          <w:rtl/>
          <w:lang w:bidi="ar-EG"/>
        </w:rPr>
        <w:t>هذه العلاقة في معمارية الحوسبة؛</w:t>
      </w:r>
    </w:p>
    <w:p w:rsidR="00AD00BA" w:rsidRPr="00AD00BA" w:rsidRDefault="00E13DA0" w:rsidP="007024C4">
      <w:pPr>
        <w:pStyle w:val="enumlev2"/>
        <w:rPr>
          <w:rtl/>
          <w:lang w:bidi="ar-EG"/>
        </w:rPr>
      </w:pPr>
      <w:r>
        <w:t>•</w:t>
      </w:r>
      <w:r w:rsidR="00AD00BA" w:rsidRPr="00AD00BA"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 xml:space="preserve">وصف شبكة النقل الأساسية </w:t>
      </w:r>
      <w:r w:rsidR="00AD00BA" w:rsidRPr="00AD00BA">
        <w:t>(KTN)</w:t>
      </w:r>
      <w:r w:rsidR="00AD00BA" w:rsidRPr="00AD00BA">
        <w:rPr>
          <w:rFonts w:hint="cs"/>
          <w:rtl/>
          <w:lang w:bidi="ar-EG"/>
        </w:rPr>
        <w:t xml:space="preserve"> التي تشكل</w:t>
      </w:r>
      <w:r w:rsidR="007024C4">
        <w:rPr>
          <w:rFonts w:hint="cs"/>
          <w:rtl/>
          <w:lang w:bidi="ar-EG"/>
        </w:rPr>
        <w:t xml:space="preserve"> العنصر التماثلي في </w:t>
      </w:r>
      <w:r w:rsidR="00AD00BA" w:rsidRPr="00AD00BA">
        <w:rPr>
          <w:rFonts w:hint="cs"/>
          <w:rtl/>
          <w:lang w:bidi="ar-EG"/>
        </w:rPr>
        <w:t>بيئة المعالجة الموزعة لنظام التشوير في</w:t>
      </w:r>
      <w:r w:rsidR="007024C4">
        <w:rPr>
          <w:rFonts w:hint="eastAsia"/>
          <w:rtl/>
          <w:lang w:bidi="ar-EG"/>
        </w:rPr>
        <w:t> </w:t>
      </w:r>
      <w:r w:rsidR="00AD00BA" w:rsidRPr="00AD00BA">
        <w:rPr>
          <w:rFonts w:hint="cs"/>
          <w:rtl/>
          <w:lang w:bidi="ar-EG"/>
        </w:rPr>
        <w:t>الاتصالات؛</w:t>
      </w:r>
    </w:p>
    <w:p w:rsidR="00AD00BA" w:rsidRPr="00AD00BA" w:rsidRDefault="00E13DA0" w:rsidP="00E13DA0">
      <w:pPr>
        <w:pStyle w:val="enumlev2"/>
        <w:rPr>
          <w:rtl/>
          <w:lang w:bidi="ar-EG"/>
        </w:rPr>
      </w:pPr>
      <w:r>
        <w:t>•</w:t>
      </w:r>
      <w:r w:rsidR="00AD00BA" w:rsidRPr="00AD00BA"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>إطار التشغيل البيني لبيئة المعالجة الموزعة؛</w:t>
      </w:r>
    </w:p>
    <w:p w:rsidR="00AD00BA" w:rsidRPr="00AD00BA" w:rsidRDefault="00E13DA0" w:rsidP="00E13DA0">
      <w:pPr>
        <w:pStyle w:val="enumlev2"/>
        <w:rPr>
          <w:rtl/>
          <w:lang w:bidi="ar-EG"/>
        </w:rPr>
      </w:pPr>
      <w:r>
        <w:t>•</w:t>
      </w:r>
      <w:r w:rsidR="00AD00BA" w:rsidRPr="00AD00BA">
        <w:rPr>
          <w:rtl/>
          <w:lang w:bidi="ar-EG"/>
        </w:rPr>
        <w:tab/>
      </w:r>
      <w:r w:rsidR="00AD00BA" w:rsidRPr="00AD00BA">
        <w:rPr>
          <w:rFonts w:hint="cs"/>
          <w:rtl/>
          <w:lang w:bidi="ar-EG"/>
        </w:rPr>
        <w:t>متطلبات الخدمات الأساسية لبيئة المعالجة الموزعة؛</w:t>
      </w:r>
    </w:p>
    <w:p w:rsidR="00AD00BA" w:rsidRPr="00AD00BA" w:rsidRDefault="00AD00BA" w:rsidP="00321AF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lastRenderedPageBreak/>
        <w:tab/>
      </w:r>
      <w:r w:rsidRPr="00AD00BA">
        <w:rPr>
          <w:rFonts w:hint="cs"/>
          <w:rtl/>
          <w:lang w:bidi="ar-EG"/>
        </w:rPr>
        <w:t>ي</w:t>
      </w:r>
      <w:r w:rsidR="00100D6C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مكن تحديد عدد من خدمات الأشياء الهندسية لبيئة المعالجة الموزعة التي تدعم تنفيذ خدمات الاتصالات. وتُحدد خدمات الأشياء</w:t>
      </w:r>
      <w:r w:rsidR="00321AF1">
        <w:rPr>
          <w:rFonts w:hint="eastAsia"/>
          <w:rtl/>
          <w:lang w:bidi="ar-EG"/>
        </w:rPr>
        <w:t> </w:t>
      </w:r>
      <w:r w:rsidRPr="00AD00BA">
        <w:t>DPE</w:t>
      </w:r>
      <w:r w:rsidRPr="00AD00BA">
        <w:rPr>
          <w:rFonts w:hint="cs"/>
          <w:rtl/>
          <w:lang w:bidi="ar-EG"/>
        </w:rPr>
        <w:t xml:space="preserve"> هذه وظائف وشفافية النموذج المرجعي للمعالجة الموزعة المفتوحة </w:t>
      </w:r>
      <w:r w:rsidRPr="00AD00BA">
        <w:t>(RM</w:t>
      </w:r>
      <w:r w:rsidR="00321AF1">
        <w:noBreakHyphen/>
      </w:r>
      <w:r w:rsidRPr="00AD00BA">
        <w:t>ODP)</w:t>
      </w:r>
      <w:r w:rsidR="00321AF1">
        <w:rPr>
          <w:rFonts w:hint="cs"/>
          <w:rtl/>
        </w:rPr>
        <w:t xml:space="preserve"> وترتبط بها</w:t>
      </w:r>
      <w:r w:rsidRPr="00AD00BA">
        <w:rPr>
          <w:rFonts w:hint="cs"/>
          <w:rtl/>
          <w:lang w:bidi="ar-EG"/>
        </w:rPr>
        <w:t xml:space="preserve">. وتحتاج المتطلبات المفصلة لخدمات الأشياء </w:t>
      </w:r>
      <w:r w:rsidRPr="00AD00BA">
        <w:t>DPE</w:t>
      </w:r>
      <w:r w:rsidRPr="00AD00BA">
        <w:rPr>
          <w:rFonts w:hint="cs"/>
          <w:rtl/>
          <w:lang w:bidi="ar-EG"/>
        </w:rPr>
        <w:t xml:space="preserve"> ومواصفاتها إلى مزيد من الدراسة.</w:t>
      </w:r>
    </w:p>
    <w:p w:rsidR="00AD00BA" w:rsidRPr="00AD00BA" w:rsidRDefault="00AD00BA" w:rsidP="00321AF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>ث</w:t>
      </w:r>
      <w:r w:rsidR="00AF588E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مة حاجة إلى إدارة بيئة المعالجة الموزعة وخدمات أشياء بيئة المعالجة الموزعة والتطبيقات التي تُنشر في بيئة المعالجة الموزعة. وتحتاج متطلبات الإدارة </w:t>
      </w:r>
      <w:r w:rsidR="00321AF1">
        <w:rPr>
          <w:rFonts w:hint="cs"/>
          <w:rtl/>
          <w:lang w:bidi="ar-EG"/>
        </w:rPr>
        <w:t xml:space="preserve">والكيفية التي يمكن بها تنفيذ </w:t>
      </w:r>
      <w:r w:rsidRPr="00AD00BA">
        <w:rPr>
          <w:rFonts w:hint="cs"/>
          <w:rtl/>
          <w:lang w:bidi="ar-EG"/>
        </w:rPr>
        <w:t>إدارة هذه الكيانات إلى مزيد من الدراسة.</w:t>
      </w:r>
    </w:p>
    <w:p w:rsidR="00AD00BA" w:rsidRPr="00AD00BA" w:rsidRDefault="00AD00BA" w:rsidP="00321AF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 xml:space="preserve">ليست جميع الخدمات الأساسية </w:t>
      </w:r>
      <w:r w:rsidRPr="00AD00BA">
        <w:t>DPE</w:t>
      </w:r>
      <w:r w:rsidRPr="00AD00BA">
        <w:rPr>
          <w:rFonts w:hint="cs"/>
          <w:rtl/>
          <w:lang w:bidi="ar-EG"/>
        </w:rPr>
        <w:t xml:space="preserve"> المحددة في هذه التوصية مطلوبة لجميع التطبيقات. ويجب تحديد مواصفات بيئة المعالجة الموزعة التي تدعم مختلف أنواع الخدمات والتطبيقات. ويجب أن تحدد هذه المواصفات الخدمات الأساسية التي </w:t>
      </w:r>
      <w:r w:rsidR="00321AF1">
        <w:rPr>
          <w:rFonts w:hint="cs"/>
          <w:rtl/>
          <w:lang w:bidi="ar-EG"/>
        </w:rPr>
        <w:t xml:space="preserve">تعتبر </w:t>
      </w:r>
      <w:r w:rsidRPr="00AD00BA">
        <w:rPr>
          <w:rFonts w:hint="cs"/>
          <w:rtl/>
          <w:lang w:bidi="ar-EG"/>
        </w:rPr>
        <w:t xml:space="preserve">إلزامية بالنسبة </w:t>
      </w:r>
      <w:r w:rsidR="00321AF1">
        <w:rPr>
          <w:rFonts w:hint="cs"/>
          <w:rtl/>
          <w:lang w:bidi="ar-EG"/>
        </w:rPr>
        <w:t>لمواصفة بعينها</w:t>
      </w:r>
      <w:r w:rsidRPr="00AD00BA">
        <w:rPr>
          <w:rFonts w:hint="cs"/>
          <w:rtl/>
          <w:lang w:bidi="ar-EG"/>
        </w:rPr>
        <w:t>. ويحتاج تعريف مواصفات بيئة المعالجة الموزعة واستعمالها إلى مزيد من الدراسة.</w:t>
      </w:r>
    </w:p>
    <w:p w:rsidR="00AD00BA" w:rsidRPr="00AD00BA" w:rsidRDefault="00AD00BA" w:rsidP="00321AF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>ي</w:t>
      </w:r>
      <w:r w:rsidR="00AF588E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جب أن تدعم بيئة المعالجة الموزعة جودة الخدمة </w:t>
      </w:r>
      <w:r w:rsidRPr="00AD00BA">
        <w:t>(QoS)</w:t>
      </w:r>
      <w:r w:rsidRPr="00AD00BA">
        <w:rPr>
          <w:rFonts w:hint="cs"/>
          <w:rtl/>
          <w:lang w:bidi="ar-EG"/>
        </w:rPr>
        <w:t xml:space="preserve"> اللازمة للخدمات والتطبيقات. وهناك حاجة إلى </w:t>
      </w:r>
      <w:r w:rsidR="00321AF1">
        <w:rPr>
          <w:rFonts w:hint="cs"/>
          <w:rtl/>
          <w:lang w:bidi="ar-EG"/>
        </w:rPr>
        <w:t>مزيد من الدراسة ل</w:t>
      </w:r>
      <w:r w:rsidRPr="00AD00BA">
        <w:rPr>
          <w:rFonts w:hint="cs"/>
          <w:rtl/>
          <w:lang w:bidi="ar-EG"/>
        </w:rPr>
        <w:t>كيفية تحقيق ذل</w:t>
      </w:r>
      <w:r w:rsidR="000A556C">
        <w:rPr>
          <w:rFonts w:hint="cs"/>
          <w:rtl/>
          <w:lang w:bidi="ar-EG"/>
        </w:rPr>
        <w:t>ك بواسطة بيئة المعالجة الموزعة.</w:t>
      </w:r>
    </w:p>
    <w:p w:rsidR="00AD00BA" w:rsidRPr="00AD00BA" w:rsidRDefault="00AD00BA" w:rsidP="00321AF1">
      <w:pPr>
        <w:pStyle w:val="HeadingI"/>
        <w:rPr>
          <w:rtl/>
          <w:lang w:bidi="ar-EG"/>
        </w:rPr>
      </w:pPr>
      <w:r w:rsidRPr="00AD00BA">
        <w:rPr>
          <w:rFonts w:hint="cs"/>
          <w:rtl/>
          <w:lang w:bidi="ar-EG"/>
        </w:rPr>
        <w:t xml:space="preserve">ملخص توضيحي للأسباب الداعية إلى </w:t>
      </w:r>
      <w:r w:rsidR="00321AF1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>:</w:t>
      </w:r>
    </w:p>
    <w:p w:rsidR="00AD00BA" w:rsidRPr="00AD00BA" w:rsidRDefault="00AD00BA" w:rsidP="000A556C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 xml:space="preserve">تستند هذه التوصية بشكل كبير إلى نتائج اتحاد </w:t>
      </w:r>
      <w:r w:rsidRPr="00AD00BA">
        <w:t>TINA</w:t>
      </w:r>
      <w:r w:rsidRPr="00AD00BA">
        <w:rPr>
          <w:rFonts w:hint="cs"/>
          <w:rtl/>
          <w:lang w:bidi="ar-EG"/>
        </w:rPr>
        <w:t xml:space="preserve"> و</w:t>
      </w:r>
      <w:r w:rsidR="00321AF1">
        <w:rPr>
          <w:rFonts w:hint="cs"/>
          <w:rtl/>
          <w:lang w:bidi="ar-EG"/>
        </w:rPr>
        <w:t>ال</w:t>
      </w:r>
      <w:r w:rsidRPr="00AD00BA">
        <w:rPr>
          <w:rFonts w:hint="cs"/>
          <w:rtl/>
          <w:lang w:bidi="ar-EG"/>
        </w:rPr>
        <w:t xml:space="preserve">معمارية </w:t>
      </w:r>
      <w:r w:rsidRPr="00AD00BA">
        <w:rPr>
          <w:lang w:val="es-ES"/>
        </w:rPr>
        <w:t>OMG</w:t>
      </w:r>
      <w:r w:rsidR="00321AF1">
        <w:rPr>
          <w:lang w:val="es-ES"/>
        </w:rPr>
        <w:t> </w:t>
      </w:r>
      <w:r w:rsidRPr="00AD00BA">
        <w:rPr>
          <w:lang w:val="es-ES"/>
        </w:rPr>
        <w:t>CORBA 2</w:t>
      </w:r>
      <w:r w:rsidRPr="00AD00BA">
        <w:rPr>
          <w:rFonts w:hint="cs"/>
          <w:rtl/>
          <w:lang w:bidi="ar-EG"/>
        </w:rPr>
        <w:t xml:space="preserve">. ومن المفهوم أن نتائج معمارية شبكات معلومات الاتصالات لم تُعتمد بشكل تام (على الرغم من ظهور عناصر هذه النتائج في العديد من الأنظمة) كما أن </w:t>
      </w:r>
      <w:r w:rsidR="00321AF1">
        <w:rPr>
          <w:rFonts w:hint="cs"/>
          <w:rtl/>
          <w:lang w:bidi="ar-EG"/>
        </w:rPr>
        <w:t>ال</w:t>
      </w:r>
      <w:r w:rsidRPr="00AD00BA">
        <w:rPr>
          <w:rFonts w:hint="cs"/>
          <w:rtl/>
          <w:lang w:bidi="ar-EG"/>
        </w:rPr>
        <w:t xml:space="preserve">معمارية </w:t>
      </w:r>
      <w:r w:rsidRPr="00AD00BA">
        <w:rPr>
          <w:lang w:val="es-ES"/>
        </w:rPr>
        <w:t>CORBA</w:t>
      </w:r>
      <w:r w:rsidRPr="00AD00BA">
        <w:rPr>
          <w:rFonts w:hint="cs"/>
          <w:rtl/>
          <w:lang w:bidi="ar-EG"/>
        </w:rPr>
        <w:t xml:space="preserve"> لا</w:t>
      </w:r>
      <w:r w:rsidR="000A556C">
        <w:rPr>
          <w:rFonts w:hint="eastAsia"/>
          <w:rtl/>
          <w:lang w:bidi="ar-EG"/>
        </w:rPr>
        <w:t> </w:t>
      </w:r>
      <w:r w:rsidRPr="00AD00BA">
        <w:rPr>
          <w:rFonts w:hint="cs"/>
          <w:rtl/>
          <w:lang w:bidi="ar-EG"/>
        </w:rPr>
        <w:t>تُستخدم بصورة دائمة.</w:t>
      </w:r>
    </w:p>
    <w:p w:rsidR="00AD00BA" w:rsidRPr="00AD00BA" w:rsidRDefault="00AD00BA" w:rsidP="0017495B">
      <w:pPr>
        <w:pStyle w:val="Headingb"/>
        <w:rPr>
          <w:rtl/>
        </w:rPr>
      </w:pPr>
      <w:r w:rsidRPr="00AD00BA">
        <w:rPr>
          <w:rFonts w:hint="cs"/>
          <w:rtl/>
        </w:rPr>
        <w:t xml:space="preserve">التوصية المقترح </w:t>
      </w:r>
      <w:r w:rsidR="00321AF1">
        <w:rPr>
          <w:rFonts w:hint="cs"/>
          <w:rtl/>
        </w:rPr>
        <w:t>إلغاؤها</w:t>
      </w:r>
      <w:r w:rsidRPr="00AD00BA">
        <w:rPr>
          <w:rFonts w:hint="cs"/>
          <w:rtl/>
        </w:rPr>
        <w:t xml:space="preserve">: </w:t>
      </w:r>
      <w:r w:rsidRPr="00AD00BA">
        <w:rPr>
          <w:lang w:val="en-GB"/>
        </w:rPr>
        <w:t>ITU</w:t>
      </w:r>
      <w:r w:rsidR="0017495B">
        <w:rPr>
          <w:lang w:val="en-GB"/>
        </w:rPr>
        <w:noBreakHyphen/>
      </w:r>
      <w:r w:rsidRPr="00AD00BA">
        <w:rPr>
          <w:lang w:val="en-GB"/>
        </w:rPr>
        <w:t>T Z.601</w:t>
      </w:r>
      <w:r w:rsidRPr="00AD00BA">
        <w:rPr>
          <w:rFonts w:hint="cs"/>
          <w:rtl/>
        </w:rPr>
        <w:t xml:space="preserve">، </w:t>
      </w:r>
      <w:r w:rsidRPr="00731CC1">
        <w:rPr>
          <w:rFonts w:hint="cs"/>
          <w:i/>
          <w:iCs/>
          <w:rtl/>
        </w:rPr>
        <w:t>معمارية البيانات لنظام برمجيات واحد</w:t>
      </w:r>
    </w:p>
    <w:p w:rsidR="00AD00BA" w:rsidRPr="00AD00BA" w:rsidRDefault="00AD00BA" w:rsidP="00731CC1">
      <w:pPr>
        <w:rPr>
          <w:rtl/>
        </w:rPr>
      </w:pPr>
      <w:r w:rsidRPr="00AD00BA">
        <w:rPr>
          <w:rFonts w:hint="cs"/>
          <w:rtl/>
          <w:lang w:bidi="ar-EG"/>
        </w:rPr>
        <w:t>تاريخ ال</w:t>
      </w:r>
      <w:r w:rsidR="00FC4A4B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موافقة على </w:t>
      </w:r>
      <w:r w:rsidR="00731CC1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 xml:space="preserve">: </w:t>
      </w:r>
      <w:r w:rsidRPr="00AD00BA">
        <w:rPr>
          <w:lang w:val="en-GB"/>
        </w:rPr>
        <w:t>2007-02-13</w:t>
      </w:r>
    </w:p>
    <w:p w:rsidR="00AD00BA" w:rsidRPr="00AD00BA" w:rsidRDefault="001D4D03" w:rsidP="00AD00BA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>ملخص</w:t>
      </w:r>
      <w:r w:rsidR="00AD00BA" w:rsidRPr="00AD00BA">
        <w:rPr>
          <w:rFonts w:hint="cs"/>
          <w:rtl/>
          <w:lang w:bidi="ar-EG"/>
        </w:rPr>
        <w:t>:</w:t>
      </w:r>
    </w:p>
    <w:p w:rsidR="00AD00BA" w:rsidRPr="00AD00BA" w:rsidRDefault="00AD00BA" w:rsidP="00731CC1">
      <w:pPr>
        <w:ind w:left="794" w:hanging="794"/>
        <w:rPr>
          <w:rtl/>
          <w:lang w:bidi="ar-EG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>ت</w:t>
      </w:r>
      <w:r w:rsidR="00DA373A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حدد التوصية </w:t>
      </w:r>
      <w:r w:rsidRPr="00AD00BA">
        <w:t>ITU</w:t>
      </w:r>
      <w:r w:rsidR="00731CC1">
        <w:noBreakHyphen/>
      </w:r>
      <w:r w:rsidRPr="00AD00BA">
        <w:t>T Z.601</w:t>
      </w:r>
      <w:r w:rsidRPr="00AD00BA">
        <w:rPr>
          <w:rFonts w:hint="cs"/>
          <w:rtl/>
          <w:lang w:bidi="ar-EG"/>
        </w:rPr>
        <w:t xml:space="preserve"> مجموعة من هياكل وأنساق البيانات لنظام برمجيات واحد. وتظهر أشكال البيانات هذه في</w:t>
      </w:r>
      <w:r w:rsidR="00731CC1">
        <w:rPr>
          <w:rFonts w:hint="eastAsia"/>
          <w:rtl/>
          <w:lang w:bidi="ar-EG"/>
        </w:rPr>
        <w:t> </w:t>
      </w:r>
      <w:r w:rsidRPr="00AD00BA">
        <w:rPr>
          <w:rFonts w:hint="cs"/>
          <w:rtl/>
          <w:lang w:bidi="ar-EG"/>
        </w:rPr>
        <w:t xml:space="preserve">مختلف السطوح البينية للنظام والوسائط المختلفة وتشمل أشكالاً متوسطة </w:t>
      </w:r>
      <w:r w:rsidR="00731CC1">
        <w:rPr>
          <w:rFonts w:hint="cs"/>
          <w:rtl/>
          <w:lang w:bidi="ar-EG"/>
        </w:rPr>
        <w:t xml:space="preserve">لعمليات </w:t>
      </w:r>
      <w:r w:rsidRPr="00AD00BA">
        <w:rPr>
          <w:rFonts w:hint="cs"/>
          <w:rtl/>
          <w:lang w:bidi="ar-EG"/>
        </w:rPr>
        <w:t>التحويل بين الأشكال الخارجية. وتكون أشكال البيانات ضرورية داخل نظام واحد ولا تُستبعد من النظام من أجل أنظمة أخرى.</w:t>
      </w:r>
    </w:p>
    <w:p w:rsidR="00AD00BA" w:rsidRPr="00AD00BA" w:rsidRDefault="00AD00BA" w:rsidP="0010755B">
      <w:pPr>
        <w:rPr>
          <w:rtl/>
          <w:lang w:bidi="ar-EG"/>
        </w:rPr>
      </w:pPr>
      <w:r w:rsidRPr="00AD00BA">
        <w:rPr>
          <w:rFonts w:hint="cs"/>
          <w:rtl/>
          <w:lang w:bidi="ar-EG"/>
        </w:rPr>
        <w:t>ت</w:t>
      </w:r>
      <w:r w:rsidR="001D4D03">
        <w:rPr>
          <w:rFonts w:hint="cs"/>
          <w:rtl/>
          <w:lang w:bidi="ar-EG"/>
        </w:rPr>
        <w:t>‍</w:t>
      </w:r>
      <w:r w:rsidRPr="00AD00BA">
        <w:rPr>
          <w:rFonts w:hint="cs"/>
          <w:rtl/>
          <w:lang w:bidi="ar-EG"/>
        </w:rPr>
        <w:t xml:space="preserve">حدد هذه التوصية </w:t>
      </w:r>
      <w:r w:rsidR="00731CC1">
        <w:rPr>
          <w:rFonts w:hint="cs"/>
          <w:rtl/>
          <w:lang w:bidi="ar-EG"/>
        </w:rPr>
        <w:t xml:space="preserve">مخططات </w:t>
      </w:r>
      <w:r w:rsidRPr="00AD00BA">
        <w:rPr>
          <w:rFonts w:hint="cs"/>
          <w:rtl/>
          <w:lang w:bidi="ar-EG"/>
        </w:rPr>
        <w:t>البيانات التي يمكن استخدامها لتعريف السطوح البينية بين مكونات البرمجيات، ولكنها لا</w:t>
      </w:r>
      <w:r w:rsidR="00DC5D14">
        <w:rPr>
          <w:rFonts w:hint="eastAsia"/>
          <w:rtl/>
          <w:lang w:bidi="ar-EG"/>
        </w:rPr>
        <w:t> </w:t>
      </w:r>
      <w:r w:rsidR="0010755B">
        <w:rPr>
          <w:rFonts w:hint="cs"/>
          <w:rtl/>
          <w:lang w:bidi="ar-EG"/>
        </w:rPr>
        <w:t>تُعرّف معمارية</w:t>
      </w:r>
      <w:r w:rsidR="0010755B">
        <w:rPr>
          <w:rFonts w:hint="eastAsia"/>
          <w:rtl/>
          <w:lang w:bidi="ar-EG"/>
        </w:rPr>
        <w:t> </w:t>
      </w:r>
      <w:r w:rsidR="0010755B">
        <w:rPr>
          <w:rFonts w:hint="cs"/>
          <w:rtl/>
          <w:lang w:bidi="ar-EG"/>
        </w:rPr>
        <w:t>البرم</w:t>
      </w:r>
      <w:r w:rsidR="00A714F6">
        <w:rPr>
          <w:rFonts w:hint="cs"/>
          <w:rtl/>
          <w:lang w:bidi="ar-EG"/>
        </w:rPr>
        <w:t>‍</w:t>
      </w:r>
      <w:r w:rsidR="0010755B">
        <w:rPr>
          <w:rFonts w:hint="cs"/>
          <w:rtl/>
          <w:lang w:bidi="ar-EG"/>
        </w:rPr>
        <w:t>جية.</w:t>
      </w:r>
    </w:p>
    <w:p w:rsidR="00AD00BA" w:rsidRPr="00AD00BA" w:rsidRDefault="00AD00BA" w:rsidP="00B70C09">
      <w:pPr>
        <w:pStyle w:val="HeadingI"/>
        <w:rPr>
          <w:rtl/>
          <w:lang w:bidi="ar-EG"/>
        </w:rPr>
      </w:pPr>
      <w:r w:rsidRPr="00AD00BA">
        <w:rPr>
          <w:rFonts w:hint="cs"/>
          <w:rtl/>
          <w:lang w:bidi="ar-EG"/>
        </w:rPr>
        <w:t xml:space="preserve">ملخص توضيحي للأسباب الداعية إلى </w:t>
      </w:r>
      <w:r w:rsidR="00B70C09">
        <w:rPr>
          <w:rFonts w:hint="cs"/>
          <w:rtl/>
          <w:lang w:bidi="ar-EG"/>
        </w:rPr>
        <w:t>الإلغاء</w:t>
      </w:r>
      <w:r w:rsidRPr="00AD00BA">
        <w:rPr>
          <w:rFonts w:hint="cs"/>
          <w:rtl/>
          <w:lang w:bidi="ar-EG"/>
        </w:rPr>
        <w:t>:</w:t>
      </w:r>
    </w:p>
    <w:p w:rsidR="00BE211E" w:rsidRDefault="00AD00BA" w:rsidP="00AF588E">
      <w:pPr>
        <w:ind w:left="794" w:hanging="794"/>
        <w:rPr>
          <w:rtl/>
          <w:lang w:bidi="ar-SY"/>
        </w:rPr>
      </w:pPr>
      <w:r w:rsidRPr="00AD00BA">
        <w:rPr>
          <w:rtl/>
          <w:lang w:bidi="ar-EG"/>
        </w:rPr>
        <w:tab/>
      </w:r>
      <w:r w:rsidRPr="00AD00BA">
        <w:rPr>
          <w:rFonts w:hint="cs"/>
          <w:rtl/>
          <w:lang w:bidi="ar-EG"/>
        </w:rPr>
        <w:t>لا</w:t>
      </w:r>
      <w:r w:rsidR="00AF588E">
        <w:rPr>
          <w:rFonts w:hint="eastAsia"/>
          <w:rtl/>
          <w:lang w:bidi="ar-EG"/>
        </w:rPr>
        <w:t> </w:t>
      </w:r>
      <w:r w:rsidRPr="00AD00BA">
        <w:rPr>
          <w:rFonts w:hint="cs"/>
          <w:rtl/>
          <w:lang w:bidi="ar-EG"/>
        </w:rPr>
        <w:t xml:space="preserve">ترتبط هذه التوصية بالتوصية الأخرى </w:t>
      </w:r>
      <w:r w:rsidR="00B70C09">
        <w:rPr>
          <w:rFonts w:hint="cs"/>
          <w:rtl/>
          <w:lang w:bidi="ar-EG"/>
        </w:rPr>
        <w:t>لسلسلة البرمجيات الوسيطة، التوصية</w:t>
      </w:r>
      <w:r w:rsidRPr="00AD00BA">
        <w:rPr>
          <w:rFonts w:hint="cs"/>
          <w:rtl/>
          <w:lang w:bidi="ar-EG"/>
        </w:rPr>
        <w:t xml:space="preserve"> </w:t>
      </w:r>
      <w:r w:rsidR="00B70C09">
        <w:rPr>
          <w:lang w:bidi="ar-EG"/>
        </w:rPr>
        <w:t>ITU</w:t>
      </w:r>
      <w:r w:rsidR="00B70C09">
        <w:rPr>
          <w:lang w:bidi="ar-EG"/>
        </w:rPr>
        <w:noBreakHyphen/>
        <w:t>T </w:t>
      </w:r>
      <w:r w:rsidRPr="00AD00BA">
        <w:t>Z.600</w:t>
      </w:r>
      <w:r w:rsidRPr="00AD00BA">
        <w:rPr>
          <w:rFonts w:hint="cs"/>
          <w:rtl/>
          <w:lang w:bidi="ar-EG"/>
        </w:rPr>
        <w:t>. وسبب الإعلان عن تقادم هذه التوصية هو أن محتواها لم يعد مفيداً وإتاحته في شكل توصية لا يفي بأي غرض مفيد.</w:t>
      </w:r>
    </w:p>
    <w:p w:rsidR="00BE211E" w:rsidRPr="00521E65" w:rsidRDefault="001626B7" w:rsidP="001626B7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  <w:bookmarkStart w:id="0" w:name="_GoBack"/>
      <w:bookmarkEnd w:id="0"/>
    </w:p>
    <w:sectPr w:rsidR="00BE211E" w:rsidRPr="00521E65" w:rsidSect="0030035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34" w:rsidRDefault="00956534" w:rsidP="0030035F">
      <w:pPr>
        <w:spacing w:before="0" w:line="240" w:lineRule="auto"/>
      </w:pPr>
      <w:r>
        <w:separator/>
      </w:r>
    </w:p>
  </w:endnote>
  <w:endnote w:type="continuationSeparator" w:id="0">
    <w:p w:rsidR="00956534" w:rsidRDefault="00956534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04" w:rsidRPr="00235D88" w:rsidRDefault="00235D88" w:rsidP="00235D88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eastAsia="Times New Roman" w:cs="Times New Roman"/>
        <w:caps/>
        <w:noProof/>
        <w:sz w:val="16"/>
        <w:szCs w:val="20"/>
        <w:lang w:val="fr-CH" w:eastAsia="en-US"/>
      </w:rPr>
    </w:pPr>
    <w:r w:rsidRPr="00235D88">
      <w:rPr>
        <w:rFonts w:eastAsia="Times New Roman" w:cs="Times New Roman"/>
        <w:caps/>
        <w:noProof/>
        <w:sz w:val="16"/>
        <w:szCs w:val="20"/>
        <w:lang w:val="fr-CH" w:eastAsia="en-US"/>
      </w:rPr>
      <w:t>ITU-T\BUREAU\CIRC\175</w:t>
    </w:r>
    <w:r>
      <w:rPr>
        <w:rFonts w:eastAsia="Times New Roman" w:cs="Times New Roman"/>
        <w:caps/>
        <w:noProof/>
        <w:sz w:val="16"/>
        <w:szCs w:val="20"/>
        <w:lang w:val="fr-CH" w:eastAsia="en-US"/>
      </w:rPr>
      <w:t>A</w:t>
    </w:r>
    <w:r w:rsidRPr="00235D88">
      <w:rPr>
        <w:rFonts w:eastAsia="Times New Roman" w:cs="Times New Roman"/>
        <w:caps/>
        <w:noProof/>
        <w:sz w:val="16"/>
        <w:szCs w:val="20"/>
        <w:lang w:val="fr-CH" w:eastAsia="en-US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2B4680" w:rsidRDefault="0030035F" w:rsidP="0030035F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34" w:rsidRDefault="00956534" w:rsidP="0030035F">
      <w:pPr>
        <w:spacing w:before="0" w:line="240" w:lineRule="auto"/>
      </w:pPr>
      <w:r>
        <w:separator/>
      </w:r>
    </w:p>
  </w:footnote>
  <w:footnote w:type="continuationSeparator" w:id="0">
    <w:p w:rsidR="00956534" w:rsidRDefault="00956534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9B42F0" w:rsidP="009B42F0">
    <w:pPr>
      <w:pStyle w:val="Header"/>
      <w:bidi w:val="0"/>
      <w:spacing w:before="120" w:after="12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="00E57497" w:rsidRPr="00E57497">
      <w:rPr>
        <w:rFonts w:cs="Calibri"/>
        <w:sz w:val="20"/>
        <w:szCs w:val="20"/>
      </w:rPr>
      <w:fldChar w:fldCharType="begin"/>
    </w:r>
    <w:r w:rsidR="00E57497" w:rsidRPr="00E57497">
      <w:rPr>
        <w:rFonts w:cs="Calibri"/>
        <w:sz w:val="20"/>
        <w:szCs w:val="20"/>
      </w:rPr>
      <w:instrText xml:space="preserve"> PAGE </w:instrText>
    </w:r>
    <w:r w:rsidR="00E57497" w:rsidRPr="00E57497">
      <w:rPr>
        <w:rFonts w:cs="Calibri"/>
        <w:sz w:val="20"/>
        <w:szCs w:val="20"/>
      </w:rPr>
      <w:fldChar w:fldCharType="separate"/>
    </w:r>
    <w:r w:rsidR="00235D88">
      <w:rPr>
        <w:rFonts w:cs="Calibri"/>
        <w:noProof/>
        <w:sz w:val="20"/>
        <w:szCs w:val="20"/>
      </w:rPr>
      <w:t>4</w:t>
    </w:r>
    <w:r w:rsidR="00E57497" w:rsidRPr="00E5749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4"/>
    <w:rsid w:val="000650D1"/>
    <w:rsid w:val="00083F04"/>
    <w:rsid w:val="00090574"/>
    <w:rsid w:val="00097ABC"/>
    <w:rsid w:val="000A556C"/>
    <w:rsid w:val="000E0D31"/>
    <w:rsid w:val="00100D6C"/>
    <w:rsid w:val="0010755B"/>
    <w:rsid w:val="001626B7"/>
    <w:rsid w:val="00173915"/>
    <w:rsid w:val="0017495B"/>
    <w:rsid w:val="001A66D8"/>
    <w:rsid w:val="001D4D03"/>
    <w:rsid w:val="002150CF"/>
    <w:rsid w:val="0023283D"/>
    <w:rsid w:val="00235D88"/>
    <w:rsid w:val="002978F4"/>
    <w:rsid w:val="002B028D"/>
    <w:rsid w:val="002E6541"/>
    <w:rsid w:val="0030035F"/>
    <w:rsid w:val="00321AF1"/>
    <w:rsid w:val="00346EA2"/>
    <w:rsid w:val="00357185"/>
    <w:rsid w:val="003C18D6"/>
    <w:rsid w:val="003D5869"/>
    <w:rsid w:val="003E697A"/>
    <w:rsid w:val="003F26E0"/>
    <w:rsid w:val="003F678F"/>
    <w:rsid w:val="0042686F"/>
    <w:rsid w:val="00443869"/>
    <w:rsid w:val="00462064"/>
    <w:rsid w:val="00475CE7"/>
    <w:rsid w:val="004F3513"/>
    <w:rsid w:val="00501E0E"/>
    <w:rsid w:val="00501E94"/>
    <w:rsid w:val="00521E65"/>
    <w:rsid w:val="00542CB3"/>
    <w:rsid w:val="0055516A"/>
    <w:rsid w:val="005A0987"/>
    <w:rsid w:val="00643E02"/>
    <w:rsid w:val="006922E0"/>
    <w:rsid w:val="006F22E6"/>
    <w:rsid w:val="006F2FB1"/>
    <w:rsid w:val="006F63F7"/>
    <w:rsid w:val="00701507"/>
    <w:rsid w:val="007024C4"/>
    <w:rsid w:val="00706D7A"/>
    <w:rsid w:val="00720831"/>
    <w:rsid w:val="00731CC1"/>
    <w:rsid w:val="00803F08"/>
    <w:rsid w:val="008235CD"/>
    <w:rsid w:val="008513CB"/>
    <w:rsid w:val="00956534"/>
    <w:rsid w:val="00982B28"/>
    <w:rsid w:val="009B42F0"/>
    <w:rsid w:val="009B75C2"/>
    <w:rsid w:val="009E6ED8"/>
    <w:rsid w:val="00A41343"/>
    <w:rsid w:val="00A714F6"/>
    <w:rsid w:val="00A73F97"/>
    <w:rsid w:val="00A96D6E"/>
    <w:rsid w:val="00A97F94"/>
    <w:rsid w:val="00AD00BA"/>
    <w:rsid w:val="00AF588E"/>
    <w:rsid w:val="00B15298"/>
    <w:rsid w:val="00B70C09"/>
    <w:rsid w:val="00B767A3"/>
    <w:rsid w:val="00BB1FA2"/>
    <w:rsid w:val="00BE211E"/>
    <w:rsid w:val="00C447B5"/>
    <w:rsid w:val="00C674FE"/>
    <w:rsid w:val="00C75633"/>
    <w:rsid w:val="00CE2EE1"/>
    <w:rsid w:val="00CF3FFD"/>
    <w:rsid w:val="00D3287C"/>
    <w:rsid w:val="00D77D0F"/>
    <w:rsid w:val="00D86913"/>
    <w:rsid w:val="00DA1CF0"/>
    <w:rsid w:val="00DA373A"/>
    <w:rsid w:val="00DB192D"/>
    <w:rsid w:val="00DB55E6"/>
    <w:rsid w:val="00DC24B4"/>
    <w:rsid w:val="00DC5D14"/>
    <w:rsid w:val="00DF16DC"/>
    <w:rsid w:val="00E0261B"/>
    <w:rsid w:val="00E13DA0"/>
    <w:rsid w:val="00E17033"/>
    <w:rsid w:val="00E3058C"/>
    <w:rsid w:val="00E45211"/>
    <w:rsid w:val="00E5549E"/>
    <w:rsid w:val="00E57497"/>
    <w:rsid w:val="00EC57B2"/>
    <w:rsid w:val="00EC6060"/>
    <w:rsid w:val="00F2170C"/>
    <w:rsid w:val="00F32396"/>
    <w:rsid w:val="00F84366"/>
    <w:rsid w:val="00F85089"/>
    <w:rsid w:val="00FC4A4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B1BA-9E9F-4B3B-A677-4395243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521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36E0-8317-4EA9-8F00-C91ECF98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38</TotalTime>
  <Pages>4</Pages>
  <Words>949</Words>
  <Characters>5112</Characters>
  <Application>Microsoft Office Word</Application>
  <DocSecurity>0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>175A.DOCX  For: _x000d_Document date: _x000d_Saved by ITU51006837 at 10:55:11 on 29/09/15</dc:description>
  <cp:lastModifiedBy>Scott, Sarah</cp:lastModifiedBy>
  <cp:revision>52</cp:revision>
  <dcterms:created xsi:type="dcterms:W3CDTF">2015-09-28T15:38:00Z</dcterms:created>
  <dcterms:modified xsi:type="dcterms:W3CDTF">2015-09-29T08:55:00Z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175A.DOCX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