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BC" w:rsidRPr="001E1FA7" w:rsidRDefault="00C51CBC" w:rsidP="00A61D8B">
      <w:pPr>
        <w:tabs>
          <w:tab w:val="left" w:pos="5755"/>
        </w:tabs>
        <w:spacing w:before="0"/>
        <w:rPr>
          <w:sz w:val="8"/>
          <w:szCs w:val="8"/>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61D8B">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152BC2" w:rsidP="00BB2162">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984C99" w:rsidRDefault="00A61D8B" w:rsidP="00B36280">
      <w:pPr>
        <w:tabs>
          <w:tab w:val="clear" w:pos="794"/>
          <w:tab w:val="clear" w:pos="1191"/>
          <w:tab w:val="clear" w:pos="1588"/>
          <w:tab w:val="clear" w:pos="1985"/>
          <w:tab w:val="left" w:pos="6096"/>
        </w:tabs>
        <w:spacing w:before="0"/>
      </w:pPr>
      <w:r>
        <w:tab/>
      </w:r>
      <w:r w:rsidR="00984C99">
        <w:t xml:space="preserve">Geneva, </w:t>
      </w:r>
      <w:r w:rsidR="00B36280">
        <w:t>11 July</w:t>
      </w:r>
      <w:r w:rsidR="009C31C4" w:rsidRPr="004F7579">
        <w:t xml:space="preserve"> 2012</w:t>
      </w:r>
    </w:p>
    <w:p w:rsidR="00984C99" w:rsidRDefault="00984C99">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4877" w:type="dxa"/>
        <w:tblInd w:w="654" w:type="dxa"/>
        <w:tblLayout w:type="fixed"/>
        <w:tblCellMar>
          <w:left w:w="0" w:type="dxa"/>
          <w:right w:w="0" w:type="dxa"/>
        </w:tblCellMar>
        <w:tblLook w:val="0000" w:firstRow="0" w:lastRow="0" w:firstColumn="0" w:lastColumn="0" w:noHBand="0" w:noVBand="0"/>
      </w:tblPr>
      <w:tblGrid>
        <w:gridCol w:w="822"/>
        <w:gridCol w:w="4055"/>
      </w:tblGrid>
      <w:tr w:rsidR="00984C99">
        <w:trPr>
          <w:trHeight w:val="340"/>
        </w:trPr>
        <w:tc>
          <w:tcPr>
            <w:tcW w:w="822" w:type="dxa"/>
          </w:tcPr>
          <w:p w:rsidR="00984C99" w:rsidRPr="00E524F1" w:rsidRDefault="00984C99">
            <w:pPr>
              <w:tabs>
                <w:tab w:val="left" w:pos="4111"/>
              </w:tabs>
              <w:spacing w:before="0"/>
              <w:ind w:left="57"/>
              <w:rPr>
                <w:rFonts w:asciiTheme="majorBidi" w:hAnsiTheme="majorBidi" w:cstheme="majorBidi"/>
                <w:color w:val="FFFFFF"/>
                <w:sz w:val="22"/>
                <w:szCs w:val="22"/>
              </w:rPr>
            </w:pPr>
            <w:bookmarkStart w:id="1" w:name="RefData"/>
            <w:bookmarkEnd w:id="1"/>
            <w:r w:rsidRPr="00E524F1">
              <w:rPr>
                <w:rFonts w:asciiTheme="majorBidi" w:hAnsiTheme="majorBidi" w:cstheme="majorBidi"/>
                <w:sz w:val="22"/>
                <w:szCs w:val="22"/>
              </w:rPr>
              <w:lastRenderedPageBreak/>
              <w:t>Ref:</w:t>
            </w:r>
          </w:p>
        </w:tc>
        <w:tc>
          <w:tcPr>
            <w:tcW w:w="4055" w:type="dxa"/>
          </w:tcPr>
          <w:p w:rsidR="00984C99" w:rsidRDefault="00984C99" w:rsidP="00B36280">
            <w:pPr>
              <w:tabs>
                <w:tab w:val="left" w:pos="4111"/>
              </w:tabs>
              <w:spacing w:before="0"/>
              <w:ind w:left="57"/>
            </w:pPr>
            <w:r>
              <w:rPr>
                <w:b/>
              </w:rPr>
              <w:t xml:space="preserve">TSB Circular </w:t>
            </w:r>
            <w:r w:rsidR="00B36280">
              <w:rPr>
                <w:b/>
              </w:rPr>
              <w:t>301</w:t>
            </w:r>
            <w:r>
              <w:br/>
              <w:t xml:space="preserve">COM </w:t>
            </w:r>
            <w:r w:rsidR="009C31C4">
              <w:t>1</w:t>
            </w:r>
            <w:r w:rsidR="006F2A08">
              <w:t>1</w:t>
            </w:r>
            <w:r>
              <w:t>/</w:t>
            </w:r>
            <w:r w:rsidR="006F2A08">
              <w:t>SP</w:t>
            </w:r>
          </w:p>
        </w:tc>
      </w:tr>
      <w:tr w:rsidR="00984C99">
        <w:trPr>
          <w:trHeight w:hRule="exact" w:val="340"/>
        </w:trPr>
        <w:tc>
          <w:tcPr>
            <w:tcW w:w="822" w:type="dxa"/>
          </w:tcPr>
          <w:p w:rsidR="00984C99" w:rsidRPr="00E524F1" w:rsidRDefault="00984C99">
            <w:pPr>
              <w:tabs>
                <w:tab w:val="left" w:pos="4111"/>
              </w:tabs>
              <w:spacing w:before="0"/>
              <w:ind w:left="57"/>
              <w:rPr>
                <w:rFonts w:asciiTheme="majorBidi" w:hAnsiTheme="majorBidi" w:cstheme="majorBidi"/>
                <w:color w:val="FFFFFF"/>
                <w:sz w:val="22"/>
                <w:szCs w:val="22"/>
              </w:rPr>
            </w:pPr>
          </w:p>
        </w:tc>
        <w:tc>
          <w:tcPr>
            <w:tcW w:w="4055" w:type="dxa"/>
          </w:tcPr>
          <w:p w:rsidR="00984C99" w:rsidRDefault="00984C99">
            <w:pPr>
              <w:tabs>
                <w:tab w:val="left" w:pos="4111"/>
              </w:tabs>
              <w:spacing w:before="0"/>
              <w:ind w:left="57"/>
            </w:pPr>
          </w:p>
        </w:tc>
      </w:tr>
      <w:tr w:rsidR="00984C99">
        <w:trPr>
          <w:trHeight w:hRule="exact" w:val="340"/>
        </w:trPr>
        <w:tc>
          <w:tcPr>
            <w:tcW w:w="822" w:type="dxa"/>
          </w:tcPr>
          <w:p w:rsidR="00984C99" w:rsidRPr="00E524F1" w:rsidRDefault="00984C99">
            <w:pPr>
              <w:tabs>
                <w:tab w:val="left" w:pos="4111"/>
              </w:tabs>
              <w:spacing w:before="0"/>
              <w:ind w:left="57"/>
              <w:rPr>
                <w:rFonts w:asciiTheme="majorBidi" w:hAnsiTheme="majorBidi" w:cstheme="majorBidi"/>
                <w:color w:val="FFFFFF"/>
                <w:sz w:val="22"/>
                <w:szCs w:val="22"/>
              </w:rPr>
            </w:pPr>
            <w:r w:rsidRPr="00E524F1">
              <w:rPr>
                <w:rFonts w:asciiTheme="majorBidi" w:hAnsiTheme="majorBidi" w:cstheme="majorBidi"/>
                <w:sz w:val="22"/>
                <w:szCs w:val="22"/>
              </w:rPr>
              <w:t>Tel:</w:t>
            </w:r>
          </w:p>
        </w:tc>
        <w:tc>
          <w:tcPr>
            <w:tcW w:w="4055" w:type="dxa"/>
          </w:tcPr>
          <w:p w:rsidR="00984C99" w:rsidRDefault="00984C99" w:rsidP="006F2A08">
            <w:pPr>
              <w:tabs>
                <w:tab w:val="left" w:pos="4111"/>
              </w:tabs>
              <w:spacing w:before="0"/>
              <w:ind w:left="57"/>
            </w:pPr>
            <w:r>
              <w:t xml:space="preserve">+41 22 730 </w:t>
            </w:r>
            <w:r w:rsidR="009C31C4">
              <w:t>5</w:t>
            </w:r>
            <w:r w:rsidR="006F2A08">
              <w:t>858</w:t>
            </w:r>
          </w:p>
        </w:tc>
      </w:tr>
      <w:tr w:rsidR="00984C99">
        <w:trPr>
          <w:trHeight w:hRule="exact" w:val="340"/>
        </w:trPr>
        <w:tc>
          <w:tcPr>
            <w:tcW w:w="822" w:type="dxa"/>
          </w:tcPr>
          <w:p w:rsidR="00984C99" w:rsidRPr="00E524F1" w:rsidRDefault="00984C99">
            <w:pPr>
              <w:tabs>
                <w:tab w:val="left" w:pos="4111"/>
              </w:tabs>
              <w:spacing w:before="0"/>
              <w:ind w:left="57"/>
              <w:rPr>
                <w:rFonts w:asciiTheme="majorBidi" w:hAnsiTheme="majorBidi" w:cstheme="majorBidi"/>
                <w:color w:val="FFFFFF"/>
                <w:sz w:val="22"/>
                <w:szCs w:val="22"/>
              </w:rPr>
            </w:pPr>
            <w:r w:rsidRPr="00E524F1">
              <w:rPr>
                <w:rFonts w:asciiTheme="majorBidi" w:hAnsiTheme="majorBidi" w:cstheme="majorBidi"/>
                <w:sz w:val="22"/>
                <w:szCs w:val="22"/>
              </w:rPr>
              <w:t>Fax:</w:t>
            </w:r>
          </w:p>
        </w:tc>
        <w:tc>
          <w:tcPr>
            <w:tcW w:w="4055" w:type="dxa"/>
          </w:tcPr>
          <w:p w:rsidR="00984C99" w:rsidRDefault="00984C99">
            <w:pPr>
              <w:tabs>
                <w:tab w:val="left" w:pos="4111"/>
              </w:tabs>
              <w:spacing w:before="0"/>
              <w:ind w:left="57"/>
            </w:pPr>
            <w:r>
              <w:t>+41 22 730 5853</w:t>
            </w:r>
          </w:p>
        </w:tc>
      </w:tr>
      <w:tr w:rsidR="00984C99">
        <w:trPr>
          <w:trHeight w:hRule="exact" w:val="560"/>
        </w:trPr>
        <w:tc>
          <w:tcPr>
            <w:tcW w:w="822" w:type="dxa"/>
          </w:tcPr>
          <w:p w:rsidR="00984C99" w:rsidRPr="00E524F1" w:rsidRDefault="00984C99">
            <w:pPr>
              <w:tabs>
                <w:tab w:val="left" w:pos="4111"/>
              </w:tabs>
              <w:spacing w:before="0"/>
              <w:ind w:left="57"/>
              <w:rPr>
                <w:rFonts w:asciiTheme="majorBidi" w:hAnsiTheme="majorBidi" w:cstheme="majorBidi"/>
                <w:sz w:val="22"/>
                <w:szCs w:val="22"/>
              </w:rPr>
            </w:pPr>
            <w:r w:rsidRPr="00E524F1">
              <w:rPr>
                <w:rFonts w:asciiTheme="majorBidi" w:hAnsiTheme="majorBidi" w:cstheme="majorBidi"/>
                <w:sz w:val="22"/>
                <w:szCs w:val="22"/>
              </w:rPr>
              <w:t>E-mail:</w:t>
            </w:r>
          </w:p>
        </w:tc>
        <w:tc>
          <w:tcPr>
            <w:tcW w:w="4055" w:type="dxa"/>
          </w:tcPr>
          <w:p w:rsidR="00984C99" w:rsidRDefault="00146C1C" w:rsidP="006F2A08">
            <w:pPr>
              <w:tabs>
                <w:tab w:val="left" w:pos="4111"/>
              </w:tabs>
              <w:spacing w:before="0"/>
              <w:ind w:left="57"/>
            </w:pPr>
            <w:hyperlink r:id="rId13" w:history="1">
              <w:r w:rsidR="006F2A08" w:rsidRPr="006A3207">
                <w:rPr>
                  <w:rStyle w:val="Hyperlink"/>
                </w:rPr>
                <w:t>tsbsg11@</w:t>
              </w:r>
              <w:bookmarkStart w:id="2" w:name="_GoBack"/>
              <w:bookmarkEnd w:id="2"/>
              <w:r w:rsidR="006F2A08" w:rsidRPr="006A3207">
                <w:rPr>
                  <w:rStyle w:val="Hyperlink"/>
                </w:rPr>
                <w:t>itu.int</w:t>
              </w:r>
            </w:hyperlink>
          </w:p>
        </w:tc>
      </w:tr>
      <w:tr w:rsidR="00D74495">
        <w:trPr>
          <w:trHeight w:hRule="exact" w:val="560"/>
        </w:trPr>
        <w:tc>
          <w:tcPr>
            <w:tcW w:w="822" w:type="dxa"/>
          </w:tcPr>
          <w:p w:rsidR="00D74495" w:rsidRDefault="00D74495">
            <w:pPr>
              <w:tabs>
                <w:tab w:val="left" w:pos="4111"/>
              </w:tabs>
              <w:spacing w:before="0"/>
              <w:ind w:left="57"/>
              <w:rPr>
                <w:rFonts w:ascii="Futura Lt BT" w:hAnsi="Futura Lt BT"/>
                <w:sz w:val="20"/>
              </w:rPr>
            </w:pPr>
          </w:p>
        </w:tc>
        <w:tc>
          <w:tcPr>
            <w:tcW w:w="4055" w:type="dxa"/>
          </w:tcPr>
          <w:p w:rsidR="00D74495" w:rsidRDefault="00D74495">
            <w:pPr>
              <w:tabs>
                <w:tab w:val="left" w:pos="4111"/>
              </w:tabs>
              <w:spacing w:before="0"/>
              <w:ind w:left="57"/>
            </w:pPr>
          </w:p>
        </w:tc>
      </w:tr>
    </w:tbl>
    <w:p w:rsidR="00984C99" w:rsidRDefault="00984C99">
      <w:pPr>
        <w:spacing w:before="0"/>
        <w:rPr>
          <w:sz w:val="4"/>
        </w:rPr>
      </w:pPr>
    </w:p>
    <w:tbl>
      <w:tblPr>
        <w:tblW w:w="5103" w:type="dxa"/>
        <w:tblInd w:w="284" w:type="dxa"/>
        <w:tblLayout w:type="fixed"/>
        <w:tblCellMar>
          <w:left w:w="0" w:type="dxa"/>
          <w:right w:w="0" w:type="dxa"/>
        </w:tblCellMar>
        <w:tblLook w:val="0000" w:firstRow="0" w:lastRow="0" w:firstColumn="0" w:lastColumn="0" w:noHBand="0" w:noVBand="0"/>
      </w:tblPr>
      <w:tblGrid>
        <w:gridCol w:w="5103"/>
      </w:tblGrid>
      <w:tr w:rsidR="00984C99" w:rsidTr="001E1FA7">
        <w:trPr>
          <w:trHeight w:val="3155"/>
        </w:trPr>
        <w:tc>
          <w:tcPr>
            <w:tcW w:w="5103" w:type="dxa"/>
          </w:tcPr>
          <w:p w:rsidR="00984C99" w:rsidRPr="00C51CBC" w:rsidRDefault="00984C99" w:rsidP="00C51CBC">
            <w:pPr>
              <w:tabs>
                <w:tab w:val="clear" w:pos="794"/>
                <w:tab w:val="clear" w:pos="1191"/>
                <w:tab w:val="clear" w:pos="1588"/>
                <w:tab w:val="clear" w:pos="1985"/>
                <w:tab w:val="left" w:pos="710"/>
              </w:tabs>
              <w:spacing w:before="0"/>
              <w:ind w:left="710" w:hanging="341"/>
              <w:rPr>
                <w:lang w:val="en-US"/>
              </w:rPr>
            </w:pPr>
            <w:bookmarkStart w:id="3" w:name="Addressee"/>
            <w:bookmarkEnd w:id="3"/>
            <w:r w:rsidRPr="00C51CBC">
              <w:rPr>
                <w:lang w:val="en-US"/>
              </w:rPr>
              <w:lastRenderedPageBreak/>
              <w:t>-</w:t>
            </w:r>
            <w:r w:rsidRPr="00C51CBC">
              <w:rPr>
                <w:lang w:val="en-US"/>
              </w:rPr>
              <w:tab/>
              <w:t>To Administrations of Member States</w:t>
            </w:r>
            <w:r w:rsidR="00C51CBC">
              <w:rPr>
                <w:lang w:val="en-US"/>
              </w:rPr>
              <w:t xml:space="preserve"> </w:t>
            </w:r>
            <w:r w:rsidR="00C51CBC">
              <w:rPr>
                <w:lang w:val="en-US"/>
              </w:rPr>
              <w:br/>
            </w:r>
            <w:r w:rsidRPr="00C51CBC">
              <w:rPr>
                <w:lang w:val="en-US"/>
              </w:rPr>
              <w:t>of the Union</w:t>
            </w:r>
          </w:p>
          <w:p w:rsidR="00984C99" w:rsidRPr="00C51CBC" w:rsidRDefault="00984C99" w:rsidP="00C51CBC">
            <w:pPr>
              <w:tabs>
                <w:tab w:val="clear" w:pos="1191"/>
                <w:tab w:val="clear" w:pos="1588"/>
                <w:tab w:val="clear" w:pos="1985"/>
              </w:tabs>
              <w:spacing w:before="0"/>
              <w:ind w:left="142"/>
              <w:rPr>
                <w:lang w:val="en-US"/>
              </w:rPr>
            </w:pPr>
          </w:p>
          <w:p w:rsidR="00984C99" w:rsidRPr="00C51CBC" w:rsidRDefault="00984C99" w:rsidP="00C51CBC">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152BC2" w:rsidRPr="00C51CBC" w:rsidRDefault="00152BC2" w:rsidP="00C51CBC">
            <w:pPr>
              <w:tabs>
                <w:tab w:val="clear" w:pos="794"/>
                <w:tab w:val="clear" w:pos="1191"/>
                <w:tab w:val="clear" w:pos="1588"/>
                <w:tab w:val="clear" w:pos="1985"/>
                <w:tab w:val="left" w:pos="710"/>
              </w:tabs>
              <w:spacing w:before="0"/>
              <w:ind w:left="369"/>
              <w:rPr>
                <w:lang w:val="en-US"/>
              </w:rPr>
            </w:pPr>
            <w:r>
              <w:rPr>
                <w:lang w:val="en-US"/>
              </w:rPr>
              <w:t>-</w:t>
            </w:r>
            <w:r>
              <w:rPr>
                <w:lang w:val="en-US"/>
              </w:rPr>
              <w:tab/>
              <w:t>To ITU-T Academia;</w:t>
            </w:r>
          </w:p>
          <w:p w:rsidR="00984C99" w:rsidRPr="00C51CBC" w:rsidRDefault="00984C99" w:rsidP="006F2A08">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Pr="00C51CBC">
              <w:rPr>
                <w:lang w:val="en-US"/>
              </w:rPr>
              <w:t xml:space="preserve">of Study Group </w:t>
            </w:r>
            <w:r w:rsidR="009C31C4">
              <w:rPr>
                <w:lang w:val="en-US"/>
              </w:rPr>
              <w:t>1</w:t>
            </w:r>
            <w:r w:rsidR="006F2A08">
              <w:rPr>
                <w:lang w:val="en-US"/>
              </w:rPr>
              <w:t>1</w:t>
            </w:r>
            <w:r w:rsidRPr="00C51CBC">
              <w:rPr>
                <w:lang w:val="en-US"/>
              </w:rPr>
              <w:t>;</w:t>
            </w:r>
          </w:p>
          <w:p w:rsidR="00984C99" w:rsidRPr="00FC3F81" w:rsidRDefault="00984C99" w:rsidP="00C51CBC">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C51CBC">
            <w:pPr>
              <w:tabs>
                <w:tab w:val="clear" w:pos="794"/>
                <w:tab w:val="clear" w:pos="1191"/>
                <w:tab w:val="clear" w:pos="1588"/>
                <w:tab w:val="clear" w:pos="1985"/>
                <w:tab w:val="left" w:pos="710"/>
              </w:tabs>
              <w:spacing w:before="0"/>
              <w:ind w:left="710" w:hanging="341"/>
            </w:pPr>
            <w:r w:rsidRPr="003E3553">
              <w:t>-</w:t>
            </w:r>
            <w:r w:rsidRPr="003E3553">
              <w:tab/>
              <w:t>To the Director of the Radiocommunication Bureau</w:t>
            </w:r>
          </w:p>
        </w:tc>
      </w:tr>
    </w:tbl>
    <w:p w:rsidR="00984C99" w:rsidRDefault="00984C99">
      <w:pPr>
        <w:tabs>
          <w:tab w:val="left" w:pos="4111"/>
        </w:tabs>
        <w:spacing w:before="0" w:after="300"/>
        <w:ind w:left="57"/>
      </w:pPr>
    </w:p>
    <w:p w:rsidR="00984C99" w:rsidRDefault="00984C99">
      <w:pPr>
        <w:tabs>
          <w:tab w:val="left" w:pos="4111"/>
        </w:tabs>
        <w:spacing w:before="0"/>
        <w:ind w:left="57"/>
        <w:rPr>
          <w:rFonts w:ascii="Futura Lt BT" w:hAnsi="Futura Lt BT"/>
          <w:sz w:val="20"/>
        </w:rPr>
        <w:sectPr w:rsidR="00984C99">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firstRow="0" w:lastRow="0" w:firstColumn="0" w:lastColumn="0" w:noHBand="0" w:noVBand="0"/>
      </w:tblPr>
      <w:tblGrid>
        <w:gridCol w:w="985"/>
        <w:gridCol w:w="4827"/>
      </w:tblGrid>
      <w:tr w:rsidR="00984C99" w:rsidTr="00552C31">
        <w:trPr>
          <w:trHeight w:val="313"/>
        </w:trPr>
        <w:tc>
          <w:tcPr>
            <w:tcW w:w="985" w:type="dxa"/>
          </w:tcPr>
          <w:p w:rsidR="00984C99" w:rsidRPr="00E524F1" w:rsidRDefault="00984C99">
            <w:pPr>
              <w:tabs>
                <w:tab w:val="left" w:pos="4111"/>
              </w:tabs>
              <w:spacing w:before="0"/>
              <w:ind w:left="57"/>
              <w:rPr>
                <w:rFonts w:asciiTheme="majorBidi" w:hAnsiTheme="majorBidi" w:cstheme="majorBidi"/>
                <w:color w:val="FFFFFF"/>
                <w:szCs w:val="24"/>
              </w:rPr>
            </w:pPr>
            <w:bookmarkStart w:id="4" w:name="Subject"/>
            <w:bookmarkEnd w:id="4"/>
            <w:r w:rsidRPr="00E524F1">
              <w:rPr>
                <w:rFonts w:asciiTheme="majorBidi" w:hAnsiTheme="majorBidi" w:cstheme="majorBidi"/>
                <w:szCs w:val="24"/>
              </w:rPr>
              <w:lastRenderedPageBreak/>
              <w:t>Subject</w:t>
            </w:r>
            <w:r w:rsidR="00552C31" w:rsidRPr="00E524F1">
              <w:rPr>
                <w:rFonts w:asciiTheme="majorBidi" w:hAnsiTheme="majorBidi" w:cstheme="majorBidi"/>
                <w:szCs w:val="24"/>
              </w:rPr>
              <w:t>:</w:t>
            </w:r>
            <w:r w:rsidRPr="00E524F1">
              <w:rPr>
                <w:rFonts w:asciiTheme="majorBidi" w:hAnsiTheme="majorBidi" w:cstheme="majorBidi"/>
                <w:szCs w:val="24"/>
              </w:rPr>
              <w:tab/>
            </w:r>
          </w:p>
        </w:tc>
        <w:tc>
          <w:tcPr>
            <w:tcW w:w="4827" w:type="dxa"/>
          </w:tcPr>
          <w:p w:rsidR="00984C99" w:rsidRDefault="00984C99" w:rsidP="006F2A08">
            <w:pPr>
              <w:tabs>
                <w:tab w:val="left" w:pos="4111"/>
              </w:tabs>
              <w:spacing w:before="0"/>
              <w:ind w:left="57"/>
              <w:rPr>
                <w:b/>
              </w:rPr>
            </w:pPr>
            <w:r>
              <w:rPr>
                <w:b/>
              </w:rPr>
              <w:t>Approval of new Question</w:t>
            </w:r>
            <w:r w:rsidR="009C31C4">
              <w:rPr>
                <w:b/>
              </w:rPr>
              <w:t xml:space="preserve"> </w:t>
            </w:r>
            <w:r w:rsidR="006F2A08">
              <w:rPr>
                <w:b/>
              </w:rPr>
              <w:t>16</w:t>
            </w:r>
            <w:r w:rsidR="009C31C4">
              <w:rPr>
                <w:b/>
              </w:rPr>
              <w:t>/1</w:t>
            </w:r>
            <w:r w:rsidR="006F2A08">
              <w:rPr>
                <w:b/>
              </w:rPr>
              <w:t>1</w:t>
            </w:r>
          </w:p>
        </w:tc>
      </w:tr>
    </w:tbl>
    <w:p w:rsidR="00984C99" w:rsidRDefault="00984C99" w:rsidP="0041046D">
      <w:bookmarkStart w:id="5" w:name="StartTyping"/>
      <w:bookmarkEnd w:id="5"/>
      <w:r>
        <w:t>Dear Sir/Madam,</w:t>
      </w:r>
    </w:p>
    <w:p w:rsidR="00984C99" w:rsidRDefault="0041046D" w:rsidP="00201344">
      <w:pPr>
        <w:spacing w:before="240"/>
      </w:pPr>
      <w:r>
        <w:t>1</w:t>
      </w:r>
      <w:r>
        <w:tab/>
      </w:r>
      <w:r w:rsidR="00984C99">
        <w:t xml:space="preserve">At the request of the Chairman of Study Group </w:t>
      </w:r>
      <w:r w:rsidR="00547C79">
        <w:t>1</w:t>
      </w:r>
      <w:r w:rsidR="006F2A08">
        <w:t>1</w:t>
      </w:r>
      <w:r w:rsidR="00547C79">
        <w:t>,</w:t>
      </w:r>
      <w:r w:rsidR="00984C99">
        <w:t xml:space="preserve"> </w:t>
      </w:r>
      <w:r w:rsidR="006F2A08" w:rsidRPr="006F2A08">
        <w:rPr>
          <w:i/>
          <w:iCs/>
          <w:szCs w:val="24"/>
        </w:rPr>
        <w:t>Signalling requirements, protocols and test specifications</w:t>
      </w:r>
      <w:r w:rsidR="00984C99">
        <w:t>, I have the honour to inform you that, in accordance with the procedure described i</w:t>
      </w:r>
      <w:r w:rsidR="00DB16D1">
        <w:t>n Resolution 1, Section 7, § 7.2</w:t>
      </w:r>
      <w:r w:rsidR="00984C99">
        <w:t>.2, of WTSA (</w:t>
      </w:r>
      <w:r w:rsidR="001C5E12">
        <w:t>Johannesburg, 2008</w:t>
      </w:r>
      <w:r w:rsidR="00984C99">
        <w:t>), Member States and Sector Mem</w:t>
      </w:r>
      <w:r w:rsidR="00984C99" w:rsidRPr="004F7579">
        <w:t xml:space="preserve">bers present at the last meeting of this Study Group which was held in Geneva </w:t>
      </w:r>
      <w:r w:rsidR="00201344">
        <w:t>from</w:t>
      </w:r>
      <w:r w:rsidR="004F7579" w:rsidRPr="004F7579">
        <w:t xml:space="preserve"> </w:t>
      </w:r>
      <w:r w:rsidR="006F2A08">
        <w:t>11</w:t>
      </w:r>
      <w:r w:rsidR="00552C31">
        <w:t xml:space="preserve"> to </w:t>
      </w:r>
      <w:r w:rsidR="006F2A08">
        <w:t>15</w:t>
      </w:r>
      <w:r w:rsidR="00552C31">
        <w:t> </w:t>
      </w:r>
      <w:r w:rsidR="006F2A08">
        <w:t>June 2012</w:t>
      </w:r>
      <w:r w:rsidR="00984C99" w:rsidRPr="004F7579">
        <w:t>,</w:t>
      </w:r>
      <w:r w:rsidR="00984C99">
        <w:t xml:space="preserve"> agreed by reaching consensus to approve the following new Question:</w:t>
      </w:r>
    </w:p>
    <w:p w:rsidR="00984C99" w:rsidRPr="006F2A08" w:rsidRDefault="00547C79" w:rsidP="006F2A08">
      <w:pPr>
        <w:numPr>
          <w:ilvl w:val="12"/>
          <w:numId w:val="0"/>
        </w:numPr>
        <w:rPr>
          <w:i/>
          <w:iCs/>
          <w:szCs w:val="24"/>
        </w:rPr>
      </w:pPr>
      <w:r w:rsidRPr="00547C79">
        <w:rPr>
          <w:i/>
          <w:iCs/>
        </w:rPr>
        <w:t xml:space="preserve">Question </w:t>
      </w:r>
      <w:r w:rsidR="006F2A08">
        <w:rPr>
          <w:i/>
          <w:iCs/>
        </w:rPr>
        <w:t>1</w:t>
      </w:r>
      <w:r w:rsidRPr="00547C79">
        <w:rPr>
          <w:i/>
          <w:iCs/>
        </w:rPr>
        <w:t>6/1</w:t>
      </w:r>
      <w:r w:rsidR="006F2A08">
        <w:rPr>
          <w:i/>
          <w:iCs/>
        </w:rPr>
        <w:t>1</w:t>
      </w:r>
      <w:r>
        <w:rPr>
          <w:i/>
          <w:iCs/>
        </w:rPr>
        <w:t xml:space="preserve"> -</w:t>
      </w:r>
      <w:r w:rsidR="00984C99">
        <w:t xml:space="preserve"> </w:t>
      </w:r>
      <w:r w:rsidR="006F2A08" w:rsidRPr="006F2A08">
        <w:rPr>
          <w:i/>
          <w:iCs/>
          <w:szCs w:val="24"/>
        </w:rPr>
        <w:t>Protocol procedures relating to specific services over IPv6</w:t>
      </w:r>
      <w:r w:rsidR="00552C31">
        <w:rPr>
          <w:i/>
          <w:iCs/>
          <w:szCs w:val="24"/>
        </w:rPr>
        <w:t xml:space="preserve"> (see Annex 1)</w:t>
      </w:r>
      <w:r w:rsidR="00372E1E">
        <w:rPr>
          <w:i/>
          <w:iCs/>
          <w:szCs w:val="24"/>
        </w:rPr>
        <w:t>.</w:t>
      </w:r>
    </w:p>
    <w:p w:rsidR="00984C99" w:rsidRDefault="00C51CBC" w:rsidP="006F2A08">
      <w:pPr>
        <w:spacing w:before="240"/>
        <w:rPr>
          <w:b/>
          <w:bCs/>
        </w:rPr>
      </w:pPr>
      <w:r>
        <w:t>2</w:t>
      </w:r>
      <w:r>
        <w:tab/>
      </w:r>
      <w:r w:rsidR="00984C99" w:rsidRPr="00C51CBC">
        <w:rPr>
          <w:b/>
          <w:bCs/>
        </w:rPr>
        <w:t>Question</w:t>
      </w:r>
      <w:r w:rsidR="00547C79">
        <w:rPr>
          <w:b/>
          <w:bCs/>
        </w:rPr>
        <w:t xml:space="preserve"> </w:t>
      </w:r>
      <w:r w:rsidR="006F2A08">
        <w:rPr>
          <w:b/>
          <w:bCs/>
        </w:rPr>
        <w:t>1</w:t>
      </w:r>
      <w:r w:rsidR="00547C79">
        <w:rPr>
          <w:b/>
          <w:bCs/>
        </w:rPr>
        <w:t>6/1</w:t>
      </w:r>
      <w:r w:rsidR="006F2A08">
        <w:rPr>
          <w:b/>
          <w:bCs/>
        </w:rPr>
        <w:t>1</w:t>
      </w:r>
      <w:r w:rsidR="00547C79">
        <w:rPr>
          <w:b/>
          <w:bCs/>
        </w:rPr>
        <w:t xml:space="preserve"> </w:t>
      </w:r>
      <w:r w:rsidR="006F2A08">
        <w:rPr>
          <w:b/>
          <w:bCs/>
        </w:rPr>
        <w:t>is</w:t>
      </w:r>
      <w:r w:rsidR="00984C99" w:rsidRPr="00C51CBC">
        <w:rPr>
          <w:b/>
          <w:bCs/>
        </w:rPr>
        <w:t xml:space="preserve"> therefore approved.</w:t>
      </w:r>
    </w:p>
    <w:p w:rsidR="00984C99" w:rsidRDefault="00547C79" w:rsidP="006F2A08">
      <w:pPr>
        <w:spacing w:before="240"/>
        <w:rPr>
          <w:rFonts w:asciiTheme="majorBidi" w:hAnsiTheme="majorBidi" w:cstheme="majorBidi"/>
          <w:szCs w:val="24"/>
        </w:rPr>
      </w:pPr>
      <w:r w:rsidRPr="00547C79">
        <w:rPr>
          <w:rFonts w:asciiTheme="majorBidi" w:hAnsiTheme="majorBidi" w:cstheme="majorBidi"/>
          <w:szCs w:val="24"/>
        </w:rPr>
        <w:t>3</w:t>
      </w:r>
      <w:r w:rsidRPr="00547C79">
        <w:rPr>
          <w:rFonts w:asciiTheme="majorBidi" w:hAnsiTheme="majorBidi" w:cstheme="majorBidi"/>
          <w:szCs w:val="24"/>
        </w:rPr>
        <w:tab/>
      </w:r>
      <w:r w:rsidR="00984C99" w:rsidRPr="00547C79">
        <w:rPr>
          <w:rFonts w:asciiTheme="majorBidi" w:hAnsiTheme="majorBidi" w:cstheme="majorBidi"/>
          <w:szCs w:val="24"/>
        </w:rPr>
        <w:t xml:space="preserve">The resulting Recommendations are assumed to fall under the Alternative </w:t>
      </w:r>
      <w:r w:rsidR="006F2A08">
        <w:rPr>
          <w:rFonts w:asciiTheme="majorBidi" w:hAnsiTheme="majorBidi" w:cstheme="majorBidi"/>
          <w:szCs w:val="24"/>
        </w:rPr>
        <w:t>A</w:t>
      </w:r>
      <w:r w:rsidR="00984C99" w:rsidRPr="00547C79">
        <w:rPr>
          <w:rFonts w:asciiTheme="majorBidi" w:hAnsiTheme="majorBidi" w:cstheme="majorBidi"/>
          <w:szCs w:val="24"/>
        </w:rPr>
        <w:t xml:space="preserve">pproval </w:t>
      </w:r>
      <w:r w:rsidR="006F2A08">
        <w:t>P</w:t>
      </w:r>
      <w:r w:rsidR="00984C99">
        <w:t>rocess (AAP</w:t>
      </w:r>
      <w:r w:rsidR="00984C99" w:rsidRPr="00AF0794">
        <w:rPr>
          <w:b/>
          <w:bCs/>
        </w:rPr>
        <w:t>)</w:t>
      </w:r>
      <w:r w:rsidRPr="00AF0794">
        <w:rPr>
          <w:b/>
          <w:bCs/>
        </w:rPr>
        <w:t xml:space="preserve"> </w:t>
      </w:r>
      <w:r w:rsidRPr="00AF0794">
        <w:rPr>
          <w:rFonts w:asciiTheme="majorBidi" w:hAnsiTheme="majorBidi" w:cstheme="majorBidi"/>
          <w:b/>
          <w:bCs/>
          <w:szCs w:val="24"/>
        </w:rPr>
        <w:t>apart from those</w:t>
      </w:r>
      <w:r w:rsidRPr="00547C79">
        <w:rPr>
          <w:rFonts w:asciiTheme="majorBidi" w:hAnsiTheme="majorBidi" w:cstheme="majorBidi"/>
          <w:szCs w:val="24"/>
        </w:rPr>
        <w:t xml:space="preserve"> with regulatory implications, which will fall under the TAP (Traditional </w:t>
      </w:r>
      <w:r w:rsidR="006F2A08">
        <w:rPr>
          <w:rFonts w:asciiTheme="majorBidi" w:hAnsiTheme="majorBidi" w:cstheme="majorBidi"/>
          <w:szCs w:val="24"/>
        </w:rPr>
        <w:t>A</w:t>
      </w:r>
      <w:r w:rsidRPr="00547C79">
        <w:rPr>
          <w:rFonts w:asciiTheme="majorBidi" w:hAnsiTheme="majorBidi" w:cstheme="majorBidi"/>
          <w:szCs w:val="24"/>
        </w:rPr>
        <w:t xml:space="preserve">pproval </w:t>
      </w:r>
      <w:r w:rsidR="006F2A08">
        <w:rPr>
          <w:rFonts w:asciiTheme="majorBidi" w:hAnsiTheme="majorBidi" w:cstheme="majorBidi"/>
          <w:szCs w:val="24"/>
        </w:rPr>
        <w:t>P</w:t>
      </w:r>
      <w:r w:rsidRPr="00547C79">
        <w:rPr>
          <w:rFonts w:asciiTheme="majorBidi" w:hAnsiTheme="majorBidi" w:cstheme="majorBidi"/>
          <w:szCs w:val="24"/>
        </w:rPr>
        <w:t>rocess)</w:t>
      </w:r>
      <w:r>
        <w:rPr>
          <w:rFonts w:asciiTheme="majorBidi" w:hAnsiTheme="majorBidi" w:cstheme="majorBidi"/>
          <w:szCs w:val="24"/>
        </w:rPr>
        <w:t>.</w:t>
      </w:r>
    </w:p>
    <w:p w:rsidR="00292E46" w:rsidRDefault="00CE2890" w:rsidP="006F2A08">
      <w:r>
        <w:rPr>
          <w:bCs/>
        </w:rPr>
        <w:t>4</w:t>
      </w:r>
      <w:r w:rsidR="00292E46">
        <w:rPr>
          <w:bCs/>
        </w:rPr>
        <w:tab/>
        <w:t xml:space="preserve">The new Question </w:t>
      </w:r>
      <w:r w:rsidR="006F2A08">
        <w:rPr>
          <w:bCs/>
        </w:rPr>
        <w:t>is</w:t>
      </w:r>
      <w:r w:rsidR="00292E46">
        <w:rPr>
          <w:bCs/>
        </w:rPr>
        <w:t xml:space="preserve"> allocated to the Working Party </w:t>
      </w:r>
      <w:r w:rsidR="006F2A08">
        <w:rPr>
          <w:bCs/>
        </w:rPr>
        <w:t>1</w:t>
      </w:r>
      <w:r w:rsidR="00292E46">
        <w:rPr>
          <w:bCs/>
        </w:rPr>
        <w:t>/1</w:t>
      </w:r>
      <w:r w:rsidR="006F2A08">
        <w:rPr>
          <w:bCs/>
        </w:rPr>
        <w:t>1</w:t>
      </w:r>
      <w:r w:rsidR="00292E46">
        <w:rPr>
          <w:bCs/>
        </w:rPr>
        <w:t xml:space="preserve"> </w:t>
      </w:r>
      <w:r w:rsidR="00292E46">
        <w:rPr>
          <w:bCs/>
          <w:i/>
          <w:iCs/>
        </w:rPr>
        <w:t>“</w:t>
      </w:r>
      <w:r w:rsidR="006F2A08" w:rsidRPr="006F2A08">
        <w:rPr>
          <w:bCs/>
          <w:i/>
          <w:iCs/>
        </w:rPr>
        <w:t>Protocol Architecture and Application Control</w:t>
      </w:r>
      <w:r w:rsidR="0034145E">
        <w:rPr>
          <w:bCs/>
          <w:i/>
          <w:iCs/>
        </w:rPr>
        <w:t>”</w:t>
      </w:r>
      <w:r w:rsidR="00DA2B20">
        <w:rPr>
          <w:bCs/>
          <w:i/>
          <w:iCs/>
        </w:rPr>
        <w:t>.</w:t>
      </w:r>
    </w:p>
    <w:p w:rsidR="002823FF" w:rsidRDefault="00984C99" w:rsidP="001E1FA7">
      <w:r>
        <w:t>Yours faithfully,</w:t>
      </w:r>
      <w:r w:rsidR="001E1FA7">
        <w:br/>
      </w:r>
      <w:r w:rsidR="001E1FA7">
        <w:br/>
      </w:r>
    </w:p>
    <w:p w:rsidR="00984C99" w:rsidRDefault="00A47ABB" w:rsidP="002823FF">
      <w:pPr>
        <w:spacing w:before="480"/>
      </w:pPr>
      <w:r w:rsidRPr="00A47ABB">
        <w:rPr>
          <w:szCs w:val="24"/>
        </w:rPr>
        <w:t>Malcolm Johnson</w:t>
      </w:r>
      <w:r w:rsidR="00984C99">
        <w:br/>
        <w:t>Director of the Telecommunication</w:t>
      </w:r>
      <w:r w:rsidR="00984C99">
        <w:br/>
        <w:t>Standardization Bureau</w:t>
      </w:r>
    </w:p>
    <w:p w:rsidR="00E524F1" w:rsidRDefault="001E1FA7" w:rsidP="00372E1E">
      <w:pPr>
        <w:spacing w:before="0"/>
        <w:rPr>
          <w:b/>
          <w:bCs/>
        </w:rPr>
      </w:pPr>
      <w:r>
        <w:rPr>
          <w:b/>
          <w:bCs/>
        </w:rPr>
        <w:br/>
      </w:r>
    </w:p>
    <w:p w:rsidR="002A021C" w:rsidRDefault="00453BBE" w:rsidP="00372E1E">
      <w:pPr>
        <w:spacing w:before="0"/>
        <w:rPr>
          <w:b/>
          <w:bCs/>
        </w:rPr>
      </w:pPr>
      <w:r w:rsidRPr="00FB1614">
        <w:rPr>
          <w:b/>
          <w:bCs/>
        </w:rPr>
        <w:t xml:space="preserve">Annex: </w:t>
      </w:r>
      <w:r w:rsidR="006F2A08">
        <w:rPr>
          <w:b/>
          <w:bCs/>
        </w:rPr>
        <w:t>1</w:t>
      </w:r>
    </w:p>
    <w:p w:rsidR="009C31C4" w:rsidRPr="006716BB" w:rsidRDefault="002A021C" w:rsidP="00B36280">
      <w:pPr>
        <w:tabs>
          <w:tab w:val="clear" w:pos="794"/>
          <w:tab w:val="clear" w:pos="1191"/>
          <w:tab w:val="clear" w:pos="1588"/>
          <w:tab w:val="clear" w:pos="1985"/>
        </w:tabs>
        <w:overflowPunct/>
        <w:autoSpaceDE/>
        <w:autoSpaceDN/>
        <w:adjustRightInd/>
        <w:spacing w:before="0"/>
        <w:jc w:val="center"/>
        <w:textAlignment w:val="auto"/>
        <w:rPr>
          <w:b/>
          <w:bCs/>
          <w:szCs w:val="24"/>
        </w:rPr>
      </w:pPr>
      <w:r>
        <w:rPr>
          <w:b/>
          <w:bCs/>
        </w:rPr>
        <w:br w:type="page"/>
      </w:r>
      <w:r w:rsidR="009C31C4">
        <w:rPr>
          <w:bCs/>
          <w:szCs w:val="24"/>
        </w:rPr>
        <w:lastRenderedPageBreak/>
        <w:t>ANNEX 1</w:t>
      </w:r>
      <w:r w:rsidR="009C31C4">
        <w:rPr>
          <w:bCs/>
          <w:szCs w:val="24"/>
        </w:rPr>
        <w:br/>
        <w:t xml:space="preserve">(to TSB Circular </w:t>
      </w:r>
      <w:r w:rsidR="00B36280">
        <w:rPr>
          <w:bCs/>
          <w:szCs w:val="24"/>
        </w:rPr>
        <w:t>301</w:t>
      </w:r>
      <w:r w:rsidR="009C31C4" w:rsidRPr="006716BB">
        <w:rPr>
          <w:bCs/>
          <w:szCs w:val="24"/>
        </w:rPr>
        <w:t>)</w:t>
      </w:r>
    </w:p>
    <w:p w:rsidR="009C31C4" w:rsidRPr="006716BB" w:rsidRDefault="009C31C4" w:rsidP="006F2A08">
      <w:pPr>
        <w:pStyle w:val="AnnexNotitle"/>
        <w:spacing w:before="240"/>
        <w:rPr>
          <w:sz w:val="24"/>
          <w:szCs w:val="24"/>
        </w:rPr>
      </w:pPr>
      <w:r w:rsidRPr="006716BB">
        <w:rPr>
          <w:sz w:val="24"/>
          <w:szCs w:val="24"/>
        </w:rPr>
        <w:t xml:space="preserve">Text of </w:t>
      </w:r>
      <w:r w:rsidR="006F2A08">
        <w:rPr>
          <w:sz w:val="24"/>
          <w:szCs w:val="24"/>
        </w:rPr>
        <w:t>Question 1</w:t>
      </w:r>
      <w:r>
        <w:rPr>
          <w:sz w:val="24"/>
          <w:szCs w:val="24"/>
        </w:rPr>
        <w:t>6/1</w:t>
      </w:r>
      <w:r w:rsidR="006F2A08">
        <w:rPr>
          <w:sz w:val="24"/>
          <w:szCs w:val="24"/>
        </w:rPr>
        <w:t>1</w:t>
      </w:r>
    </w:p>
    <w:p w:rsidR="009C31C4" w:rsidRDefault="009C31C4" w:rsidP="006F2A08">
      <w:pPr>
        <w:pStyle w:val="Figure"/>
        <w:rPr>
          <w:b/>
          <w:bCs/>
          <w:lang w:eastAsia="ko-KR"/>
        </w:rPr>
      </w:pPr>
      <w:r>
        <w:rPr>
          <w:b/>
          <w:bCs/>
        </w:rPr>
        <w:t xml:space="preserve">QUESTION </w:t>
      </w:r>
      <w:r w:rsidR="006F2A08">
        <w:rPr>
          <w:b/>
          <w:bCs/>
        </w:rPr>
        <w:t>1</w:t>
      </w:r>
      <w:r>
        <w:rPr>
          <w:b/>
          <w:bCs/>
        </w:rPr>
        <w:t>6/</w:t>
      </w:r>
      <w:r>
        <w:rPr>
          <w:b/>
          <w:bCs/>
          <w:lang w:eastAsia="ko-KR"/>
        </w:rPr>
        <w:t>1</w:t>
      </w:r>
      <w:r w:rsidR="006F2A08">
        <w:rPr>
          <w:b/>
          <w:bCs/>
          <w:lang w:eastAsia="ko-KR"/>
        </w:rPr>
        <w:t>1</w:t>
      </w:r>
      <w:r>
        <w:rPr>
          <w:b/>
          <w:bCs/>
        </w:rPr>
        <w:t xml:space="preserve"> – </w:t>
      </w:r>
      <w:r w:rsidR="006F2A08" w:rsidRPr="006F2A08">
        <w:rPr>
          <w:b/>
          <w:bCs/>
          <w:lang w:eastAsia="ko-KR"/>
        </w:rPr>
        <w:t>Protocol procedures relating to specific services over IPv6</w:t>
      </w:r>
    </w:p>
    <w:p w:rsidR="009C31C4" w:rsidRPr="004C6ADC" w:rsidRDefault="009C31C4" w:rsidP="009C31C4">
      <w:pPr>
        <w:rPr>
          <w:szCs w:val="24"/>
        </w:rPr>
      </w:pPr>
      <w:r w:rsidRPr="004C6ADC">
        <w:rPr>
          <w:szCs w:val="24"/>
        </w:rPr>
        <w:t>(New</w:t>
      </w:r>
      <w:r>
        <w:rPr>
          <w:szCs w:val="24"/>
        </w:rPr>
        <w:t xml:space="preserve"> Question</w:t>
      </w:r>
      <w:r w:rsidRPr="004C6ADC">
        <w:rPr>
          <w:szCs w:val="24"/>
        </w:rPr>
        <w:t>)</w:t>
      </w:r>
    </w:p>
    <w:p w:rsidR="009C31C4" w:rsidRPr="0049179E" w:rsidRDefault="009C31C4" w:rsidP="009C31C4">
      <w:pPr>
        <w:pStyle w:val="Heading3"/>
        <w:spacing w:before="240"/>
        <w:jc w:val="both"/>
        <w:rPr>
          <w:lang w:eastAsia="ko-KR"/>
        </w:rPr>
      </w:pPr>
      <w:r>
        <w:rPr>
          <w:rFonts w:hint="eastAsia"/>
          <w:lang w:eastAsia="ko-KR"/>
        </w:rPr>
        <w:t>1</w:t>
      </w:r>
      <w:r w:rsidRPr="0049179E">
        <w:rPr>
          <w:lang w:eastAsia="ko-KR"/>
        </w:rPr>
        <w:tab/>
      </w:r>
      <w:r>
        <w:rPr>
          <w:rFonts w:hint="eastAsia"/>
          <w:lang w:eastAsia="ko-KR"/>
        </w:rPr>
        <w:t>Motivation</w:t>
      </w:r>
    </w:p>
    <w:p w:rsidR="006F2A08" w:rsidRPr="006F2A08" w:rsidRDefault="006F2A08" w:rsidP="006F2A08">
      <w:pPr>
        <w:rPr>
          <w:szCs w:val="24"/>
          <w:lang w:val="en-US"/>
        </w:rPr>
      </w:pPr>
      <w:r w:rsidRPr="006F2A08">
        <w:rPr>
          <w:szCs w:val="24"/>
          <w:lang w:val="en-US"/>
        </w:rPr>
        <w:t>Whereas the global exhaustion of IPv4 addresses is forcing a transition to IPv6, and whereas significant differences exist between IPv4 and IPv6, how to guarantee the service continuity becomes more and more important for the service providers. New protocol procedures may be required to enable implementation and deployment of the services over IPv6 (e.g., wired broadband, IPTV etc.).</w:t>
      </w:r>
    </w:p>
    <w:p w:rsidR="009C31C4" w:rsidRPr="002A6FE9" w:rsidRDefault="009C31C4" w:rsidP="009C31C4">
      <w:pPr>
        <w:pStyle w:val="Heading3"/>
        <w:spacing w:before="240"/>
        <w:jc w:val="both"/>
        <w:rPr>
          <w:lang w:eastAsia="ko-KR"/>
        </w:rPr>
      </w:pPr>
      <w:r w:rsidRPr="002A6FE9">
        <w:rPr>
          <w:lang w:eastAsia="ko-KR"/>
        </w:rPr>
        <w:t>2</w:t>
      </w:r>
      <w:r w:rsidRPr="002A6FE9">
        <w:rPr>
          <w:lang w:eastAsia="ko-KR"/>
        </w:rPr>
        <w:tab/>
        <w:t>Question</w:t>
      </w:r>
    </w:p>
    <w:p w:rsidR="006F2A08" w:rsidRPr="006F2A08" w:rsidRDefault="006F2A08" w:rsidP="006F2A08">
      <w:pPr>
        <w:rPr>
          <w:szCs w:val="24"/>
          <w:lang w:val="en-US"/>
        </w:rPr>
      </w:pPr>
      <w:r w:rsidRPr="006F2A08">
        <w:rPr>
          <w:szCs w:val="24"/>
          <w:lang w:val="en-US"/>
        </w:rPr>
        <w:t>Study items to be considered include, but are not limited to:</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What existing ITU-T Recommendations need updating to take advantage of IPv6? </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What new services can be identified for which the introduction of IPv6 is a necessary precondition? </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What new protocol procedures are required to implement services identified above?</w:t>
      </w:r>
    </w:p>
    <w:p w:rsidR="009C31C4" w:rsidRPr="002A6FE9" w:rsidRDefault="009C31C4" w:rsidP="009C31C4">
      <w:pPr>
        <w:pStyle w:val="Heading3"/>
        <w:spacing w:before="240"/>
        <w:jc w:val="both"/>
        <w:rPr>
          <w:lang w:eastAsia="ko-KR"/>
        </w:rPr>
      </w:pPr>
      <w:r w:rsidRPr="002A6FE9">
        <w:rPr>
          <w:lang w:eastAsia="ko-KR"/>
        </w:rPr>
        <w:t>3</w:t>
      </w:r>
      <w:r w:rsidRPr="002A6FE9">
        <w:rPr>
          <w:lang w:eastAsia="ko-KR"/>
        </w:rPr>
        <w:tab/>
        <w:t>Tasks</w:t>
      </w:r>
    </w:p>
    <w:p w:rsidR="006F2A08" w:rsidRPr="006F2A08" w:rsidRDefault="006F2A08" w:rsidP="006F2A08">
      <w:pPr>
        <w:rPr>
          <w:szCs w:val="24"/>
          <w:lang w:val="en-US"/>
        </w:rPr>
      </w:pPr>
      <w:r w:rsidRPr="006F2A08">
        <w:rPr>
          <w:szCs w:val="24"/>
          <w:lang w:val="en-US"/>
        </w:rPr>
        <w:t>Tasks include, but are not limited to:</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Review existing Recommendations for implicit or explicit dependency on IP version, and update where necessary to provide for a successful transition to IPv6 (working with the relevant Study Groups/Questions) </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Identify services for which new protocol procedures are required for the transition to IPv6 </w:t>
      </w:r>
    </w:p>
    <w:p w:rsidR="009C31C4"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Develop new protocol procedures for the services identified above.</w:t>
      </w:r>
    </w:p>
    <w:p w:rsidR="009C31C4" w:rsidRDefault="009C31C4" w:rsidP="009C31C4">
      <w:pPr>
        <w:pStyle w:val="Heading3"/>
        <w:spacing w:before="240"/>
        <w:jc w:val="both"/>
        <w:rPr>
          <w:lang w:eastAsia="ko-KR"/>
        </w:rPr>
      </w:pPr>
      <w:r w:rsidRPr="0049179E">
        <w:rPr>
          <w:lang w:eastAsia="ko-KR"/>
        </w:rPr>
        <w:t>4</w:t>
      </w:r>
      <w:r w:rsidRPr="0049179E">
        <w:rPr>
          <w:lang w:eastAsia="ko-KR"/>
        </w:rPr>
        <w:tab/>
        <w:t>Relationships</w:t>
      </w:r>
    </w:p>
    <w:p w:rsidR="006F2A08" w:rsidRPr="006F2A08" w:rsidRDefault="006F2A08" w:rsidP="006F2A08">
      <w:pPr>
        <w:rPr>
          <w:b/>
          <w:bCs/>
          <w:szCs w:val="24"/>
          <w:lang w:val="en-US"/>
        </w:rPr>
      </w:pPr>
      <w:r w:rsidRPr="006F2A08">
        <w:rPr>
          <w:b/>
          <w:bCs/>
          <w:szCs w:val="24"/>
          <w:lang w:val="en-US"/>
        </w:rPr>
        <w:t>Recommendations:</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Pr>
          <w:szCs w:val="24"/>
          <w:lang w:val="en-US"/>
        </w:rPr>
        <w:t>Y.2053, Y.2054 and Q.33xx-series</w:t>
      </w:r>
    </w:p>
    <w:p w:rsidR="006F2A08" w:rsidRPr="006F2A08" w:rsidRDefault="006F2A08" w:rsidP="006F2A08">
      <w:pPr>
        <w:rPr>
          <w:b/>
          <w:bCs/>
          <w:szCs w:val="24"/>
          <w:lang w:val="en-US"/>
        </w:rPr>
      </w:pPr>
      <w:r w:rsidRPr="006F2A08">
        <w:rPr>
          <w:b/>
          <w:bCs/>
          <w:szCs w:val="24"/>
          <w:lang w:val="en-US"/>
        </w:rPr>
        <w:t>Questions:</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Q1/11, Q2/11, Q3/11, Q4/11, Q5/11, Q7/11</w:t>
      </w:r>
    </w:p>
    <w:p w:rsidR="006F2A08" w:rsidRPr="006F2A08" w:rsidRDefault="006F2A08" w:rsidP="006F2A08">
      <w:pPr>
        <w:rPr>
          <w:b/>
          <w:bCs/>
          <w:szCs w:val="24"/>
          <w:lang w:val="en-US"/>
        </w:rPr>
      </w:pPr>
      <w:r w:rsidRPr="006F2A08">
        <w:rPr>
          <w:b/>
          <w:bCs/>
          <w:szCs w:val="24"/>
          <w:lang w:val="en-US"/>
        </w:rPr>
        <w:t>Study Groups:</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ITU-T SG 13 on NGN (especially Q1/13, Q3/13, Q4/13 and Q7/13) </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ITU-T SG 16 on multimedia services and applications </w:t>
      </w:r>
    </w:p>
    <w:p w:rsidR="006F2A08" w:rsidRPr="006F2A08" w:rsidRDefault="006F2A08" w:rsidP="006F2A08">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 xml:space="preserve">ITU-T SG 2 and other SGs working on IPv6 issues </w:t>
      </w:r>
    </w:p>
    <w:p w:rsidR="006F2A08" w:rsidRPr="006F2A08" w:rsidRDefault="006F2A08" w:rsidP="006F2A08">
      <w:pPr>
        <w:rPr>
          <w:b/>
          <w:bCs/>
          <w:szCs w:val="24"/>
          <w:lang w:val="en-US"/>
        </w:rPr>
      </w:pPr>
      <w:r w:rsidRPr="006F2A08">
        <w:rPr>
          <w:b/>
          <w:bCs/>
          <w:szCs w:val="24"/>
          <w:lang w:val="en-US"/>
        </w:rPr>
        <w:t>Standardization bodies</w:t>
      </w:r>
    </w:p>
    <w:p w:rsidR="006F2A08" w:rsidRPr="006F2A08" w:rsidRDefault="006F2A08" w:rsidP="00372E1E">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IETF, Broadband Forum</w:t>
      </w:r>
    </w:p>
    <w:p w:rsidR="006F2A08" w:rsidRDefault="006F2A08" w:rsidP="00372E1E">
      <w:pPr>
        <w:numPr>
          <w:ilvl w:val="0"/>
          <w:numId w:val="7"/>
        </w:numPr>
        <w:tabs>
          <w:tab w:val="clear" w:pos="720"/>
          <w:tab w:val="clear" w:pos="794"/>
          <w:tab w:val="clear" w:pos="1191"/>
          <w:tab w:val="clear" w:pos="1588"/>
          <w:tab w:val="clear" w:pos="1985"/>
        </w:tabs>
        <w:ind w:left="567" w:hanging="567"/>
        <w:rPr>
          <w:szCs w:val="24"/>
          <w:lang w:val="en-US"/>
        </w:rPr>
      </w:pPr>
      <w:r w:rsidRPr="006F2A08">
        <w:rPr>
          <w:szCs w:val="24"/>
          <w:lang w:val="en-US"/>
        </w:rPr>
        <w:t>Regional SDOs dealing with NGN, IPv6 and related-services</w:t>
      </w:r>
    </w:p>
    <w:p w:rsidR="00372E1E" w:rsidRPr="006F2A08" w:rsidRDefault="00372E1E" w:rsidP="00372E1E">
      <w:pPr>
        <w:tabs>
          <w:tab w:val="clear" w:pos="794"/>
          <w:tab w:val="clear" w:pos="1191"/>
          <w:tab w:val="clear" w:pos="1588"/>
          <w:tab w:val="clear" w:pos="1985"/>
        </w:tabs>
        <w:jc w:val="center"/>
        <w:rPr>
          <w:szCs w:val="24"/>
          <w:lang w:val="en-US"/>
        </w:rPr>
      </w:pPr>
      <w:r>
        <w:rPr>
          <w:szCs w:val="24"/>
          <w:lang w:val="en-US"/>
        </w:rPr>
        <w:t>____________________</w:t>
      </w:r>
    </w:p>
    <w:sectPr w:rsidR="00372E1E" w:rsidRPr="006F2A08" w:rsidSect="00C51CBC">
      <w:headerReference w:type="default" r:id="rId14"/>
      <w:type w:val="continuous"/>
      <w:pgSz w:w="11907" w:h="16840" w:code="9"/>
      <w:pgMar w:top="1134" w:right="1134" w:bottom="1134"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2" w:rsidRDefault="006D64E2">
      <w:r>
        <w:separator/>
      </w:r>
    </w:p>
  </w:endnote>
  <w:endnote w:type="continuationSeparator" w:id="0">
    <w:p w:rsidR="006D64E2" w:rsidRDefault="006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Pr="009C31C4" w:rsidRDefault="009C31C4" w:rsidP="00B36280">
    <w:pPr>
      <w:pStyle w:val="Footer"/>
      <w:rPr>
        <w:lang w:val="fr-CH"/>
      </w:rPr>
    </w:pPr>
    <w:r w:rsidRPr="009C31C4">
      <w:rPr>
        <w:lang w:val="fr-CH"/>
      </w:rPr>
      <w:t>ITU-T\BUREAU\CIRC\</w:t>
    </w:r>
    <w:r w:rsidR="00B36280">
      <w:rPr>
        <w:lang w:val="fr-CH"/>
      </w:rPr>
      <w:t>301</w:t>
    </w:r>
    <w:r w:rsidRPr="009C31C4">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9C31C4">
    <w:pPr>
      <w:pBdr>
        <w:top w:val="single" w:sz="4" w:space="5" w:color="auto"/>
      </w:pBdr>
      <w:tabs>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9C31C4" w:rsidRDefault="009C31C4" w:rsidP="00C51CBC">
    <w:pPr>
      <w:tabs>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9C31C4" w:rsidRDefault="009C31C4">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2" w:rsidRDefault="006D64E2">
      <w:r>
        <w:separator/>
      </w:r>
    </w:p>
  </w:footnote>
  <w:footnote w:type="continuationSeparator" w:id="0">
    <w:p w:rsidR="006D64E2" w:rsidRDefault="006D6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E442F3">
    <w:pPr>
      <w:pStyle w:val="Header"/>
      <w:jc w:val="right"/>
    </w:pPr>
    <w:r>
      <w:fldChar w:fldCharType="begin"/>
    </w:r>
    <w:r w:rsidR="009C31C4">
      <w:instrText xml:space="preserve"> PAGE  \* MERGEFORMAT </w:instrText>
    </w:r>
    <w:r>
      <w:fldChar w:fldCharType="separate"/>
    </w:r>
    <w:r w:rsidR="009C31C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9C31C4" w:rsidP="00C51CBC">
    <w:pPr>
      <w:pStyle w:val="Header"/>
      <w:spacing w:before="5880"/>
      <w:ind w:left="-198"/>
      <w:jc w:val="left"/>
    </w:pPr>
    <w:r>
      <w:sym w:font="Symbol" w:char="F0B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Pr="00C51CBC" w:rsidRDefault="009C31C4" w:rsidP="00C51CBC">
    <w:pPr>
      <w:pStyle w:val="Header"/>
      <w:rPr>
        <w:lang w:val="fr-CH"/>
      </w:rPr>
    </w:pPr>
    <w:r>
      <w:rPr>
        <w:lang w:val="fr-CH"/>
      </w:rPr>
      <w:t xml:space="preserve">- </w:t>
    </w:r>
    <w:r w:rsidR="00E442F3">
      <w:rPr>
        <w:rStyle w:val="PageNumber"/>
      </w:rPr>
      <w:fldChar w:fldCharType="begin"/>
    </w:r>
    <w:r>
      <w:rPr>
        <w:rStyle w:val="PageNumber"/>
      </w:rPr>
      <w:instrText xml:space="preserve"> PAGE </w:instrText>
    </w:r>
    <w:r w:rsidR="00E442F3">
      <w:rPr>
        <w:rStyle w:val="PageNumber"/>
      </w:rPr>
      <w:fldChar w:fldCharType="separate"/>
    </w:r>
    <w:r w:rsidR="00146C1C">
      <w:rPr>
        <w:rStyle w:val="PageNumber"/>
        <w:noProof/>
      </w:rPr>
      <w:t>2</w:t>
    </w:r>
    <w:r w:rsidR="00E442F3">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4F966"/>
    <w:lvl w:ilvl="0">
      <w:numFmt w:val="decimal"/>
      <w:lvlText w:val="*"/>
      <w:lvlJc w:val="left"/>
      <w:pPr>
        <w:ind w:left="0" w:firstLine="0"/>
      </w:pPr>
    </w:lvl>
  </w:abstractNum>
  <w:abstractNum w:abstractNumId="1">
    <w:nsid w:val="00EE550B"/>
    <w:multiLevelType w:val="hybridMultilevel"/>
    <w:tmpl w:val="B4B2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1864F3"/>
    <w:multiLevelType w:val="multilevel"/>
    <w:tmpl w:val="F2680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85B7668"/>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E22216"/>
    <w:multiLevelType w:val="multilevel"/>
    <w:tmpl w:val="9DFEB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05BE3"/>
    <w:multiLevelType w:val="multilevel"/>
    <w:tmpl w:val="DC424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302B8"/>
    <w:multiLevelType w:val="multilevel"/>
    <w:tmpl w:val="17BAA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479F9"/>
    <w:multiLevelType w:val="multilevel"/>
    <w:tmpl w:val="4222A568"/>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5559B"/>
    <w:multiLevelType w:val="multilevel"/>
    <w:tmpl w:val="B7FCD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94304"/>
    <w:multiLevelType w:val="multilevel"/>
    <w:tmpl w:val="4AF28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76CC4"/>
    <w:multiLevelType w:val="multilevel"/>
    <w:tmpl w:val="EB801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1"/>
  </w:num>
  <w:num w:numId="6">
    <w:abstractNumId w:val="10"/>
  </w:num>
  <w:num w:numId="7">
    <w:abstractNumId w:val="8"/>
  </w:num>
  <w:num w:numId="8">
    <w:abstractNumId w:val="11"/>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0D"/>
    <w:rsid w:val="00002945"/>
    <w:rsid w:val="000E5329"/>
    <w:rsid w:val="00135C3B"/>
    <w:rsid w:val="00146C1C"/>
    <w:rsid w:val="00152BC2"/>
    <w:rsid w:val="001C5E12"/>
    <w:rsid w:val="001C5FB9"/>
    <w:rsid w:val="001E1FA7"/>
    <w:rsid w:val="00201344"/>
    <w:rsid w:val="0024606B"/>
    <w:rsid w:val="002823FF"/>
    <w:rsid w:val="00292E46"/>
    <w:rsid w:val="002A021C"/>
    <w:rsid w:val="002A7E81"/>
    <w:rsid w:val="002F4530"/>
    <w:rsid w:val="0034145E"/>
    <w:rsid w:val="00372E1E"/>
    <w:rsid w:val="003E3553"/>
    <w:rsid w:val="0041046D"/>
    <w:rsid w:val="00453BBE"/>
    <w:rsid w:val="004C5E7B"/>
    <w:rsid w:val="004F7579"/>
    <w:rsid w:val="005152F2"/>
    <w:rsid w:val="00537200"/>
    <w:rsid w:val="00547C79"/>
    <w:rsid w:val="00552C31"/>
    <w:rsid w:val="00650E6F"/>
    <w:rsid w:val="00653161"/>
    <w:rsid w:val="006D64E2"/>
    <w:rsid w:val="006F2A08"/>
    <w:rsid w:val="00720CD7"/>
    <w:rsid w:val="00790F7A"/>
    <w:rsid w:val="00804434"/>
    <w:rsid w:val="00843D21"/>
    <w:rsid w:val="00867E89"/>
    <w:rsid w:val="009542F2"/>
    <w:rsid w:val="00960257"/>
    <w:rsid w:val="00984C99"/>
    <w:rsid w:val="009C31C4"/>
    <w:rsid w:val="00A47ABB"/>
    <w:rsid w:val="00A61D8B"/>
    <w:rsid w:val="00AD7A38"/>
    <w:rsid w:val="00AF0794"/>
    <w:rsid w:val="00B17D35"/>
    <w:rsid w:val="00B36280"/>
    <w:rsid w:val="00B903D4"/>
    <w:rsid w:val="00BB2162"/>
    <w:rsid w:val="00C27ECD"/>
    <w:rsid w:val="00C51CBC"/>
    <w:rsid w:val="00CA7324"/>
    <w:rsid w:val="00CE2890"/>
    <w:rsid w:val="00D74495"/>
    <w:rsid w:val="00DA2B20"/>
    <w:rsid w:val="00DB16D1"/>
    <w:rsid w:val="00E442F3"/>
    <w:rsid w:val="00E45D0D"/>
    <w:rsid w:val="00E524F1"/>
    <w:rsid w:val="00EB5644"/>
    <w:rsid w:val="00ED08BA"/>
    <w:rsid w:val="00FB1614"/>
    <w:rsid w:val="00FC3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ListParagraph">
    <w:name w:val="List Paragraph"/>
    <w:basedOn w:val="Normal"/>
    <w:uiPriority w:val="34"/>
    <w:qFormat/>
    <w:rsid w:val="009C31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styleId="BalloonText">
    <w:name w:val="Balloon Text"/>
    <w:basedOn w:val="Normal"/>
    <w:link w:val="BalloonTextChar"/>
    <w:rsid w:val="00292E46"/>
    <w:pPr>
      <w:spacing w:before="0"/>
    </w:pPr>
    <w:rPr>
      <w:rFonts w:ascii="Tahoma" w:hAnsi="Tahoma" w:cs="Tahoma"/>
      <w:sz w:val="16"/>
      <w:szCs w:val="16"/>
    </w:rPr>
  </w:style>
  <w:style w:type="character" w:customStyle="1" w:styleId="BalloonTextChar">
    <w:name w:val="Balloon Text Char"/>
    <w:basedOn w:val="DefaultParagraphFont"/>
    <w:link w:val="BalloonText"/>
    <w:rsid w:val="00292E46"/>
    <w:rPr>
      <w:rFonts w:ascii="Tahoma" w:hAnsi="Tahoma" w:cs="Tahoma"/>
      <w:sz w:val="16"/>
      <w:szCs w:val="16"/>
      <w:lang w:val="en-GB" w:eastAsia="en-US"/>
    </w:rPr>
  </w:style>
  <w:style w:type="paragraph" w:styleId="NormalWeb">
    <w:name w:val="Normal (Web)"/>
    <w:basedOn w:val="Normal"/>
    <w:uiPriority w:val="99"/>
    <w:unhideWhenUsed/>
    <w:rsid w:val="006F2A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styleId="Strong">
    <w:name w:val="Strong"/>
    <w:basedOn w:val="DefaultParagraphFont"/>
    <w:uiPriority w:val="22"/>
    <w:qFormat/>
    <w:rsid w:val="006F2A08"/>
    <w:rPr>
      <w:b/>
      <w:bCs/>
    </w:rPr>
  </w:style>
  <w:style w:type="character" w:styleId="FollowedHyperlink">
    <w:name w:val="FollowedHyperlink"/>
    <w:basedOn w:val="DefaultParagraphFont"/>
    <w:rsid w:val="00146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ListParagraph">
    <w:name w:val="List Paragraph"/>
    <w:basedOn w:val="Normal"/>
    <w:uiPriority w:val="34"/>
    <w:qFormat/>
    <w:rsid w:val="009C31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styleId="BalloonText">
    <w:name w:val="Balloon Text"/>
    <w:basedOn w:val="Normal"/>
    <w:link w:val="BalloonTextChar"/>
    <w:rsid w:val="00292E46"/>
    <w:pPr>
      <w:spacing w:before="0"/>
    </w:pPr>
    <w:rPr>
      <w:rFonts w:ascii="Tahoma" w:hAnsi="Tahoma" w:cs="Tahoma"/>
      <w:sz w:val="16"/>
      <w:szCs w:val="16"/>
    </w:rPr>
  </w:style>
  <w:style w:type="character" w:customStyle="1" w:styleId="BalloonTextChar">
    <w:name w:val="Balloon Text Char"/>
    <w:basedOn w:val="DefaultParagraphFont"/>
    <w:link w:val="BalloonText"/>
    <w:rsid w:val="00292E46"/>
    <w:rPr>
      <w:rFonts w:ascii="Tahoma" w:hAnsi="Tahoma" w:cs="Tahoma"/>
      <w:sz w:val="16"/>
      <w:szCs w:val="16"/>
      <w:lang w:val="en-GB" w:eastAsia="en-US"/>
    </w:rPr>
  </w:style>
  <w:style w:type="paragraph" w:styleId="NormalWeb">
    <w:name w:val="Normal (Web)"/>
    <w:basedOn w:val="Normal"/>
    <w:uiPriority w:val="99"/>
    <w:unhideWhenUsed/>
    <w:rsid w:val="006F2A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styleId="Strong">
    <w:name w:val="Strong"/>
    <w:basedOn w:val="DefaultParagraphFont"/>
    <w:uiPriority w:val="22"/>
    <w:qFormat/>
    <w:rsid w:val="006F2A08"/>
    <w:rPr>
      <w:b/>
      <w:bCs/>
    </w:rPr>
  </w:style>
  <w:style w:type="character" w:styleId="FollowedHyperlink">
    <w:name w:val="FollowedHyperlink"/>
    <w:basedOn w:val="DefaultParagraphFont"/>
    <w:rsid w:val="00146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1@itu.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PE_TSBAPROV-QE.dot</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3299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creator>schifferli</dc:creator>
  <dc:description>May 1996, NT version (32 bits)</dc:description>
  <cp:lastModifiedBy>Papara, Marion</cp:lastModifiedBy>
  <cp:revision>2</cp:revision>
  <cp:lastPrinted>2012-07-11T07:38:00Z</cp:lastPrinted>
  <dcterms:created xsi:type="dcterms:W3CDTF">2012-07-11T09:45:00Z</dcterms:created>
  <dcterms:modified xsi:type="dcterms:W3CDTF">2012-07-11T09:45:00Z</dcterms:modified>
</cp:coreProperties>
</file>