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4E6BDA" w:rsidRPr="00F50108">
        <w:trPr>
          <w:cantSplit/>
        </w:trPr>
        <w:tc>
          <w:tcPr>
            <w:tcW w:w="6237" w:type="dxa"/>
            <w:vAlign w:val="center"/>
          </w:tcPr>
          <w:p w:rsidR="004E6BDA" w:rsidRPr="00B73F4D" w:rsidRDefault="004E6BDA" w:rsidP="009C144C">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4E6BDA" w:rsidRPr="00F50108" w:rsidRDefault="00460219" w:rsidP="009C144C">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F50108">
        <w:trPr>
          <w:cantSplit/>
        </w:trPr>
        <w:tc>
          <w:tcPr>
            <w:tcW w:w="6237" w:type="dxa"/>
            <w:vAlign w:val="center"/>
          </w:tcPr>
          <w:p w:rsidR="004E6BDA" w:rsidRPr="00F50108" w:rsidRDefault="004E6BDA" w:rsidP="009C144C">
            <w:pPr>
              <w:tabs>
                <w:tab w:val="right" w:pos="8732"/>
              </w:tabs>
              <w:spacing w:before="0"/>
              <w:rPr>
                <w:rFonts w:ascii="Verdana" w:hAnsi="Verdana"/>
                <w:b/>
                <w:bCs/>
                <w:iCs/>
                <w:sz w:val="18"/>
                <w:szCs w:val="18"/>
              </w:rPr>
            </w:pPr>
          </w:p>
        </w:tc>
        <w:tc>
          <w:tcPr>
            <w:tcW w:w="3261" w:type="dxa"/>
            <w:vAlign w:val="center"/>
          </w:tcPr>
          <w:p w:rsidR="004E6BDA" w:rsidRPr="00F50108" w:rsidRDefault="004E6BDA" w:rsidP="009C144C">
            <w:pPr>
              <w:spacing w:before="0"/>
              <w:ind w:left="993" w:hanging="993"/>
              <w:jc w:val="right"/>
              <w:rPr>
                <w:rFonts w:ascii="Verdana" w:hAnsi="Verdana"/>
                <w:sz w:val="18"/>
                <w:szCs w:val="18"/>
                <w:lang w:val="en-US"/>
              </w:rPr>
            </w:pPr>
          </w:p>
        </w:tc>
      </w:tr>
    </w:tbl>
    <w:p w:rsidR="004E6BDA" w:rsidRDefault="004E6BDA" w:rsidP="009C144C">
      <w:pPr>
        <w:tabs>
          <w:tab w:val="clear" w:pos="794"/>
          <w:tab w:val="clear" w:pos="1191"/>
          <w:tab w:val="clear" w:pos="1588"/>
          <w:tab w:val="clear" w:pos="1985"/>
          <w:tab w:val="left" w:pos="5755"/>
        </w:tabs>
      </w:pPr>
    </w:p>
    <w:p w:rsidR="00EE59AB" w:rsidRDefault="00EE59AB" w:rsidP="009C144C">
      <w:pPr>
        <w:tabs>
          <w:tab w:val="clear" w:pos="794"/>
          <w:tab w:val="clear" w:pos="1191"/>
          <w:tab w:val="clear" w:pos="1588"/>
          <w:tab w:val="clear" w:pos="1985"/>
          <w:tab w:val="left" w:pos="5755"/>
        </w:tabs>
        <w:rPr>
          <w:lang w:eastAsia="zh-CN"/>
        </w:rPr>
      </w:pPr>
      <w:r>
        <w:tab/>
      </w:r>
      <w:r w:rsidR="007C596C">
        <w:rPr>
          <w:rFonts w:hint="eastAsia"/>
          <w:lang w:eastAsia="zh-CN"/>
        </w:rPr>
        <w:t>2011</w:t>
      </w:r>
      <w:r>
        <w:rPr>
          <w:rFonts w:hint="eastAsia"/>
          <w:lang w:eastAsia="zh-CN"/>
        </w:rPr>
        <w:t>年</w:t>
      </w:r>
      <w:r w:rsidR="007C596C">
        <w:rPr>
          <w:rFonts w:hint="eastAsia"/>
          <w:lang w:eastAsia="zh-CN"/>
        </w:rPr>
        <w:t>5</w:t>
      </w:r>
      <w:r>
        <w:rPr>
          <w:rFonts w:hint="eastAsia"/>
          <w:lang w:eastAsia="zh-CN"/>
        </w:rPr>
        <w:t>月</w:t>
      </w:r>
      <w:r w:rsidR="007C596C">
        <w:rPr>
          <w:rFonts w:hint="eastAsia"/>
          <w:lang w:eastAsia="zh-CN"/>
        </w:rPr>
        <w:t>20</w:t>
      </w:r>
      <w:r>
        <w:rPr>
          <w:rFonts w:hint="eastAsia"/>
          <w:lang w:eastAsia="zh-CN"/>
        </w:rPr>
        <w:t>日，日内瓦</w:t>
      </w:r>
    </w:p>
    <w:p w:rsidR="00EE59AB" w:rsidRDefault="00EE59AB" w:rsidP="009C144C">
      <w:pPr>
        <w:spacing w:before="0"/>
        <w:rPr>
          <w:lang w:eastAsia="zh-CN"/>
        </w:rPr>
      </w:pPr>
    </w:p>
    <w:tbl>
      <w:tblPr>
        <w:tblW w:w="10206" w:type="dxa"/>
        <w:tblInd w:w="8" w:type="dxa"/>
        <w:tblLayout w:type="fixed"/>
        <w:tblCellMar>
          <w:left w:w="0" w:type="dxa"/>
          <w:right w:w="0" w:type="dxa"/>
        </w:tblCellMar>
        <w:tblLook w:val="0000"/>
      </w:tblPr>
      <w:tblGrid>
        <w:gridCol w:w="822"/>
        <w:gridCol w:w="4848"/>
        <w:gridCol w:w="4536"/>
      </w:tblGrid>
      <w:tr w:rsidR="00EE59AB">
        <w:trPr>
          <w:cantSplit/>
          <w:trHeight w:val="340"/>
        </w:trPr>
        <w:tc>
          <w:tcPr>
            <w:tcW w:w="822" w:type="dxa"/>
          </w:tcPr>
          <w:p w:rsidR="00EE59AB" w:rsidRDefault="00EE59AB" w:rsidP="009C144C">
            <w:pPr>
              <w:tabs>
                <w:tab w:val="left" w:pos="4111"/>
              </w:tabs>
              <w:spacing w:before="10"/>
              <w:ind w:left="57"/>
              <w:rPr>
                <w:sz w:val="22"/>
                <w:lang w:eastAsia="zh-CN"/>
              </w:rPr>
            </w:pPr>
            <w:r>
              <w:rPr>
                <w:rFonts w:hint="eastAsia"/>
                <w:sz w:val="22"/>
                <w:lang w:eastAsia="zh-CN"/>
              </w:rPr>
              <w:t>文号</w:t>
            </w:r>
            <w:r>
              <w:rPr>
                <w:sz w:val="22"/>
                <w:lang w:eastAsia="zh-CN"/>
              </w:rPr>
              <w:t>:</w:t>
            </w:r>
          </w:p>
        </w:tc>
        <w:tc>
          <w:tcPr>
            <w:tcW w:w="4848" w:type="dxa"/>
          </w:tcPr>
          <w:p w:rsidR="00EE59AB" w:rsidRDefault="00EE59AB" w:rsidP="009C144C">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7C596C">
              <w:rPr>
                <w:rFonts w:hint="eastAsia"/>
                <w:b/>
                <w:lang w:eastAsia="zh-CN"/>
              </w:rPr>
              <w:t>193</w:t>
            </w:r>
            <w:r>
              <w:rPr>
                <w:rFonts w:hint="eastAsia"/>
                <w:b/>
                <w:lang w:eastAsia="zh-CN"/>
              </w:rPr>
              <w:t>号</w:t>
            </w:r>
            <w:r>
              <w:rPr>
                <w:rFonts w:ascii="Futura Lt BT" w:hAnsi="Futura Lt BT" w:hint="eastAsia"/>
                <w:b/>
                <w:bCs/>
                <w:iCs/>
                <w:lang w:eastAsia="zh-CN"/>
              </w:rPr>
              <w:t>通函</w:t>
            </w:r>
          </w:p>
          <w:p w:rsidR="00EE59AB" w:rsidRDefault="00EE59AB" w:rsidP="009C144C">
            <w:pPr>
              <w:tabs>
                <w:tab w:val="left" w:pos="4111"/>
              </w:tabs>
              <w:spacing w:before="0"/>
              <w:ind w:left="57"/>
              <w:rPr>
                <w:b/>
                <w:lang w:eastAsia="zh-CN"/>
              </w:rPr>
            </w:pPr>
          </w:p>
          <w:p w:rsidR="00EE59AB" w:rsidRDefault="00EE59AB" w:rsidP="009C144C">
            <w:pPr>
              <w:tabs>
                <w:tab w:val="left" w:pos="4111"/>
              </w:tabs>
              <w:spacing w:before="0"/>
              <w:ind w:left="57"/>
              <w:rPr>
                <w:b/>
                <w:lang w:eastAsia="zh-CN"/>
              </w:rPr>
            </w:pPr>
          </w:p>
        </w:tc>
        <w:tc>
          <w:tcPr>
            <w:tcW w:w="4536" w:type="dxa"/>
          </w:tcPr>
          <w:p w:rsidR="007C596C" w:rsidRDefault="007C596C" w:rsidP="009C144C">
            <w:pPr>
              <w:tabs>
                <w:tab w:val="clear" w:pos="794"/>
                <w:tab w:val="left" w:pos="284"/>
              </w:tabs>
              <w:spacing w:before="40" w:after="40"/>
              <w:rPr>
                <w:lang w:eastAsia="zh-CN"/>
              </w:rPr>
            </w:pPr>
            <w:r>
              <w:rPr>
                <w:lang w:eastAsia="zh-CN"/>
              </w:rPr>
              <w:t>-</w:t>
            </w:r>
            <w:r>
              <w:rPr>
                <w:lang w:eastAsia="zh-CN"/>
              </w:rPr>
              <w:tab/>
            </w:r>
            <w:r>
              <w:rPr>
                <w:rFonts w:hint="eastAsia"/>
                <w:lang w:eastAsia="zh-CN"/>
              </w:rPr>
              <w:t>致国际电联成员国主管部门</w:t>
            </w:r>
          </w:p>
          <w:p w:rsidR="007C596C" w:rsidRDefault="007C596C" w:rsidP="009C144C">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7C596C" w:rsidRDefault="007C596C" w:rsidP="009C144C">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BA6B1A" w:rsidRPr="001F22DE" w:rsidRDefault="00BA6B1A" w:rsidP="00BA6B1A">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学术成员；</w:t>
            </w:r>
          </w:p>
          <w:p w:rsidR="007C596C" w:rsidRDefault="007C596C" w:rsidP="009C144C">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研究组正副主席；</w:t>
            </w:r>
          </w:p>
          <w:p w:rsidR="00EE59AB" w:rsidRDefault="00EE59AB" w:rsidP="009C144C">
            <w:pPr>
              <w:tabs>
                <w:tab w:val="left" w:pos="4111"/>
              </w:tabs>
              <w:spacing w:before="0"/>
              <w:ind w:left="57"/>
              <w:rPr>
                <w:b/>
                <w:lang w:eastAsia="zh-CN"/>
              </w:rPr>
            </w:pPr>
          </w:p>
        </w:tc>
      </w:tr>
      <w:tr w:rsidR="00EE59AB">
        <w:trPr>
          <w:cantSplit/>
        </w:trPr>
        <w:tc>
          <w:tcPr>
            <w:tcW w:w="822" w:type="dxa"/>
          </w:tcPr>
          <w:p w:rsidR="00EE59AB" w:rsidRDefault="00EE59AB" w:rsidP="009C144C">
            <w:pPr>
              <w:spacing w:before="10"/>
              <w:ind w:left="57"/>
              <w:rPr>
                <w:sz w:val="22"/>
                <w:lang w:eastAsia="zh-CN"/>
              </w:rPr>
            </w:pPr>
            <w:r>
              <w:rPr>
                <w:rFonts w:hint="eastAsia"/>
                <w:sz w:val="22"/>
                <w:lang w:eastAsia="zh-CN"/>
              </w:rPr>
              <w:t>电话</w:t>
            </w:r>
            <w:r>
              <w:rPr>
                <w:sz w:val="22"/>
                <w:lang w:eastAsia="zh-CN"/>
              </w:rPr>
              <w:t>:</w:t>
            </w:r>
            <w:r>
              <w:rPr>
                <w:sz w:val="22"/>
                <w:lang w:eastAsia="zh-CN"/>
              </w:rPr>
              <w:br/>
            </w:r>
            <w:r>
              <w:rPr>
                <w:rFonts w:hint="eastAsia"/>
                <w:sz w:val="22"/>
                <w:lang w:eastAsia="zh-CN"/>
              </w:rPr>
              <w:t>传真</w:t>
            </w:r>
            <w:r>
              <w:rPr>
                <w:sz w:val="22"/>
                <w:lang w:eastAsia="zh-CN"/>
              </w:rPr>
              <w:t>:</w:t>
            </w:r>
          </w:p>
          <w:p w:rsidR="00EE59AB" w:rsidRDefault="00EE59AB" w:rsidP="009C144C">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t>:</w:t>
            </w:r>
            <w:r>
              <w:rPr>
                <w:sz w:val="22"/>
                <w:lang w:eastAsia="zh-CN"/>
              </w:rPr>
              <w:br/>
            </w:r>
          </w:p>
        </w:tc>
        <w:tc>
          <w:tcPr>
            <w:tcW w:w="4848" w:type="dxa"/>
          </w:tcPr>
          <w:p w:rsidR="007C596C" w:rsidRPr="00355E67" w:rsidRDefault="007C596C" w:rsidP="009C144C">
            <w:pPr>
              <w:spacing w:before="40" w:after="40"/>
              <w:rPr>
                <w:lang w:eastAsia="zh-CN"/>
              </w:rPr>
            </w:pPr>
            <w:r>
              <w:rPr>
                <w:lang w:eastAsia="zh-CN"/>
              </w:rPr>
              <w:t xml:space="preserve">+41 22 730 </w:t>
            </w:r>
            <w:r>
              <w:rPr>
                <w:rFonts w:hint="eastAsia"/>
                <w:lang w:eastAsia="zh-CN"/>
              </w:rPr>
              <w:t>6071</w:t>
            </w:r>
          </w:p>
          <w:p w:rsidR="007C596C" w:rsidRPr="00355E67" w:rsidRDefault="007C596C" w:rsidP="009C144C">
            <w:pPr>
              <w:spacing w:before="40" w:after="40"/>
              <w:rPr>
                <w:lang w:eastAsia="zh-CN"/>
              </w:rPr>
            </w:pPr>
            <w:r>
              <w:rPr>
                <w:lang w:eastAsia="zh-CN"/>
              </w:rPr>
              <w:t xml:space="preserve">+41 22 730 </w:t>
            </w:r>
            <w:r>
              <w:rPr>
                <w:rFonts w:hint="eastAsia"/>
                <w:lang w:eastAsia="zh-CN"/>
              </w:rPr>
              <w:t>5853</w:t>
            </w:r>
          </w:p>
          <w:p w:rsidR="007C596C" w:rsidRDefault="00BD45B7" w:rsidP="009C144C">
            <w:pPr>
              <w:spacing w:before="40" w:after="40"/>
            </w:pPr>
            <w:hyperlink r:id="rId8" w:history="1">
              <w:r w:rsidR="007C596C" w:rsidRPr="007B3B1A">
                <w:rPr>
                  <w:rStyle w:val="Hyperlink"/>
                </w:rPr>
                <w:t>tsbiptv@itu.int</w:t>
              </w:r>
            </w:hyperlink>
          </w:p>
          <w:p w:rsidR="00EE59AB" w:rsidRDefault="00EE59AB" w:rsidP="009C144C">
            <w:pPr>
              <w:tabs>
                <w:tab w:val="left" w:pos="4111"/>
              </w:tabs>
              <w:ind w:left="57"/>
              <w:rPr>
                <w:lang w:eastAsia="zh-CN"/>
              </w:rPr>
            </w:pPr>
          </w:p>
        </w:tc>
        <w:tc>
          <w:tcPr>
            <w:tcW w:w="4536" w:type="dxa"/>
          </w:tcPr>
          <w:p w:rsidR="00EE59AB" w:rsidRDefault="00EE59AB" w:rsidP="009C144C">
            <w:pPr>
              <w:tabs>
                <w:tab w:val="clear" w:pos="794"/>
                <w:tab w:val="left" w:pos="284"/>
                <w:tab w:val="left" w:pos="4111"/>
              </w:tabs>
              <w:spacing w:before="0"/>
              <w:ind w:left="284" w:hanging="227"/>
              <w:rPr>
                <w:b/>
                <w:lang w:eastAsia="zh-CN"/>
              </w:rPr>
            </w:pPr>
            <w:r>
              <w:rPr>
                <w:rFonts w:hint="eastAsia"/>
                <w:b/>
                <w:lang w:eastAsia="zh-CN"/>
              </w:rPr>
              <w:t>抄送：</w:t>
            </w:r>
          </w:p>
          <w:p w:rsidR="007C596C" w:rsidRDefault="007C596C" w:rsidP="009C144C">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EE59AB" w:rsidRDefault="007C596C" w:rsidP="009C144C">
            <w:pPr>
              <w:tabs>
                <w:tab w:val="clear" w:pos="794"/>
                <w:tab w:val="left" w:pos="284"/>
                <w:tab w:val="left" w:pos="4111"/>
              </w:tabs>
              <w:spacing w:before="0"/>
              <w:ind w:left="284" w:hanging="227"/>
              <w:rPr>
                <w:lang w:eastAsia="zh-CN"/>
              </w:rPr>
            </w:pPr>
            <w:r>
              <w:rPr>
                <w:lang w:eastAsia="zh-CN"/>
              </w:rPr>
              <w:t>-</w:t>
            </w:r>
            <w:r>
              <w:rPr>
                <w:lang w:eastAsia="zh-CN"/>
              </w:rPr>
              <w:tab/>
            </w:r>
            <w:r>
              <w:rPr>
                <w:rFonts w:hint="eastAsia"/>
                <w:lang w:eastAsia="zh-CN"/>
              </w:rPr>
              <w:t>无线电通信局主任</w:t>
            </w:r>
          </w:p>
        </w:tc>
      </w:tr>
    </w:tbl>
    <w:p w:rsidR="00EE59AB" w:rsidRDefault="00EE59AB" w:rsidP="009C144C">
      <w:pPr>
        <w:rPr>
          <w:lang w:eastAsia="zh-CN"/>
        </w:rPr>
      </w:pPr>
    </w:p>
    <w:tbl>
      <w:tblPr>
        <w:tblW w:w="0" w:type="auto"/>
        <w:tblInd w:w="8" w:type="dxa"/>
        <w:tblLayout w:type="fixed"/>
        <w:tblCellMar>
          <w:left w:w="0" w:type="dxa"/>
          <w:right w:w="0" w:type="dxa"/>
        </w:tblCellMar>
        <w:tblLook w:val="0000"/>
      </w:tblPr>
      <w:tblGrid>
        <w:gridCol w:w="822"/>
        <w:gridCol w:w="6683"/>
      </w:tblGrid>
      <w:tr w:rsidR="00EE59AB" w:rsidTr="007C596C">
        <w:trPr>
          <w:cantSplit/>
          <w:trHeight w:val="680"/>
        </w:trPr>
        <w:tc>
          <w:tcPr>
            <w:tcW w:w="822" w:type="dxa"/>
          </w:tcPr>
          <w:p w:rsidR="00EE59AB" w:rsidRDefault="00EE59AB" w:rsidP="009C144C">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r>
              <w:rPr>
                <w:sz w:val="22"/>
                <w:lang w:eastAsia="zh-CN"/>
              </w:rPr>
              <w:t>:</w:t>
            </w:r>
          </w:p>
        </w:tc>
        <w:tc>
          <w:tcPr>
            <w:tcW w:w="6683" w:type="dxa"/>
          </w:tcPr>
          <w:p w:rsidR="00EE59AB" w:rsidRDefault="007C596C" w:rsidP="009C144C">
            <w:pPr>
              <w:tabs>
                <w:tab w:val="left" w:pos="4111"/>
              </w:tabs>
              <w:spacing w:before="0"/>
              <w:ind w:left="57"/>
              <w:rPr>
                <w:b/>
                <w:lang w:eastAsia="zh-CN"/>
              </w:rPr>
            </w:pPr>
            <w:r w:rsidRPr="00E32443">
              <w:rPr>
                <w:b/>
                <w:bCs/>
                <w:lang w:eastAsia="zh-CN"/>
              </w:rPr>
              <w:t>ITU-T IPTV-GSI</w:t>
            </w:r>
            <w:r w:rsidR="0036624E">
              <w:rPr>
                <w:rFonts w:hint="eastAsia"/>
                <w:b/>
                <w:bCs/>
                <w:lang w:eastAsia="zh-CN"/>
              </w:rPr>
              <w:t>活动、</w:t>
            </w:r>
            <w:r w:rsidR="00BA6B1A">
              <w:rPr>
                <w:b/>
                <w:szCs w:val="24"/>
                <w:lang w:eastAsia="zh-CN"/>
              </w:rPr>
              <w:t>IPTV</w:t>
            </w:r>
            <w:r w:rsidR="0036624E">
              <w:rPr>
                <w:rFonts w:hint="eastAsia"/>
                <w:b/>
                <w:szCs w:val="24"/>
                <w:lang w:eastAsia="zh-CN"/>
              </w:rPr>
              <w:t>讲习班和研讨会、第</w:t>
            </w:r>
            <w:r w:rsidR="0036624E">
              <w:rPr>
                <w:rFonts w:hint="eastAsia"/>
                <w:b/>
                <w:szCs w:val="24"/>
                <w:lang w:eastAsia="zh-CN"/>
              </w:rPr>
              <w:t>4</w:t>
            </w:r>
            <w:r w:rsidR="0036624E">
              <w:rPr>
                <w:rFonts w:hint="eastAsia"/>
                <w:b/>
                <w:szCs w:val="24"/>
                <w:lang w:eastAsia="zh-CN"/>
              </w:rPr>
              <w:t>次</w:t>
            </w:r>
            <w:r w:rsidR="00BA6B1A">
              <w:rPr>
                <w:b/>
                <w:szCs w:val="24"/>
                <w:lang w:eastAsia="zh-CN"/>
              </w:rPr>
              <w:t> IPTV</w:t>
            </w:r>
            <w:r w:rsidR="0036624E">
              <w:rPr>
                <w:rFonts w:hint="eastAsia"/>
                <w:b/>
                <w:szCs w:val="24"/>
                <w:lang w:eastAsia="zh-CN"/>
              </w:rPr>
              <w:t>互操作性测试和展示</w:t>
            </w:r>
            <w:r w:rsidRPr="00E32443">
              <w:rPr>
                <w:rFonts w:hAnsi="SimSun" w:hint="eastAsia"/>
                <w:b/>
                <w:bCs/>
                <w:lang w:eastAsia="zh-CN"/>
              </w:rPr>
              <w:t>活动</w:t>
            </w:r>
            <w:r w:rsidRPr="00E32443">
              <w:rPr>
                <w:rFonts w:hAnsi="SimSun"/>
                <w:b/>
                <w:bCs/>
                <w:lang w:eastAsia="zh-CN"/>
              </w:rPr>
              <w:br/>
            </w:r>
            <w:r w:rsidRPr="00E32443">
              <w:rPr>
                <w:b/>
                <w:bCs/>
                <w:lang w:eastAsia="zh-CN"/>
              </w:rPr>
              <w:t>201</w:t>
            </w:r>
            <w:r>
              <w:rPr>
                <w:rFonts w:hint="eastAsia"/>
                <w:b/>
                <w:bCs/>
                <w:lang w:eastAsia="zh-CN"/>
              </w:rPr>
              <w:t>1</w:t>
            </w:r>
            <w:r w:rsidRPr="00E32443">
              <w:rPr>
                <w:rFonts w:hint="eastAsia"/>
                <w:b/>
                <w:bCs/>
                <w:lang w:eastAsia="zh-CN"/>
              </w:rPr>
              <w:t>年</w:t>
            </w:r>
            <w:r>
              <w:rPr>
                <w:rFonts w:hint="eastAsia"/>
                <w:b/>
                <w:bCs/>
                <w:lang w:val="en-US" w:eastAsia="zh-CN"/>
              </w:rPr>
              <w:t>7</w:t>
            </w:r>
            <w:r w:rsidRPr="00E32443">
              <w:rPr>
                <w:rFonts w:hint="eastAsia"/>
                <w:b/>
                <w:bCs/>
                <w:lang w:eastAsia="zh-CN"/>
              </w:rPr>
              <w:t>月</w:t>
            </w:r>
            <w:r>
              <w:rPr>
                <w:rFonts w:hint="eastAsia"/>
                <w:b/>
                <w:bCs/>
                <w:lang w:eastAsia="zh-CN"/>
              </w:rPr>
              <w:t>18</w:t>
            </w:r>
            <w:r>
              <w:rPr>
                <w:b/>
                <w:bCs/>
                <w:lang w:eastAsia="zh-CN"/>
              </w:rPr>
              <w:t>-</w:t>
            </w:r>
            <w:r>
              <w:rPr>
                <w:rFonts w:hint="eastAsia"/>
                <w:b/>
                <w:bCs/>
                <w:lang w:eastAsia="zh-CN"/>
              </w:rPr>
              <w:t>22</w:t>
            </w:r>
            <w:r w:rsidRPr="00E32443">
              <w:rPr>
                <w:rFonts w:hint="eastAsia"/>
                <w:b/>
                <w:bCs/>
                <w:lang w:eastAsia="zh-CN"/>
              </w:rPr>
              <w:t>日</w:t>
            </w:r>
            <w:r>
              <w:rPr>
                <w:rFonts w:hint="eastAsia"/>
                <w:b/>
                <w:bCs/>
                <w:lang w:eastAsia="zh-CN"/>
              </w:rPr>
              <w:t>，巴西里约热内卢</w:t>
            </w:r>
          </w:p>
        </w:tc>
      </w:tr>
    </w:tbl>
    <w:p w:rsidR="00EE59AB" w:rsidRDefault="00EE59AB" w:rsidP="009C144C">
      <w:pPr>
        <w:spacing w:before="160"/>
        <w:ind w:left="-198"/>
        <w:rPr>
          <w:rFonts w:ascii="Century Gothic" w:hAnsi="Century Gothic"/>
          <w:sz w:val="16"/>
          <w:lang w:eastAsia="zh-CN"/>
        </w:rPr>
      </w:pPr>
    </w:p>
    <w:p w:rsidR="007C596C" w:rsidRDefault="007C596C" w:rsidP="009C144C">
      <w:pPr>
        <w:spacing w:before="480"/>
        <w:rPr>
          <w:lang w:eastAsia="zh-CN"/>
        </w:rPr>
      </w:pPr>
      <w:bookmarkStart w:id="2" w:name="StartTyping_E"/>
      <w:bookmarkEnd w:id="2"/>
      <w:r w:rsidRPr="00F6585D">
        <w:rPr>
          <w:rFonts w:hint="eastAsia"/>
          <w:lang w:eastAsia="zh-CN"/>
        </w:rPr>
        <w:t>尊敬的先生</w:t>
      </w:r>
      <w:r w:rsidRPr="00F6585D">
        <w:rPr>
          <w:lang w:eastAsia="zh-CN"/>
        </w:rPr>
        <w:t>/</w:t>
      </w:r>
      <w:r w:rsidRPr="00F6585D">
        <w:rPr>
          <w:rFonts w:hint="eastAsia"/>
          <w:lang w:eastAsia="zh-CN"/>
        </w:rPr>
        <w:t>女士：</w:t>
      </w:r>
    </w:p>
    <w:p w:rsidR="007C596C" w:rsidRDefault="007C596C" w:rsidP="009C144C">
      <w:pPr>
        <w:jc w:val="both"/>
        <w:rPr>
          <w:rFonts w:hAnsi="SimSun"/>
          <w:lang w:eastAsia="zh-CN"/>
        </w:rPr>
      </w:pPr>
      <w:r w:rsidRPr="00E32443">
        <w:rPr>
          <w:lang w:eastAsia="zh-CN"/>
        </w:rPr>
        <w:t>1</w:t>
      </w:r>
      <w:r w:rsidRPr="00E32443">
        <w:rPr>
          <w:lang w:eastAsia="zh-CN"/>
        </w:rPr>
        <w:tab/>
      </w:r>
      <w:r>
        <w:rPr>
          <w:rFonts w:hint="eastAsia"/>
          <w:lang w:eastAsia="zh-CN"/>
        </w:rPr>
        <w:t>应</w:t>
      </w:r>
      <w:r w:rsidRPr="00E32443">
        <w:rPr>
          <w:lang w:eastAsia="zh-CN"/>
        </w:rPr>
        <w:t>IPTV-GSI</w:t>
      </w:r>
      <w:r>
        <w:rPr>
          <w:rFonts w:hint="eastAsia"/>
          <w:lang w:eastAsia="zh-CN"/>
        </w:rPr>
        <w:t>协调人</w:t>
      </w:r>
      <w:r w:rsidRPr="00E32443">
        <w:rPr>
          <w:rFonts w:hint="eastAsia"/>
          <w:lang w:eastAsia="zh-CN"/>
        </w:rPr>
        <w:t>（</w:t>
      </w:r>
      <w:r w:rsidRPr="00E32443">
        <w:rPr>
          <w:lang w:eastAsia="zh-CN"/>
        </w:rPr>
        <w:t xml:space="preserve">Masahito </w:t>
      </w:r>
      <w:proofErr w:type="spellStart"/>
      <w:r w:rsidRPr="00E32443">
        <w:rPr>
          <w:lang w:eastAsia="zh-CN"/>
        </w:rPr>
        <w:t>Kawamori</w:t>
      </w:r>
      <w:proofErr w:type="spellEnd"/>
      <w:r w:rsidRPr="00E32443">
        <w:rPr>
          <w:rFonts w:hint="eastAsia"/>
          <w:lang w:eastAsia="zh-CN"/>
        </w:rPr>
        <w:t>先生）的</w:t>
      </w:r>
      <w:r>
        <w:rPr>
          <w:rFonts w:hint="eastAsia"/>
          <w:lang w:eastAsia="zh-CN"/>
        </w:rPr>
        <w:t>要求，经有关研究组管理层的确认，我在此谨通知您，</w:t>
      </w:r>
      <w:r>
        <w:rPr>
          <w:rFonts w:hint="eastAsia"/>
          <w:lang w:eastAsia="zh-CN"/>
        </w:rPr>
        <w:t>ITU-T IPTV-GSI</w:t>
      </w:r>
      <w:r>
        <w:rPr>
          <w:rFonts w:hint="eastAsia"/>
          <w:lang w:eastAsia="zh-CN"/>
        </w:rPr>
        <w:t>下一次活动在里约热内卢</w:t>
      </w:r>
      <w:r>
        <w:rPr>
          <w:lang w:eastAsia="zh-CN"/>
        </w:rPr>
        <w:t>Pontifical Catholic</w:t>
      </w:r>
      <w:r>
        <w:rPr>
          <w:rFonts w:hint="eastAsia"/>
          <w:lang w:eastAsia="zh-CN"/>
        </w:rPr>
        <w:t>大学（</w:t>
      </w:r>
      <w:r>
        <w:rPr>
          <w:rFonts w:hint="eastAsia"/>
          <w:lang w:eastAsia="zh-CN"/>
        </w:rPr>
        <w:t>PUC-Rio</w:t>
      </w:r>
      <w:r>
        <w:rPr>
          <w:rFonts w:hint="eastAsia"/>
          <w:lang w:eastAsia="zh-CN"/>
        </w:rPr>
        <w:t>）和巴西互联网指导委员会（</w:t>
      </w:r>
      <w:r>
        <w:rPr>
          <w:lang w:eastAsia="zh-CN"/>
        </w:rPr>
        <w:t>CGI.br</w:t>
      </w:r>
      <w:r>
        <w:rPr>
          <w:rFonts w:hint="eastAsia"/>
          <w:lang w:eastAsia="zh-CN"/>
        </w:rPr>
        <w:t>）的诚挚邀请下，在巴西主管部门的支持下将于</w:t>
      </w:r>
      <w:r>
        <w:rPr>
          <w:rFonts w:hint="eastAsia"/>
          <w:lang w:eastAsia="zh-CN"/>
        </w:rPr>
        <w:t>2011</w:t>
      </w:r>
      <w:r>
        <w:rPr>
          <w:rFonts w:hint="eastAsia"/>
          <w:lang w:eastAsia="zh-CN"/>
        </w:rPr>
        <w:t>年</w:t>
      </w:r>
      <w:r>
        <w:rPr>
          <w:rFonts w:hint="eastAsia"/>
          <w:lang w:eastAsia="zh-CN"/>
        </w:rPr>
        <w:t>7</w:t>
      </w:r>
      <w:r>
        <w:rPr>
          <w:rFonts w:hint="eastAsia"/>
          <w:lang w:eastAsia="zh-CN"/>
        </w:rPr>
        <w:t>月</w:t>
      </w:r>
      <w:r>
        <w:rPr>
          <w:rFonts w:hint="eastAsia"/>
          <w:lang w:eastAsia="zh-CN"/>
        </w:rPr>
        <w:t>18</w:t>
      </w:r>
      <w:r>
        <w:rPr>
          <w:rFonts w:hint="eastAsia"/>
          <w:lang w:eastAsia="zh-CN"/>
        </w:rPr>
        <w:t>至</w:t>
      </w:r>
      <w:r>
        <w:rPr>
          <w:rFonts w:hint="eastAsia"/>
          <w:lang w:eastAsia="zh-CN"/>
        </w:rPr>
        <w:t>21</w:t>
      </w:r>
      <w:r>
        <w:rPr>
          <w:rFonts w:hint="eastAsia"/>
          <w:lang w:eastAsia="zh-CN"/>
        </w:rPr>
        <w:t>日在巴西里约热内卢</w:t>
      </w:r>
      <w:proofErr w:type="spellStart"/>
      <w:r>
        <w:t>Avenida</w:t>
      </w:r>
      <w:proofErr w:type="spellEnd"/>
      <w:r>
        <w:t xml:space="preserve"> </w:t>
      </w:r>
      <w:proofErr w:type="spellStart"/>
      <w:r>
        <w:t>Atlantica</w:t>
      </w:r>
      <w:proofErr w:type="spellEnd"/>
      <w:r>
        <w:rPr>
          <w:rFonts w:hint="eastAsia"/>
          <w:lang w:eastAsia="zh-CN"/>
        </w:rPr>
        <w:t>，</w:t>
      </w:r>
      <w:r>
        <w:t>4240</w:t>
      </w:r>
      <w:r>
        <w:rPr>
          <w:rFonts w:hint="eastAsia"/>
          <w:lang w:eastAsia="zh-CN"/>
        </w:rPr>
        <w:t>的</w:t>
      </w:r>
      <w:proofErr w:type="spellStart"/>
      <w:r>
        <w:t>Sofitel</w:t>
      </w:r>
      <w:proofErr w:type="spellEnd"/>
      <w:r>
        <w:t xml:space="preserve"> Copacabana</w:t>
      </w:r>
      <w:r>
        <w:rPr>
          <w:rFonts w:hint="eastAsia"/>
          <w:lang w:eastAsia="zh-CN"/>
        </w:rPr>
        <w:t>饭店举行。</w:t>
      </w:r>
    </w:p>
    <w:p w:rsidR="007C596C" w:rsidRPr="00A143A9" w:rsidRDefault="007C596C" w:rsidP="009C144C">
      <w:pPr>
        <w:ind w:firstLineChars="200" w:firstLine="480"/>
        <w:jc w:val="both"/>
        <w:rPr>
          <w:rFonts w:hAnsi="SimSun"/>
          <w:lang w:eastAsia="zh-CN"/>
        </w:rPr>
      </w:pPr>
      <w:r>
        <w:rPr>
          <w:rFonts w:hint="eastAsia"/>
          <w:lang w:eastAsia="zh-CN"/>
        </w:rPr>
        <w:t>第一天的会议将于</w:t>
      </w:r>
      <w:r>
        <w:rPr>
          <w:lang w:eastAsia="zh-CN"/>
        </w:rPr>
        <w:t>09:30</w:t>
      </w:r>
      <w:r>
        <w:rPr>
          <w:rFonts w:hint="eastAsia"/>
          <w:lang w:eastAsia="zh-CN"/>
        </w:rPr>
        <w:t>开始。与会者注册将于</w:t>
      </w:r>
      <w:r w:rsidRPr="00C54978">
        <w:rPr>
          <w:lang w:eastAsia="zh-CN"/>
        </w:rPr>
        <w:t>08:30</w:t>
      </w:r>
      <w:r w:rsidRPr="00C54978">
        <w:rPr>
          <w:rFonts w:hint="eastAsia"/>
          <w:lang w:eastAsia="zh-CN"/>
        </w:rPr>
        <w:t>开始。</w:t>
      </w:r>
      <w:r w:rsidRPr="00F6585D">
        <w:rPr>
          <w:rFonts w:hAnsi="SimSun" w:hint="eastAsia"/>
          <w:lang w:eastAsia="zh-CN"/>
        </w:rPr>
        <w:t>有关会议厅安排的具体信息将在</w:t>
      </w:r>
      <w:r w:rsidR="0036624E">
        <w:rPr>
          <w:rFonts w:hAnsi="SimSun" w:hint="eastAsia"/>
          <w:lang w:eastAsia="zh-CN"/>
        </w:rPr>
        <w:t>注册地点</w:t>
      </w:r>
      <w:r w:rsidRPr="00F6585D">
        <w:rPr>
          <w:rFonts w:hAnsi="SimSun" w:hint="eastAsia"/>
          <w:lang w:eastAsia="zh-CN"/>
        </w:rPr>
        <w:t>显示</w:t>
      </w:r>
      <w:r>
        <w:rPr>
          <w:rFonts w:hAnsi="SimSun" w:hint="eastAsia"/>
          <w:lang w:eastAsia="zh-CN"/>
        </w:rPr>
        <w:t>。</w:t>
      </w:r>
    </w:p>
    <w:p w:rsidR="007C596C" w:rsidRDefault="007C596C" w:rsidP="009C144C">
      <w:pPr>
        <w:jc w:val="both"/>
        <w:rPr>
          <w:lang w:eastAsia="zh-CN"/>
        </w:rPr>
      </w:pPr>
      <w:r>
        <w:rPr>
          <w:lang w:eastAsia="zh-CN"/>
        </w:rPr>
        <w:t>2</w:t>
      </w:r>
      <w:r>
        <w:rPr>
          <w:lang w:eastAsia="zh-CN"/>
        </w:rPr>
        <w:tab/>
      </w:r>
      <w:r>
        <w:rPr>
          <w:rStyle w:val="PageNumber"/>
          <w:szCs w:val="24"/>
          <w:lang w:eastAsia="zh-CN"/>
        </w:rPr>
        <w:t>ITU-T</w:t>
      </w:r>
      <w:r>
        <w:rPr>
          <w:rStyle w:val="PageNumber"/>
          <w:rFonts w:hint="eastAsia"/>
          <w:szCs w:val="24"/>
          <w:lang w:eastAsia="zh-CN"/>
        </w:rPr>
        <w:t>网页</w:t>
      </w:r>
      <w:r w:rsidR="00BD45B7">
        <w:fldChar w:fldCharType="begin"/>
      </w:r>
      <w:r w:rsidR="00931217">
        <w:instrText>HYPERLINK "http://www.itu.int/ITU-T/gsi/iptv/"</w:instrText>
      </w:r>
      <w:r w:rsidR="00BD45B7">
        <w:fldChar w:fldCharType="separate"/>
      </w:r>
      <w:r w:rsidRPr="00501C89">
        <w:rPr>
          <w:rStyle w:val="Hyperlink"/>
          <w:lang w:eastAsia="zh-CN"/>
        </w:rPr>
        <w:t>http://www.itu.int/ITU-T/gsi/iptv/</w:t>
      </w:r>
      <w:r w:rsidR="00BD45B7">
        <w:fldChar w:fldCharType="end"/>
      </w:r>
      <w:r>
        <w:rPr>
          <w:rFonts w:hint="eastAsia"/>
          <w:lang w:eastAsia="zh-CN"/>
        </w:rPr>
        <w:t>将提供与活动有关的详</w:t>
      </w:r>
      <w:r>
        <w:rPr>
          <w:rFonts w:ascii="SimSun" w:hAnsi="SimSun" w:hint="eastAsia"/>
          <w:lang w:eastAsia="zh-CN"/>
        </w:rPr>
        <w:t>尽</w:t>
      </w:r>
      <w:r>
        <w:rPr>
          <w:rFonts w:hint="eastAsia"/>
          <w:lang w:eastAsia="zh-CN"/>
        </w:rPr>
        <w:t>信息，并根据需要不断更新。</w:t>
      </w:r>
    </w:p>
    <w:p w:rsidR="007C596C" w:rsidRDefault="007C596C" w:rsidP="009C144C">
      <w:pPr>
        <w:jc w:val="both"/>
        <w:rPr>
          <w:lang w:eastAsia="zh-CN"/>
        </w:rPr>
      </w:pPr>
      <w:r>
        <w:rPr>
          <w:rFonts w:hint="eastAsia"/>
          <w:lang w:eastAsia="zh-CN"/>
        </w:rPr>
        <w:t>3</w:t>
      </w:r>
      <w:r>
        <w:rPr>
          <w:rFonts w:hint="eastAsia"/>
          <w:lang w:eastAsia="zh-CN"/>
        </w:rPr>
        <w:tab/>
      </w:r>
      <w:r>
        <w:rPr>
          <w:rFonts w:hint="eastAsia"/>
          <w:lang w:eastAsia="zh-CN"/>
        </w:rPr>
        <w:t>有关</w:t>
      </w:r>
      <w:r>
        <w:rPr>
          <w:rFonts w:hint="eastAsia"/>
          <w:lang w:eastAsia="zh-CN"/>
        </w:rPr>
        <w:t>IPTV-GSI</w:t>
      </w:r>
      <w:r>
        <w:rPr>
          <w:rFonts w:hint="eastAsia"/>
          <w:lang w:eastAsia="zh-CN"/>
        </w:rPr>
        <w:t>技术会议的工作计划详情见</w:t>
      </w:r>
      <w:r w:rsidRPr="00F6585D">
        <w:rPr>
          <w:rFonts w:hint="eastAsia"/>
          <w:b/>
          <w:bCs/>
          <w:lang w:eastAsia="zh-CN"/>
        </w:rPr>
        <w:t>附件</w:t>
      </w:r>
      <w:r w:rsidRPr="00F6585D">
        <w:rPr>
          <w:b/>
          <w:bCs/>
          <w:lang w:eastAsia="zh-CN"/>
        </w:rPr>
        <w:t>1</w:t>
      </w:r>
      <w:r>
        <w:rPr>
          <w:rFonts w:hint="eastAsia"/>
          <w:lang w:eastAsia="zh-CN"/>
        </w:rPr>
        <w:t>。同时还将举办若干其它活动：</w:t>
      </w:r>
    </w:p>
    <w:p w:rsidR="007C596C" w:rsidRPr="000C5499" w:rsidRDefault="007C596C" w:rsidP="009C144C">
      <w:pPr>
        <w:ind w:left="798" w:hanging="798"/>
        <w:jc w:val="both"/>
        <w:rPr>
          <w:lang w:eastAsia="zh-CN"/>
        </w:rPr>
      </w:pPr>
      <w:r>
        <w:rPr>
          <w:lang w:eastAsia="zh-CN"/>
        </w:rPr>
        <w:t>–</w:t>
      </w:r>
      <w:r>
        <w:rPr>
          <w:rFonts w:hint="eastAsia"/>
          <w:lang w:eastAsia="zh-CN"/>
        </w:rPr>
        <w:tab/>
      </w:r>
      <w:r>
        <w:rPr>
          <w:rFonts w:hint="eastAsia"/>
          <w:lang w:eastAsia="zh-CN"/>
        </w:rPr>
        <w:t>国际电联</w:t>
      </w:r>
      <w:r w:rsidR="0036624E">
        <w:rPr>
          <w:rFonts w:hint="eastAsia"/>
          <w:lang w:eastAsia="zh-CN"/>
        </w:rPr>
        <w:t>的第</w:t>
      </w:r>
      <w:r w:rsidR="0036624E">
        <w:rPr>
          <w:rFonts w:hint="eastAsia"/>
          <w:lang w:eastAsia="zh-CN"/>
        </w:rPr>
        <w:t>4</w:t>
      </w:r>
      <w:r w:rsidR="0036624E">
        <w:rPr>
          <w:rFonts w:hint="eastAsia"/>
          <w:lang w:eastAsia="zh-CN"/>
        </w:rPr>
        <w:t>次有关</w:t>
      </w:r>
      <w:r>
        <w:rPr>
          <w:rFonts w:hint="eastAsia"/>
          <w:lang w:eastAsia="zh-CN"/>
        </w:rPr>
        <w:t>IPTV</w:t>
      </w:r>
      <w:r w:rsidR="0036624E">
        <w:rPr>
          <w:rFonts w:hint="eastAsia"/>
          <w:lang w:eastAsia="zh-CN"/>
        </w:rPr>
        <w:t>互操作性</w:t>
      </w:r>
      <w:r>
        <w:rPr>
          <w:rFonts w:hint="eastAsia"/>
          <w:lang w:eastAsia="zh-CN"/>
        </w:rPr>
        <w:t>活动，</w:t>
      </w:r>
      <w:r>
        <w:rPr>
          <w:rFonts w:hint="eastAsia"/>
          <w:lang w:eastAsia="zh-CN"/>
        </w:rPr>
        <w:t>2011</w:t>
      </w:r>
      <w:r>
        <w:rPr>
          <w:rFonts w:hint="eastAsia"/>
          <w:lang w:eastAsia="zh-CN"/>
        </w:rPr>
        <w:t>年</w:t>
      </w:r>
      <w:r>
        <w:rPr>
          <w:rFonts w:hint="eastAsia"/>
          <w:lang w:eastAsia="zh-CN"/>
        </w:rPr>
        <w:t>7</w:t>
      </w:r>
      <w:r>
        <w:rPr>
          <w:rFonts w:hint="eastAsia"/>
          <w:lang w:eastAsia="zh-CN"/>
        </w:rPr>
        <w:t>月</w:t>
      </w:r>
      <w:r>
        <w:rPr>
          <w:rFonts w:hint="eastAsia"/>
          <w:lang w:eastAsia="zh-CN"/>
        </w:rPr>
        <w:t>18-22</w:t>
      </w:r>
      <w:r>
        <w:rPr>
          <w:rFonts w:hint="eastAsia"/>
          <w:lang w:eastAsia="zh-CN"/>
        </w:rPr>
        <w:t>日。在成功举办了若干次国际电联</w:t>
      </w:r>
      <w:r w:rsidR="00BA6B1A">
        <w:rPr>
          <w:rFonts w:hint="eastAsia"/>
          <w:lang w:eastAsia="zh-CN"/>
        </w:rPr>
        <w:t>IPTV</w:t>
      </w:r>
      <w:r w:rsidR="0036624E">
        <w:rPr>
          <w:rFonts w:hint="eastAsia"/>
          <w:lang w:eastAsia="zh-CN"/>
        </w:rPr>
        <w:t>互操作性</w:t>
      </w:r>
      <w:r>
        <w:rPr>
          <w:rFonts w:hint="eastAsia"/>
          <w:lang w:eastAsia="zh-CN"/>
        </w:rPr>
        <w:t>活动后，此次活动的前三天将安排进行</w:t>
      </w:r>
      <w:r>
        <w:rPr>
          <w:rFonts w:hint="eastAsia"/>
          <w:lang w:eastAsia="zh-CN"/>
        </w:rPr>
        <w:t>ITU-T</w:t>
      </w:r>
      <w:r>
        <w:rPr>
          <w:rFonts w:hint="eastAsia"/>
          <w:lang w:eastAsia="zh-CN"/>
        </w:rPr>
        <w:t>标准的合规和互操作性测试，其中包括</w:t>
      </w:r>
      <w:r>
        <w:rPr>
          <w:rFonts w:hint="eastAsia"/>
          <w:lang w:eastAsia="zh-CN"/>
        </w:rPr>
        <w:t>H.701</w:t>
      </w:r>
      <w:r>
        <w:rPr>
          <w:rFonts w:hint="eastAsia"/>
          <w:lang w:eastAsia="zh-CN"/>
        </w:rPr>
        <w:t>（误码恢复）、</w:t>
      </w:r>
      <w:r>
        <w:rPr>
          <w:rFonts w:hint="eastAsia"/>
          <w:lang w:eastAsia="zh-CN"/>
        </w:rPr>
        <w:t>H.721</w:t>
      </w:r>
      <w:r>
        <w:rPr>
          <w:rFonts w:hint="eastAsia"/>
          <w:lang w:eastAsia="zh-CN"/>
        </w:rPr>
        <w:t>（</w:t>
      </w:r>
      <w:r>
        <w:rPr>
          <w:rFonts w:hint="eastAsia"/>
          <w:lang w:eastAsia="zh-CN"/>
        </w:rPr>
        <w:t>IPTV</w:t>
      </w:r>
      <w:r>
        <w:rPr>
          <w:rFonts w:hint="eastAsia"/>
          <w:lang w:eastAsia="zh-CN"/>
        </w:rPr>
        <w:t>终端）、</w:t>
      </w:r>
      <w:r>
        <w:rPr>
          <w:lang w:eastAsia="zh-CN"/>
        </w:rPr>
        <w:t>H.740</w:t>
      </w:r>
      <w:r>
        <w:rPr>
          <w:rFonts w:hint="eastAsia"/>
          <w:lang w:eastAsia="zh-CN"/>
        </w:rPr>
        <w:t>（应用事件处理）</w:t>
      </w:r>
      <w:r>
        <w:rPr>
          <w:lang w:eastAsia="zh-CN"/>
        </w:rPr>
        <w:t>、</w:t>
      </w:r>
      <w:r w:rsidRPr="00BD6002">
        <w:rPr>
          <w:lang w:eastAsia="zh-CN"/>
        </w:rPr>
        <w:t>H.750</w:t>
      </w:r>
      <w:r>
        <w:rPr>
          <w:rFonts w:hint="eastAsia"/>
          <w:lang w:eastAsia="zh-CN"/>
        </w:rPr>
        <w:t>（元数据）</w:t>
      </w:r>
      <w:r>
        <w:rPr>
          <w:lang w:eastAsia="zh-CN"/>
        </w:rPr>
        <w:t>、</w:t>
      </w:r>
      <w:r w:rsidRPr="00BD6002">
        <w:rPr>
          <w:lang w:eastAsia="zh-CN"/>
        </w:rPr>
        <w:t>H.761</w:t>
      </w:r>
      <w:r>
        <w:rPr>
          <w:rFonts w:hint="eastAsia"/>
          <w:lang w:eastAsia="zh-CN"/>
        </w:rPr>
        <w:t>（</w:t>
      </w:r>
      <w:proofErr w:type="spellStart"/>
      <w:r w:rsidRPr="00BD6002">
        <w:rPr>
          <w:lang w:eastAsia="zh-CN"/>
        </w:rPr>
        <w:t>Ginga</w:t>
      </w:r>
      <w:proofErr w:type="spellEnd"/>
      <w:r w:rsidRPr="00BD6002">
        <w:rPr>
          <w:lang w:eastAsia="zh-CN"/>
        </w:rPr>
        <w:t>-NCL</w:t>
      </w:r>
      <w:r>
        <w:rPr>
          <w:rFonts w:hint="eastAsia"/>
          <w:lang w:eastAsia="zh-CN"/>
        </w:rPr>
        <w:t>）</w:t>
      </w:r>
      <w:r>
        <w:rPr>
          <w:lang w:eastAsia="zh-CN"/>
        </w:rPr>
        <w:t>、</w:t>
      </w:r>
      <w:r w:rsidRPr="00BD6002">
        <w:rPr>
          <w:lang w:eastAsia="zh-CN"/>
        </w:rPr>
        <w:t>H.762</w:t>
      </w:r>
      <w:r>
        <w:rPr>
          <w:rFonts w:hint="eastAsia"/>
          <w:lang w:eastAsia="zh-CN"/>
        </w:rPr>
        <w:t>（</w:t>
      </w:r>
      <w:r w:rsidRPr="00BD6002">
        <w:rPr>
          <w:lang w:eastAsia="zh-CN"/>
        </w:rPr>
        <w:t>LIME</w:t>
      </w:r>
      <w:r>
        <w:rPr>
          <w:rFonts w:hint="eastAsia"/>
          <w:lang w:eastAsia="zh-CN"/>
        </w:rPr>
        <w:t>）</w:t>
      </w:r>
      <w:r>
        <w:rPr>
          <w:lang w:eastAsia="zh-CN"/>
        </w:rPr>
        <w:t>、</w:t>
      </w:r>
      <w:r w:rsidRPr="00BD6002">
        <w:rPr>
          <w:lang w:eastAsia="zh-CN"/>
        </w:rPr>
        <w:t>H.770</w:t>
      </w:r>
      <w:r>
        <w:rPr>
          <w:rFonts w:hint="eastAsia"/>
          <w:lang w:eastAsia="zh-CN"/>
        </w:rPr>
        <w:t>（服务发</w:t>
      </w:r>
      <w:r w:rsidR="0036624E">
        <w:rPr>
          <w:rFonts w:hint="eastAsia"/>
          <w:lang w:eastAsia="zh-CN"/>
        </w:rPr>
        <w:t>现）。此次活动的测试部分</w:t>
      </w:r>
      <w:r>
        <w:rPr>
          <w:rFonts w:hint="eastAsia"/>
          <w:lang w:eastAsia="zh-CN"/>
        </w:rPr>
        <w:t>仅限于注册与会者参加。活动最后两天安排展示，各公司将展示其</w:t>
      </w:r>
      <w:r>
        <w:rPr>
          <w:rFonts w:hint="eastAsia"/>
          <w:lang w:eastAsia="zh-CN"/>
        </w:rPr>
        <w:t>IPTV</w:t>
      </w:r>
      <w:r>
        <w:rPr>
          <w:rFonts w:hint="eastAsia"/>
          <w:lang w:eastAsia="zh-CN"/>
        </w:rPr>
        <w:t>产品的互操作性。展示活动免费向国际电联成员和非成员开放。有关参加</w:t>
      </w:r>
      <w:r w:rsidR="0036624E">
        <w:rPr>
          <w:rFonts w:hint="eastAsia"/>
          <w:lang w:eastAsia="zh-CN"/>
        </w:rPr>
        <w:t>互操作性</w:t>
      </w:r>
      <w:r>
        <w:rPr>
          <w:rFonts w:hint="eastAsia"/>
          <w:lang w:eastAsia="zh-CN"/>
        </w:rPr>
        <w:t>测试和</w:t>
      </w:r>
      <w:r>
        <w:rPr>
          <w:rFonts w:hint="eastAsia"/>
          <w:lang w:eastAsia="zh-CN"/>
        </w:rPr>
        <w:t>/</w:t>
      </w:r>
      <w:r>
        <w:rPr>
          <w:rFonts w:hint="eastAsia"/>
          <w:lang w:eastAsia="zh-CN"/>
        </w:rPr>
        <w:t>或展示的详细情况以及有关参观展示的详情将</w:t>
      </w:r>
      <w:r>
        <w:rPr>
          <w:rFonts w:hint="eastAsia"/>
          <w:lang w:eastAsia="zh-CN"/>
        </w:rPr>
        <w:lastRenderedPageBreak/>
        <w:t>尽快公布在以下网站</w:t>
      </w:r>
      <w:r w:rsidR="00BD45B7">
        <w:fldChar w:fldCharType="begin"/>
      </w:r>
      <w:r w:rsidR="00931217">
        <w:rPr>
          <w:lang w:eastAsia="zh-CN"/>
        </w:rPr>
        <w:instrText>HYPERLINK "http://itu.int/interop"</w:instrText>
      </w:r>
      <w:r w:rsidR="00BD45B7">
        <w:fldChar w:fldCharType="separate"/>
      </w:r>
      <w:r w:rsidRPr="00BB60EE">
        <w:rPr>
          <w:rStyle w:val="Hyperlink"/>
          <w:lang w:eastAsia="zh-CN"/>
        </w:rPr>
        <w:t>http://itu.int/interop</w:t>
      </w:r>
      <w:r w:rsidR="00BD45B7">
        <w:fldChar w:fldCharType="end"/>
      </w:r>
      <w:r>
        <w:rPr>
          <w:rFonts w:hint="eastAsia"/>
          <w:lang w:eastAsia="zh-CN"/>
        </w:rPr>
        <w:t>。</w:t>
      </w:r>
      <w:r w:rsidR="0036624E">
        <w:rPr>
          <w:rFonts w:hint="eastAsia"/>
          <w:lang w:eastAsia="zh-CN"/>
        </w:rPr>
        <w:t>欲知详情</w:t>
      </w:r>
      <w:r>
        <w:rPr>
          <w:rFonts w:hint="eastAsia"/>
          <w:lang w:eastAsia="zh-CN"/>
        </w:rPr>
        <w:t>，请通过以下电子邮件联系：</w:t>
      </w:r>
      <w:hyperlink r:id="rId9" w:history="1">
        <w:r w:rsidRPr="00E90CA9">
          <w:rPr>
            <w:rStyle w:val="Hyperlink"/>
            <w:lang w:eastAsia="zh-CN"/>
          </w:rPr>
          <w:t>interop@itu.int</w:t>
        </w:r>
      </w:hyperlink>
      <w:r>
        <w:rPr>
          <w:rFonts w:hint="eastAsia"/>
          <w:lang w:eastAsia="zh-CN"/>
        </w:rPr>
        <w:t>。</w:t>
      </w:r>
    </w:p>
    <w:p w:rsidR="007C596C" w:rsidRDefault="007C596C" w:rsidP="009C144C">
      <w:pPr>
        <w:ind w:left="798" w:hanging="798"/>
        <w:jc w:val="both"/>
        <w:rPr>
          <w:lang w:eastAsia="zh-CN"/>
        </w:rPr>
      </w:pPr>
      <w:r>
        <w:rPr>
          <w:lang w:eastAsia="zh-CN"/>
        </w:rPr>
        <w:t>–</w:t>
      </w:r>
      <w:r>
        <w:rPr>
          <w:rFonts w:hint="eastAsia"/>
          <w:lang w:eastAsia="zh-CN"/>
        </w:rPr>
        <w:tab/>
      </w:r>
      <w:r>
        <w:rPr>
          <w:rFonts w:hint="eastAsia"/>
          <w:lang w:eastAsia="zh-CN"/>
        </w:rPr>
        <w:t>有关“万维网和</w:t>
      </w:r>
      <w:r>
        <w:rPr>
          <w:rFonts w:hint="eastAsia"/>
          <w:lang w:eastAsia="zh-CN"/>
        </w:rPr>
        <w:t>IPTV</w:t>
      </w:r>
      <w:r>
        <w:rPr>
          <w:rFonts w:hint="eastAsia"/>
          <w:lang w:eastAsia="zh-CN"/>
        </w:rPr>
        <w:t>技术的统一”的讲习班将于</w:t>
      </w:r>
      <w:r>
        <w:rPr>
          <w:rFonts w:hint="eastAsia"/>
          <w:lang w:eastAsia="zh-CN"/>
        </w:rPr>
        <w:t>2011</w:t>
      </w:r>
      <w:r>
        <w:rPr>
          <w:rFonts w:hint="eastAsia"/>
          <w:lang w:eastAsia="zh-CN"/>
        </w:rPr>
        <w:t>年</w:t>
      </w:r>
      <w:r>
        <w:rPr>
          <w:rFonts w:hint="eastAsia"/>
          <w:lang w:eastAsia="zh-CN"/>
        </w:rPr>
        <w:t>7</w:t>
      </w:r>
      <w:r>
        <w:rPr>
          <w:rFonts w:hint="eastAsia"/>
          <w:lang w:eastAsia="zh-CN"/>
        </w:rPr>
        <w:t>月</w:t>
      </w:r>
      <w:r>
        <w:rPr>
          <w:rFonts w:hint="eastAsia"/>
          <w:lang w:eastAsia="zh-CN"/>
        </w:rPr>
        <w:t>19</w:t>
      </w:r>
      <w:r>
        <w:rPr>
          <w:rFonts w:hint="eastAsia"/>
          <w:lang w:eastAsia="zh-CN"/>
        </w:rPr>
        <w:t>日下午和</w:t>
      </w:r>
      <w:r>
        <w:rPr>
          <w:rFonts w:hint="eastAsia"/>
          <w:lang w:eastAsia="zh-CN"/>
        </w:rPr>
        <w:t>21</w:t>
      </w:r>
      <w:r w:rsidR="0036624E">
        <w:rPr>
          <w:rFonts w:hint="eastAsia"/>
          <w:lang w:eastAsia="zh-CN"/>
        </w:rPr>
        <w:t>日举行。关注</w:t>
      </w:r>
      <w:r>
        <w:rPr>
          <w:rFonts w:hint="eastAsia"/>
          <w:lang w:eastAsia="zh-CN"/>
        </w:rPr>
        <w:t>现有</w:t>
      </w:r>
      <w:r>
        <w:rPr>
          <w:rFonts w:hint="eastAsia"/>
          <w:lang w:eastAsia="zh-CN"/>
        </w:rPr>
        <w:t>ITU-T IPTV</w:t>
      </w:r>
      <w:r>
        <w:rPr>
          <w:rFonts w:hint="eastAsia"/>
          <w:lang w:eastAsia="zh-CN"/>
        </w:rPr>
        <w:t>标准与万维网标准统一的组织将应邀参加有关</w:t>
      </w:r>
      <w:r>
        <w:rPr>
          <w:rFonts w:hint="eastAsia"/>
          <w:lang w:eastAsia="zh-CN"/>
        </w:rPr>
        <w:t>IPTV</w:t>
      </w:r>
      <w:r w:rsidR="0036624E">
        <w:rPr>
          <w:rFonts w:hint="eastAsia"/>
          <w:lang w:eastAsia="zh-CN"/>
        </w:rPr>
        <w:t>和万维网技术如何整合使用户期望和行业需求均能得到满足的开放式</w:t>
      </w:r>
      <w:r>
        <w:rPr>
          <w:rFonts w:hint="eastAsia"/>
          <w:lang w:eastAsia="zh-CN"/>
        </w:rPr>
        <w:t>讨论。其它详情将公布在</w:t>
      </w:r>
      <w:r>
        <w:rPr>
          <w:rFonts w:hint="eastAsia"/>
          <w:lang w:eastAsia="zh-CN"/>
        </w:rPr>
        <w:t>ITU-T IPTV-GSI</w:t>
      </w:r>
      <w:r>
        <w:rPr>
          <w:rFonts w:hint="eastAsia"/>
          <w:lang w:eastAsia="zh-CN"/>
        </w:rPr>
        <w:t>主页以及</w:t>
      </w:r>
      <w:r>
        <w:rPr>
          <w:rFonts w:hint="eastAsia"/>
          <w:lang w:eastAsia="zh-CN"/>
        </w:rPr>
        <w:t>ITU-T</w:t>
      </w:r>
      <w:r>
        <w:rPr>
          <w:rFonts w:hint="eastAsia"/>
          <w:lang w:eastAsia="zh-CN"/>
        </w:rPr>
        <w:t>讲习班网页（</w:t>
      </w:r>
      <w:r w:rsidR="00BD45B7">
        <w:fldChar w:fldCharType="begin"/>
      </w:r>
      <w:r w:rsidR="00931217">
        <w:rPr>
          <w:lang w:eastAsia="zh-CN"/>
        </w:rPr>
        <w:instrText>HYPERLINK "http://itu.int/ITU-T/worksem/"</w:instrText>
      </w:r>
      <w:r w:rsidR="00BD45B7">
        <w:fldChar w:fldCharType="separate"/>
      </w:r>
      <w:r w:rsidRPr="00A73B29">
        <w:rPr>
          <w:rStyle w:val="Hyperlink"/>
          <w:lang w:eastAsia="zh-CN"/>
        </w:rPr>
        <w:t>http://itu.int/ITU-T/worksem/</w:t>
      </w:r>
      <w:r w:rsidR="00BD45B7">
        <w:fldChar w:fldCharType="end"/>
      </w:r>
      <w:r>
        <w:rPr>
          <w:rFonts w:hint="eastAsia"/>
          <w:lang w:eastAsia="zh-CN"/>
        </w:rPr>
        <w:t>）上。</w:t>
      </w:r>
    </w:p>
    <w:p w:rsidR="007C596C" w:rsidRDefault="007C596C" w:rsidP="009C144C">
      <w:pPr>
        <w:ind w:left="798" w:hanging="798"/>
        <w:jc w:val="both"/>
        <w:rPr>
          <w:lang w:eastAsia="zh-CN"/>
        </w:rPr>
      </w:pPr>
      <w:r>
        <w:rPr>
          <w:lang w:eastAsia="zh-CN"/>
        </w:rPr>
        <w:t>–</w:t>
      </w:r>
      <w:r>
        <w:rPr>
          <w:rFonts w:hint="eastAsia"/>
          <w:lang w:eastAsia="zh-CN"/>
        </w:rPr>
        <w:tab/>
      </w:r>
      <w:r>
        <w:rPr>
          <w:rFonts w:hint="eastAsia"/>
          <w:lang w:eastAsia="zh-CN"/>
        </w:rPr>
        <w:t>国际电联和</w:t>
      </w:r>
      <w:r w:rsidR="0036624E">
        <w:rPr>
          <w:rFonts w:hint="eastAsia"/>
          <w:lang w:eastAsia="zh-CN"/>
        </w:rPr>
        <w:t>巴西电信管理局</w:t>
      </w:r>
      <w:r>
        <w:rPr>
          <w:rFonts w:hint="eastAsia"/>
          <w:lang w:eastAsia="zh-CN"/>
        </w:rPr>
        <w:t>共同举办的有关“</w:t>
      </w:r>
      <w:r w:rsidRPr="00B315DA">
        <w:rPr>
          <w:rFonts w:ascii="STKaiti" w:eastAsia="STKaiti" w:hAnsi="STKaiti" w:hint="eastAsia"/>
          <w:lang w:eastAsia="zh-CN"/>
        </w:rPr>
        <w:t>ITU-T</w:t>
      </w:r>
      <w:r w:rsidR="0036624E">
        <w:rPr>
          <w:rFonts w:ascii="STKaiti" w:eastAsia="STKaiti" w:hAnsi="STKaiti" w:hint="eastAsia"/>
          <w:lang w:eastAsia="zh-CN"/>
        </w:rPr>
        <w:t xml:space="preserve"> </w:t>
      </w:r>
      <w:r w:rsidRPr="00B315DA">
        <w:rPr>
          <w:rFonts w:ascii="STKaiti" w:eastAsia="STKaiti" w:hAnsi="STKaiti" w:hint="eastAsia"/>
          <w:lang w:eastAsia="zh-CN"/>
        </w:rPr>
        <w:t>IPTV建议</w:t>
      </w:r>
      <w:r w:rsidR="0036624E">
        <w:rPr>
          <w:rFonts w:ascii="STKaiti" w:eastAsia="STKaiti" w:hAnsi="STKaiti" w:hint="eastAsia"/>
          <w:lang w:eastAsia="zh-CN"/>
        </w:rPr>
        <w:t>书和巴西视频传播</w:t>
      </w:r>
      <w:r w:rsidRPr="00B315DA">
        <w:rPr>
          <w:rFonts w:ascii="STKaiti" w:eastAsia="STKaiti" w:hAnsi="STKaiti" w:hint="eastAsia"/>
          <w:lang w:eastAsia="zh-CN"/>
        </w:rPr>
        <w:t>趋势</w:t>
      </w:r>
      <w:r w:rsidR="0036624E">
        <w:rPr>
          <w:rFonts w:hint="eastAsia"/>
          <w:lang w:eastAsia="zh-CN"/>
        </w:rPr>
        <w:t>”</w:t>
      </w:r>
      <w:r>
        <w:rPr>
          <w:rFonts w:hint="eastAsia"/>
          <w:lang w:eastAsia="zh-CN"/>
        </w:rPr>
        <w:t>研讨会将于</w:t>
      </w:r>
      <w:r>
        <w:rPr>
          <w:rFonts w:hint="eastAsia"/>
          <w:lang w:eastAsia="zh-CN"/>
        </w:rPr>
        <w:t>2011</w:t>
      </w:r>
      <w:r>
        <w:rPr>
          <w:rFonts w:hint="eastAsia"/>
          <w:lang w:eastAsia="zh-CN"/>
        </w:rPr>
        <w:t>年</w:t>
      </w:r>
      <w:r>
        <w:rPr>
          <w:rFonts w:hint="eastAsia"/>
          <w:lang w:eastAsia="zh-CN"/>
        </w:rPr>
        <w:t>7</w:t>
      </w:r>
      <w:r>
        <w:rPr>
          <w:rFonts w:hint="eastAsia"/>
          <w:lang w:eastAsia="zh-CN"/>
        </w:rPr>
        <w:t>月</w:t>
      </w:r>
      <w:r>
        <w:rPr>
          <w:rFonts w:hint="eastAsia"/>
          <w:lang w:eastAsia="zh-CN"/>
        </w:rPr>
        <w:t>22</w:t>
      </w:r>
      <w:r>
        <w:rPr>
          <w:rFonts w:hint="eastAsia"/>
          <w:lang w:eastAsia="zh-CN"/>
        </w:rPr>
        <w:t>日下午举行。更多详情将公布在</w:t>
      </w:r>
      <w:r>
        <w:rPr>
          <w:rFonts w:hint="eastAsia"/>
          <w:lang w:eastAsia="zh-CN"/>
        </w:rPr>
        <w:t>ITU-T IPTV-GSI</w:t>
      </w:r>
      <w:r>
        <w:rPr>
          <w:rFonts w:hint="eastAsia"/>
          <w:lang w:eastAsia="zh-CN"/>
        </w:rPr>
        <w:t>主页以及</w:t>
      </w:r>
      <w:r>
        <w:rPr>
          <w:rFonts w:hint="eastAsia"/>
          <w:lang w:eastAsia="zh-CN"/>
        </w:rPr>
        <w:t>ITU-T</w:t>
      </w:r>
      <w:r>
        <w:rPr>
          <w:rFonts w:hint="eastAsia"/>
          <w:lang w:eastAsia="zh-CN"/>
        </w:rPr>
        <w:t>讲习班网页上。</w:t>
      </w:r>
    </w:p>
    <w:p w:rsidR="007C596C" w:rsidRDefault="007C596C" w:rsidP="009C144C">
      <w:pPr>
        <w:rPr>
          <w:lang w:eastAsia="zh-CN"/>
        </w:rPr>
      </w:pPr>
      <w:r>
        <w:rPr>
          <w:rFonts w:hint="eastAsia"/>
          <w:lang w:eastAsia="zh-CN"/>
        </w:rPr>
        <w:t>4</w:t>
      </w:r>
      <w:r>
        <w:rPr>
          <w:lang w:eastAsia="zh-CN"/>
        </w:rPr>
        <w:tab/>
      </w:r>
      <w:r w:rsidRPr="00F6585D">
        <w:rPr>
          <w:rFonts w:hint="eastAsia"/>
          <w:lang w:eastAsia="zh-CN"/>
        </w:rPr>
        <w:t>讨论将以英文进行。</w:t>
      </w:r>
    </w:p>
    <w:p w:rsidR="007C596C" w:rsidRDefault="007C596C" w:rsidP="009C144C">
      <w:pPr>
        <w:rPr>
          <w:lang w:eastAsia="zh-CN"/>
        </w:rPr>
      </w:pPr>
      <w:r>
        <w:rPr>
          <w:rFonts w:hint="eastAsia"/>
          <w:lang w:eastAsia="zh-CN"/>
        </w:rPr>
        <w:t>5</w:t>
      </w:r>
      <w:r>
        <w:rPr>
          <w:lang w:eastAsia="zh-CN"/>
        </w:rPr>
        <w:tab/>
      </w:r>
      <w:r w:rsidRPr="00F6585D">
        <w:rPr>
          <w:rFonts w:hint="eastAsia"/>
          <w:lang w:eastAsia="zh-CN"/>
        </w:rPr>
        <w:t>会议将</w:t>
      </w:r>
      <w:r>
        <w:rPr>
          <w:rFonts w:hint="eastAsia"/>
          <w:lang w:eastAsia="zh-CN"/>
        </w:rPr>
        <w:t>为无纸会议</w:t>
      </w:r>
      <w:r w:rsidRPr="00F6585D">
        <w:rPr>
          <w:rFonts w:hint="eastAsia"/>
          <w:lang w:eastAsia="zh-CN"/>
        </w:rPr>
        <w:t>。</w:t>
      </w:r>
    </w:p>
    <w:p w:rsidR="007C596C" w:rsidRPr="0022716C" w:rsidRDefault="007C596C" w:rsidP="009C144C">
      <w:pPr>
        <w:rPr>
          <w:lang w:val="en-US" w:eastAsia="zh-CN"/>
        </w:rPr>
      </w:pPr>
      <w:r>
        <w:rPr>
          <w:rFonts w:hint="eastAsia"/>
          <w:lang w:eastAsia="zh-CN"/>
        </w:rPr>
        <w:t>6</w:t>
      </w:r>
      <w:r>
        <w:rPr>
          <w:lang w:eastAsia="zh-CN"/>
        </w:rPr>
        <w:tab/>
      </w:r>
      <w:r>
        <w:rPr>
          <w:rFonts w:hint="eastAsia"/>
          <w:lang w:eastAsia="zh-CN"/>
        </w:rPr>
        <w:t>各</w:t>
      </w:r>
      <w:r w:rsidRPr="00F6585D">
        <w:rPr>
          <w:rFonts w:hAnsi="SimSun" w:hint="eastAsia"/>
          <w:lang w:eastAsia="zh-CN"/>
        </w:rPr>
        <w:t>报告人组</w:t>
      </w:r>
      <w:r>
        <w:rPr>
          <w:rFonts w:hAnsi="SimSun" w:hint="eastAsia"/>
          <w:lang w:eastAsia="zh-CN"/>
        </w:rPr>
        <w:t>的</w:t>
      </w:r>
      <w:r w:rsidR="0036624E">
        <w:rPr>
          <w:rFonts w:ascii="SimSun" w:hAnsi="SimSun" w:hint="eastAsia"/>
          <w:lang w:eastAsia="zh-CN"/>
        </w:rPr>
        <w:t>拟定</w:t>
      </w:r>
      <w:r w:rsidRPr="00F6585D">
        <w:rPr>
          <w:rFonts w:hAnsi="SimSun" w:hint="eastAsia"/>
          <w:lang w:eastAsia="zh-CN"/>
        </w:rPr>
        <w:t>议程将在</w:t>
      </w:r>
      <w:r>
        <w:rPr>
          <w:lang w:eastAsia="zh-CN"/>
        </w:rPr>
        <w:t>IPTV-GSI</w:t>
      </w:r>
      <w:r w:rsidRPr="00F6585D">
        <w:rPr>
          <w:rFonts w:hAnsi="SimSun" w:hint="eastAsia"/>
          <w:lang w:eastAsia="zh-CN"/>
        </w:rPr>
        <w:t>网页（</w:t>
      </w:r>
      <w:r w:rsidR="00BD45B7">
        <w:fldChar w:fldCharType="begin"/>
      </w:r>
      <w:r w:rsidR="00931217">
        <w:instrText>HYPERLINK "http://www.itu.int/ITU-T/gsi/iptv/"</w:instrText>
      </w:r>
      <w:r w:rsidR="00BD45B7">
        <w:fldChar w:fldCharType="separate"/>
      </w:r>
      <w:r w:rsidRPr="00224EDE">
        <w:rPr>
          <w:rStyle w:val="Hyperlink"/>
          <w:szCs w:val="24"/>
          <w:lang w:eastAsia="zh-CN"/>
        </w:rPr>
        <w:t>http://www.itu.int/ITU-T/gsi/iptv/</w:t>
      </w:r>
      <w:r w:rsidR="00BD45B7">
        <w:fldChar w:fldCharType="end"/>
      </w:r>
      <w:r w:rsidRPr="00F6585D">
        <w:rPr>
          <w:rFonts w:hAnsi="SimSun" w:hint="eastAsia"/>
          <w:lang w:eastAsia="zh-CN"/>
        </w:rPr>
        <w:t>）上公布。</w:t>
      </w:r>
    </w:p>
    <w:p w:rsidR="007C596C" w:rsidRDefault="007C596C" w:rsidP="007F73DB">
      <w:pPr>
        <w:overflowPunct w:val="0"/>
        <w:autoSpaceDE w:val="0"/>
        <w:autoSpaceDN w:val="0"/>
        <w:adjustRightInd w:val="0"/>
        <w:rPr>
          <w:lang w:eastAsia="zh-CN"/>
        </w:rPr>
      </w:pPr>
      <w:r>
        <w:rPr>
          <w:rFonts w:hint="eastAsia"/>
          <w:lang w:eastAsia="zh-CN"/>
        </w:rPr>
        <w:t>7</w:t>
      </w:r>
      <w:r>
        <w:rPr>
          <w:lang w:eastAsia="zh-CN"/>
        </w:rPr>
        <w:tab/>
      </w:r>
      <w:r>
        <w:rPr>
          <w:rFonts w:hint="eastAsia"/>
          <w:lang w:eastAsia="zh-CN"/>
        </w:rPr>
        <w:t>电信标准化顾问组（</w:t>
      </w:r>
      <w:r>
        <w:rPr>
          <w:rFonts w:hint="eastAsia"/>
          <w:lang w:eastAsia="zh-CN"/>
        </w:rPr>
        <w:t>TSAG</w:t>
      </w:r>
      <w:r>
        <w:rPr>
          <w:rFonts w:hint="eastAsia"/>
          <w:lang w:eastAsia="zh-CN"/>
        </w:rPr>
        <w:t>）在</w:t>
      </w:r>
      <w:r>
        <w:rPr>
          <w:rFonts w:hint="eastAsia"/>
          <w:lang w:eastAsia="zh-CN"/>
        </w:rPr>
        <w:t>2011</w:t>
      </w:r>
      <w:r>
        <w:rPr>
          <w:rFonts w:hint="eastAsia"/>
          <w:lang w:eastAsia="zh-CN"/>
        </w:rPr>
        <w:t>年</w:t>
      </w:r>
      <w:r>
        <w:rPr>
          <w:rFonts w:hint="eastAsia"/>
          <w:lang w:eastAsia="zh-CN"/>
        </w:rPr>
        <w:t>2</w:t>
      </w:r>
      <w:r>
        <w:rPr>
          <w:rFonts w:hint="eastAsia"/>
          <w:lang w:eastAsia="zh-CN"/>
        </w:rPr>
        <w:t>月会议</w:t>
      </w:r>
      <w:r>
        <w:rPr>
          <w:rFonts w:ascii="SimSun" w:hAnsi="SimSun" w:hint="eastAsia"/>
          <w:lang w:eastAsia="zh-CN"/>
        </w:rPr>
        <w:t>上同意</w:t>
      </w:r>
      <w:r>
        <w:rPr>
          <w:rFonts w:hint="eastAsia"/>
          <w:lang w:eastAsia="zh-CN"/>
        </w:rPr>
        <w:t>，</w:t>
      </w:r>
      <w:r>
        <w:rPr>
          <w:rFonts w:ascii="SimSun" w:hAnsi="SimSun" w:hint="eastAsia"/>
          <w:lang w:eastAsia="zh-CN"/>
        </w:rPr>
        <w:t>继续试行在</w:t>
      </w:r>
      <w:r>
        <w:rPr>
          <w:rFonts w:hint="eastAsia"/>
          <w:lang w:eastAsia="zh-CN"/>
        </w:rPr>
        <w:t>会议开幕日期</w:t>
      </w:r>
      <w:r>
        <w:rPr>
          <w:rFonts w:hint="eastAsia"/>
          <w:lang w:eastAsia="zh-CN"/>
        </w:rPr>
        <w:t>12</w:t>
      </w:r>
      <w:r>
        <w:rPr>
          <w:rFonts w:hint="eastAsia"/>
          <w:lang w:eastAsia="zh-CN"/>
        </w:rPr>
        <w:t>（十二）个日历日前</w:t>
      </w:r>
      <w:r>
        <w:rPr>
          <w:rFonts w:ascii="SimSun" w:hAnsi="SimSun" w:hint="eastAsia"/>
          <w:lang w:eastAsia="zh-CN"/>
        </w:rPr>
        <w:t>将文稿</w:t>
      </w:r>
      <w:r>
        <w:rPr>
          <w:rFonts w:hint="eastAsia"/>
          <w:lang w:eastAsia="zh-CN"/>
        </w:rPr>
        <w:t>寄达电信标准化局。此类文稿将公布在</w:t>
      </w:r>
      <w:r>
        <w:rPr>
          <w:lang w:eastAsia="zh-CN"/>
        </w:rPr>
        <w:t>IPTV-GSI</w:t>
      </w:r>
      <w:r w:rsidR="0036624E">
        <w:rPr>
          <w:rFonts w:hint="eastAsia"/>
          <w:lang w:eastAsia="zh-CN"/>
        </w:rPr>
        <w:t>主页</w:t>
      </w:r>
      <w:r>
        <w:rPr>
          <w:rFonts w:hint="eastAsia"/>
          <w:lang w:eastAsia="zh-CN"/>
        </w:rPr>
        <w:t>上，因此须最迟于日内瓦时间</w:t>
      </w:r>
      <w:r w:rsidRPr="00EE41D9">
        <w:rPr>
          <w:rFonts w:hint="eastAsia"/>
          <w:b/>
          <w:bCs/>
          <w:lang w:eastAsia="zh-CN"/>
        </w:rPr>
        <w:t>201</w:t>
      </w:r>
      <w:r>
        <w:rPr>
          <w:rFonts w:hint="eastAsia"/>
          <w:b/>
          <w:bCs/>
          <w:lang w:eastAsia="zh-CN"/>
        </w:rPr>
        <w:t>1</w:t>
      </w:r>
      <w:r w:rsidRPr="00EE41D9">
        <w:rPr>
          <w:rFonts w:hint="eastAsia"/>
          <w:b/>
          <w:bCs/>
          <w:lang w:eastAsia="zh-CN"/>
        </w:rPr>
        <w:t>年</w:t>
      </w:r>
      <w:r>
        <w:rPr>
          <w:rFonts w:hint="eastAsia"/>
          <w:b/>
          <w:bCs/>
          <w:lang w:eastAsia="zh-CN"/>
        </w:rPr>
        <w:t>7</w:t>
      </w:r>
      <w:r w:rsidRPr="00EE41D9">
        <w:rPr>
          <w:rFonts w:hint="eastAsia"/>
          <w:b/>
          <w:bCs/>
          <w:lang w:eastAsia="zh-CN"/>
        </w:rPr>
        <w:t>月</w:t>
      </w:r>
      <w:r>
        <w:rPr>
          <w:rFonts w:hint="eastAsia"/>
          <w:b/>
          <w:bCs/>
          <w:lang w:eastAsia="zh-CN"/>
        </w:rPr>
        <w:t>5</w:t>
      </w:r>
      <w:r w:rsidRPr="00026E16">
        <w:rPr>
          <w:rFonts w:hint="eastAsia"/>
          <w:b/>
          <w:bCs/>
          <w:lang w:eastAsia="zh-CN"/>
        </w:rPr>
        <w:t>日</w:t>
      </w:r>
      <w:r>
        <w:rPr>
          <w:rFonts w:hint="eastAsia"/>
          <w:lang w:eastAsia="zh-CN"/>
        </w:rPr>
        <w:t>晚</w:t>
      </w:r>
      <w:r>
        <w:rPr>
          <w:rFonts w:hint="eastAsia"/>
          <w:lang w:eastAsia="zh-CN"/>
        </w:rPr>
        <w:t>12</w:t>
      </w:r>
      <w:r>
        <w:rPr>
          <w:rFonts w:hint="eastAsia"/>
          <w:lang w:eastAsia="zh-CN"/>
        </w:rPr>
        <w:t>点前寄达电信标准化局。请通过电子邮件将文稿提交给</w:t>
      </w:r>
      <w:r>
        <w:rPr>
          <w:rFonts w:hint="eastAsia"/>
          <w:szCs w:val="24"/>
          <w:lang w:eastAsia="zh-CN"/>
        </w:rPr>
        <w:t>电信标准化局</w:t>
      </w:r>
      <w:r>
        <w:rPr>
          <w:szCs w:val="24"/>
          <w:lang w:eastAsia="zh-CN"/>
        </w:rPr>
        <w:t>IPTV</w:t>
      </w:r>
      <w:r>
        <w:rPr>
          <w:rFonts w:hint="eastAsia"/>
          <w:szCs w:val="24"/>
          <w:lang w:eastAsia="zh-CN"/>
        </w:rPr>
        <w:t>秘书处</w:t>
      </w:r>
      <w:r w:rsidR="00BD45B7">
        <w:fldChar w:fldCharType="begin"/>
      </w:r>
      <w:r w:rsidR="00931217">
        <w:rPr>
          <w:lang w:eastAsia="zh-CN"/>
        </w:rPr>
        <w:instrText>HYPERLINK "mailto:tsbiptv@itu.int"</w:instrText>
      </w:r>
      <w:r w:rsidR="00BD45B7">
        <w:fldChar w:fldCharType="separate"/>
      </w:r>
      <w:r w:rsidRPr="003851E6">
        <w:rPr>
          <w:rStyle w:val="Hyperlink"/>
          <w:szCs w:val="24"/>
          <w:lang w:eastAsia="zh-CN"/>
        </w:rPr>
        <w:t>tsbiptv@itu.int</w:t>
      </w:r>
      <w:r w:rsidR="00BD45B7">
        <w:fldChar w:fldCharType="end"/>
      </w:r>
      <w:r>
        <w:rPr>
          <w:rFonts w:hint="eastAsia"/>
          <w:szCs w:val="24"/>
          <w:lang w:eastAsia="zh-CN"/>
        </w:rPr>
        <w:t>。</w:t>
      </w:r>
      <w:r>
        <w:rPr>
          <w:rFonts w:ascii="SimSun" w:cs="SimSun" w:hint="eastAsia"/>
          <w:szCs w:val="24"/>
          <w:lang w:eastAsia="zh-CN"/>
        </w:rPr>
        <w:t>文稿须采用以下网址提供的</w:t>
      </w:r>
      <w:r w:rsidRPr="00F33A05">
        <w:rPr>
          <w:szCs w:val="24"/>
          <w:lang w:eastAsia="zh-CN"/>
        </w:rPr>
        <w:t>ITU-T</w:t>
      </w:r>
      <w:r>
        <w:rPr>
          <w:rFonts w:ascii="SimSun" w:cs="SimSun" w:hint="eastAsia"/>
          <w:szCs w:val="24"/>
          <w:lang w:eastAsia="zh-CN"/>
        </w:rPr>
        <w:t>模版</w:t>
      </w:r>
      <w:r>
        <w:rPr>
          <w:rFonts w:ascii="SimSun" w:hAnsi="SimSun" w:cs="SimSun" w:hint="eastAsia"/>
          <w:szCs w:val="24"/>
          <w:lang w:eastAsia="zh-CN"/>
        </w:rPr>
        <w:t>提交</w:t>
      </w:r>
      <w:r>
        <w:rPr>
          <w:rFonts w:ascii="SimSun" w:cs="SimSun" w:hint="eastAsia"/>
          <w:szCs w:val="24"/>
          <w:lang w:val="en-US" w:eastAsia="zh-CN"/>
        </w:rPr>
        <w:t>：</w:t>
      </w:r>
      <w:hyperlink r:id="rId10" w:history="1">
        <w:r w:rsidRPr="0035692F">
          <w:rPr>
            <w:rStyle w:val="Hyperlink"/>
            <w:szCs w:val="24"/>
            <w:lang w:eastAsia="zh-CN"/>
          </w:rPr>
          <w:t>http://www.itu.int/oth/T0A0F000010/en</w:t>
        </w:r>
      </w:hyperlink>
      <w:r>
        <w:rPr>
          <w:rFonts w:hint="eastAsia"/>
          <w:szCs w:val="24"/>
          <w:lang w:eastAsia="zh-CN"/>
        </w:rPr>
        <w:t>。</w:t>
      </w:r>
      <w:r w:rsidRPr="0033695F">
        <w:rPr>
          <w:szCs w:val="24"/>
          <w:lang w:eastAsia="zh-CN"/>
        </w:rPr>
        <w:t>IPTV-GSI</w:t>
      </w:r>
      <w:r w:rsidRPr="00104EA5">
        <w:rPr>
          <w:rFonts w:ascii="SimSun" w:cs="SimSun" w:hint="eastAsia"/>
          <w:szCs w:val="24"/>
          <w:lang w:eastAsia="zh-CN"/>
        </w:rPr>
        <w:t>文稿将发布在</w:t>
      </w:r>
      <w:r w:rsidR="007F73DB">
        <w:rPr>
          <w:rFonts w:ascii="SimSun" w:cs="SimSun"/>
          <w:szCs w:val="24"/>
          <w:lang w:eastAsia="zh-CN"/>
        </w:rPr>
        <w:br/>
      </w:r>
      <w:bookmarkStart w:id="3" w:name="_GoBack"/>
      <w:bookmarkEnd w:id="3"/>
      <w:r w:rsidR="00BD45B7" w:rsidRPr="00BD45B7">
        <w:fldChar w:fldCharType="begin"/>
      </w:r>
      <w:r w:rsidR="009C144C">
        <w:rPr>
          <w:lang w:eastAsia="zh-CN"/>
        </w:rPr>
        <w:instrText xml:space="preserve"> HYPERLINK "http://www.itu.int/ITU-T/gsi/iptv/" </w:instrText>
      </w:r>
      <w:r w:rsidR="00BD45B7" w:rsidRPr="00BD45B7">
        <w:fldChar w:fldCharType="separate"/>
      </w:r>
      <w:r w:rsidRPr="00F3558E">
        <w:rPr>
          <w:rStyle w:val="Hyperlink"/>
          <w:szCs w:val="24"/>
          <w:lang w:eastAsia="zh-CN"/>
        </w:rPr>
        <w:t>http://www.itu.int/ITU-T/gsi/iptv/</w:t>
      </w:r>
      <w:r w:rsidR="00BD45B7">
        <w:rPr>
          <w:rStyle w:val="Hyperlink"/>
          <w:szCs w:val="24"/>
          <w:lang w:eastAsia="zh-CN"/>
        </w:rPr>
        <w:fldChar w:fldCharType="end"/>
      </w:r>
      <w:r>
        <w:rPr>
          <w:rFonts w:hint="eastAsia"/>
          <w:lang w:eastAsia="zh-CN"/>
        </w:rPr>
        <w:t>。</w:t>
      </w:r>
    </w:p>
    <w:p w:rsidR="007C596C" w:rsidRDefault="007C596C" w:rsidP="009C144C">
      <w:pPr>
        <w:overflowPunct w:val="0"/>
        <w:autoSpaceDE w:val="0"/>
        <w:autoSpaceDN w:val="0"/>
        <w:adjustRightInd w:val="0"/>
        <w:ind w:firstLineChars="200" w:firstLine="480"/>
        <w:rPr>
          <w:lang w:eastAsia="zh-CN"/>
        </w:rPr>
      </w:pPr>
      <w:r w:rsidRPr="00F6585D">
        <w:rPr>
          <w:rFonts w:hint="eastAsia"/>
          <w:lang w:eastAsia="zh-CN"/>
        </w:rPr>
        <w:t>为了解决与文稿有关的问题，请在文稿上注明联系人的姓名、传真和电话号码以及电子邮件地址。同样，务请在所有文件的首页注明这些细节。</w:t>
      </w:r>
    </w:p>
    <w:p w:rsidR="007C596C" w:rsidRPr="00DC55D3" w:rsidRDefault="007C596C" w:rsidP="009C144C">
      <w:pPr>
        <w:overflowPunct w:val="0"/>
        <w:autoSpaceDE w:val="0"/>
        <w:autoSpaceDN w:val="0"/>
        <w:adjustRightInd w:val="0"/>
        <w:rPr>
          <w:lang w:eastAsia="zh-CN"/>
        </w:rPr>
      </w:pPr>
      <w:r>
        <w:rPr>
          <w:rFonts w:hint="eastAsia"/>
          <w:lang w:eastAsia="zh-CN"/>
        </w:rPr>
        <w:t>8</w:t>
      </w:r>
      <w:r>
        <w:rPr>
          <w:rFonts w:hint="eastAsia"/>
          <w:lang w:eastAsia="zh-CN"/>
        </w:rPr>
        <w:tab/>
      </w:r>
      <w:r>
        <w:rPr>
          <w:rFonts w:hint="eastAsia"/>
          <w:lang w:eastAsia="zh-CN"/>
        </w:rPr>
        <w:t>每个会议厅将配备无线互联网接入。希望使用无线接入的与会者必须配备具有必要硬件且配置得当的计算机。详情将在会址提供。</w:t>
      </w:r>
    </w:p>
    <w:p w:rsidR="007C596C" w:rsidRDefault="007C596C" w:rsidP="009C144C">
      <w:pPr>
        <w:jc w:val="both"/>
        <w:rPr>
          <w:lang w:eastAsia="zh-CN"/>
        </w:rPr>
      </w:pPr>
      <w:r>
        <w:rPr>
          <w:lang w:eastAsia="zh-CN"/>
        </w:rPr>
        <w:t>9</w:t>
      </w:r>
      <w:r>
        <w:rPr>
          <w:lang w:eastAsia="zh-CN"/>
        </w:rPr>
        <w:tab/>
      </w:r>
      <w:r w:rsidRPr="00530BA0">
        <w:rPr>
          <w:rFonts w:hint="eastAsia"/>
          <w:lang w:eastAsia="zh-CN"/>
        </w:rPr>
        <w:t>请注意，</w:t>
      </w:r>
      <w:r>
        <w:rPr>
          <w:rFonts w:hint="eastAsia"/>
          <w:lang w:eastAsia="zh-CN"/>
        </w:rPr>
        <w:t>此次</w:t>
      </w:r>
      <w:r>
        <w:rPr>
          <w:lang w:eastAsia="zh-CN"/>
        </w:rPr>
        <w:t>IPTV-GSI</w:t>
      </w:r>
      <w:r>
        <w:rPr>
          <w:rFonts w:hint="eastAsia"/>
          <w:lang w:eastAsia="zh-CN"/>
        </w:rPr>
        <w:t>活动的</w:t>
      </w:r>
      <w:r w:rsidRPr="00530BA0">
        <w:rPr>
          <w:rFonts w:hint="eastAsia"/>
          <w:lang w:eastAsia="zh-CN"/>
        </w:rPr>
        <w:t>与会者将通</w:t>
      </w:r>
      <w:r w:rsidR="0036624E">
        <w:rPr>
          <w:rFonts w:hint="eastAsia"/>
          <w:lang w:eastAsia="zh-CN"/>
        </w:rPr>
        <w:t>过以下网址进</w:t>
      </w:r>
      <w:r w:rsidRPr="00530BA0">
        <w:rPr>
          <w:rFonts w:hint="eastAsia"/>
          <w:lang w:eastAsia="zh-CN"/>
        </w:rPr>
        <w:t>行</w:t>
      </w:r>
      <w:r w:rsidRPr="00530BA0">
        <w:rPr>
          <w:rFonts w:ascii="Kartika" w:eastAsia="STKaiti" w:hAnsi="STKaiti" w:cs="Kartika" w:hint="eastAsia"/>
          <w:lang w:eastAsia="zh-CN"/>
        </w:rPr>
        <w:t>网上</w:t>
      </w:r>
      <w:r w:rsidRPr="009D7732">
        <w:rPr>
          <w:rFonts w:ascii="SimSun" w:cs="Kartika" w:hint="eastAsia"/>
          <w:lang w:eastAsia="zh-CN"/>
        </w:rPr>
        <w:t>预</w:t>
      </w:r>
      <w:r w:rsidRPr="00530BA0">
        <w:rPr>
          <w:rFonts w:hint="eastAsia"/>
          <w:lang w:eastAsia="zh-CN"/>
        </w:rPr>
        <w:t>注册：</w:t>
      </w:r>
      <w:r>
        <w:rPr>
          <w:lang w:eastAsia="zh-CN"/>
        </w:rPr>
        <w:br/>
      </w:r>
      <w:hyperlink r:id="rId11" w:history="1">
        <w:r w:rsidRPr="00364145">
          <w:rPr>
            <w:rStyle w:val="Hyperlink"/>
            <w:bCs/>
            <w:lang w:eastAsia="zh-CN"/>
          </w:rPr>
          <w:t>http://www.itu.int/ITU-T/gsi/iptv/</w:t>
        </w:r>
      </w:hyperlink>
      <w:r>
        <w:rPr>
          <w:rFonts w:hAnsi="SimSun" w:hint="eastAsia"/>
          <w:szCs w:val="24"/>
          <w:lang w:eastAsia="zh-CN"/>
        </w:rPr>
        <w:t>。</w:t>
      </w:r>
    </w:p>
    <w:p w:rsidR="007C596C" w:rsidRPr="00214D86" w:rsidRDefault="007C596C" w:rsidP="009C144C">
      <w:pPr>
        <w:jc w:val="both"/>
        <w:rPr>
          <w:lang w:eastAsia="zh-CN"/>
        </w:rPr>
      </w:pPr>
      <w:r>
        <w:rPr>
          <w:lang w:eastAsia="zh-CN"/>
        </w:rPr>
        <w:t>10</w:t>
      </w:r>
      <w:r>
        <w:rPr>
          <w:lang w:eastAsia="zh-CN"/>
        </w:rPr>
        <w:tab/>
      </w:r>
      <w:r w:rsidRPr="00F6585D">
        <w:rPr>
          <w:rFonts w:hint="eastAsia"/>
          <w:lang w:eastAsia="zh-CN"/>
        </w:rPr>
        <w:t>为便于电信标准化局为举办</w:t>
      </w:r>
      <w:r>
        <w:rPr>
          <w:lang w:eastAsia="zh-CN"/>
        </w:rPr>
        <w:t>IPTV-GSI</w:t>
      </w:r>
      <w:r>
        <w:rPr>
          <w:rFonts w:hint="eastAsia"/>
          <w:lang w:eastAsia="zh-CN"/>
        </w:rPr>
        <w:t>活动做</w:t>
      </w:r>
      <w:r w:rsidRPr="00F6585D">
        <w:rPr>
          <w:rFonts w:hint="eastAsia"/>
          <w:lang w:eastAsia="zh-CN"/>
        </w:rPr>
        <w:t>出必要安排，</w:t>
      </w:r>
      <w:r w:rsidRPr="00F6585D">
        <w:rPr>
          <w:rFonts w:hint="eastAsia"/>
          <w:szCs w:val="24"/>
          <w:lang w:eastAsia="zh-CN"/>
        </w:rPr>
        <w:t>请您尽快，即</w:t>
      </w:r>
      <w:r w:rsidRPr="009D7732">
        <w:rPr>
          <w:rFonts w:hint="eastAsia"/>
          <w:b/>
          <w:bCs/>
          <w:szCs w:val="24"/>
          <w:lang w:eastAsia="zh-CN"/>
        </w:rPr>
        <w:t>最迟于</w:t>
      </w:r>
      <w:r w:rsidRPr="00F6585D">
        <w:rPr>
          <w:b/>
          <w:bCs/>
          <w:szCs w:val="24"/>
          <w:lang w:eastAsia="zh-CN"/>
        </w:rPr>
        <w:t>20</w:t>
      </w:r>
      <w:r>
        <w:rPr>
          <w:b/>
          <w:bCs/>
          <w:szCs w:val="24"/>
          <w:lang w:eastAsia="zh-CN"/>
        </w:rPr>
        <w:t>1</w:t>
      </w:r>
      <w:r>
        <w:rPr>
          <w:rFonts w:hint="eastAsia"/>
          <w:b/>
          <w:bCs/>
          <w:szCs w:val="24"/>
          <w:lang w:eastAsia="zh-CN"/>
        </w:rPr>
        <w:t>1</w:t>
      </w:r>
      <w:r w:rsidRPr="00F6585D">
        <w:rPr>
          <w:rFonts w:hint="eastAsia"/>
          <w:b/>
          <w:bCs/>
          <w:szCs w:val="24"/>
          <w:lang w:eastAsia="zh-CN"/>
        </w:rPr>
        <w:t>年</w:t>
      </w:r>
      <w:r>
        <w:rPr>
          <w:rFonts w:hint="eastAsia"/>
          <w:b/>
          <w:bCs/>
          <w:szCs w:val="24"/>
          <w:lang w:eastAsia="zh-CN"/>
        </w:rPr>
        <w:t>6</w:t>
      </w:r>
      <w:r w:rsidRPr="00F6585D">
        <w:rPr>
          <w:rFonts w:hint="eastAsia"/>
          <w:b/>
          <w:bCs/>
          <w:szCs w:val="24"/>
          <w:lang w:eastAsia="zh-CN"/>
        </w:rPr>
        <w:t>月</w:t>
      </w:r>
      <w:r>
        <w:rPr>
          <w:rFonts w:hint="eastAsia"/>
          <w:b/>
          <w:bCs/>
          <w:szCs w:val="24"/>
          <w:lang w:eastAsia="zh-CN"/>
        </w:rPr>
        <w:t>18</w:t>
      </w:r>
      <w:r>
        <w:rPr>
          <w:rFonts w:hint="eastAsia"/>
          <w:b/>
          <w:bCs/>
          <w:szCs w:val="24"/>
          <w:lang w:eastAsia="zh-CN"/>
        </w:rPr>
        <w:t>日之</w:t>
      </w:r>
      <w:r w:rsidRPr="00F6585D">
        <w:rPr>
          <w:rFonts w:hint="eastAsia"/>
          <w:b/>
          <w:bCs/>
          <w:szCs w:val="24"/>
          <w:lang w:eastAsia="zh-CN"/>
        </w:rPr>
        <w:t>前</w:t>
      </w:r>
      <w:r w:rsidRPr="00F6585D">
        <w:rPr>
          <w:rFonts w:hint="eastAsia"/>
          <w:szCs w:val="24"/>
          <w:lang w:eastAsia="zh-CN"/>
        </w:rPr>
        <w:t>进行注册。</w:t>
      </w:r>
    </w:p>
    <w:p w:rsidR="007C596C" w:rsidRPr="00DA69AF" w:rsidRDefault="007C596C" w:rsidP="009C144C">
      <w:pPr>
        <w:jc w:val="both"/>
        <w:rPr>
          <w:lang w:eastAsia="zh-CN"/>
        </w:rPr>
      </w:pPr>
      <w:r w:rsidRPr="00214D86">
        <w:rPr>
          <w:lang w:eastAsia="zh-CN"/>
        </w:rPr>
        <w:t>11</w:t>
      </w:r>
      <w:r w:rsidRPr="00214D86">
        <w:rPr>
          <w:lang w:eastAsia="zh-CN"/>
        </w:rPr>
        <w:tab/>
      </w:r>
      <w:r>
        <w:rPr>
          <w:rFonts w:hint="eastAsia"/>
          <w:b/>
          <w:bCs/>
          <w:szCs w:val="23"/>
          <w:lang w:eastAsia="zh-CN"/>
        </w:rPr>
        <w:t>附件</w:t>
      </w:r>
      <w:r>
        <w:rPr>
          <w:rFonts w:hint="eastAsia"/>
          <w:b/>
          <w:bCs/>
          <w:szCs w:val="23"/>
          <w:lang w:eastAsia="zh-CN"/>
        </w:rPr>
        <w:t>2</w:t>
      </w:r>
      <w:r w:rsidRPr="00757D9C">
        <w:rPr>
          <w:rFonts w:hint="eastAsia"/>
          <w:szCs w:val="23"/>
          <w:lang w:eastAsia="zh-CN"/>
        </w:rPr>
        <w:t>包含</w:t>
      </w:r>
      <w:r>
        <w:rPr>
          <w:rFonts w:hint="eastAsia"/>
          <w:szCs w:val="23"/>
          <w:lang w:eastAsia="zh-CN"/>
        </w:rPr>
        <w:t>有用的会务信息，其中包括有关酒店和签证申请</w:t>
      </w:r>
      <w:r w:rsidR="0036624E">
        <w:rPr>
          <w:rFonts w:hint="eastAsia"/>
          <w:szCs w:val="23"/>
          <w:lang w:eastAsia="zh-CN"/>
        </w:rPr>
        <w:t>的</w:t>
      </w:r>
      <w:r>
        <w:rPr>
          <w:rFonts w:hint="eastAsia"/>
          <w:szCs w:val="23"/>
          <w:lang w:eastAsia="zh-CN"/>
        </w:rPr>
        <w:t>详细内容。</w:t>
      </w:r>
    </w:p>
    <w:p w:rsidR="007C596C" w:rsidRDefault="007C596C" w:rsidP="009C144C">
      <w:pPr>
        <w:overflowPunct w:val="0"/>
        <w:autoSpaceDE w:val="0"/>
        <w:autoSpaceDN w:val="0"/>
        <w:adjustRightInd w:val="0"/>
        <w:rPr>
          <w:lang w:eastAsia="zh-CN"/>
        </w:rPr>
      </w:pPr>
    </w:p>
    <w:p w:rsidR="007C596C" w:rsidRPr="005F4558" w:rsidRDefault="007C596C" w:rsidP="009C144C">
      <w:pPr>
        <w:overflowPunct w:val="0"/>
        <w:autoSpaceDE w:val="0"/>
        <w:autoSpaceDN w:val="0"/>
        <w:adjustRightInd w:val="0"/>
        <w:rPr>
          <w:lang w:val="en-US" w:eastAsia="zh-CN"/>
        </w:rPr>
      </w:pPr>
      <w:r w:rsidRPr="00F6585D">
        <w:rPr>
          <w:rFonts w:hint="eastAsia"/>
          <w:lang w:eastAsia="zh-CN"/>
        </w:rPr>
        <w:t>顺致敬意！</w:t>
      </w:r>
    </w:p>
    <w:p w:rsidR="007C596C" w:rsidRDefault="007C596C" w:rsidP="009C144C">
      <w:pPr>
        <w:rPr>
          <w:szCs w:val="24"/>
          <w:lang w:eastAsia="zh-CN"/>
        </w:rPr>
      </w:pPr>
    </w:p>
    <w:p w:rsidR="007C596C" w:rsidRDefault="007C596C" w:rsidP="009C144C">
      <w:pPr>
        <w:tabs>
          <w:tab w:val="clear" w:pos="794"/>
          <w:tab w:val="clear" w:pos="1191"/>
          <w:tab w:val="clear" w:pos="1588"/>
          <w:tab w:val="clear" w:pos="1985"/>
          <w:tab w:val="left" w:pos="720"/>
        </w:tabs>
        <w:rPr>
          <w:szCs w:val="24"/>
          <w:lang w:eastAsia="zh-CN"/>
        </w:rPr>
      </w:pPr>
      <w:r>
        <w:rPr>
          <w:szCs w:val="24"/>
          <w:lang w:eastAsia="zh-CN"/>
        </w:rPr>
        <w:tab/>
      </w:r>
      <w:r>
        <w:rPr>
          <w:szCs w:val="24"/>
          <w:lang w:eastAsia="zh-CN"/>
        </w:rPr>
        <w:tab/>
      </w:r>
    </w:p>
    <w:p w:rsidR="007C596C" w:rsidRDefault="007C596C" w:rsidP="009C144C">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7C596C" w:rsidRDefault="007C596C" w:rsidP="009C144C">
      <w:pPr>
        <w:rPr>
          <w:lang w:eastAsia="zh-CN"/>
        </w:rPr>
      </w:pPr>
    </w:p>
    <w:p w:rsidR="007C596C" w:rsidRDefault="007C596C" w:rsidP="009C144C">
      <w:pPr>
        <w:pStyle w:val="Annex"/>
        <w:spacing w:before="240" w:after="0"/>
        <w:jc w:val="left"/>
        <w:rPr>
          <w:rFonts w:asciiTheme="majorBidi" w:hAnsiTheme="majorBidi" w:cstheme="majorBidi"/>
          <w:b/>
          <w:bCs/>
          <w:lang w:eastAsia="zh-CN"/>
        </w:rPr>
        <w:sectPr w:rsidR="007C596C" w:rsidSect="003C4D56">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418" w:left="1134" w:header="720" w:footer="720" w:gutter="0"/>
          <w:paperSrc w:first="15" w:other="15"/>
          <w:cols w:space="720"/>
          <w:titlePg/>
        </w:sectPr>
      </w:pPr>
      <w:r>
        <w:rPr>
          <w:rFonts w:ascii="SimSun" w:hAnsi="SimSun" w:cs="SimSun" w:hint="eastAsia"/>
          <w:b/>
          <w:bCs/>
          <w:lang w:eastAsia="zh-CN"/>
        </w:rPr>
        <w:t>附件：</w:t>
      </w:r>
      <w:r w:rsidRPr="00BF742D">
        <w:rPr>
          <w:rFonts w:asciiTheme="majorBidi" w:hAnsiTheme="majorBidi" w:cstheme="majorBidi"/>
          <w:b/>
          <w:bCs/>
          <w:lang w:eastAsia="zh-CN"/>
        </w:rPr>
        <w:t>2</w:t>
      </w:r>
      <w:r w:rsidRPr="00BF742D">
        <w:rPr>
          <w:rFonts w:asciiTheme="majorBidi" w:hAnsiTheme="majorBidi" w:cstheme="majorBidi"/>
          <w:b/>
          <w:bCs/>
          <w:lang w:eastAsia="zh-CN"/>
        </w:rPr>
        <w:t>件</w:t>
      </w:r>
    </w:p>
    <w:p w:rsidR="007C596C" w:rsidRDefault="007C596C" w:rsidP="009C144C">
      <w:pPr>
        <w:jc w:val="center"/>
        <w:rPr>
          <w:szCs w:val="24"/>
        </w:rPr>
      </w:pPr>
      <w:r w:rsidRPr="00AC298B">
        <w:rPr>
          <w:szCs w:val="24"/>
        </w:rPr>
        <w:t>ANNEX 1</w:t>
      </w:r>
      <w:r>
        <w:rPr>
          <w:szCs w:val="24"/>
        </w:rPr>
        <w:br/>
        <w:t>(to TSB Circular 193)</w:t>
      </w:r>
    </w:p>
    <w:p w:rsidR="007C596C" w:rsidRDefault="007C596C" w:rsidP="009C144C">
      <w:pPr>
        <w:jc w:val="center"/>
      </w:pPr>
      <w:r>
        <w:rPr>
          <w:b/>
          <w:bCs/>
          <w:color w:val="000000"/>
        </w:rPr>
        <w:t>Draft IPTV-GSI work plan</w:t>
      </w:r>
      <w:r>
        <w:rPr>
          <w:b/>
          <w:bCs/>
          <w:color w:val="000000"/>
        </w:rPr>
        <w:br/>
      </w:r>
      <w:r>
        <w:t>(Rio de Janeiro, Brazil, 18-22 July 2011)</w:t>
      </w:r>
    </w:p>
    <w:p w:rsidR="007C596C" w:rsidRPr="00F734BC" w:rsidRDefault="007C596C" w:rsidP="009C144C">
      <w:pPr>
        <w:jc w:val="center"/>
      </w:pPr>
    </w:p>
    <w:tbl>
      <w:tblPr>
        <w:tblW w:w="14655" w:type="dxa"/>
        <w:jc w:val="center"/>
        <w:tblInd w:w="-1170" w:type="dxa"/>
        <w:tblBorders>
          <w:top w:val="single" w:sz="4" w:space="0" w:color="auto"/>
          <w:left w:val="single" w:sz="4" w:space="0" w:color="auto"/>
          <w:bottom w:val="single" w:sz="4" w:space="0" w:color="auto"/>
          <w:right w:val="single" w:sz="4" w:space="0" w:color="auto"/>
        </w:tblBorders>
        <w:tblLayout w:type="fixed"/>
        <w:tblLook w:val="0000"/>
      </w:tblPr>
      <w:tblGrid>
        <w:gridCol w:w="330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C596C" w:rsidRPr="000D1FE7" w:rsidTr="003C4D56">
        <w:trPr>
          <w:jc w:val="center"/>
        </w:trPr>
        <w:tc>
          <w:tcPr>
            <w:tcW w:w="3305" w:type="dxa"/>
            <w:tcBorders>
              <w:top w:val="nil"/>
              <w:left w:val="nil"/>
              <w:bottom w:val="single" w:sz="12" w:space="0" w:color="auto"/>
              <w:right w:val="single" w:sz="12" w:space="0" w:color="auto"/>
            </w:tcBorders>
            <w:shd w:val="clear" w:color="auto" w:fill="auto"/>
          </w:tcPr>
          <w:p w:rsidR="007C596C" w:rsidRPr="000D1FE7" w:rsidRDefault="007C596C" w:rsidP="009C144C">
            <w:pPr>
              <w:spacing w:before="40" w:after="40"/>
              <w:ind w:right="-113"/>
              <w:rPr>
                <w:sz w:val="20"/>
              </w:rPr>
            </w:pP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 xml:space="preserve">Monday </w:t>
            </w:r>
            <w:r w:rsidRPr="000D1FE7">
              <w:rPr>
                <w:b/>
                <w:bCs/>
                <w:sz w:val="20"/>
              </w:rPr>
              <w:br/>
              <w:t>18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 xml:space="preserve">Tuesday </w:t>
            </w:r>
            <w:r w:rsidRPr="000D1FE7">
              <w:rPr>
                <w:b/>
                <w:bCs/>
                <w:sz w:val="20"/>
              </w:rPr>
              <w:br/>
              <w:t>19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 xml:space="preserve">Wednesday </w:t>
            </w:r>
            <w:r w:rsidRPr="000D1FE7">
              <w:rPr>
                <w:b/>
                <w:bCs/>
                <w:sz w:val="20"/>
              </w:rPr>
              <w:br/>
              <w:t>20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Thursday</w:t>
            </w:r>
            <w:r w:rsidRPr="000D1FE7">
              <w:rPr>
                <w:b/>
                <w:bCs/>
                <w:sz w:val="20"/>
              </w:rPr>
              <w:br/>
              <w:t>21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 xml:space="preserve">Friday </w:t>
            </w:r>
            <w:r w:rsidRPr="000D1FE7">
              <w:rPr>
                <w:b/>
                <w:bCs/>
                <w:sz w:val="20"/>
              </w:rPr>
              <w:br/>
              <w:t>22 July</w:t>
            </w:r>
          </w:p>
        </w:tc>
      </w:tr>
      <w:tr w:rsidR="007C596C" w:rsidRPr="000D1FE7" w:rsidTr="003C4D56">
        <w:trPr>
          <w:jc w:val="center"/>
        </w:trPr>
        <w:tc>
          <w:tcPr>
            <w:tcW w:w="3305" w:type="dxa"/>
            <w:tcBorders>
              <w:top w:val="single" w:sz="12" w:space="0" w:color="auto"/>
              <w:left w:val="single" w:sz="12" w:space="0" w:color="auto"/>
              <w:bottom w:val="single" w:sz="12" w:space="0" w:color="auto"/>
              <w:right w:val="single" w:sz="12" w:space="0" w:color="auto"/>
            </w:tcBorders>
            <w:shd w:val="clear" w:color="auto" w:fill="auto"/>
          </w:tcPr>
          <w:p w:rsidR="007C596C" w:rsidRPr="000D1FE7" w:rsidRDefault="007C596C" w:rsidP="009C144C">
            <w:pPr>
              <w:spacing w:before="40" w:after="40"/>
              <w:ind w:right="-113"/>
              <w:rPr>
                <w:sz w:val="20"/>
              </w:rPr>
            </w:pP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jc w:val="center"/>
              <w:rPr>
                <w:sz w:val="20"/>
              </w:rPr>
            </w:pPr>
            <w:r w:rsidRPr="000D1FE7">
              <w:rPr>
                <w:b/>
                <w:bCs/>
                <w:sz w:val="20"/>
              </w:rPr>
              <w:t>PM</w:t>
            </w:r>
          </w:p>
        </w:tc>
      </w:tr>
      <w:tr w:rsidR="007C596C" w:rsidRPr="000D1FE7" w:rsidTr="003C4D56">
        <w:trPr>
          <w:jc w:val="center"/>
        </w:trPr>
        <w:tc>
          <w:tcPr>
            <w:tcW w:w="3305" w:type="dxa"/>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right="-113"/>
              <w:rPr>
                <w:sz w:val="20"/>
              </w:rPr>
            </w:pPr>
            <w:r w:rsidRPr="000D1FE7">
              <w:rPr>
                <w:sz w:val="20"/>
              </w:rPr>
              <w:t>TSR [</w:t>
            </w:r>
            <w:r>
              <w:rPr>
                <w:sz w:val="20"/>
              </w:rPr>
              <w:t>80</w:t>
            </w:r>
            <w:r w:rsidRPr="000D1FE7">
              <w:rPr>
                <w:sz w:val="20"/>
              </w:rPr>
              <w:t>]</w:t>
            </w: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12" w:space="0" w:color="auto"/>
            </w:tcBorders>
            <w:shd w:val="pct10" w:color="auto" w:fill="auto"/>
          </w:tcPr>
          <w:p w:rsidR="007C596C" w:rsidRPr="000D1FE7" w:rsidRDefault="007C596C" w:rsidP="009C144C">
            <w:pPr>
              <w:spacing w:before="40" w:after="40"/>
              <w:ind w:left="-113" w:right="-113"/>
              <w:jc w:val="center"/>
              <w:rPr>
                <w:sz w:val="20"/>
              </w:rPr>
            </w:pPr>
            <w:r w:rsidRPr="000D1FE7">
              <w:rPr>
                <w:sz w:val="20"/>
              </w:rPr>
              <w:t>X</w:t>
            </w:r>
          </w:p>
        </w:tc>
      </w:tr>
      <w:tr w:rsidR="007C596C" w:rsidRPr="000D1FE7" w:rsidTr="003C4D56">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7C596C" w:rsidRPr="000D1FE7" w:rsidRDefault="007C596C" w:rsidP="009C144C">
            <w:pPr>
              <w:spacing w:before="40" w:after="40"/>
              <w:ind w:left="-113" w:right="-113"/>
              <w:jc w:val="center"/>
              <w:rPr>
                <w:sz w:val="20"/>
              </w:rPr>
            </w:pPr>
            <w:r w:rsidRPr="000D1FE7">
              <w:rPr>
                <w:b/>
                <w:bCs/>
                <w:sz w:val="20"/>
              </w:rPr>
              <w:t xml:space="preserve">SG </w:t>
            </w:r>
            <w:r>
              <w:rPr>
                <w:b/>
                <w:bCs/>
                <w:sz w:val="20"/>
              </w:rPr>
              <w:t>9</w:t>
            </w:r>
          </w:p>
        </w:tc>
      </w:tr>
      <w:tr w:rsidR="007C596C" w:rsidRPr="000D1FE7" w:rsidTr="003C4D56">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right="-113"/>
              <w:rPr>
                <w:sz w:val="20"/>
              </w:rPr>
            </w:pPr>
            <w:r>
              <w:rPr>
                <w:sz w:val="20"/>
              </w:rPr>
              <w:t>Q4/9 &amp; Q8/9 [10]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5A6933" w:rsidRDefault="007C596C" w:rsidP="009C144C">
            <w:pPr>
              <w:spacing w:before="40" w:after="40"/>
              <w:ind w:left="-113" w:right="-113"/>
              <w:jc w:val="center"/>
              <w:rPr>
                <w:sz w:val="20"/>
                <w:vertAlign w:val="superscript"/>
              </w:rPr>
            </w:pPr>
            <w:r>
              <w:rPr>
                <w:sz w:val="20"/>
              </w:rPr>
              <w:t>X</w:t>
            </w:r>
            <w:r>
              <w:rPr>
                <w:sz w:val="20"/>
                <w:vertAlign w:val="superscript"/>
              </w:rPr>
              <w:t>(3)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5A6933" w:rsidRDefault="007C596C" w:rsidP="009C144C">
            <w:pPr>
              <w:spacing w:before="40" w:after="40"/>
              <w:ind w:left="-113" w:right="-113"/>
              <w:jc w:val="center"/>
              <w:rPr>
                <w:sz w:val="20"/>
                <w:vertAlign w:val="superscript"/>
              </w:rPr>
            </w:pPr>
            <w:r>
              <w:rPr>
                <w:sz w:val="20"/>
              </w:rPr>
              <w:t>X</w:t>
            </w: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7C596C" w:rsidRPr="000D1FE7" w:rsidRDefault="007C596C" w:rsidP="009C144C">
            <w:pPr>
              <w:spacing w:before="40" w:after="40"/>
              <w:ind w:left="-113" w:right="-113"/>
              <w:jc w:val="center"/>
              <w:rPr>
                <w:sz w:val="20"/>
              </w:rPr>
            </w:pPr>
          </w:p>
        </w:tc>
      </w:tr>
      <w:tr w:rsidR="007C596C" w:rsidRPr="000D1FE7" w:rsidTr="003C4D56">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7C596C" w:rsidRPr="000D1FE7" w:rsidRDefault="007C596C" w:rsidP="009C144C">
            <w:pPr>
              <w:spacing w:before="40" w:after="40"/>
              <w:ind w:left="-113" w:right="-113"/>
              <w:jc w:val="center"/>
              <w:rPr>
                <w:sz w:val="20"/>
              </w:rPr>
            </w:pPr>
            <w:r w:rsidRPr="000D1FE7">
              <w:rPr>
                <w:b/>
                <w:bCs/>
                <w:sz w:val="20"/>
              </w:rPr>
              <w:t>SG 16</w:t>
            </w:r>
          </w:p>
        </w:tc>
      </w:tr>
      <w:tr w:rsidR="007C596C" w:rsidRPr="000D1FE7" w:rsidTr="003C4D56">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right="-113"/>
              <w:rPr>
                <w:sz w:val="20"/>
              </w:rPr>
            </w:pPr>
            <w:r w:rsidRPr="000D1FE7">
              <w:rPr>
                <w:sz w:val="20"/>
              </w:rPr>
              <w:t>Q13/16 [40]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D9D9D9"/>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clear" w:color="auto" w:fill="D9D9D9"/>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rFonts w:eastAsia="MS Mincho"/>
                <w:sz w:val="20"/>
                <w:lang w:eastAsia="ja-JP"/>
              </w:rPr>
            </w:pPr>
            <w:r w:rsidRPr="000D1FE7">
              <w:rPr>
                <w:rFonts w:eastAsia="MS Mincho"/>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X</w:t>
            </w:r>
            <w:r w:rsidRPr="000D1FE7">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Pr>
                <w:sz w:val="20"/>
              </w:rPr>
              <w:t>X</w:t>
            </w: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r>
      <w:tr w:rsidR="007C596C" w:rsidRPr="000D1FE7" w:rsidTr="003C4D56">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right="-113"/>
              <w:rPr>
                <w:sz w:val="20"/>
              </w:rPr>
            </w:pPr>
            <w:r w:rsidRPr="000D1FE7">
              <w:rPr>
                <w:sz w:val="20"/>
              </w:rPr>
              <w:t>Q28/16 [10]</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X</w:t>
            </w:r>
            <w:r w:rsidRPr="000D1FE7">
              <w:rPr>
                <w:sz w:val="20"/>
                <w:vertAlign w:val="superscript"/>
              </w:rPr>
              <w:t>(1)</w:t>
            </w: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7C596C" w:rsidRPr="000D1FE7" w:rsidRDefault="007C596C" w:rsidP="009C144C">
            <w:pPr>
              <w:tabs>
                <w:tab w:val="left" w:pos="567"/>
                <w:tab w:val="left" w:pos="1134"/>
                <w:tab w:val="left" w:pos="1701"/>
                <w:tab w:val="left" w:pos="2268"/>
                <w:tab w:val="left" w:pos="2835"/>
              </w:tabs>
              <w:spacing w:before="40" w:after="40"/>
              <w:ind w:left="-113" w:right="-113"/>
              <w:jc w:val="center"/>
              <w:rPr>
                <w:caps/>
                <w:sz w:val="20"/>
              </w:rPr>
            </w:pPr>
          </w:p>
        </w:tc>
      </w:tr>
      <w:tr w:rsidR="007C596C" w:rsidRPr="000D1FE7" w:rsidTr="003C4D56">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7C596C" w:rsidRPr="000D1FE7" w:rsidRDefault="007C596C" w:rsidP="009C144C">
            <w:pPr>
              <w:spacing w:before="40" w:after="40"/>
              <w:ind w:left="-113" w:right="-113"/>
              <w:jc w:val="center"/>
              <w:rPr>
                <w:sz w:val="20"/>
              </w:rPr>
            </w:pPr>
            <w:r w:rsidRPr="000D1FE7">
              <w:rPr>
                <w:b/>
                <w:bCs/>
                <w:sz w:val="20"/>
              </w:rPr>
              <w:t>Side events (provisional)</w:t>
            </w:r>
          </w:p>
        </w:tc>
      </w:tr>
      <w:tr w:rsidR="007C596C" w:rsidRPr="000D1FE7" w:rsidTr="003C4D56">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right="-113"/>
              <w:rPr>
                <w:sz w:val="20"/>
              </w:rPr>
            </w:pPr>
            <w:r w:rsidRPr="000D1FE7">
              <w:rPr>
                <w:sz w:val="20"/>
              </w:rPr>
              <w:t xml:space="preserve">IPTV </w:t>
            </w:r>
            <w:proofErr w:type="spellStart"/>
            <w:r w:rsidRPr="000D1FE7">
              <w:rPr>
                <w:sz w:val="20"/>
              </w:rPr>
              <w:t>Interop</w:t>
            </w:r>
            <w:proofErr w:type="spellEnd"/>
            <w:r w:rsidRPr="000D1FE7">
              <w:rPr>
                <w:sz w:val="20"/>
              </w:rPr>
              <w:t xml:space="preserve"> Testing &amp; Showcasing</w:t>
            </w:r>
            <w:r>
              <w:rPr>
                <w:sz w:val="20"/>
                <w:vertAlign w:val="superscript"/>
              </w:rPr>
              <w:t>(4</w:t>
            </w:r>
            <w:r w:rsidRPr="000D1FE7">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r w:rsidRPr="000D1FE7">
              <w:rPr>
                <w:sz w:val="20"/>
              </w:rPr>
              <w:t>S</w:t>
            </w: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7C596C" w:rsidRPr="000D1FE7" w:rsidRDefault="007C596C" w:rsidP="009C144C">
            <w:pPr>
              <w:spacing w:before="40" w:after="40"/>
              <w:ind w:left="-113" w:right="-113"/>
              <w:jc w:val="center"/>
              <w:rPr>
                <w:sz w:val="20"/>
              </w:rPr>
            </w:pPr>
          </w:p>
        </w:tc>
      </w:tr>
      <w:tr w:rsidR="007C596C" w:rsidRPr="000D1FE7" w:rsidTr="003C4D56">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7C596C" w:rsidRPr="000D1FE7" w:rsidRDefault="007C596C" w:rsidP="009C144C">
            <w:pPr>
              <w:spacing w:before="40" w:after="40"/>
              <w:ind w:right="-113"/>
              <w:rPr>
                <w:sz w:val="20"/>
              </w:rPr>
            </w:pPr>
            <w:r w:rsidRPr="000D1FE7">
              <w:rPr>
                <w:sz w:val="20"/>
              </w:rPr>
              <w:t>Workshop</w:t>
            </w:r>
            <w:r>
              <w:rPr>
                <w:sz w:val="20"/>
              </w:rPr>
              <w:t xml:space="preserve"> on </w:t>
            </w:r>
            <w:r w:rsidRPr="00444BBE">
              <w:rPr>
                <w:sz w:val="20"/>
              </w:rPr>
              <w:t>harmonization of Web and IPTV technologies</w:t>
            </w:r>
            <w:r>
              <w:rPr>
                <w:sz w:val="20"/>
                <w:vertAlign w:val="superscript"/>
              </w:rPr>
              <w:t>(5</w:t>
            </w:r>
            <w:r w:rsidRPr="000D1FE7">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vAlign w:val="center"/>
          </w:tcPr>
          <w:p w:rsidR="007C596C" w:rsidRPr="000D1FE7" w:rsidRDefault="007C596C" w:rsidP="009C144C">
            <w:pPr>
              <w:spacing w:before="40" w:after="40"/>
              <w:ind w:left="-113" w:right="-113"/>
              <w:jc w:val="center"/>
              <w:rPr>
                <w:sz w:val="20"/>
              </w:rPr>
            </w:pPr>
          </w:p>
        </w:tc>
      </w:tr>
      <w:tr w:rsidR="007C596C" w:rsidRPr="000D1FE7" w:rsidTr="003C4D56">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right="-113"/>
              <w:rPr>
                <w:sz w:val="20"/>
              </w:rPr>
            </w:pPr>
            <w:r>
              <w:rPr>
                <w:sz w:val="20"/>
              </w:rPr>
              <w:t xml:space="preserve">Seminar </w:t>
            </w:r>
            <w:r w:rsidRPr="000D1FE7">
              <w:rPr>
                <w:sz w:val="20"/>
              </w:rPr>
              <w:t xml:space="preserve">on </w:t>
            </w:r>
            <w:r>
              <w:rPr>
                <w:sz w:val="20"/>
              </w:rPr>
              <w:t xml:space="preserve">ITU </w:t>
            </w:r>
            <w:r w:rsidRPr="000D1FE7">
              <w:rPr>
                <w:sz w:val="20"/>
              </w:rPr>
              <w:t>IPTV standardization</w:t>
            </w:r>
            <w:r>
              <w:rPr>
                <w:sz w:val="20"/>
              </w:rPr>
              <w:t xml:space="preserve"> and content delivery trends in Brazil</w:t>
            </w:r>
            <w:r w:rsidRPr="000D1FE7">
              <w:rPr>
                <w:sz w:val="20"/>
                <w:vertAlign w:val="superscript"/>
              </w:rPr>
              <w:t>(</w:t>
            </w:r>
            <w:r>
              <w:rPr>
                <w:sz w:val="20"/>
                <w:vertAlign w:val="superscript"/>
              </w:rPr>
              <w:t>5</w:t>
            </w:r>
            <w:r w:rsidRPr="000D1FE7">
              <w:rPr>
                <w:sz w:val="20"/>
                <w:vertAlign w:val="superscript"/>
              </w:rPr>
              <w:t>)</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7C596C" w:rsidRPr="000D1FE7" w:rsidRDefault="007C596C" w:rsidP="009C144C">
            <w:pPr>
              <w:spacing w:before="40" w:after="40"/>
              <w:ind w:left="-113" w:right="-113"/>
              <w:jc w:val="center"/>
              <w:rPr>
                <w:sz w:val="20"/>
              </w:rPr>
            </w:pPr>
            <w:r w:rsidRPr="000D1FE7">
              <w:rPr>
                <w:sz w:val="20"/>
              </w:rPr>
              <w:t>X</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7C596C" w:rsidRPr="000D1FE7" w:rsidRDefault="007C596C" w:rsidP="009C144C">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7C596C" w:rsidRPr="000D1FE7" w:rsidRDefault="007C596C" w:rsidP="009C144C">
            <w:pPr>
              <w:spacing w:before="40" w:after="40"/>
              <w:ind w:left="-113" w:right="-113"/>
              <w:jc w:val="center"/>
              <w:rPr>
                <w:sz w:val="20"/>
              </w:rPr>
            </w:pPr>
          </w:p>
        </w:tc>
      </w:tr>
    </w:tbl>
    <w:p w:rsidR="007C596C" w:rsidRPr="00F734BC" w:rsidRDefault="007C596C" w:rsidP="009C144C">
      <w:pPr>
        <w:spacing w:before="80"/>
      </w:pPr>
      <w:r w:rsidRPr="00622DDA">
        <w:t>[N] Room capacity; (For X</w:t>
      </w:r>
      <w:r w:rsidRPr="00622DDA">
        <w:rPr>
          <w:vertAlign w:val="superscript"/>
        </w:rPr>
        <w:t xml:space="preserve">(1) </w:t>
      </w:r>
      <w:r w:rsidRPr="00622DDA">
        <w:t xml:space="preserve">Joint-session: capacity = </w:t>
      </w:r>
      <w:r>
        <w:t>8</w:t>
      </w:r>
      <w:r w:rsidRPr="00EF5070">
        <w:t>0</w:t>
      </w:r>
      <w:r w:rsidRPr="00622DDA">
        <w:t>)</w:t>
      </w:r>
    </w:p>
    <w:p w:rsidR="007C596C" w:rsidRPr="00E758C9" w:rsidRDefault="007C596C" w:rsidP="009C144C">
      <w:pPr>
        <w:spacing w:before="80"/>
      </w:pPr>
      <w:r w:rsidRPr="00E758C9">
        <w:t>Meeting times, u</w:t>
      </w:r>
      <w:r>
        <w:t>nless otherwise stated, are 0900 to 1030, 1100 to 1230, 1400 to 1530 and 1600 to 17</w:t>
      </w:r>
      <w:r w:rsidRPr="00E758C9">
        <w:t>30 hour</w:t>
      </w:r>
      <w:r>
        <w:t>s. Evening sessions start at 18</w:t>
      </w:r>
      <w:r w:rsidRPr="00E758C9">
        <w:t>00</w:t>
      </w:r>
      <w:r>
        <w:t xml:space="preserve"> hours</w:t>
      </w:r>
      <w:r w:rsidRPr="00E758C9">
        <w:t>.</w:t>
      </w:r>
    </w:p>
    <w:tbl>
      <w:tblPr>
        <w:tblW w:w="0" w:type="auto"/>
        <w:tblLook w:val="04A0"/>
      </w:tblPr>
      <w:tblGrid>
        <w:gridCol w:w="4929"/>
        <w:gridCol w:w="4929"/>
        <w:gridCol w:w="4930"/>
      </w:tblGrid>
      <w:tr w:rsidR="007C596C" w:rsidRPr="00EB3045" w:rsidTr="003C4D56">
        <w:tc>
          <w:tcPr>
            <w:tcW w:w="4929" w:type="dxa"/>
          </w:tcPr>
          <w:p w:rsidR="007C596C" w:rsidRPr="00EB3045" w:rsidRDefault="007C596C" w:rsidP="009C144C">
            <w:pPr>
              <w:tabs>
                <w:tab w:val="clear" w:pos="794"/>
                <w:tab w:val="clear" w:pos="1191"/>
                <w:tab w:val="clear" w:pos="1588"/>
                <w:tab w:val="clear" w:pos="1985"/>
              </w:tabs>
            </w:pPr>
            <w:r w:rsidRPr="00927009">
              <w:rPr>
                <w:b/>
                <w:bCs/>
              </w:rPr>
              <w:t>Notes:</w:t>
            </w:r>
          </w:p>
        </w:tc>
        <w:tc>
          <w:tcPr>
            <w:tcW w:w="4929" w:type="dxa"/>
          </w:tcPr>
          <w:p w:rsidR="007C596C" w:rsidRPr="00EB3045" w:rsidRDefault="007C596C" w:rsidP="009C144C">
            <w:pPr>
              <w:spacing w:before="80"/>
            </w:pPr>
          </w:p>
        </w:tc>
        <w:tc>
          <w:tcPr>
            <w:tcW w:w="4930" w:type="dxa"/>
          </w:tcPr>
          <w:p w:rsidR="007C596C" w:rsidRPr="00EB3045" w:rsidRDefault="007C596C" w:rsidP="009C144C">
            <w:pPr>
              <w:tabs>
                <w:tab w:val="clear" w:pos="794"/>
                <w:tab w:val="clear" w:pos="1191"/>
                <w:tab w:val="clear" w:pos="1588"/>
                <w:tab w:val="clear" w:pos="1985"/>
              </w:tabs>
            </w:pPr>
          </w:p>
        </w:tc>
      </w:tr>
      <w:tr w:rsidR="007C596C" w:rsidRPr="00EB3045" w:rsidTr="003C4D56">
        <w:tc>
          <w:tcPr>
            <w:tcW w:w="4929" w:type="dxa"/>
          </w:tcPr>
          <w:p w:rsidR="007C596C" w:rsidRPr="00EB3045" w:rsidRDefault="007C596C" w:rsidP="009C144C">
            <w:r w:rsidRPr="00EB3045">
              <w:t>(0) Evening session</w:t>
            </w:r>
          </w:p>
        </w:tc>
        <w:tc>
          <w:tcPr>
            <w:tcW w:w="4929" w:type="dxa"/>
          </w:tcPr>
          <w:p w:rsidR="007C596C" w:rsidRPr="00EB3045" w:rsidRDefault="007C596C" w:rsidP="009C144C">
            <w:r>
              <w:t>(4</w:t>
            </w:r>
            <w:r w:rsidRPr="00EB3045">
              <w:t xml:space="preserve">) See details at </w:t>
            </w:r>
            <w:hyperlink r:id="rId18" w:history="1">
              <w:r w:rsidRPr="00BB60EE">
                <w:rPr>
                  <w:rStyle w:val="Hyperlink"/>
                </w:rPr>
                <w:t>http://itu.int/interop</w:t>
              </w:r>
            </w:hyperlink>
          </w:p>
        </w:tc>
        <w:tc>
          <w:tcPr>
            <w:tcW w:w="4930" w:type="dxa"/>
          </w:tcPr>
          <w:p w:rsidR="007C596C" w:rsidRPr="00EB3045" w:rsidRDefault="007C596C" w:rsidP="009C144C">
            <w:pPr>
              <w:spacing w:before="80"/>
            </w:pPr>
          </w:p>
        </w:tc>
      </w:tr>
      <w:tr w:rsidR="007C596C" w:rsidRPr="00EB3045" w:rsidTr="003C4D56">
        <w:tc>
          <w:tcPr>
            <w:tcW w:w="4929" w:type="dxa"/>
          </w:tcPr>
          <w:p w:rsidR="007C596C" w:rsidRPr="00EB3045" w:rsidRDefault="007C596C" w:rsidP="009C144C">
            <w:pPr>
              <w:spacing w:before="80"/>
            </w:pPr>
            <w:r w:rsidRPr="00EB3045">
              <w:t>(1)</w:t>
            </w:r>
            <w:r>
              <w:t>, (2), (3)</w:t>
            </w:r>
            <w:r w:rsidRPr="00EB3045">
              <w:t xml:space="preserve"> Joint meeting</w:t>
            </w:r>
          </w:p>
        </w:tc>
        <w:tc>
          <w:tcPr>
            <w:tcW w:w="4929" w:type="dxa"/>
          </w:tcPr>
          <w:p w:rsidR="007C596C" w:rsidRPr="00EB3045" w:rsidRDefault="007C596C" w:rsidP="009C144C">
            <w:r>
              <w:t>(5</w:t>
            </w:r>
            <w:r w:rsidRPr="00EB3045">
              <w:t xml:space="preserve">) See details at </w:t>
            </w:r>
            <w:hyperlink r:id="rId19" w:history="1">
              <w:r w:rsidRPr="00BA13E5">
                <w:rPr>
                  <w:rStyle w:val="Hyperlink"/>
                </w:rPr>
                <w:t>http://itu.int/ITU-T/worksem</w:t>
              </w:r>
            </w:hyperlink>
          </w:p>
        </w:tc>
        <w:tc>
          <w:tcPr>
            <w:tcW w:w="4930" w:type="dxa"/>
          </w:tcPr>
          <w:p w:rsidR="007C596C" w:rsidRPr="00EB3045" w:rsidRDefault="007C596C" w:rsidP="009C144C">
            <w:pPr>
              <w:tabs>
                <w:tab w:val="clear" w:pos="794"/>
                <w:tab w:val="clear" w:pos="1191"/>
                <w:tab w:val="clear" w:pos="1588"/>
                <w:tab w:val="clear" w:pos="1985"/>
              </w:tabs>
            </w:pPr>
          </w:p>
        </w:tc>
      </w:tr>
    </w:tbl>
    <w:p w:rsidR="007C596C" w:rsidRDefault="007C596C" w:rsidP="009C144C"/>
    <w:p w:rsidR="007C596C" w:rsidRDefault="007C596C" w:rsidP="009C144C">
      <w:pPr>
        <w:sectPr w:rsidR="007C596C" w:rsidSect="007C596C">
          <w:headerReference w:type="default" r:id="rId20"/>
          <w:headerReference w:type="first" r:id="rId21"/>
          <w:footerReference w:type="first" r:id="rId22"/>
          <w:pgSz w:w="16840" w:h="11907" w:orient="landscape" w:code="9"/>
          <w:pgMar w:top="993" w:right="1134" w:bottom="993" w:left="1134" w:header="567" w:footer="567" w:gutter="0"/>
          <w:paperSrc w:first="15" w:other="15"/>
          <w:pgNumType w:fmt="numberInDash"/>
          <w:cols w:space="720"/>
          <w:docGrid w:linePitch="326"/>
        </w:sectPr>
      </w:pPr>
    </w:p>
    <w:p w:rsidR="007C596C" w:rsidRDefault="007C596C" w:rsidP="009C144C">
      <w:pPr>
        <w:jc w:val="center"/>
        <w:rPr>
          <w:szCs w:val="24"/>
        </w:rPr>
      </w:pPr>
      <w:r>
        <w:rPr>
          <w:szCs w:val="24"/>
        </w:rPr>
        <w:t>ANNEX 2</w:t>
      </w:r>
      <w:r>
        <w:rPr>
          <w:szCs w:val="24"/>
        </w:rPr>
        <w:br/>
        <w:t>(to TSB Circular 193)</w:t>
      </w:r>
    </w:p>
    <w:p w:rsidR="007C596C" w:rsidRPr="00CF0A5C" w:rsidRDefault="007C596C" w:rsidP="009C144C">
      <w:pPr>
        <w:tabs>
          <w:tab w:val="clear" w:pos="794"/>
          <w:tab w:val="clear" w:pos="1191"/>
          <w:tab w:val="clear" w:pos="1588"/>
          <w:tab w:val="clear" w:pos="1985"/>
        </w:tabs>
        <w:jc w:val="center"/>
        <w:rPr>
          <w:b/>
          <w:bCs/>
        </w:rPr>
      </w:pPr>
      <w:r w:rsidRPr="00CF0A5C">
        <w:rPr>
          <w:b/>
          <w:bCs/>
        </w:rPr>
        <w:t>Logistic information</w:t>
      </w:r>
    </w:p>
    <w:p w:rsidR="007C596C" w:rsidRPr="0017375F" w:rsidRDefault="007C596C" w:rsidP="009C144C">
      <w:pPr>
        <w:pStyle w:val="Heading1"/>
        <w:rPr>
          <w:szCs w:val="24"/>
          <w:lang w:val="es-ES_tradnl"/>
        </w:rPr>
      </w:pPr>
      <w:proofErr w:type="spellStart"/>
      <w:r w:rsidRPr="0017375F">
        <w:rPr>
          <w:szCs w:val="24"/>
          <w:lang w:val="es-ES_tradnl"/>
        </w:rPr>
        <w:t>Venue</w:t>
      </w:r>
      <w:proofErr w:type="spellEnd"/>
    </w:p>
    <w:p w:rsidR="007C596C" w:rsidRPr="0017375F" w:rsidRDefault="007C596C" w:rsidP="009C144C">
      <w:pPr>
        <w:pStyle w:val="BodyText0"/>
        <w:rPr>
          <w:lang w:val="es-ES_tradnl"/>
        </w:rPr>
      </w:pPr>
      <w:proofErr w:type="spellStart"/>
      <w:r w:rsidRPr="0017375F">
        <w:rPr>
          <w:b/>
          <w:lang w:val="es-ES_tradnl"/>
        </w:rPr>
        <w:t>Sofitel</w:t>
      </w:r>
      <w:proofErr w:type="spellEnd"/>
      <w:r w:rsidRPr="0017375F">
        <w:rPr>
          <w:b/>
          <w:lang w:val="es-ES_tradnl"/>
        </w:rPr>
        <w:t xml:space="preserve"> Rio de Janeiro Copacabana</w:t>
      </w:r>
      <w:r w:rsidRPr="0017375F">
        <w:rPr>
          <w:b/>
          <w:lang w:val="es-ES_tradnl"/>
        </w:rPr>
        <w:br/>
      </w:r>
      <w:hyperlink r:id="rId23" w:history="1">
        <w:r w:rsidRPr="0017375F">
          <w:rPr>
            <w:rStyle w:val="Hyperlink"/>
            <w:lang w:val="es-ES_tradnl"/>
          </w:rPr>
          <w:t>http://www.sofitel.com</w:t>
        </w:r>
      </w:hyperlink>
      <w:r w:rsidRPr="0017375F">
        <w:rPr>
          <w:lang w:val="es-ES_tradnl"/>
        </w:rPr>
        <w:br/>
        <w:t xml:space="preserve">Avenida </w:t>
      </w:r>
      <w:proofErr w:type="spellStart"/>
      <w:r w:rsidRPr="0017375F">
        <w:rPr>
          <w:lang w:val="es-ES_tradnl"/>
        </w:rPr>
        <w:t>Atlantica</w:t>
      </w:r>
      <w:proofErr w:type="spellEnd"/>
      <w:r w:rsidRPr="0017375F">
        <w:rPr>
          <w:lang w:val="es-ES_tradnl"/>
        </w:rPr>
        <w:t>, 4240, Copacabana</w:t>
      </w:r>
      <w:r w:rsidRPr="0017375F">
        <w:rPr>
          <w:lang w:val="es-ES_tradnl"/>
        </w:rPr>
        <w:br/>
        <w:t xml:space="preserve">22070-002 – Rio de Janeiro – RJ – </w:t>
      </w:r>
      <w:proofErr w:type="spellStart"/>
      <w:r w:rsidRPr="0017375F">
        <w:rPr>
          <w:lang w:val="es-ES_tradnl"/>
        </w:rPr>
        <w:t>Brazil</w:t>
      </w:r>
      <w:proofErr w:type="spellEnd"/>
    </w:p>
    <w:p w:rsidR="007C596C" w:rsidRPr="00615A2B" w:rsidRDefault="007C596C" w:rsidP="009C144C">
      <w:pPr>
        <w:pStyle w:val="Heading1"/>
        <w:rPr>
          <w:szCs w:val="24"/>
          <w:lang w:val="en-US"/>
        </w:rPr>
      </w:pPr>
      <w:r w:rsidRPr="00615A2B">
        <w:rPr>
          <w:szCs w:val="24"/>
          <w:lang w:val="en-US"/>
        </w:rPr>
        <w:t>Local Organization</w:t>
      </w:r>
    </w:p>
    <w:p w:rsidR="007C596C" w:rsidRPr="00615A2B" w:rsidRDefault="007C596C" w:rsidP="009C144C">
      <w:pPr>
        <w:pStyle w:val="Heading2"/>
        <w:rPr>
          <w:b w:val="0"/>
          <w:szCs w:val="24"/>
          <w:lang w:val="en-US"/>
        </w:rPr>
      </w:pPr>
      <w:proofErr w:type="spellStart"/>
      <w:r>
        <w:rPr>
          <w:szCs w:val="24"/>
          <w:lang w:val="en-US"/>
        </w:rPr>
        <w:t>Mr</w:t>
      </w:r>
      <w:proofErr w:type="spellEnd"/>
      <w:r w:rsidRPr="00615A2B">
        <w:rPr>
          <w:szCs w:val="24"/>
          <w:lang w:val="en-US"/>
        </w:rPr>
        <w:t xml:space="preserve"> Marcelo Moreno</w:t>
      </w:r>
      <w:r w:rsidRPr="00615A2B">
        <w:rPr>
          <w:szCs w:val="24"/>
          <w:lang w:val="en-US"/>
        </w:rPr>
        <w:br/>
      </w:r>
      <w:r w:rsidRPr="00615A2B">
        <w:rPr>
          <w:b w:val="0"/>
          <w:szCs w:val="24"/>
          <w:lang w:val="en-US"/>
        </w:rPr>
        <w:t xml:space="preserve">Federal University of Juiz de </w:t>
      </w:r>
      <w:proofErr w:type="spellStart"/>
      <w:r w:rsidRPr="00615A2B">
        <w:rPr>
          <w:b w:val="0"/>
          <w:szCs w:val="24"/>
          <w:lang w:val="en-US"/>
        </w:rPr>
        <w:t>Fora</w:t>
      </w:r>
      <w:proofErr w:type="spellEnd"/>
      <w:r w:rsidRPr="00615A2B">
        <w:rPr>
          <w:b w:val="0"/>
          <w:szCs w:val="24"/>
          <w:lang w:val="en-US"/>
        </w:rPr>
        <w:t xml:space="preserve"> – UFJF</w:t>
      </w:r>
      <w:r w:rsidRPr="00615A2B">
        <w:rPr>
          <w:b w:val="0"/>
          <w:szCs w:val="24"/>
          <w:lang w:val="en-US"/>
        </w:rPr>
        <w:br/>
        <w:t>under collaboration with Pontifical Catholic University of Rio de Janeiro (PUC-Rio)</w:t>
      </w:r>
      <w:r w:rsidRPr="00615A2B">
        <w:rPr>
          <w:b w:val="0"/>
          <w:szCs w:val="24"/>
          <w:lang w:val="en-US"/>
        </w:rPr>
        <w:br/>
        <w:t>Phone: +55-32-3229-3311</w:t>
      </w:r>
      <w:r w:rsidRPr="00615A2B">
        <w:rPr>
          <w:b w:val="0"/>
          <w:szCs w:val="24"/>
          <w:lang w:val="en-US"/>
        </w:rPr>
        <w:br/>
        <w:t>Mobile: +55-32-8866-2112</w:t>
      </w:r>
      <w:r w:rsidRPr="00615A2B">
        <w:rPr>
          <w:b w:val="0"/>
          <w:szCs w:val="24"/>
          <w:lang w:val="en-US"/>
        </w:rPr>
        <w:br/>
      </w:r>
      <w:r w:rsidRPr="00615A2B">
        <w:rPr>
          <w:b w:val="0"/>
          <w:bCs/>
          <w:szCs w:val="24"/>
          <w:lang w:val="en-US"/>
        </w:rPr>
        <w:t xml:space="preserve">E-mail: </w:t>
      </w:r>
      <w:hyperlink r:id="rId24" w:history="1">
        <w:r w:rsidRPr="00615A2B">
          <w:rPr>
            <w:rStyle w:val="Hyperlink"/>
            <w:szCs w:val="24"/>
            <w:lang w:val="en-US"/>
          </w:rPr>
          <w:t>moreno@ice.ufjf.br</w:t>
        </w:r>
      </w:hyperlink>
    </w:p>
    <w:p w:rsidR="007C596C" w:rsidRPr="00615A2B" w:rsidRDefault="007C596C" w:rsidP="009C144C">
      <w:pPr>
        <w:pStyle w:val="Heading1"/>
        <w:rPr>
          <w:szCs w:val="24"/>
          <w:lang w:val="en-US"/>
        </w:rPr>
      </w:pPr>
      <w:r w:rsidRPr="00615A2B">
        <w:rPr>
          <w:szCs w:val="24"/>
          <w:lang w:val="en-US"/>
        </w:rPr>
        <w:t>Accommodation</w:t>
      </w:r>
    </w:p>
    <w:p w:rsidR="007C596C" w:rsidRPr="00615A2B" w:rsidRDefault="007C596C" w:rsidP="009C144C">
      <w:r w:rsidRPr="00615A2B">
        <w:t>Delegates must reserve their rooms directly with their preferred hotels. Local organization will not deal with hotel reservations.</w:t>
      </w:r>
    </w:p>
    <w:p w:rsidR="007C596C" w:rsidRPr="00615A2B" w:rsidRDefault="007C596C" w:rsidP="009C144C">
      <w:r w:rsidRPr="00615A2B">
        <w:t>Rio de Janeiro is a very popular tourist destination and recently some preparatory events for FIFA World Cup 2014 and Olympic Games 2016 make the city hotels even busier. Delegates are advised to book their rooms as soon as possible.</w:t>
      </w:r>
    </w:p>
    <w:p w:rsidR="007C596C" w:rsidRPr="00615A2B" w:rsidRDefault="007C596C" w:rsidP="009C144C">
      <w:r w:rsidRPr="00615A2B">
        <w:t xml:space="preserve">The venue is in the heart of Rio’s tourist area where nearby hotels tend to be expensive and don’t negotiate special rates. However, local organization collected the following list of nearby hotels that present a good range of room rates. This list is intended to provide hotel recommendations with </w:t>
      </w:r>
      <w:r w:rsidRPr="00615A2B">
        <w:rPr>
          <w:u w:val="single"/>
        </w:rPr>
        <w:t>estimated</w:t>
      </w:r>
      <w:r w:rsidRPr="00615A2B">
        <w:t xml:space="preserve"> room rates to the delegates. Rooms booked sooner will probably be cheaper than these estimates. Again, delegates are advised to book their rooms as soon as possible.</w:t>
      </w:r>
    </w:p>
    <w:p w:rsidR="007C596C" w:rsidRDefault="007C596C" w:rsidP="009C144C">
      <w:r w:rsidRPr="00615A2B">
        <w:t>Hotels in Rio charge a service tax of 15%. The estimated rates don’t include the service tax.</w:t>
      </w:r>
    </w:p>
    <w:tbl>
      <w:tblPr>
        <w:tblW w:w="49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38"/>
        <w:gridCol w:w="1042"/>
        <w:gridCol w:w="1067"/>
        <w:gridCol w:w="1337"/>
        <w:gridCol w:w="1393"/>
        <w:gridCol w:w="1395"/>
      </w:tblGrid>
      <w:tr w:rsidR="007C596C" w:rsidRPr="003729B1" w:rsidTr="003C4D56">
        <w:trPr>
          <w:tblHeader/>
          <w:jc w:val="center"/>
        </w:trPr>
        <w:tc>
          <w:tcPr>
            <w:tcW w:w="1810" w:type="pct"/>
            <w:tcBorders>
              <w:top w:val="single" w:sz="12" w:space="0" w:color="auto"/>
              <w:bottom w:val="single" w:sz="12" w:space="0" w:color="auto"/>
            </w:tcBorders>
            <w:shd w:val="clear" w:color="auto" w:fill="auto"/>
            <w:vAlign w:val="center"/>
          </w:tcPr>
          <w:p w:rsidR="007C596C" w:rsidRPr="0083268A" w:rsidRDefault="007C596C" w:rsidP="009C144C">
            <w:pPr>
              <w:pStyle w:val="Tablehead0"/>
            </w:pPr>
            <w:r w:rsidRPr="0083268A">
              <w:t>Hotel</w:t>
            </w:r>
          </w:p>
        </w:tc>
        <w:tc>
          <w:tcPr>
            <w:tcW w:w="533" w:type="pct"/>
            <w:tcBorders>
              <w:top w:val="single" w:sz="12" w:space="0" w:color="auto"/>
              <w:bottom w:val="single" w:sz="12" w:space="0" w:color="auto"/>
            </w:tcBorders>
            <w:shd w:val="clear" w:color="auto" w:fill="auto"/>
            <w:vAlign w:val="center"/>
          </w:tcPr>
          <w:p w:rsidR="007C596C" w:rsidRPr="0083268A" w:rsidRDefault="007C596C" w:rsidP="009C144C">
            <w:pPr>
              <w:pStyle w:val="Tablehead0"/>
              <w:ind w:left="-57" w:right="-57"/>
            </w:pPr>
            <w:r w:rsidRPr="0083268A">
              <w:t>Category</w:t>
            </w:r>
          </w:p>
        </w:tc>
        <w:tc>
          <w:tcPr>
            <w:tcW w:w="546" w:type="pct"/>
            <w:tcBorders>
              <w:top w:val="single" w:sz="12" w:space="0" w:color="auto"/>
              <w:bottom w:val="single" w:sz="12" w:space="0" w:color="auto"/>
            </w:tcBorders>
            <w:shd w:val="clear" w:color="auto" w:fill="auto"/>
            <w:vAlign w:val="center"/>
          </w:tcPr>
          <w:p w:rsidR="007C596C" w:rsidRPr="0083268A" w:rsidRDefault="007C596C" w:rsidP="009C144C">
            <w:pPr>
              <w:pStyle w:val="Tablehead0"/>
            </w:pPr>
            <w:r w:rsidRPr="0083268A">
              <w:t>Distance to venue</w:t>
            </w:r>
          </w:p>
        </w:tc>
        <w:tc>
          <w:tcPr>
            <w:tcW w:w="684" w:type="pct"/>
            <w:tcBorders>
              <w:top w:val="single" w:sz="12" w:space="0" w:color="auto"/>
              <w:bottom w:val="single" w:sz="12" w:space="0" w:color="auto"/>
            </w:tcBorders>
            <w:shd w:val="clear" w:color="auto" w:fill="auto"/>
            <w:vAlign w:val="center"/>
          </w:tcPr>
          <w:p w:rsidR="007C596C" w:rsidRPr="0083268A" w:rsidRDefault="007C596C" w:rsidP="009C144C">
            <w:pPr>
              <w:pStyle w:val="Tablehead0"/>
            </w:pPr>
            <w:r w:rsidRPr="0083268A">
              <w:t>Room type</w:t>
            </w:r>
          </w:p>
        </w:tc>
        <w:tc>
          <w:tcPr>
            <w:tcW w:w="713" w:type="pct"/>
            <w:tcBorders>
              <w:top w:val="single" w:sz="12" w:space="0" w:color="auto"/>
              <w:bottom w:val="single" w:sz="12" w:space="0" w:color="auto"/>
            </w:tcBorders>
            <w:shd w:val="clear" w:color="auto" w:fill="auto"/>
            <w:vAlign w:val="center"/>
          </w:tcPr>
          <w:p w:rsidR="007C596C" w:rsidRPr="0083268A" w:rsidRDefault="007C596C" w:rsidP="009C144C">
            <w:pPr>
              <w:pStyle w:val="Tablehead0"/>
            </w:pPr>
            <w:r w:rsidRPr="0083268A">
              <w:t>Estimated Rate</w:t>
            </w:r>
          </w:p>
        </w:tc>
        <w:tc>
          <w:tcPr>
            <w:tcW w:w="714" w:type="pct"/>
            <w:tcBorders>
              <w:top w:val="single" w:sz="12" w:space="0" w:color="auto"/>
              <w:bottom w:val="single" w:sz="12" w:space="0" w:color="auto"/>
            </w:tcBorders>
            <w:shd w:val="clear" w:color="auto" w:fill="auto"/>
            <w:vAlign w:val="center"/>
          </w:tcPr>
          <w:p w:rsidR="007C596C" w:rsidRPr="0083268A" w:rsidRDefault="007C596C" w:rsidP="009C144C">
            <w:pPr>
              <w:pStyle w:val="Tablehead0"/>
            </w:pPr>
            <w:r w:rsidRPr="0083268A">
              <w:t>Remarks</w:t>
            </w:r>
          </w:p>
        </w:tc>
      </w:tr>
      <w:tr w:rsidR="007C596C" w:rsidRPr="003729B1" w:rsidTr="003C4D56">
        <w:trPr>
          <w:trHeight w:val="267"/>
          <w:jc w:val="center"/>
        </w:trPr>
        <w:tc>
          <w:tcPr>
            <w:tcW w:w="1810" w:type="pct"/>
            <w:vMerge w:val="restart"/>
            <w:tcBorders>
              <w:top w:val="single" w:sz="12" w:space="0" w:color="auto"/>
            </w:tcBorders>
            <w:shd w:val="clear" w:color="auto" w:fill="auto"/>
            <w:vAlign w:val="center"/>
          </w:tcPr>
          <w:p w:rsidR="007C596C" w:rsidRPr="0017375F" w:rsidRDefault="007C596C" w:rsidP="009C144C">
            <w:pPr>
              <w:pStyle w:val="Tabletext0"/>
              <w:rPr>
                <w:lang w:val="es-ES_tradnl"/>
              </w:rPr>
            </w:pPr>
            <w:proofErr w:type="spellStart"/>
            <w:r w:rsidRPr="0017375F">
              <w:rPr>
                <w:lang w:val="es-ES_tradnl"/>
              </w:rPr>
              <w:t>Sofitel</w:t>
            </w:r>
            <w:proofErr w:type="spellEnd"/>
            <w:r w:rsidRPr="0017375F">
              <w:rPr>
                <w:lang w:val="es-ES_tradnl"/>
              </w:rPr>
              <w:t xml:space="preserve"> Rio de Janeiro Copacabana</w:t>
            </w:r>
            <w:r w:rsidRPr="0017375F">
              <w:rPr>
                <w:lang w:val="es-ES_tradnl"/>
              </w:rPr>
              <w:br/>
            </w:r>
            <w:hyperlink r:id="rId25" w:history="1">
              <w:r w:rsidRPr="0017375F">
                <w:rPr>
                  <w:rStyle w:val="Hyperlink"/>
                  <w:lang w:val="es-ES_tradnl"/>
                </w:rPr>
                <w:t>http://www.sofitel.com</w:t>
              </w:r>
            </w:hyperlink>
          </w:p>
        </w:tc>
        <w:tc>
          <w:tcPr>
            <w:tcW w:w="533" w:type="pct"/>
            <w:vMerge w:val="restart"/>
            <w:tcBorders>
              <w:top w:val="single" w:sz="12" w:space="0" w:color="auto"/>
            </w:tcBorders>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tcBorders>
              <w:top w:val="single" w:sz="12" w:space="0" w:color="auto"/>
            </w:tcBorders>
            <w:shd w:val="clear" w:color="auto" w:fill="auto"/>
            <w:vAlign w:val="center"/>
          </w:tcPr>
          <w:p w:rsidR="007C596C" w:rsidRPr="0083268A" w:rsidRDefault="007C596C" w:rsidP="009C144C">
            <w:pPr>
              <w:pStyle w:val="Tabletext0"/>
              <w:jc w:val="center"/>
            </w:pPr>
            <w:r>
              <w:noBreakHyphen/>
            </w:r>
          </w:p>
        </w:tc>
        <w:tc>
          <w:tcPr>
            <w:tcW w:w="684" w:type="pct"/>
            <w:tcBorders>
              <w:top w:val="single" w:sz="12" w:space="0" w:color="auto"/>
            </w:tcBorders>
            <w:shd w:val="clear" w:color="auto" w:fill="auto"/>
            <w:vAlign w:val="center"/>
          </w:tcPr>
          <w:p w:rsidR="007C596C" w:rsidRPr="0083268A" w:rsidRDefault="007C596C" w:rsidP="009C144C">
            <w:pPr>
              <w:pStyle w:val="Tabletext0"/>
            </w:pPr>
            <w:r w:rsidRPr="0083268A">
              <w:t>Classic</w:t>
            </w:r>
          </w:p>
        </w:tc>
        <w:tc>
          <w:tcPr>
            <w:tcW w:w="713" w:type="pct"/>
            <w:tcBorders>
              <w:top w:val="single" w:sz="12" w:space="0" w:color="auto"/>
            </w:tcBorders>
            <w:shd w:val="clear" w:color="auto" w:fill="auto"/>
            <w:vAlign w:val="center"/>
          </w:tcPr>
          <w:p w:rsidR="007C596C" w:rsidRPr="0083268A" w:rsidRDefault="007C596C" w:rsidP="009C144C">
            <w:pPr>
              <w:pStyle w:val="Tabletext0"/>
            </w:pPr>
            <w:r w:rsidRPr="0083268A">
              <w:t>R$ 500.00~</w:t>
            </w:r>
          </w:p>
        </w:tc>
        <w:tc>
          <w:tcPr>
            <w:tcW w:w="714" w:type="pct"/>
            <w:vMerge w:val="restart"/>
            <w:tcBorders>
              <w:top w:val="single" w:sz="12" w:space="0" w:color="auto"/>
            </w:tcBorders>
            <w:shd w:val="clear" w:color="auto" w:fill="auto"/>
            <w:vAlign w:val="center"/>
          </w:tcPr>
          <w:p w:rsidR="007C596C" w:rsidRPr="0083268A" w:rsidRDefault="007C596C" w:rsidP="009C144C">
            <w:pPr>
              <w:pStyle w:val="Tabletext0"/>
            </w:pPr>
            <w:r w:rsidRPr="0083268A">
              <w:t xml:space="preserve">Breakfast </w:t>
            </w:r>
            <w:r w:rsidRPr="003729B1">
              <w:rPr>
                <w:u w:val="single"/>
              </w:rPr>
              <w:t>not</w:t>
            </w:r>
            <w:r w:rsidRPr="0083268A">
              <w:t xml:space="preserve">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 xml:space="preserve">Superior </w:t>
            </w:r>
          </w:p>
        </w:tc>
        <w:tc>
          <w:tcPr>
            <w:tcW w:w="713" w:type="pct"/>
            <w:shd w:val="clear" w:color="auto" w:fill="auto"/>
            <w:vAlign w:val="center"/>
          </w:tcPr>
          <w:p w:rsidR="007C596C" w:rsidRPr="0083268A" w:rsidRDefault="007C596C" w:rsidP="009C144C">
            <w:pPr>
              <w:pStyle w:val="Tabletext0"/>
            </w:pPr>
            <w:r w:rsidRPr="0083268A">
              <w:t>R$ 530.00~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17375F" w:rsidRDefault="007C596C" w:rsidP="009C144C">
            <w:pPr>
              <w:pStyle w:val="Tabletext0"/>
              <w:rPr>
                <w:lang w:val="es-ES_tradnl"/>
              </w:rPr>
            </w:pPr>
            <w:r w:rsidRPr="0017375F">
              <w:rPr>
                <w:lang w:val="es-ES_tradnl"/>
              </w:rPr>
              <w:t>Orla Copacabana Hotel</w:t>
            </w:r>
            <w:r w:rsidRPr="0017375F">
              <w:rPr>
                <w:lang w:val="es-ES_tradnl"/>
              </w:rPr>
              <w:br/>
            </w:r>
            <w:hyperlink r:id="rId26" w:history="1">
              <w:r w:rsidRPr="0017375F">
                <w:rPr>
                  <w:rStyle w:val="Hyperlink"/>
                  <w:lang w:val="es-ES_tradnl"/>
                </w:rPr>
                <w:t>http://www.orlahotel.com.br/en</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100m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R$ 364.00~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R$ 399.00~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17375F" w:rsidRDefault="007C596C" w:rsidP="009C144C">
            <w:pPr>
              <w:pStyle w:val="Tabletext0"/>
              <w:rPr>
                <w:lang w:val="es-ES_tradnl"/>
              </w:rPr>
            </w:pPr>
            <w:r w:rsidRPr="0017375F">
              <w:rPr>
                <w:lang w:val="es-ES_tradnl"/>
              </w:rPr>
              <w:t>Copacabana Praia Hotel</w:t>
            </w:r>
            <w:r w:rsidRPr="0017375F">
              <w:rPr>
                <w:lang w:val="es-ES_tradnl"/>
              </w:rPr>
              <w:br/>
            </w:r>
            <w:hyperlink r:id="rId27" w:history="1">
              <w:r w:rsidRPr="0017375F">
                <w:rPr>
                  <w:rStyle w:val="Hyperlink"/>
                  <w:lang w:val="es-ES_tradnl"/>
                </w:rPr>
                <w:t>http://copacabanapraiahotel.com.br</w:t>
              </w:r>
            </w:hyperlink>
            <w:r w:rsidRPr="0017375F">
              <w:rPr>
                <w:lang w:val="es-ES_tradnl"/>
              </w:rPr>
              <w:t xml:space="preserve"> </w:t>
            </w:r>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220m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R$ 250.00~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R$ 270.00~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11"/>
          <w:jc w:val="center"/>
        </w:trPr>
        <w:tc>
          <w:tcPr>
            <w:tcW w:w="1810" w:type="pct"/>
            <w:vMerge w:val="restart"/>
            <w:shd w:val="clear" w:color="auto" w:fill="auto"/>
            <w:vAlign w:val="center"/>
          </w:tcPr>
          <w:p w:rsidR="007C596C" w:rsidRPr="0017375F" w:rsidRDefault="007C596C" w:rsidP="009C144C">
            <w:pPr>
              <w:pStyle w:val="Tabletext0"/>
              <w:rPr>
                <w:lang w:val="es-ES_tradnl"/>
              </w:rPr>
            </w:pPr>
            <w:proofErr w:type="spellStart"/>
            <w:r w:rsidRPr="0017375F">
              <w:rPr>
                <w:lang w:val="es-ES_tradnl"/>
              </w:rPr>
              <w:t>Mercure</w:t>
            </w:r>
            <w:proofErr w:type="spellEnd"/>
            <w:r w:rsidRPr="0017375F">
              <w:rPr>
                <w:lang w:val="es-ES_tradnl"/>
              </w:rPr>
              <w:t xml:space="preserve"> Rio de Janeiro </w:t>
            </w:r>
            <w:proofErr w:type="spellStart"/>
            <w:r w:rsidRPr="0017375F">
              <w:rPr>
                <w:lang w:val="es-ES_tradnl"/>
              </w:rPr>
              <w:t>Arpoador</w:t>
            </w:r>
            <w:proofErr w:type="spellEnd"/>
            <w:r w:rsidRPr="0017375F">
              <w:rPr>
                <w:lang w:val="es-ES_tradnl"/>
              </w:rPr>
              <w:br/>
            </w:r>
            <w:hyperlink r:id="rId28" w:history="1">
              <w:r w:rsidRPr="0017375F">
                <w:rPr>
                  <w:rStyle w:val="Hyperlink"/>
                  <w:lang w:val="es-ES_tradnl"/>
                </w:rPr>
                <w:t>http://www.accorhotels.com</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300m</w:t>
            </w:r>
          </w:p>
        </w:tc>
        <w:tc>
          <w:tcPr>
            <w:tcW w:w="684" w:type="pct"/>
            <w:shd w:val="clear" w:color="auto" w:fill="auto"/>
            <w:vAlign w:val="center"/>
          </w:tcPr>
          <w:p w:rsidR="007C596C" w:rsidRPr="0083268A" w:rsidRDefault="007C596C" w:rsidP="009C144C">
            <w:pPr>
              <w:pStyle w:val="Tabletext0"/>
            </w:pPr>
            <w:r w:rsidRPr="0083268A">
              <w:t>Restricted</w:t>
            </w:r>
          </w:p>
        </w:tc>
        <w:tc>
          <w:tcPr>
            <w:tcW w:w="713" w:type="pct"/>
            <w:shd w:val="clear" w:color="auto" w:fill="auto"/>
            <w:vAlign w:val="center"/>
          </w:tcPr>
          <w:p w:rsidR="007C596C" w:rsidRPr="0083268A" w:rsidRDefault="007C596C" w:rsidP="009C144C">
            <w:pPr>
              <w:pStyle w:val="Tabletext0"/>
            </w:pPr>
            <w:r w:rsidRPr="0083268A">
              <w:t>R$ 300.00~</w:t>
            </w:r>
          </w:p>
        </w:tc>
        <w:tc>
          <w:tcPr>
            <w:tcW w:w="714" w:type="pct"/>
            <w:vMerge w:val="restart"/>
            <w:shd w:val="clear" w:color="auto" w:fill="auto"/>
            <w:vAlign w:val="center"/>
          </w:tcPr>
          <w:p w:rsidR="007C596C" w:rsidRPr="0083268A" w:rsidRDefault="007C596C" w:rsidP="009C144C">
            <w:pPr>
              <w:pStyle w:val="Tabletext0"/>
            </w:pPr>
            <w:r w:rsidRPr="0083268A">
              <w:t xml:space="preserve">Breakfast </w:t>
            </w:r>
            <w:r w:rsidRPr="003729B1">
              <w:rPr>
                <w:u w:val="single"/>
              </w:rPr>
              <w:t>not</w:t>
            </w:r>
            <w:r w:rsidRPr="0083268A">
              <w:t xml:space="preserve"> included</w:t>
            </w:r>
          </w:p>
        </w:tc>
      </w:tr>
      <w:tr w:rsidR="007C596C" w:rsidRPr="003729B1" w:rsidTr="003C4D56">
        <w:trPr>
          <w:trHeight w:val="211"/>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Unrestricted</w:t>
            </w:r>
          </w:p>
        </w:tc>
        <w:tc>
          <w:tcPr>
            <w:tcW w:w="713" w:type="pct"/>
            <w:shd w:val="clear" w:color="auto" w:fill="auto"/>
            <w:vAlign w:val="center"/>
          </w:tcPr>
          <w:p w:rsidR="007C596C" w:rsidRPr="0083268A" w:rsidRDefault="007C596C" w:rsidP="009C144C">
            <w:pPr>
              <w:pStyle w:val="Tabletext0"/>
            </w:pPr>
            <w:r w:rsidRPr="0083268A">
              <w:t>R$ 375.00~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83268A" w:rsidRDefault="007C596C" w:rsidP="009C144C">
            <w:pPr>
              <w:pStyle w:val="Tabletext0"/>
            </w:pPr>
            <w:proofErr w:type="spellStart"/>
            <w:r w:rsidRPr="0083268A">
              <w:t>Portinari</w:t>
            </w:r>
            <w:proofErr w:type="spellEnd"/>
            <w:r w:rsidRPr="0083268A">
              <w:t xml:space="preserve"> Design Hotel</w:t>
            </w:r>
            <w:r w:rsidRPr="0083268A">
              <w:br/>
            </w:r>
            <w:hyperlink r:id="rId29" w:history="1">
              <w:r w:rsidRPr="00291035">
                <w:rPr>
                  <w:rStyle w:val="Hyperlink"/>
                </w:rPr>
                <w:t>http://hotelportinari.com.br/en.us</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400m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R$ 330.00~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R$ 340.00~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11"/>
          <w:jc w:val="center"/>
        </w:trPr>
        <w:tc>
          <w:tcPr>
            <w:tcW w:w="1810" w:type="pct"/>
            <w:vMerge w:val="restart"/>
            <w:shd w:val="clear" w:color="auto" w:fill="auto"/>
            <w:vAlign w:val="center"/>
          </w:tcPr>
          <w:p w:rsidR="007C596C" w:rsidRPr="0017375F" w:rsidRDefault="007C596C" w:rsidP="009C144C">
            <w:pPr>
              <w:pStyle w:val="Tabletext0"/>
              <w:rPr>
                <w:lang w:val="es-ES_tradnl"/>
              </w:rPr>
            </w:pPr>
            <w:r w:rsidRPr="0017375F">
              <w:rPr>
                <w:lang w:val="es-ES_tradnl"/>
              </w:rPr>
              <w:t>Copa Sul Hotel</w:t>
            </w:r>
            <w:r w:rsidRPr="0017375F">
              <w:rPr>
                <w:lang w:val="es-ES_tradnl"/>
              </w:rPr>
              <w:br/>
            </w:r>
            <w:hyperlink r:id="rId30" w:history="1">
              <w:r w:rsidRPr="0017375F">
                <w:rPr>
                  <w:rStyle w:val="Hyperlink"/>
                  <w:lang w:val="es-ES_tradnl"/>
                </w:rPr>
                <w:t>http://www.copasul.com.br/en-us</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400m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R$ 300.00~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11"/>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R$ 380.00~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83268A" w:rsidRDefault="007C596C" w:rsidP="009C144C">
            <w:pPr>
              <w:pStyle w:val="Tabletext0"/>
            </w:pPr>
            <w:r w:rsidRPr="0083268A">
              <w:t>Cristal Palace Hotel</w:t>
            </w:r>
            <w:r w:rsidRPr="0083268A">
              <w:br/>
            </w:r>
            <w:hyperlink r:id="rId31" w:history="1">
              <w:r w:rsidRPr="0083268A">
                <w:rPr>
                  <w:rStyle w:val="Hyperlink"/>
                </w:rPr>
                <w:t>www.hotelcristalpalace.com.br</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400m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R$ 193.00~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R$ 218.00~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17375F" w:rsidRDefault="007C596C" w:rsidP="009C144C">
            <w:pPr>
              <w:pStyle w:val="Tabletext0"/>
              <w:rPr>
                <w:lang w:val="es-ES_tradnl"/>
              </w:rPr>
            </w:pPr>
            <w:r w:rsidRPr="0017375F">
              <w:rPr>
                <w:lang w:val="es-ES_tradnl"/>
              </w:rPr>
              <w:t>Atlantis Copacabana Hotel</w:t>
            </w:r>
            <w:r w:rsidRPr="0017375F">
              <w:rPr>
                <w:lang w:val="es-ES_tradnl"/>
              </w:rPr>
              <w:br/>
            </w:r>
            <w:hyperlink r:id="rId32" w:history="1">
              <w:r w:rsidRPr="0017375F">
                <w:rPr>
                  <w:rStyle w:val="Hyperlink"/>
                  <w:lang w:val="es-ES_tradnl"/>
                </w:rPr>
                <w:t>http://www.atlantishotel.com.br/ing</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450m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R$ 240.00~</w:t>
            </w:r>
          </w:p>
        </w:tc>
        <w:tc>
          <w:tcPr>
            <w:tcW w:w="714" w:type="pct"/>
            <w:vMerge w:val="restart"/>
            <w:shd w:val="clear" w:color="auto" w:fill="auto"/>
            <w:vAlign w:val="center"/>
          </w:tcPr>
          <w:p w:rsidR="007C596C" w:rsidRPr="0083268A" w:rsidRDefault="007C596C" w:rsidP="009C144C">
            <w:pPr>
              <w:pStyle w:val="Tabletext0"/>
            </w:pPr>
            <w:r w:rsidRPr="0083268A">
              <w:t>Breakfast included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3729B1" w:rsidRDefault="007C596C" w:rsidP="009C144C">
            <w:pPr>
              <w:pStyle w:val="Tabletext0"/>
              <w:jc w:val="center"/>
              <w:rPr>
                <w:sz w:val="16"/>
                <w:szCs w:val="14"/>
              </w:rP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R$ 260.00~</w:t>
            </w:r>
          </w:p>
        </w:tc>
        <w:tc>
          <w:tcPr>
            <w:tcW w:w="714" w:type="pct"/>
            <w:vMerge/>
            <w:shd w:val="clear" w:color="auto" w:fill="auto"/>
            <w:vAlign w:val="center"/>
          </w:tcPr>
          <w:p w:rsidR="007C596C" w:rsidRPr="0083268A" w:rsidRDefault="007C596C" w:rsidP="009C144C">
            <w:pPr>
              <w:pStyle w:val="Tabletext0"/>
            </w:pPr>
          </w:p>
        </w:tc>
      </w:tr>
      <w:tr w:rsidR="007C596C" w:rsidRPr="003729B1" w:rsidTr="003C4D56">
        <w:trPr>
          <w:trHeight w:val="267"/>
          <w:jc w:val="center"/>
        </w:trPr>
        <w:tc>
          <w:tcPr>
            <w:tcW w:w="1810" w:type="pct"/>
            <w:vMerge w:val="restart"/>
            <w:shd w:val="clear" w:color="auto" w:fill="auto"/>
            <w:vAlign w:val="center"/>
          </w:tcPr>
          <w:p w:rsidR="007C596C" w:rsidRPr="0017375F" w:rsidRDefault="007C596C" w:rsidP="009C144C">
            <w:pPr>
              <w:pStyle w:val="Tabletext0"/>
              <w:rPr>
                <w:lang w:val="es-ES_tradnl"/>
              </w:rPr>
            </w:pPr>
            <w:proofErr w:type="spellStart"/>
            <w:r w:rsidRPr="0017375F">
              <w:rPr>
                <w:lang w:val="es-ES_tradnl"/>
              </w:rPr>
              <w:t>Arpoador</w:t>
            </w:r>
            <w:proofErr w:type="spellEnd"/>
            <w:r w:rsidRPr="0017375F">
              <w:rPr>
                <w:lang w:val="es-ES_tradnl"/>
              </w:rPr>
              <w:t xml:space="preserve"> </w:t>
            </w:r>
            <w:proofErr w:type="spellStart"/>
            <w:r w:rsidRPr="0017375F">
              <w:rPr>
                <w:lang w:val="es-ES_tradnl"/>
              </w:rPr>
              <w:t>Inn</w:t>
            </w:r>
            <w:proofErr w:type="spellEnd"/>
            <w:r w:rsidRPr="0017375F">
              <w:rPr>
                <w:lang w:val="es-ES_tradnl"/>
              </w:rPr>
              <w:t xml:space="preserve"> Hotel</w:t>
            </w:r>
            <w:r w:rsidRPr="0017375F">
              <w:rPr>
                <w:lang w:val="es-ES_tradnl"/>
              </w:rPr>
              <w:br/>
            </w:r>
            <w:hyperlink r:id="rId33" w:history="1">
              <w:r w:rsidRPr="0017375F">
                <w:rPr>
                  <w:rStyle w:val="Hyperlink"/>
                  <w:lang w:val="es-ES_tradnl"/>
                </w:rPr>
                <w:t>www.arpoadorinn.com.br</w:t>
              </w:r>
            </w:hyperlink>
          </w:p>
        </w:tc>
        <w:tc>
          <w:tcPr>
            <w:tcW w:w="533" w:type="pct"/>
            <w:vMerge w:val="restart"/>
            <w:shd w:val="clear" w:color="auto" w:fill="auto"/>
            <w:vAlign w:val="center"/>
          </w:tcPr>
          <w:p w:rsidR="007C596C" w:rsidRPr="003729B1" w:rsidRDefault="007C596C" w:rsidP="009C144C">
            <w:pPr>
              <w:pStyle w:val="Tabletext0"/>
              <w:jc w:val="center"/>
              <w:rPr>
                <w:sz w:val="16"/>
                <w:szCs w:val="14"/>
              </w:rPr>
            </w:pPr>
            <w:r w:rsidRPr="003729B1">
              <w:rPr>
                <w:rFonts w:ascii="SimSun" w:eastAsia="SimSun" w:hAnsi="SimSun" w:cs="SimSun" w:hint="eastAsia"/>
                <w:sz w:val="16"/>
                <w:szCs w:val="14"/>
              </w:rPr>
              <w:t>★★★</w:t>
            </w:r>
          </w:p>
        </w:tc>
        <w:tc>
          <w:tcPr>
            <w:tcW w:w="546" w:type="pct"/>
            <w:vMerge w:val="restart"/>
            <w:shd w:val="clear" w:color="auto" w:fill="auto"/>
            <w:vAlign w:val="center"/>
          </w:tcPr>
          <w:p w:rsidR="007C596C" w:rsidRPr="0083268A" w:rsidRDefault="007C596C" w:rsidP="009C144C">
            <w:pPr>
              <w:pStyle w:val="Tabletext0"/>
              <w:jc w:val="center"/>
            </w:pPr>
            <w:r w:rsidRPr="0083268A">
              <w:t>650m</w:t>
            </w:r>
          </w:p>
        </w:tc>
        <w:tc>
          <w:tcPr>
            <w:tcW w:w="684" w:type="pct"/>
            <w:shd w:val="clear" w:color="auto" w:fill="auto"/>
            <w:vAlign w:val="center"/>
          </w:tcPr>
          <w:p w:rsidR="007C596C" w:rsidRPr="0083268A" w:rsidRDefault="007C596C" w:rsidP="009C144C">
            <w:pPr>
              <w:pStyle w:val="Tabletext0"/>
            </w:pPr>
            <w:r w:rsidRPr="0083268A">
              <w:t>Single</w:t>
            </w:r>
          </w:p>
        </w:tc>
        <w:tc>
          <w:tcPr>
            <w:tcW w:w="713" w:type="pct"/>
            <w:shd w:val="clear" w:color="auto" w:fill="auto"/>
            <w:vAlign w:val="center"/>
          </w:tcPr>
          <w:p w:rsidR="007C596C" w:rsidRPr="0083268A" w:rsidRDefault="007C596C" w:rsidP="009C144C">
            <w:pPr>
              <w:pStyle w:val="Tabletext0"/>
            </w:pPr>
            <w:r w:rsidRPr="0083268A">
              <w:t>R$ 297.00~</w:t>
            </w:r>
          </w:p>
        </w:tc>
        <w:tc>
          <w:tcPr>
            <w:tcW w:w="714" w:type="pct"/>
            <w:vMerge w:val="restart"/>
            <w:shd w:val="clear" w:color="auto" w:fill="auto"/>
            <w:vAlign w:val="center"/>
          </w:tcPr>
          <w:p w:rsidR="007C596C" w:rsidRPr="0083268A" w:rsidRDefault="007C596C" w:rsidP="009C144C">
            <w:pPr>
              <w:pStyle w:val="Tabletext0"/>
            </w:pPr>
            <w:r w:rsidRPr="0083268A">
              <w:t>Breakfast inclu</w:t>
            </w:r>
            <w:r>
              <w:t>d</w:t>
            </w:r>
            <w:r w:rsidRPr="0083268A">
              <w:t>ed</w:t>
            </w:r>
          </w:p>
        </w:tc>
      </w:tr>
      <w:tr w:rsidR="007C596C" w:rsidRPr="003729B1" w:rsidTr="003C4D56">
        <w:trPr>
          <w:trHeight w:val="267"/>
          <w:jc w:val="center"/>
        </w:trPr>
        <w:tc>
          <w:tcPr>
            <w:tcW w:w="1810" w:type="pct"/>
            <w:vMerge/>
            <w:shd w:val="clear" w:color="auto" w:fill="auto"/>
            <w:vAlign w:val="center"/>
          </w:tcPr>
          <w:p w:rsidR="007C596C" w:rsidRPr="0083268A" w:rsidRDefault="007C596C" w:rsidP="009C144C">
            <w:pPr>
              <w:pStyle w:val="Tabletext0"/>
            </w:pPr>
          </w:p>
        </w:tc>
        <w:tc>
          <w:tcPr>
            <w:tcW w:w="533" w:type="pct"/>
            <w:vMerge/>
            <w:shd w:val="clear" w:color="auto" w:fill="auto"/>
            <w:vAlign w:val="center"/>
          </w:tcPr>
          <w:p w:rsidR="007C596C" w:rsidRPr="0083268A" w:rsidRDefault="007C596C" w:rsidP="009C144C">
            <w:pPr>
              <w:pStyle w:val="Tabletext0"/>
              <w:jc w:val="center"/>
            </w:pPr>
          </w:p>
        </w:tc>
        <w:tc>
          <w:tcPr>
            <w:tcW w:w="546" w:type="pct"/>
            <w:vMerge/>
            <w:shd w:val="clear" w:color="auto" w:fill="auto"/>
            <w:vAlign w:val="center"/>
          </w:tcPr>
          <w:p w:rsidR="007C596C" w:rsidRPr="0083268A" w:rsidRDefault="007C596C" w:rsidP="009C144C">
            <w:pPr>
              <w:pStyle w:val="Tabletext0"/>
              <w:jc w:val="center"/>
            </w:pPr>
          </w:p>
        </w:tc>
        <w:tc>
          <w:tcPr>
            <w:tcW w:w="684" w:type="pct"/>
            <w:shd w:val="clear" w:color="auto" w:fill="auto"/>
            <w:vAlign w:val="center"/>
          </w:tcPr>
          <w:p w:rsidR="007C596C" w:rsidRPr="0083268A" w:rsidRDefault="007C596C" w:rsidP="009C144C">
            <w:pPr>
              <w:pStyle w:val="Tabletext0"/>
            </w:pPr>
            <w:r w:rsidRPr="0083268A">
              <w:t>Double</w:t>
            </w:r>
          </w:p>
        </w:tc>
        <w:tc>
          <w:tcPr>
            <w:tcW w:w="713" w:type="pct"/>
            <w:shd w:val="clear" w:color="auto" w:fill="auto"/>
            <w:vAlign w:val="center"/>
          </w:tcPr>
          <w:p w:rsidR="007C596C" w:rsidRPr="0083268A" w:rsidRDefault="007C596C" w:rsidP="009C144C">
            <w:pPr>
              <w:pStyle w:val="Tabletext0"/>
            </w:pPr>
            <w:r w:rsidRPr="0083268A">
              <w:t>R$ 330.00~</w:t>
            </w:r>
          </w:p>
        </w:tc>
        <w:tc>
          <w:tcPr>
            <w:tcW w:w="714" w:type="pct"/>
            <w:vMerge/>
            <w:shd w:val="clear" w:color="auto" w:fill="auto"/>
            <w:vAlign w:val="center"/>
          </w:tcPr>
          <w:p w:rsidR="007C596C" w:rsidRPr="0083268A" w:rsidRDefault="007C596C" w:rsidP="009C144C">
            <w:pPr>
              <w:pStyle w:val="Tabletext0"/>
            </w:pPr>
          </w:p>
        </w:tc>
      </w:tr>
    </w:tbl>
    <w:p w:rsidR="007C596C" w:rsidRPr="00615A2B" w:rsidRDefault="007C596C" w:rsidP="009C144C">
      <w:pPr>
        <w:rPr>
          <w:color w:val="FF0000"/>
          <w:szCs w:val="24"/>
          <w:lang w:val="en-US"/>
        </w:rPr>
      </w:pPr>
      <w:r w:rsidRPr="00615A2B">
        <w:rPr>
          <w:color w:val="FF0000"/>
          <w:szCs w:val="24"/>
          <w:lang w:val="en-US"/>
        </w:rPr>
        <w:t xml:space="preserve">Many other hotels are in a short distance. Copacabana, </w:t>
      </w:r>
      <w:proofErr w:type="spellStart"/>
      <w:r w:rsidRPr="00615A2B">
        <w:rPr>
          <w:color w:val="FF0000"/>
          <w:szCs w:val="24"/>
          <w:lang w:val="en-US"/>
        </w:rPr>
        <w:t>Ipanema</w:t>
      </w:r>
      <w:proofErr w:type="spellEnd"/>
      <w:r w:rsidRPr="00615A2B">
        <w:rPr>
          <w:color w:val="FF0000"/>
          <w:szCs w:val="24"/>
          <w:lang w:val="en-US"/>
        </w:rPr>
        <w:t xml:space="preserve"> and </w:t>
      </w:r>
      <w:proofErr w:type="spellStart"/>
      <w:r w:rsidRPr="00615A2B">
        <w:rPr>
          <w:color w:val="FF0000"/>
          <w:szCs w:val="24"/>
          <w:lang w:val="en-US"/>
        </w:rPr>
        <w:t>Leblon</w:t>
      </w:r>
      <w:proofErr w:type="spellEnd"/>
      <w:r w:rsidRPr="00615A2B">
        <w:rPr>
          <w:color w:val="FF0000"/>
          <w:szCs w:val="24"/>
          <w:lang w:val="en-US"/>
        </w:rPr>
        <w:t xml:space="preserve"> are the nearest (and recommended) neighborhoods.</w:t>
      </w:r>
    </w:p>
    <w:p w:rsidR="007C596C" w:rsidRPr="00615A2B" w:rsidRDefault="007C596C" w:rsidP="009C144C">
      <w:pPr>
        <w:pStyle w:val="Heading1"/>
        <w:rPr>
          <w:szCs w:val="24"/>
          <w:lang w:val="en-US"/>
        </w:rPr>
      </w:pPr>
      <w:r w:rsidRPr="00615A2B">
        <w:rPr>
          <w:szCs w:val="24"/>
          <w:lang w:val="en-US"/>
        </w:rPr>
        <w:t>Currency</w:t>
      </w:r>
    </w:p>
    <w:p w:rsidR="007C596C" w:rsidRPr="00615A2B" w:rsidRDefault="007C596C" w:rsidP="009C144C">
      <w:r w:rsidRPr="00615A2B">
        <w:t xml:space="preserve">Brazilian Real (BRL) is the official currency. Foreign currency can be exchanged into </w:t>
      </w:r>
      <w:proofErr w:type="spellStart"/>
      <w:r w:rsidRPr="00615A2B">
        <w:t>Reais</w:t>
      </w:r>
      <w:proofErr w:type="spellEnd"/>
      <w:r w:rsidRPr="00615A2B">
        <w:t xml:space="preserve"> in currency exchange agencies and some banks. Brazil adopts a floating exchange rate. The exchange rate on May 16 2011 was USD 1.00 = R$1,63.</w:t>
      </w:r>
    </w:p>
    <w:p w:rsidR="007C596C" w:rsidRPr="00615A2B" w:rsidRDefault="007C596C" w:rsidP="009C144C">
      <w:r w:rsidRPr="00615A2B">
        <w:t>Today, Real has six bills, R$ 2</w:t>
      </w:r>
      <w:r>
        <w:t>,</w:t>
      </w:r>
      <w:r w:rsidRPr="00615A2B">
        <w:t>00, R$ 5</w:t>
      </w:r>
      <w:r>
        <w:t>,</w:t>
      </w:r>
      <w:r w:rsidRPr="00615A2B">
        <w:t>00, R$ 10</w:t>
      </w:r>
      <w:r>
        <w:t>,</w:t>
      </w:r>
      <w:r w:rsidRPr="00615A2B">
        <w:t>00, R$ 20</w:t>
      </w:r>
      <w:r>
        <w:t>,</w:t>
      </w:r>
      <w:r w:rsidRPr="00615A2B">
        <w:t>00, R$ 50</w:t>
      </w:r>
      <w:r>
        <w:t>,</w:t>
      </w:r>
      <w:r w:rsidRPr="00615A2B">
        <w:t>00 and R$ 100</w:t>
      </w:r>
      <w:r>
        <w:t>,</w:t>
      </w:r>
      <w:r w:rsidRPr="00615A2B">
        <w:t>00, plus five coins, R$ 0</w:t>
      </w:r>
      <w:r>
        <w:t>,</w:t>
      </w:r>
      <w:r w:rsidRPr="00615A2B">
        <w:t>05, R$ 0</w:t>
      </w:r>
      <w:r>
        <w:t>,</w:t>
      </w:r>
      <w:r w:rsidRPr="00615A2B">
        <w:t>10, R$ 0</w:t>
      </w:r>
      <w:r>
        <w:t>,</w:t>
      </w:r>
      <w:r w:rsidRPr="00615A2B">
        <w:t>25, R$ 0</w:t>
      </w:r>
      <w:r>
        <w:t>,</w:t>
      </w:r>
      <w:r w:rsidRPr="00615A2B">
        <w:t>50 and R$ 1</w:t>
      </w:r>
      <w:r>
        <w:t>,</w:t>
      </w:r>
      <w:r w:rsidRPr="00615A2B">
        <w:t xml:space="preserve">00. Check banknote photos at </w:t>
      </w:r>
      <w:hyperlink r:id="rId34" w:history="1">
        <w:r w:rsidRPr="00240C55">
          <w:rPr>
            <w:rStyle w:val="Hyperlink"/>
            <w:szCs w:val="24"/>
            <w:lang w:val="en-US"/>
          </w:rPr>
          <w:t>http://en.wikipedia.org/wiki/Brazilian_real</w:t>
        </w:r>
      </w:hyperlink>
      <w:r>
        <w:t>.</w:t>
      </w:r>
    </w:p>
    <w:p w:rsidR="007C596C" w:rsidRPr="00615A2B" w:rsidRDefault="007C596C" w:rsidP="009C144C">
      <w:r w:rsidRPr="00615A2B">
        <w:t>VISA and MasterCard are widely accepted in Brazil. American Express and Diners Club are often accepted as well.</w:t>
      </w:r>
    </w:p>
    <w:p w:rsidR="007C596C" w:rsidRPr="00615A2B" w:rsidRDefault="007C596C" w:rsidP="009C144C">
      <w:r w:rsidRPr="00615A2B">
        <w:t>Some ATMs (</w:t>
      </w:r>
      <w:proofErr w:type="spellStart"/>
      <w:r w:rsidRPr="00615A2B">
        <w:t>Banco</w:t>
      </w:r>
      <w:proofErr w:type="spellEnd"/>
      <w:r w:rsidRPr="00615A2B">
        <w:t xml:space="preserve"> do </w:t>
      </w:r>
      <w:proofErr w:type="spellStart"/>
      <w:r w:rsidRPr="00615A2B">
        <w:t>Brasil</w:t>
      </w:r>
      <w:proofErr w:type="spellEnd"/>
      <w:r w:rsidRPr="00615A2B">
        <w:t>, Citibank, Santander, HSBC…) accept Visa Plus, Cirrus and Maestro Cards. Taxes may apply. There are limits on withdrawals that depend on the time of the day (lower limits after-hours).</w:t>
      </w:r>
    </w:p>
    <w:p w:rsidR="007C596C" w:rsidRPr="00615A2B" w:rsidRDefault="007C596C" w:rsidP="009C144C">
      <w:pPr>
        <w:pStyle w:val="Heading1"/>
        <w:rPr>
          <w:szCs w:val="24"/>
          <w:lang w:val="en-US"/>
        </w:rPr>
      </w:pPr>
      <w:r w:rsidRPr="00615A2B">
        <w:rPr>
          <w:szCs w:val="24"/>
          <w:lang w:val="en-US"/>
        </w:rPr>
        <w:t>Entry Requirements (Visa)</w:t>
      </w:r>
    </w:p>
    <w:p w:rsidR="007C596C" w:rsidRPr="00615A2B" w:rsidRDefault="007C596C" w:rsidP="009C144C">
      <w:r w:rsidRPr="00615A2B">
        <w:t>Brazil has a reciprocal visa system: if your home country requires Brazilian nationals to hold a visa, then you will need one to enter Brazil. The following link is a document that contains a table listing entrance visa requirements for every country, as of 01 April 2011.</w:t>
      </w:r>
    </w:p>
    <w:p w:rsidR="007C596C" w:rsidRPr="00C31721" w:rsidRDefault="00BD45B7" w:rsidP="009C144C">
      <w:hyperlink r:id="rId35" w:history="1">
        <w:r w:rsidR="007C596C" w:rsidRPr="00C31721">
          <w:rPr>
            <w:rStyle w:val="Hyperlink"/>
          </w:rPr>
          <w:t>http://www.portalconsular.mre.gov.br/antes/qgrv_ingles_01.04.2011.pdf</w:t>
        </w:r>
      </w:hyperlink>
    </w:p>
    <w:p w:rsidR="007C596C" w:rsidRPr="00615A2B" w:rsidRDefault="007C596C" w:rsidP="009C144C">
      <w:r w:rsidRPr="00615A2B">
        <w:t>Delegates will need a temporary, business visa, which is identified in the above document by “VITEM II” (last column of the “entrance visas” table). To know if you will need to hold that visa, locate your country in that table and check the value of “VITEM II” column against the captions located in the first page of the same document.</w:t>
      </w:r>
    </w:p>
    <w:p w:rsidR="007C596C" w:rsidRPr="00C31721" w:rsidRDefault="007C596C" w:rsidP="009C144C">
      <w:r w:rsidRPr="00C31721">
        <w:t xml:space="preserve">Delegates must confirm the visa requirements with the nearest Brazilian representation of your country/region. Find the nearest one </w:t>
      </w:r>
      <w:r>
        <w:t>(ordered by city)</w:t>
      </w:r>
      <w:r w:rsidRPr="00C31721">
        <w:t xml:space="preserve"> at</w:t>
      </w:r>
      <w:r>
        <w:t>:</w:t>
      </w:r>
    </w:p>
    <w:p w:rsidR="007C596C" w:rsidRPr="00C31721" w:rsidRDefault="00BD45B7" w:rsidP="009C144C">
      <w:hyperlink r:id="rId36" w:history="1">
        <w:r w:rsidR="007C596C" w:rsidRPr="00C31721">
          <w:rPr>
            <w:rStyle w:val="Hyperlink"/>
          </w:rPr>
          <w:t>http://www.itamaraty.gov.br/o-ministerio/o-brasil-no-exterior</w:t>
        </w:r>
      </w:hyperlink>
    </w:p>
    <w:p w:rsidR="007C596C" w:rsidRPr="00C31721" w:rsidRDefault="007C596C" w:rsidP="009C144C">
      <w:r w:rsidRPr="00C31721">
        <w:t>If the Brazilian representation requests an invitation letter from a Brazilian counterpart, delegates must request that letter to</w:t>
      </w:r>
      <w:r>
        <w:t xml:space="preserve"> the IPTV-GSI local organizer</w:t>
      </w:r>
      <w:r w:rsidRPr="00C31721">
        <w:t xml:space="preserve"> </w:t>
      </w:r>
      <w:r w:rsidRPr="00C31721">
        <w:rPr>
          <w:b/>
          <w:bCs/>
        </w:rPr>
        <w:t>no later than 17 June 2011</w:t>
      </w:r>
      <w:r w:rsidRPr="00C31721">
        <w:t>.</w:t>
      </w:r>
    </w:p>
    <w:p w:rsidR="007C596C" w:rsidRPr="00C31721" w:rsidRDefault="007C596C" w:rsidP="009C144C">
      <w:r w:rsidRPr="00C31721">
        <w:t>Needing a visa or not, delegates must hold a 6-month valid passport to enter Brazil.</w:t>
      </w:r>
    </w:p>
    <w:p w:rsidR="007C596C" w:rsidRPr="00C31721" w:rsidRDefault="007C596C" w:rsidP="009C144C"/>
    <w:p w:rsidR="007C596C" w:rsidRPr="00615A2B" w:rsidRDefault="007C596C" w:rsidP="009C144C">
      <w:pPr>
        <w:pStyle w:val="Heading1"/>
        <w:rPr>
          <w:szCs w:val="24"/>
          <w:lang w:val="en-US"/>
        </w:rPr>
      </w:pPr>
      <w:r w:rsidRPr="00615A2B">
        <w:rPr>
          <w:szCs w:val="24"/>
          <w:lang w:val="en-US"/>
        </w:rPr>
        <w:t>Language</w:t>
      </w:r>
    </w:p>
    <w:p w:rsidR="007C596C" w:rsidRPr="00C31721" w:rsidRDefault="007C596C" w:rsidP="009C144C">
      <w:r w:rsidRPr="00C31721">
        <w:t xml:space="preserve">Official language is Brazilian Portuguese, see e.g. </w:t>
      </w:r>
      <w:hyperlink r:id="rId37" w:history="1">
        <w:r w:rsidRPr="00C31721">
          <w:rPr>
            <w:rStyle w:val="Hyperlink"/>
          </w:rPr>
          <w:t>http://wikitravel.org/en/Portuguese_phrasebook</w:t>
        </w:r>
      </w:hyperlink>
      <w:r>
        <w:t>.</w:t>
      </w:r>
      <w:r w:rsidRPr="00C31721">
        <w:t xml:space="preserve"> English speakers are rare, except at Rio’s touristic areas and its services. Spanish is commonly understood.</w:t>
      </w:r>
    </w:p>
    <w:p w:rsidR="007C596C" w:rsidRPr="00615A2B" w:rsidRDefault="007C596C" w:rsidP="009C144C">
      <w:pPr>
        <w:pStyle w:val="Heading1"/>
        <w:rPr>
          <w:szCs w:val="24"/>
          <w:lang w:val="en-US"/>
        </w:rPr>
      </w:pPr>
      <w:r w:rsidRPr="00615A2B">
        <w:rPr>
          <w:szCs w:val="24"/>
          <w:lang w:val="en-US"/>
        </w:rPr>
        <w:t>Transportation</w:t>
      </w:r>
    </w:p>
    <w:p w:rsidR="007C596C" w:rsidRPr="003C4D56" w:rsidRDefault="007C596C" w:rsidP="009C144C">
      <w:pPr>
        <w:rPr>
          <w:b/>
          <w:bCs/>
        </w:rPr>
      </w:pPr>
      <w:r w:rsidRPr="003C4D56">
        <w:rPr>
          <w:b/>
          <w:bCs/>
        </w:rPr>
        <w:t xml:space="preserve">&gt; </w:t>
      </w:r>
      <w:proofErr w:type="spellStart"/>
      <w:r w:rsidRPr="003C4D56">
        <w:rPr>
          <w:b/>
          <w:bCs/>
        </w:rPr>
        <w:t>Galeão</w:t>
      </w:r>
      <w:proofErr w:type="spellEnd"/>
      <w:r w:rsidRPr="003C4D56">
        <w:rPr>
          <w:b/>
          <w:bCs/>
        </w:rPr>
        <w:t xml:space="preserve">-Antonio Carlos </w:t>
      </w:r>
      <w:proofErr w:type="spellStart"/>
      <w:r w:rsidRPr="003C4D56">
        <w:rPr>
          <w:b/>
          <w:bCs/>
        </w:rPr>
        <w:t>Jobim</w:t>
      </w:r>
      <w:proofErr w:type="spellEnd"/>
      <w:r w:rsidRPr="003C4D56">
        <w:rPr>
          <w:b/>
          <w:bCs/>
        </w:rPr>
        <w:t xml:space="preserve"> International Airport (GIG)</w:t>
      </w:r>
    </w:p>
    <w:p w:rsidR="007C596C" w:rsidRPr="00C31721" w:rsidRDefault="007C596C" w:rsidP="009C144C">
      <w:r w:rsidRPr="00C31721">
        <w:t xml:space="preserve">Operated by </w:t>
      </w:r>
      <w:proofErr w:type="spellStart"/>
      <w:r w:rsidRPr="00C31721">
        <w:t>Infraero</w:t>
      </w:r>
      <w:proofErr w:type="spellEnd"/>
      <w:r>
        <w:t xml:space="preserve"> (</w:t>
      </w:r>
      <w:hyperlink r:id="rId38" w:history="1">
        <w:r w:rsidRPr="00240C55">
          <w:rPr>
            <w:rStyle w:val="Hyperlink"/>
          </w:rPr>
          <w:t>http://www.infraero.gov.br</w:t>
        </w:r>
      </w:hyperlink>
      <w:r>
        <w:t>)</w:t>
      </w:r>
      <w:r w:rsidRPr="00C31721">
        <w:t xml:space="preserve">, </w:t>
      </w:r>
      <w:proofErr w:type="spellStart"/>
      <w:r w:rsidRPr="00C31721">
        <w:t>Galeão</w:t>
      </w:r>
      <w:proofErr w:type="spellEnd"/>
      <w:r w:rsidRPr="00C31721">
        <w:t xml:space="preserve"> Airport is the largest airport site in Brazil. In 2010, it was ranked 4th in terms of transported passengers and cargo handled, and 6th in aircraft operations in Brazil, placing it amongst the busiest airports in the country. Furthermore, it is the 2nd busiest airport in terms of international air traffic in the country.</w:t>
      </w:r>
    </w:p>
    <w:p w:rsidR="007C596C" w:rsidRPr="00615A2B" w:rsidRDefault="007C596C" w:rsidP="009C144C">
      <w:r w:rsidRPr="00615A2B">
        <w:t xml:space="preserve">Main </w:t>
      </w:r>
      <w:r w:rsidRPr="00615A2B">
        <w:rPr>
          <w:u w:val="single"/>
        </w:rPr>
        <w:t>airline companies</w:t>
      </w:r>
      <w:r w:rsidRPr="00615A2B">
        <w:t xml:space="preserve"> operating in GIG include: </w:t>
      </w:r>
      <w:proofErr w:type="spellStart"/>
      <w:r w:rsidRPr="00615A2B">
        <w:t>Aerolineas</w:t>
      </w:r>
      <w:proofErr w:type="spellEnd"/>
      <w:r w:rsidRPr="00615A2B">
        <w:t xml:space="preserve"> </w:t>
      </w:r>
      <w:proofErr w:type="spellStart"/>
      <w:r w:rsidRPr="00615A2B">
        <w:t>Argentinas</w:t>
      </w:r>
      <w:proofErr w:type="spellEnd"/>
      <w:r w:rsidRPr="00615A2B">
        <w:t xml:space="preserve">, American Airlines, Air France, </w:t>
      </w:r>
      <w:proofErr w:type="spellStart"/>
      <w:r w:rsidRPr="00615A2B">
        <w:t>Avianca</w:t>
      </w:r>
      <w:proofErr w:type="spellEnd"/>
      <w:r w:rsidRPr="00615A2B">
        <w:t xml:space="preserve">, British Airways, Continental, </w:t>
      </w:r>
      <w:proofErr w:type="spellStart"/>
      <w:r w:rsidRPr="00615A2B">
        <w:t>Copa</w:t>
      </w:r>
      <w:proofErr w:type="spellEnd"/>
      <w:r w:rsidRPr="00615A2B">
        <w:t xml:space="preserve"> Airlines, Delta Airlines, </w:t>
      </w:r>
      <w:proofErr w:type="spellStart"/>
      <w:r w:rsidRPr="00615A2B">
        <w:t>Gol</w:t>
      </w:r>
      <w:proofErr w:type="spellEnd"/>
      <w:r w:rsidRPr="00615A2B">
        <w:t xml:space="preserve">, Iberia, </w:t>
      </w:r>
      <w:proofErr w:type="spellStart"/>
      <w:r w:rsidRPr="00615A2B">
        <w:t>Lan</w:t>
      </w:r>
      <w:proofErr w:type="spellEnd"/>
      <w:r w:rsidRPr="00615A2B">
        <w:t xml:space="preserve"> Chile, </w:t>
      </w:r>
      <w:proofErr w:type="spellStart"/>
      <w:r w:rsidRPr="00615A2B">
        <w:t>Lapsa</w:t>
      </w:r>
      <w:proofErr w:type="spellEnd"/>
      <w:r w:rsidRPr="00615A2B">
        <w:t xml:space="preserve">-Air Paraguay, </w:t>
      </w:r>
      <w:proofErr w:type="spellStart"/>
      <w:r w:rsidRPr="00615A2B">
        <w:t>Pluna</w:t>
      </w:r>
      <w:proofErr w:type="spellEnd"/>
      <w:r w:rsidRPr="00615A2B">
        <w:t xml:space="preserve"> </w:t>
      </w:r>
      <w:proofErr w:type="spellStart"/>
      <w:r w:rsidRPr="00615A2B">
        <w:t>Lineas</w:t>
      </w:r>
      <w:proofErr w:type="spellEnd"/>
      <w:r w:rsidRPr="00615A2B">
        <w:t xml:space="preserve"> </w:t>
      </w:r>
      <w:proofErr w:type="spellStart"/>
      <w:r w:rsidRPr="00615A2B">
        <w:t>Aereas</w:t>
      </w:r>
      <w:proofErr w:type="spellEnd"/>
      <w:r w:rsidRPr="00615A2B">
        <w:t xml:space="preserve"> </w:t>
      </w:r>
      <w:proofErr w:type="spellStart"/>
      <w:r w:rsidRPr="00615A2B">
        <w:t>Uruguayas</w:t>
      </w:r>
      <w:proofErr w:type="spellEnd"/>
      <w:r w:rsidRPr="00615A2B">
        <w:t xml:space="preserve">, </w:t>
      </w:r>
      <w:proofErr w:type="spellStart"/>
      <w:r w:rsidRPr="00615A2B">
        <w:t>Taag</w:t>
      </w:r>
      <w:proofErr w:type="spellEnd"/>
      <w:r w:rsidRPr="00615A2B">
        <w:t xml:space="preserve">, </w:t>
      </w:r>
      <w:proofErr w:type="spellStart"/>
      <w:r w:rsidRPr="00615A2B">
        <w:t>Taca</w:t>
      </w:r>
      <w:proofErr w:type="spellEnd"/>
      <w:r w:rsidRPr="00615A2B">
        <w:t xml:space="preserve"> Peru, TAM, TAP, United Airlines, Us Airways, </w:t>
      </w:r>
      <w:proofErr w:type="spellStart"/>
      <w:r w:rsidRPr="00615A2B">
        <w:t>WebJet</w:t>
      </w:r>
      <w:proofErr w:type="spellEnd"/>
      <w:r w:rsidRPr="00615A2B">
        <w:t>.</w:t>
      </w:r>
    </w:p>
    <w:p w:rsidR="007C596C" w:rsidRPr="00615A2B" w:rsidRDefault="007C596C" w:rsidP="009C144C">
      <w:r w:rsidRPr="00615A2B">
        <w:t>The airport is located 20 km from downtown Rio de Janeiro and 26</w:t>
      </w:r>
      <w:r>
        <w:t xml:space="preserve"> </w:t>
      </w:r>
      <w:r w:rsidRPr="00615A2B">
        <w:t>km from event venue. Best transportation options from GIG to Copacabana and surroundings are taxis and buses.</w:t>
      </w:r>
    </w:p>
    <w:p w:rsidR="007C596C" w:rsidRPr="00615A2B" w:rsidRDefault="007C596C" w:rsidP="009C144C">
      <w:r w:rsidRPr="00615A2B">
        <w:rPr>
          <w:u w:val="single"/>
        </w:rPr>
        <w:t>Taxis</w:t>
      </w:r>
      <w:r w:rsidRPr="00615A2B">
        <w:t xml:space="preserve"> in Rio are cheap if compared to major world cities. The yellow cabs are the regular ones. Yellow cab companies authorized to operate at GIG are </w:t>
      </w:r>
      <w:proofErr w:type="spellStart"/>
      <w:r w:rsidRPr="00615A2B">
        <w:t>AeroTaxi</w:t>
      </w:r>
      <w:proofErr w:type="spellEnd"/>
      <w:r w:rsidRPr="00615A2B">
        <w:t xml:space="preserve"> and </w:t>
      </w:r>
      <w:proofErr w:type="spellStart"/>
      <w:r w:rsidRPr="00615A2B">
        <w:t>AeroCoop</w:t>
      </w:r>
      <w:proofErr w:type="spellEnd"/>
      <w:r w:rsidRPr="00615A2B">
        <w:t>. Delegates are advised to refuse any taxi offer made by individuals inside the airport. Yellow cabs are located just outside the arrivals floor, where you can find a representative of an authorized company. The rate for a trip from G</w:t>
      </w:r>
      <w:r>
        <w:t>IG to Copacabana is around R$50,</w:t>
      </w:r>
      <w:r w:rsidRPr="00615A2B">
        <w:t>00. Please, see more details about yellow cabs in the “Get Around” information below. There are also more expensive special taxis that are blue, red or white, which can be hired in designated booths inside the airport.</w:t>
      </w:r>
    </w:p>
    <w:p w:rsidR="007C596C" w:rsidRPr="00615A2B" w:rsidRDefault="007C596C" w:rsidP="009C144C">
      <w:r w:rsidRPr="00615A2B">
        <w:rPr>
          <w:u w:val="single"/>
        </w:rPr>
        <w:t>Buses</w:t>
      </w:r>
      <w:r w:rsidRPr="00615A2B">
        <w:t xml:space="preserve"> are also available. Real Auto </w:t>
      </w:r>
      <w:proofErr w:type="spellStart"/>
      <w:r w:rsidRPr="00615A2B">
        <w:t>Ônibus</w:t>
      </w:r>
      <w:proofErr w:type="spellEnd"/>
      <w:r w:rsidRPr="00615A2B">
        <w:t xml:space="preserve"> operates the Premium Bus Service number 2018 that runs between 05:30 and 23h from </w:t>
      </w:r>
      <w:proofErr w:type="spellStart"/>
      <w:r w:rsidRPr="00615A2B">
        <w:t>Galeão</w:t>
      </w:r>
      <w:proofErr w:type="spellEnd"/>
      <w:r w:rsidRPr="00615A2B">
        <w:t xml:space="preserve"> Airport to the southern parts of the city along the shore, including Copacabana, </w:t>
      </w:r>
      <w:proofErr w:type="spellStart"/>
      <w:r w:rsidRPr="00615A2B">
        <w:t>Ipanema</w:t>
      </w:r>
      <w:proofErr w:type="spellEnd"/>
      <w:r w:rsidRPr="00615A2B">
        <w:t xml:space="preserve"> and </w:t>
      </w:r>
      <w:proofErr w:type="spellStart"/>
      <w:r w:rsidRPr="00615A2B">
        <w:t>Leblon</w:t>
      </w:r>
      <w:proofErr w:type="spellEnd"/>
      <w:r w:rsidRPr="00615A2B">
        <w:t>. Tariff: R$9.00 as of 17 May 2011.</w:t>
      </w:r>
      <w:r w:rsidRPr="00615A2B">
        <w:br/>
      </w:r>
    </w:p>
    <w:p w:rsidR="007C596C" w:rsidRPr="003C4D56" w:rsidRDefault="007C596C" w:rsidP="009C144C">
      <w:pPr>
        <w:rPr>
          <w:b/>
          <w:bCs/>
        </w:rPr>
      </w:pPr>
      <w:r w:rsidRPr="003C4D56">
        <w:rPr>
          <w:b/>
          <w:bCs/>
        </w:rPr>
        <w:t>&gt; Santos Dumont Airport (SDU)</w:t>
      </w:r>
    </w:p>
    <w:p w:rsidR="007C596C" w:rsidRPr="00615A2B" w:rsidRDefault="007C596C" w:rsidP="009C144C">
      <w:r w:rsidRPr="00615A2B">
        <w:t xml:space="preserve">Also operated by </w:t>
      </w:r>
      <w:hyperlink r:id="rId39" w:history="1">
        <w:proofErr w:type="spellStart"/>
        <w:r w:rsidRPr="00615A2B">
          <w:rPr>
            <w:rStyle w:val="Hyperlink"/>
            <w:szCs w:val="24"/>
            <w:lang w:val="en-US"/>
          </w:rPr>
          <w:t>Infraero</w:t>
        </w:r>
        <w:proofErr w:type="spellEnd"/>
      </w:hyperlink>
      <w:r w:rsidRPr="00615A2B">
        <w:t>, in 2010 Santos Dumont Airport was ranked 5th in terms of passengers and 4th in terms of number of operations in Brazil, placing it amongst the busiest airports in the country. It is a regional airport, dedicated to domestic flights.</w:t>
      </w:r>
    </w:p>
    <w:p w:rsidR="007C596C" w:rsidRPr="00615A2B" w:rsidRDefault="007C596C" w:rsidP="009C144C">
      <w:pPr>
        <w:rPr>
          <w:bCs/>
        </w:rPr>
      </w:pPr>
      <w:r w:rsidRPr="00615A2B">
        <w:t xml:space="preserve">Main </w:t>
      </w:r>
      <w:r w:rsidRPr="00615A2B">
        <w:rPr>
          <w:u w:val="single"/>
        </w:rPr>
        <w:t>airline companies</w:t>
      </w:r>
      <w:r w:rsidRPr="00615A2B">
        <w:t xml:space="preserve"> operating in SDU include: </w:t>
      </w:r>
      <w:proofErr w:type="spellStart"/>
      <w:r w:rsidRPr="00615A2B">
        <w:rPr>
          <w:bCs/>
        </w:rPr>
        <w:t>Avianca</w:t>
      </w:r>
      <w:proofErr w:type="spellEnd"/>
      <w:r w:rsidRPr="00615A2B">
        <w:rPr>
          <w:bCs/>
        </w:rPr>
        <w:t xml:space="preserve">, </w:t>
      </w:r>
      <w:proofErr w:type="spellStart"/>
      <w:r w:rsidRPr="00615A2B">
        <w:rPr>
          <w:bCs/>
        </w:rPr>
        <w:t>Azul</w:t>
      </w:r>
      <w:proofErr w:type="spellEnd"/>
      <w:r w:rsidRPr="00615A2B">
        <w:rPr>
          <w:bCs/>
        </w:rPr>
        <w:t xml:space="preserve">, </w:t>
      </w:r>
      <w:proofErr w:type="spellStart"/>
      <w:r w:rsidRPr="00615A2B">
        <w:rPr>
          <w:bCs/>
        </w:rPr>
        <w:t>Gol</w:t>
      </w:r>
      <w:proofErr w:type="spellEnd"/>
      <w:r w:rsidRPr="00615A2B">
        <w:rPr>
          <w:bCs/>
        </w:rPr>
        <w:t xml:space="preserve">, </w:t>
      </w:r>
      <w:proofErr w:type="spellStart"/>
      <w:r w:rsidRPr="00615A2B">
        <w:rPr>
          <w:bCs/>
        </w:rPr>
        <w:t>Passaredo</w:t>
      </w:r>
      <w:proofErr w:type="spellEnd"/>
      <w:r w:rsidRPr="00615A2B">
        <w:rPr>
          <w:bCs/>
        </w:rPr>
        <w:t xml:space="preserve">, TAM, TRIP and </w:t>
      </w:r>
      <w:proofErr w:type="spellStart"/>
      <w:r w:rsidRPr="00615A2B">
        <w:rPr>
          <w:bCs/>
        </w:rPr>
        <w:t>WebJet</w:t>
      </w:r>
      <w:proofErr w:type="spellEnd"/>
      <w:r w:rsidRPr="00615A2B">
        <w:rPr>
          <w:bCs/>
        </w:rPr>
        <w:t>.</w:t>
      </w:r>
    </w:p>
    <w:p w:rsidR="007C596C" w:rsidRPr="00615A2B" w:rsidRDefault="007C596C" w:rsidP="009C144C">
      <w:r w:rsidRPr="00615A2B">
        <w:t>The airport is located in downtown Rio de Janeiro and 12km from event venue. Best transportation options from SDU to Copacabana and surroundings are taxis and buses.</w:t>
      </w:r>
    </w:p>
    <w:p w:rsidR="007C596C" w:rsidRPr="00615A2B" w:rsidRDefault="007C596C" w:rsidP="009C144C">
      <w:r w:rsidRPr="00615A2B">
        <w:rPr>
          <w:u w:val="single"/>
        </w:rPr>
        <w:t>Taxis</w:t>
      </w:r>
      <w:r w:rsidRPr="00615A2B">
        <w:t xml:space="preserve"> are available in the end of arrivals terminal. The yellow cab rate for a trip from SDU to Copacabana is around R$30.00. Please, see more details about yellow cabs in the “Taxi” section below.</w:t>
      </w:r>
    </w:p>
    <w:p w:rsidR="007C596C" w:rsidRPr="00615A2B" w:rsidRDefault="007C596C" w:rsidP="009C144C">
      <w:r w:rsidRPr="00615A2B">
        <w:rPr>
          <w:u w:val="single"/>
        </w:rPr>
        <w:t>Buses</w:t>
      </w:r>
      <w:r w:rsidRPr="00615A2B">
        <w:t xml:space="preserve"> are also available. Real Auto </w:t>
      </w:r>
      <w:proofErr w:type="spellStart"/>
      <w:r w:rsidRPr="00615A2B">
        <w:t>Ônibus</w:t>
      </w:r>
      <w:proofErr w:type="spellEnd"/>
      <w:r w:rsidRPr="00615A2B">
        <w:t xml:space="preserve"> operates the Premium Bus Service number 2018 that runs between 05:30 and 23h from Santos Dumont Airport to </w:t>
      </w:r>
      <w:proofErr w:type="spellStart"/>
      <w:r w:rsidRPr="00615A2B">
        <w:t>Galeão</w:t>
      </w:r>
      <w:proofErr w:type="spellEnd"/>
      <w:r w:rsidRPr="00615A2B">
        <w:t xml:space="preserve"> International Airport in one direction, and in the opposite direction to the southern parts of the city along the shore, including Copacabana, </w:t>
      </w:r>
      <w:proofErr w:type="spellStart"/>
      <w:r w:rsidRPr="00615A2B">
        <w:t>Ipanema</w:t>
      </w:r>
      <w:proofErr w:type="spellEnd"/>
      <w:r w:rsidRPr="00615A2B">
        <w:t xml:space="preserve"> and </w:t>
      </w:r>
      <w:proofErr w:type="spellStart"/>
      <w:r w:rsidRPr="00615A2B">
        <w:t>Leblon</w:t>
      </w:r>
      <w:proofErr w:type="spellEnd"/>
      <w:r w:rsidRPr="00615A2B">
        <w:t>. Cost: R$9.00 as of 17 May 2011.</w:t>
      </w:r>
      <w:r w:rsidRPr="00615A2B">
        <w:br/>
      </w:r>
    </w:p>
    <w:p w:rsidR="007C596C" w:rsidRPr="003C4D56" w:rsidRDefault="007C596C" w:rsidP="009C144C">
      <w:pPr>
        <w:keepNext/>
        <w:rPr>
          <w:b/>
          <w:bCs/>
        </w:rPr>
      </w:pPr>
      <w:r w:rsidRPr="003C4D56">
        <w:rPr>
          <w:b/>
          <w:bCs/>
        </w:rPr>
        <w:t>&gt; Getting around</w:t>
      </w:r>
    </w:p>
    <w:p w:rsidR="007C596C" w:rsidRPr="00615A2B" w:rsidRDefault="007C596C" w:rsidP="009C144C">
      <w:r w:rsidRPr="00615A2B">
        <w:rPr>
          <w:u w:val="single"/>
        </w:rPr>
        <w:t>Taxi</w:t>
      </w:r>
      <w:r w:rsidRPr="00615A2B">
        <w:t xml:space="preserve"> is one of the best ways to move around Rio. All legal cabs are yellow with a blue stripe painted on the sides. Taxis not designed like this are special service cars (to the airport or bus stations) or illegal. Rio taxis are not too expensive on a </w:t>
      </w:r>
      <w:proofErr w:type="spellStart"/>
      <w:r w:rsidRPr="00615A2B">
        <w:t>kilometer</w:t>
      </w:r>
      <w:proofErr w:type="spellEnd"/>
      <w:r w:rsidRPr="00615A2B">
        <w:t xml:space="preserve"> basis but distances can be quite considerable.</w:t>
      </w:r>
    </w:p>
    <w:p w:rsidR="007C596C" w:rsidRPr="00615A2B" w:rsidRDefault="007C596C" w:rsidP="009C144C">
      <w:r w:rsidRPr="00615A2B">
        <w:t xml:space="preserve">Yellow cabs use two different rates, the cheaper is rate 1 charged every time except: Mon-Sat from </w:t>
      </w:r>
      <w:r>
        <w:t>2100 hours</w:t>
      </w:r>
      <w:r w:rsidRPr="00615A2B">
        <w:t xml:space="preserve"> until </w:t>
      </w:r>
      <w:r>
        <w:t>0</w:t>
      </w:r>
      <w:r w:rsidRPr="00615A2B">
        <w:t>6</w:t>
      </w:r>
      <w:r>
        <w:t>00 hours</w:t>
      </w:r>
      <w:r w:rsidRPr="00615A2B">
        <w:t>, Sundays, holidays and the whole of December, when it is rate 2. A cab driver may use a conversion table that adds money on top of what is on the taximeter. This is used when he is waiting to get his taximeter calibrated with current year’s new price. There is a sticker in the front window and if it is from the previous year he has the right to use this table. If you have a lot of luggage they also have the right to add a certain amount for that. Try to talk to the driver about additional expenses before getting into the car.</w:t>
      </w:r>
    </w:p>
    <w:p w:rsidR="007C596C" w:rsidRPr="00615A2B" w:rsidRDefault="007C596C" w:rsidP="009C144C">
      <w:r w:rsidRPr="00615A2B">
        <w:t xml:space="preserve">After getting into the taxi, check to see if the taximeter has been started, it charges R$4.40 (as of March 2011) for the minimum ride, called </w:t>
      </w:r>
      <w:proofErr w:type="spellStart"/>
      <w:r w:rsidRPr="00615A2B">
        <w:rPr>
          <w:i/>
          <w:iCs/>
        </w:rPr>
        <w:t>bandeirada</w:t>
      </w:r>
      <w:proofErr w:type="spellEnd"/>
      <w:r w:rsidRPr="00615A2B">
        <w:t xml:space="preserve">), and R$1.60 per </w:t>
      </w:r>
      <w:proofErr w:type="spellStart"/>
      <w:r w:rsidRPr="00615A2B">
        <w:t>kilometer</w:t>
      </w:r>
      <w:proofErr w:type="spellEnd"/>
      <w:r w:rsidRPr="00615A2B">
        <w:t xml:space="preserve"> (rate 1). If not, ask the taxi driver to do so.</w:t>
      </w:r>
    </w:p>
    <w:p w:rsidR="007C596C" w:rsidRPr="00615A2B" w:rsidRDefault="007C596C" w:rsidP="009C144C">
      <w:r w:rsidRPr="00615A2B">
        <w:rPr>
          <w:u w:val="single"/>
        </w:rPr>
        <w:t>Regular buses</w:t>
      </w:r>
      <w:r w:rsidRPr="00615A2B">
        <w:t xml:space="preserve"> in Rio are inexpensive: R$2,40 for basic services. Itineraries can be obtained at </w:t>
      </w:r>
      <w:hyperlink r:id="rId40" w:history="1">
        <w:r w:rsidRPr="00615A2B">
          <w:rPr>
            <w:rStyle w:val="Hyperlink"/>
            <w:szCs w:val="24"/>
            <w:lang w:val="en-US"/>
          </w:rPr>
          <w:t>http://www.vadeonibus.com.br/home/index_ing.php</w:t>
        </w:r>
      </w:hyperlink>
      <w:r w:rsidRPr="00615A2B">
        <w:t>. Buses are mostly crowded and don’t follow a rigid schedule.</w:t>
      </w:r>
    </w:p>
    <w:p w:rsidR="007C596C" w:rsidRPr="00615A2B" w:rsidRDefault="007C596C" w:rsidP="009C144C">
      <w:r w:rsidRPr="00615A2B">
        <w:t xml:space="preserve">Rio de Janeiro </w:t>
      </w:r>
      <w:r w:rsidRPr="00615A2B">
        <w:rPr>
          <w:u w:val="single"/>
        </w:rPr>
        <w:t>Metro</w:t>
      </w:r>
      <w:r w:rsidRPr="00615A2B">
        <w:t xml:space="preserve"> is a mass-transit underground railway network. It doesn’t cover all the city </w:t>
      </w:r>
      <w:proofErr w:type="spellStart"/>
      <w:r w:rsidRPr="00615A2B">
        <w:t>neighborhoods</w:t>
      </w:r>
      <w:proofErr w:type="spellEnd"/>
      <w:r w:rsidRPr="00615A2B">
        <w:t xml:space="preserve">, but can be a good option for some itineraries. Se the network map at </w:t>
      </w:r>
      <w:hyperlink r:id="rId41" w:history="1">
        <w:r w:rsidRPr="00615A2B">
          <w:rPr>
            <w:rStyle w:val="Hyperlink"/>
            <w:szCs w:val="24"/>
            <w:lang w:val="en-US"/>
          </w:rPr>
          <w:t>http://www.metrorio.com.br/mapas.htm</w:t>
        </w:r>
      </w:hyperlink>
      <w:r w:rsidRPr="00615A2B">
        <w:t xml:space="preserve"> (information in Portuguese). Rates start at R$3.10 for the unitary (one-way) card.</w:t>
      </w:r>
    </w:p>
    <w:p w:rsidR="007C596C" w:rsidRPr="00615A2B" w:rsidRDefault="007C596C" w:rsidP="009C144C">
      <w:pPr>
        <w:pStyle w:val="Heading1"/>
        <w:rPr>
          <w:szCs w:val="24"/>
          <w:lang w:val="en-US"/>
        </w:rPr>
      </w:pPr>
      <w:r w:rsidRPr="00615A2B">
        <w:rPr>
          <w:szCs w:val="24"/>
          <w:lang w:val="en-US"/>
        </w:rPr>
        <w:t>Time Zone</w:t>
      </w:r>
    </w:p>
    <w:p w:rsidR="007C596C" w:rsidRPr="00615A2B" w:rsidRDefault="007C596C" w:rsidP="009C144C">
      <w:r w:rsidRPr="00615A2B">
        <w:t xml:space="preserve">Rio de Janeiro time is UTC-3. Please, check </w:t>
      </w:r>
      <w:hyperlink r:id="rId42" w:history="1">
        <w:r w:rsidRPr="00615A2B">
          <w:rPr>
            <w:rStyle w:val="Hyperlink"/>
            <w:szCs w:val="24"/>
            <w:lang w:val="en-US"/>
          </w:rPr>
          <w:t>http://www.worldtimezone.com</w:t>
        </w:r>
      </w:hyperlink>
      <w:r w:rsidRPr="00615A2B">
        <w:t xml:space="preserve"> for time zone mappings.</w:t>
      </w:r>
    </w:p>
    <w:p w:rsidR="007C596C" w:rsidRPr="00615A2B" w:rsidRDefault="007C596C" w:rsidP="009C144C">
      <w:pPr>
        <w:pStyle w:val="Heading1"/>
        <w:rPr>
          <w:szCs w:val="24"/>
          <w:lang w:val="en-US"/>
        </w:rPr>
      </w:pPr>
      <w:r>
        <w:rPr>
          <w:szCs w:val="24"/>
          <w:lang w:val="en-US"/>
        </w:rPr>
        <w:t>Electricity</w:t>
      </w:r>
    </w:p>
    <w:p w:rsidR="007C596C" w:rsidRPr="00615A2B" w:rsidRDefault="007C596C" w:rsidP="009C144C">
      <w:r w:rsidRPr="00615A2B">
        <w:t>Voltage in Rio is 110V, alternate current, 60</w:t>
      </w:r>
      <w:r>
        <w:t> </w:t>
      </w:r>
      <w:r w:rsidRPr="00615A2B">
        <w:t>Hz. Delegates that intend to visit other Brazilian cities must be aware that voltage in Brazil can be different from a city to another.</w:t>
      </w:r>
    </w:p>
    <w:p w:rsidR="007C596C" w:rsidRPr="00615A2B" w:rsidRDefault="007C596C" w:rsidP="009C144C">
      <w:pPr>
        <w:rPr>
          <w:bCs/>
        </w:rPr>
      </w:pPr>
      <w:r w:rsidRPr="00615A2B">
        <w:t>Brazil has recently changed its power plugs/sockets standards. The following figure illustrates the new standard (</w:t>
      </w:r>
      <w:r w:rsidRPr="00615A2B">
        <w:rPr>
          <w:bCs/>
        </w:rPr>
        <w:t>IEC 60906</w:t>
      </w:r>
      <w:r>
        <w:rPr>
          <w:bCs/>
        </w:rPr>
        <w:t>, similar to the one used in Switzerland</w:t>
      </w:r>
      <w:r w:rsidRPr="00615A2B">
        <w:rPr>
          <w:bCs/>
        </w:rPr>
        <w:t>)</w:t>
      </w:r>
      <w:r>
        <w:rPr>
          <w:bCs/>
        </w:rPr>
        <w:t xml:space="preserve"> that is beginning to be rolled out</w:t>
      </w:r>
      <w:r w:rsidRPr="00615A2B">
        <w:rPr>
          <w:bCs/>
        </w:rPr>
        <w:t>:</w:t>
      </w:r>
    </w:p>
    <w:p w:rsidR="007C596C" w:rsidRPr="00615A2B" w:rsidRDefault="007C596C" w:rsidP="009C144C">
      <w:pPr>
        <w:pStyle w:val="BodyText0"/>
        <w:jc w:val="center"/>
        <w:rPr>
          <w:bCs/>
        </w:rPr>
      </w:pPr>
      <w:r>
        <w:rPr>
          <w:noProof/>
          <w:lang w:eastAsia="zh-CN"/>
        </w:rPr>
        <w:drawing>
          <wp:inline distT="0" distB="0" distL="0" distR="0">
            <wp:extent cx="3819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733425"/>
                    </a:xfrm>
                    <a:prstGeom prst="rect">
                      <a:avLst/>
                    </a:prstGeom>
                    <a:noFill/>
                    <a:ln>
                      <a:noFill/>
                    </a:ln>
                  </pic:spPr>
                </pic:pic>
              </a:graphicData>
            </a:graphic>
          </wp:inline>
        </w:drawing>
      </w:r>
    </w:p>
    <w:p w:rsidR="007C596C" w:rsidRPr="00615A2B" w:rsidRDefault="007C596C" w:rsidP="009C144C">
      <w:pPr>
        <w:rPr>
          <w:bCs/>
        </w:rPr>
      </w:pPr>
      <w:r>
        <w:t xml:space="preserve">As </w:t>
      </w:r>
      <w:r w:rsidRPr="00615A2B">
        <w:t>the country is undergoing a transition period</w:t>
      </w:r>
      <w:r>
        <w:t>, d</w:t>
      </w:r>
      <w:r w:rsidRPr="00615A2B">
        <w:t>elegates may encounter different types of sockets as illustrated and marked for replacement in the following figure:</w:t>
      </w:r>
    </w:p>
    <w:p w:rsidR="007C596C" w:rsidRPr="00615A2B" w:rsidRDefault="007C596C" w:rsidP="009C144C">
      <w:pPr>
        <w:pStyle w:val="BodyText0"/>
        <w:jc w:val="center"/>
      </w:pPr>
      <w:r>
        <w:rPr>
          <w:noProof/>
          <w:lang w:eastAsia="zh-CN"/>
        </w:rPr>
        <w:drawing>
          <wp:inline distT="0" distB="0" distL="0" distR="0">
            <wp:extent cx="37814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857250"/>
                    </a:xfrm>
                    <a:prstGeom prst="rect">
                      <a:avLst/>
                    </a:prstGeom>
                    <a:noFill/>
                    <a:ln>
                      <a:noFill/>
                    </a:ln>
                  </pic:spPr>
                </pic:pic>
              </a:graphicData>
            </a:graphic>
          </wp:inline>
        </w:drawing>
      </w:r>
    </w:p>
    <w:p w:rsidR="007C596C" w:rsidRPr="00615A2B" w:rsidRDefault="007C596C" w:rsidP="009C144C">
      <w:r w:rsidRPr="00615A2B">
        <w:t>Most hotels provide power adapters to their guests.</w:t>
      </w:r>
    </w:p>
    <w:p w:rsidR="007C596C" w:rsidRPr="00615A2B" w:rsidRDefault="007C596C" w:rsidP="009C144C">
      <w:pPr>
        <w:pStyle w:val="Heading1"/>
        <w:rPr>
          <w:szCs w:val="24"/>
          <w:lang w:val="en-US"/>
        </w:rPr>
      </w:pPr>
      <w:r w:rsidRPr="00615A2B">
        <w:rPr>
          <w:szCs w:val="24"/>
          <w:lang w:val="en-US"/>
        </w:rPr>
        <w:t>Business Hours</w:t>
      </w:r>
    </w:p>
    <w:p w:rsidR="007C596C" w:rsidRDefault="007C596C" w:rsidP="009C144C">
      <w:pPr>
        <w:numPr>
          <w:ilvl w:val="0"/>
          <w:numId w:val="2"/>
        </w:numPr>
        <w:tabs>
          <w:tab w:val="clear" w:pos="794"/>
          <w:tab w:val="clear" w:pos="1191"/>
          <w:tab w:val="clear" w:pos="1588"/>
          <w:tab w:val="clear" w:pos="1985"/>
        </w:tabs>
        <w:overflowPunct w:val="0"/>
        <w:autoSpaceDE w:val="0"/>
        <w:autoSpaceDN w:val="0"/>
        <w:adjustRightInd w:val="0"/>
        <w:ind w:left="567" w:hanging="567"/>
        <w:textAlignment w:val="baseline"/>
        <w:rPr>
          <w:lang w:val="en-US"/>
        </w:rPr>
      </w:pPr>
      <w:r w:rsidRPr="00615A2B">
        <w:rPr>
          <w:lang w:val="en-US"/>
        </w:rPr>
        <w:t xml:space="preserve">Shops: Mon-Fri: </w:t>
      </w:r>
      <w:r>
        <w:rPr>
          <w:lang w:val="en-US"/>
        </w:rPr>
        <w:t>0900-1800 hours</w:t>
      </w:r>
      <w:r w:rsidRPr="00615A2B">
        <w:rPr>
          <w:lang w:val="en-US"/>
        </w:rPr>
        <w:t xml:space="preserve">; Sat: </w:t>
      </w:r>
      <w:r>
        <w:rPr>
          <w:lang w:val="en-US"/>
        </w:rPr>
        <w:t>0900-1300 hours</w:t>
      </w:r>
    </w:p>
    <w:p w:rsidR="007C596C" w:rsidRDefault="007C596C" w:rsidP="009C144C">
      <w:pPr>
        <w:numPr>
          <w:ilvl w:val="0"/>
          <w:numId w:val="2"/>
        </w:numPr>
        <w:tabs>
          <w:tab w:val="clear" w:pos="794"/>
          <w:tab w:val="clear" w:pos="1191"/>
          <w:tab w:val="clear" w:pos="1588"/>
          <w:tab w:val="clear" w:pos="1985"/>
        </w:tabs>
        <w:overflowPunct w:val="0"/>
        <w:autoSpaceDE w:val="0"/>
        <w:autoSpaceDN w:val="0"/>
        <w:adjustRightInd w:val="0"/>
        <w:ind w:left="567" w:hanging="567"/>
        <w:textAlignment w:val="baseline"/>
        <w:rPr>
          <w:lang w:val="en-US"/>
        </w:rPr>
      </w:pPr>
      <w:r w:rsidRPr="00615A2B">
        <w:rPr>
          <w:lang w:val="en-US"/>
        </w:rPr>
        <w:t xml:space="preserve">Shopping </w:t>
      </w:r>
      <w:r>
        <w:rPr>
          <w:lang w:val="en-US"/>
        </w:rPr>
        <w:t>malls</w:t>
      </w:r>
      <w:r w:rsidRPr="00615A2B">
        <w:rPr>
          <w:lang w:val="en-US"/>
        </w:rPr>
        <w:t xml:space="preserve">: Mon-Sat: </w:t>
      </w:r>
      <w:r>
        <w:rPr>
          <w:lang w:val="en-US"/>
        </w:rPr>
        <w:t>1000-2200 hours</w:t>
      </w:r>
      <w:r w:rsidRPr="00615A2B">
        <w:rPr>
          <w:lang w:val="en-US"/>
        </w:rPr>
        <w:t xml:space="preserve">; Sun: </w:t>
      </w:r>
      <w:r>
        <w:rPr>
          <w:lang w:val="en-US"/>
        </w:rPr>
        <w:t>1500-2100 hours</w:t>
      </w:r>
    </w:p>
    <w:p w:rsidR="007C596C" w:rsidRDefault="007C596C" w:rsidP="009C144C">
      <w:pPr>
        <w:numPr>
          <w:ilvl w:val="0"/>
          <w:numId w:val="2"/>
        </w:numPr>
        <w:tabs>
          <w:tab w:val="clear" w:pos="794"/>
          <w:tab w:val="clear" w:pos="1191"/>
          <w:tab w:val="clear" w:pos="1588"/>
          <w:tab w:val="clear" w:pos="1985"/>
        </w:tabs>
        <w:overflowPunct w:val="0"/>
        <w:autoSpaceDE w:val="0"/>
        <w:autoSpaceDN w:val="0"/>
        <w:adjustRightInd w:val="0"/>
        <w:ind w:left="567" w:hanging="567"/>
        <w:textAlignment w:val="baseline"/>
        <w:rPr>
          <w:lang w:val="en-US"/>
        </w:rPr>
      </w:pPr>
      <w:r>
        <w:rPr>
          <w:lang w:val="en-US"/>
        </w:rPr>
        <w:t>Banks: Mon-Fri: 0900-1600 hours</w:t>
      </w:r>
    </w:p>
    <w:p w:rsidR="007C596C" w:rsidRPr="00615A2B" w:rsidRDefault="007C596C" w:rsidP="009C144C">
      <w:pPr>
        <w:numPr>
          <w:ilvl w:val="0"/>
          <w:numId w:val="2"/>
        </w:numPr>
        <w:tabs>
          <w:tab w:val="clear" w:pos="794"/>
          <w:tab w:val="clear" w:pos="1191"/>
          <w:tab w:val="clear" w:pos="1588"/>
          <w:tab w:val="clear" w:pos="1985"/>
        </w:tabs>
        <w:overflowPunct w:val="0"/>
        <w:autoSpaceDE w:val="0"/>
        <w:autoSpaceDN w:val="0"/>
        <w:adjustRightInd w:val="0"/>
        <w:ind w:left="567" w:hanging="567"/>
        <w:textAlignment w:val="baseline"/>
        <w:rPr>
          <w:lang w:val="en-US"/>
        </w:rPr>
      </w:pPr>
      <w:r w:rsidRPr="00615A2B">
        <w:rPr>
          <w:lang w:val="en-US"/>
        </w:rPr>
        <w:t>ATMs</w:t>
      </w:r>
      <w:r>
        <w:rPr>
          <w:lang w:val="en-US"/>
        </w:rPr>
        <w:t xml:space="preserve"> (</w:t>
      </w:r>
      <w:proofErr w:type="spellStart"/>
      <w:r>
        <w:rPr>
          <w:lang w:val="en-US"/>
        </w:rPr>
        <w:t>Bancomats</w:t>
      </w:r>
      <w:proofErr w:type="spellEnd"/>
      <w:r>
        <w:rPr>
          <w:lang w:val="en-US"/>
        </w:rPr>
        <w:t>)</w:t>
      </w:r>
      <w:r w:rsidRPr="00615A2B">
        <w:rPr>
          <w:lang w:val="en-US"/>
        </w:rPr>
        <w:t xml:space="preserve">: </w:t>
      </w:r>
      <w:r>
        <w:rPr>
          <w:lang w:val="en-US"/>
        </w:rPr>
        <w:t>0600-2200 hours</w:t>
      </w:r>
    </w:p>
    <w:p w:rsidR="007C596C" w:rsidRPr="00615A2B" w:rsidRDefault="007C596C" w:rsidP="009C144C">
      <w:pPr>
        <w:pStyle w:val="Heading1"/>
        <w:rPr>
          <w:szCs w:val="24"/>
          <w:lang w:val="en-US"/>
        </w:rPr>
      </w:pPr>
      <w:r w:rsidRPr="00615A2B">
        <w:rPr>
          <w:szCs w:val="24"/>
          <w:lang w:val="en-US"/>
        </w:rPr>
        <w:t>Weather</w:t>
      </w:r>
    </w:p>
    <w:p w:rsidR="007C596C" w:rsidRPr="00615A2B" w:rsidRDefault="007C596C" w:rsidP="009C144C">
      <w:r w:rsidRPr="00615A2B">
        <w:t>The meeting will take place in Rio’s winter</w:t>
      </w:r>
      <w:r>
        <w:t>, which is a dry season</w:t>
      </w:r>
      <w:r w:rsidRPr="00615A2B">
        <w:t xml:space="preserve">. Temperatures are still warm in this season. Historically, daily mean temperature in July </w:t>
      </w:r>
      <w:r>
        <w:t>is</w:t>
      </w:r>
      <w:r w:rsidRPr="00615A2B">
        <w:t xml:space="preserve"> 21ºC. Average temperature</w:t>
      </w:r>
      <w:r>
        <w:t>s</w:t>
      </w:r>
      <w:r w:rsidRPr="00615A2B">
        <w:t xml:space="preserve"> </w:t>
      </w:r>
      <w:r>
        <w:t>are 26ºC (</w:t>
      </w:r>
      <w:r w:rsidRPr="00615A2B">
        <w:t>h</w:t>
      </w:r>
      <w:r>
        <w:t>igh) and </w:t>
      </w:r>
      <w:r w:rsidRPr="00615A2B">
        <w:t>18ºC</w:t>
      </w:r>
      <w:r>
        <w:t xml:space="preserve"> (</w:t>
      </w:r>
      <w:r w:rsidRPr="00615A2B">
        <w:t>low</w:t>
      </w:r>
      <w:r>
        <w:t>).</w:t>
      </w:r>
    </w:p>
    <w:p w:rsidR="007C596C" w:rsidRPr="00615A2B" w:rsidRDefault="007C596C" w:rsidP="009C144C">
      <w:pPr>
        <w:pStyle w:val="Heading1"/>
        <w:rPr>
          <w:szCs w:val="24"/>
          <w:lang w:val="en-US"/>
        </w:rPr>
      </w:pPr>
      <w:r w:rsidRPr="00615A2B">
        <w:rPr>
          <w:szCs w:val="24"/>
          <w:lang w:val="en-US"/>
        </w:rPr>
        <w:t>Tipping</w:t>
      </w:r>
    </w:p>
    <w:p w:rsidR="007C596C" w:rsidRPr="00615A2B" w:rsidRDefault="007C596C" w:rsidP="009C144C">
      <w:r w:rsidRPr="00615A2B">
        <w:t>Tipping is not mandatory in general. In restaurants, a 10% tip is usually included in the bill. Taxi drivers do not expect big tips. People usually round up the trip total cost.</w:t>
      </w:r>
    </w:p>
    <w:p w:rsidR="007C596C" w:rsidRPr="00615A2B" w:rsidRDefault="007C596C" w:rsidP="009C144C">
      <w:pPr>
        <w:pStyle w:val="Heading1"/>
        <w:rPr>
          <w:szCs w:val="24"/>
          <w:lang w:val="en-US"/>
        </w:rPr>
      </w:pPr>
      <w:r w:rsidRPr="00615A2B">
        <w:rPr>
          <w:szCs w:val="24"/>
          <w:lang w:val="en-US"/>
        </w:rPr>
        <w:t>Smoking</w:t>
      </w:r>
    </w:p>
    <w:p w:rsidR="007C596C" w:rsidRPr="00615A2B" w:rsidRDefault="007C596C" w:rsidP="009C144C">
      <w:r w:rsidRPr="00615A2B">
        <w:t>Smoking forbidden in all indoor and enclosed public spaces such as bars and restaurants, clubs, shopping malls, movie theatres, banks, supermarkets, bakeries, chemist shops, health places, government offices and schools. Also it is no longer allowed on work and study places, libraries, buses, cabs, commercial and residential common areas, hotels and inns. Anybody violating the law is charged with a fine.</w:t>
      </w:r>
    </w:p>
    <w:p w:rsidR="007C596C" w:rsidRPr="00615A2B" w:rsidRDefault="007C596C" w:rsidP="009C144C">
      <w:pPr>
        <w:pStyle w:val="Heading1"/>
        <w:rPr>
          <w:szCs w:val="24"/>
          <w:lang w:val="en-US"/>
        </w:rPr>
      </w:pPr>
      <w:r w:rsidRPr="00615A2B">
        <w:rPr>
          <w:szCs w:val="24"/>
          <w:lang w:val="en-US"/>
        </w:rPr>
        <w:t>Security</w:t>
      </w:r>
    </w:p>
    <w:p w:rsidR="007C596C" w:rsidRPr="00615A2B" w:rsidRDefault="007C596C" w:rsidP="009C144C">
      <w:r w:rsidRPr="00615A2B">
        <w:t xml:space="preserve">Security has been improved in Rio de Janeiro in last </w:t>
      </w:r>
      <w:proofErr w:type="spellStart"/>
      <w:r w:rsidRPr="00615A2B">
        <w:t>years</w:t>
      </w:r>
      <w:proofErr w:type="spellEnd"/>
      <w:r w:rsidRPr="00615A2B">
        <w:t xml:space="preserve">. Even though, delegates are advised to avoid walking streets at night, walking with large amounts of money in pockets and wearing </w:t>
      </w:r>
      <w:proofErr w:type="spellStart"/>
      <w:r w:rsidRPr="00615A2B">
        <w:t>jewelry</w:t>
      </w:r>
      <w:proofErr w:type="spellEnd"/>
      <w:r w:rsidRPr="00615A2B">
        <w:t xml:space="preserve"> and electronic equipment. Just in case, police phone number is 190. T</w:t>
      </w:r>
      <w:r w:rsidRPr="00615A2B">
        <w:rPr>
          <w:iCs/>
        </w:rPr>
        <w:t>ourist Specialized Police (DEAT) is</w:t>
      </w:r>
      <w:r w:rsidRPr="00615A2B">
        <w:t xml:space="preserve"> located at Av. </w:t>
      </w:r>
      <w:proofErr w:type="spellStart"/>
      <w:r w:rsidRPr="00615A2B">
        <w:t>Humberto</w:t>
      </w:r>
      <w:proofErr w:type="spellEnd"/>
      <w:r w:rsidRPr="00615A2B">
        <w:t xml:space="preserve"> de Campos 315, </w:t>
      </w:r>
      <w:proofErr w:type="spellStart"/>
      <w:r w:rsidRPr="00615A2B">
        <w:t>Leblon</w:t>
      </w:r>
      <w:proofErr w:type="spellEnd"/>
      <w:r w:rsidRPr="00615A2B">
        <w:t>, open 24h, phone 3399-7170. Fire and ambulance emergency number is 193.</w:t>
      </w:r>
    </w:p>
    <w:p w:rsidR="007C596C" w:rsidRPr="00615A2B" w:rsidRDefault="007C596C" w:rsidP="009C144C">
      <w:pPr>
        <w:pStyle w:val="Heading1"/>
        <w:rPr>
          <w:szCs w:val="24"/>
          <w:lang w:val="en-US"/>
        </w:rPr>
      </w:pPr>
      <w:r w:rsidRPr="00615A2B">
        <w:rPr>
          <w:szCs w:val="24"/>
          <w:lang w:val="en-US"/>
        </w:rPr>
        <w:t>Other information</w:t>
      </w:r>
    </w:p>
    <w:p w:rsidR="007C596C" w:rsidRDefault="007C596C" w:rsidP="009C144C">
      <w:r w:rsidRPr="00615A2B">
        <w:t xml:space="preserve">Rio, the </w:t>
      </w:r>
      <w:proofErr w:type="spellStart"/>
      <w:r w:rsidRPr="00615A2B">
        <w:t>marvelous</w:t>
      </w:r>
      <w:proofErr w:type="spellEnd"/>
      <w:r w:rsidRPr="00615A2B">
        <w:t xml:space="preserve"> city, is the number 1 tourist destination in Brazil and has plenty of must-see places. The following links are recommended websites to help you on planning your visit:</w:t>
      </w:r>
    </w:p>
    <w:p w:rsidR="007C596C" w:rsidRDefault="007C596C" w:rsidP="009C144C">
      <w:pPr>
        <w:numPr>
          <w:ilvl w:val="0"/>
          <w:numId w:val="1"/>
        </w:numPr>
        <w:tabs>
          <w:tab w:val="clear" w:pos="794"/>
          <w:tab w:val="clear" w:pos="1191"/>
          <w:tab w:val="clear" w:pos="1588"/>
          <w:tab w:val="clear" w:pos="1985"/>
        </w:tabs>
        <w:overflowPunct w:val="0"/>
        <w:autoSpaceDE w:val="0"/>
        <w:autoSpaceDN w:val="0"/>
        <w:adjustRightInd w:val="0"/>
        <w:ind w:left="567" w:hanging="567"/>
        <w:textAlignment w:val="baseline"/>
        <w:rPr>
          <w:lang w:val="en-US"/>
        </w:rPr>
      </w:pPr>
      <w:r w:rsidRPr="00615A2B">
        <w:rPr>
          <w:lang w:val="en-US"/>
        </w:rPr>
        <w:t xml:space="preserve">Rio Official Guide: </w:t>
      </w:r>
      <w:hyperlink r:id="rId45" w:history="1">
        <w:r w:rsidRPr="00615A2B">
          <w:rPr>
            <w:rStyle w:val="Hyperlink"/>
            <w:szCs w:val="24"/>
            <w:lang w:val="en-US"/>
          </w:rPr>
          <w:t>http://www.rioguiaoficial.com.br/en/home</w:t>
        </w:r>
      </w:hyperlink>
    </w:p>
    <w:p w:rsidR="007C596C" w:rsidRPr="0017375F" w:rsidRDefault="007C596C" w:rsidP="009C144C">
      <w:pPr>
        <w:numPr>
          <w:ilvl w:val="0"/>
          <w:numId w:val="1"/>
        </w:numPr>
        <w:tabs>
          <w:tab w:val="clear" w:pos="794"/>
          <w:tab w:val="clear" w:pos="1191"/>
          <w:tab w:val="clear" w:pos="1588"/>
          <w:tab w:val="clear" w:pos="1985"/>
        </w:tabs>
        <w:overflowPunct w:val="0"/>
        <w:autoSpaceDE w:val="0"/>
        <w:autoSpaceDN w:val="0"/>
        <w:adjustRightInd w:val="0"/>
        <w:ind w:left="567" w:hanging="567"/>
        <w:textAlignment w:val="baseline"/>
        <w:rPr>
          <w:lang w:val="fr-CH"/>
        </w:rPr>
      </w:pPr>
      <w:proofErr w:type="spellStart"/>
      <w:r w:rsidRPr="0017375F">
        <w:rPr>
          <w:lang w:val="fr-CH"/>
        </w:rPr>
        <w:t>Brazil</w:t>
      </w:r>
      <w:proofErr w:type="spellEnd"/>
      <w:r w:rsidRPr="0017375F">
        <w:rPr>
          <w:lang w:val="fr-CH"/>
        </w:rPr>
        <w:t xml:space="preserve"> </w:t>
      </w:r>
      <w:proofErr w:type="spellStart"/>
      <w:r w:rsidRPr="0017375F">
        <w:rPr>
          <w:lang w:val="fr-CH"/>
        </w:rPr>
        <w:t>Tourism</w:t>
      </w:r>
      <w:proofErr w:type="spellEnd"/>
      <w:r w:rsidRPr="0017375F">
        <w:rPr>
          <w:lang w:val="fr-CH"/>
        </w:rPr>
        <w:t xml:space="preserve"> Portal: </w:t>
      </w:r>
      <w:hyperlink r:id="rId46" w:history="1">
        <w:r w:rsidRPr="0017375F">
          <w:rPr>
            <w:rStyle w:val="Hyperlink"/>
            <w:szCs w:val="24"/>
            <w:lang w:val="fr-CH"/>
          </w:rPr>
          <w:t>http://www.braziltour.com</w:t>
        </w:r>
      </w:hyperlink>
      <w:r w:rsidRPr="0017375F">
        <w:rPr>
          <w:lang w:val="fr-CH"/>
        </w:rPr>
        <w:t xml:space="preserve"> </w:t>
      </w:r>
    </w:p>
    <w:p w:rsidR="007C596C" w:rsidRPr="0017375F" w:rsidRDefault="007C596C" w:rsidP="009C144C">
      <w:pPr>
        <w:numPr>
          <w:ilvl w:val="0"/>
          <w:numId w:val="1"/>
        </w:numPr>
        <w:tabs>
          <w:tab w:val="clear" w:pos="794"/>
          <w:tab w:val="clear" w:pos="1191"/>
          <w:tab w:val="clear" w:pos="1588"/>
          <w:tab w:val="clear" w:pos="1985"/>
        </w:tabs>
        <w:overflowPunct w:val="0"/>
        <w:autoSpaceDE w:val="0"/>
        <w:autoSpaceDN w:val="0"/>
        <w:adjustRightInd w:val="0"/>
        <w:ind w:left="567" w:hanging="567"/>
        <w:textAlignment w:val="baseline"/>
        <w:rPr>
          <w:lang w:val="fr-CH"/>
        </w:rPr>
      </w:pPr>
      <w:r w:rsidRPr="0017375F">
        <w:rPr>
          <w:lang w:val="fr-CH"/>
        </w:rPr>
        <w:t>Rio@</w:t>
      </w:r>
      <w:proofErr w:type="spellStart"/>
      <w:r w:rsidRPr="0017375F">
        <w:rPr>
          <w:lang w:val="fr-CH"/>
        </w:rPr>
        <w:t>Wikipedia</w:t>
      </w:r>
      <w:proofErr w:type="spellEnd"/>
      <w:r w:rsidRPr="0017375F">
        <w:rPr>
          <w:lang w:val="fr-CH"/>
        </w:rPr>
        <w:t xml:space="preserve">: </w:t>
      </w:r>
      <w:hyperlink r:id="rId47" w:history="1">
        <w:r w:rsidRPr="0017375F">
          <w:rPr>
            <w:rStyle w:val="Hyperlink"/>
            <w:szCs w:val="24"/>
            <w:lang w:val="fr-CH"/>
          </w:rPr>
          <w:t>http://en.wikipedia.org/wiki/Rio_de_janeiro</w:t>
        </w:r>
      </w:hyperlink>
      <w:r w:rsidRPr="0017375F">
        <w:rPr>
          <w:lang w:val="fr-CH"/>
        </w:rPr>
        <w:t xml:space="preserve"> </w:t>
      </w:r>
    </w:p>
    <w:p w:rsidR="007C596C" w:rsidRDefault="007C596C" w:rsidP="009C144C">
      <w:pPr>
        <w:rPr>
          <w:lang w:val="fr-CH" w:eastAsia="zh-CN"/>
        </w:rPr>
      </w:pPr>
    </w:p>
    <w:p w:rsidR="003C4D56" w:rsidRPr="0017375F" w:rsidRDefault="003C4D56" w:rsidP="009C144C">
      <w:pPr>
        <w:rPr>
          <w:lang w:val="fr-CH" w:eastAsia="zh-CN"/>
        </w:rPr>
      </w:pPr>
    </w:p>
    <w:p w:rsidR="007C596C" w:rsidRDefault="007C596C" w:rsidP="009C144C">
      <w:pPr>
        <w:jc w:val="center"/>
        <w:rPr>
          <w:rFonts w:ascii="SimSun" w:hAnsi="SimSun" w:cs="SimSun"/>
          <w:lang w:eastAsia="zh-CN"/>
        </w:rPr>
      </w:pPr>
      <w:r>
        <w:t>_____________</w:t>
      </w:r>
    </w:p>
    <w:p w:rsidR="00B50E4F" w:rsidRPr="00C32E78" w:rsidRDefault="00B50E4F" w:rsidP="009C144C">
      <w:pPr>
        <w:spacing w:before="100" w:after="20"/>
        <w:rPr>
          <w:b/>
          <w:bCs/>
          <w:lang w:eastAsia="zh-CN"/>
        </w:rPr>
      </w:pPr>
    </w:p>
    <w:sectPr w:rsidR="00B50E4F" w:rsidRPr="00C32E78" w:rsidSect="003C4D56">
      <w:headerReference w:type="default" r:id="rId48"/>
      <w:pgSz w:w="11907" w:h="16840" w:code="9"/>
      <w:pgMar w:top="1134" w:right="1134" w:bottom="1134"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90" w:rsidRDefault="00E92F90">
      <w:r>
        <w:separator/>
      </w:r>
    </w:p>
  </w:endnote>
  <w:endnote w:type="continuationSeparator" w:id="0">
    <w:p w:rsidR="00E92F90" w:rsidRDefault="00E92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entury Gothic">
    <w:altName w:val="Segoe UI"/>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DC" w:rsidRDefault="00B50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DC" w:rsidRDefault="00B50FDC" w:rsidP="00B50FDC">
    <w:pPr>
      <w:pStyle w:val="Footer"/>
      <w:rPr>
        <w:iCs/>
        <w:szCs w:val="16"/>
        <w:lang w:val="fr-CH"/>
      </w:rPr>
    </w:pPr>
    <w:r>
      <w:rPr>
        <w:iCs/>
        <w:szCs w:val="16"/>
        <w:lang w:val="fr-CH"/>
      </w:rPr>
      <w:t>ITU-T\BUREAU\CIRC\193C.DOC</w:t>
    </w:r>
  </w:p>
  <w:p w:rsidR="00B50FDC" w:rsidRPr="00B50FDC" w:rsidRDefault="00B50FDC" w:rsidP="00B50FDC">
    <w:pPr>
      <w:pStyle w:val="Footer"/>
      <w:bidi/>
      <w:rPr>
        <w:sz w:val="22"/>
        <w:szCs w:val="16"/>
        <w:lang w:val="fr-CH"/>
      </w:rPr>
    </w:pPr>
  </w:p>
  <w:p w:rsidR="00E92F90" w:rsidRPr="00B50FDC" w:rsidRDefault="00E92F90" w:rsidP="00B50FDC">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E92F90" w:rsidTr="003C4D56">
      <w:tc>
        <w:tcPr>
          <w:tcW w:w="10149" w:type="dxa"/>
        </w:tcPr>
        <w:p w:rsidR="00E92F90" w:rsidRDefault="00E92F90" w:rsidP="003C4D56">
          <w:pPr>
            <w:pBdr>
              <w:top w:val="single" w:sz="4" w:space="5" w:color="auto"/>
            </w:pBdr>
            <w:tabs>
              <w:tab w:val="left" w:pos="2084"/>
              <w:tab w:val="left" w:pos="2984"/>
              <w:tab w:val="left" w:pos="3344"/>
              <w:tab w:val="left" w:pos="3560"/>
              <w:tab w:val="left" w:pos="5684"/>
              <w:tab w:val="left" w:pos="8024"/>
              <w:tab w:val="left" w:pos="8739"/>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E92F90" w:rsidRDefault="00E92F90" w:rsidP="003C4D56">
          <w:pPr>
            <w:tabs>
              <w:tab w:val="left" w:pos="2084"/>
              <w:tab w:val="left" w:pos="2984"/>
              <w:tab w:val="left" w:pos="3289"/>
              <w:tab w:val="left" w:pos="3344"/>
              <w:tab w:val="left" w:pos="3560"/>
              <w:tab w:val="left" w:pos="5684"/>
              <w:tab w:val="left" w:pos="8024"/>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E92F90" w:rsidRDefault="00E92F90" w:rsidP="003C4D56">
          <w:pPr>
            <w:tabs>
              <w:tab w:val="left" w:pos="1904"/>
              <w:tab w:val="left" w:pos="2984"/>
              <w:tab w:val="left" w:pos="3289"/>
              <w:tab w:val="left" w:pos="3344"/>
              <w:tab w:val="left" w:pos="3560"/>
              <w:tab w:val="left" w:pos="5870"/>
              <w:tab w:val="left" w:pos="8319"/>
              <w:tab w:val="left" w:pos="9565"/>
              <w:tab w:val="right" w:pos="10858"/>
            </w:tabs>
            <w:spacing w:before="0"/>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E92F90" w:rsidRPr="007C596C" w:rsidRDefault="00E92F90" w:rsidP="007C59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DC" w:rsidRDefault="00B50FDC" w:rsidP="00B50FDC">
    <w:pPr>
      <w:pStyle w:val="Footer"/>
      <w:rPr>
        <w:iCs/>
        <w:szCs w:val="16"/>
        <w:lang w:val="fr-CH"/>
      </w:rPr>
    </w:pPr>
    <w:r>
      <w:rPr>
        <w:iCs/>
        <w:szCs w:val="16"/>
        <w:lang w:val="fr-CH"/>
      </w:rPr>
      <w:t>ITU-T\BUREAU\CIRC\193C.DOC</w:t>
    </w:r>
  </w:p>
  <w:p w:rsidR="00E92F90" w:rsidRPr="00B50FDC" w:rsidRDefault="00E92F90" w:rsidP="00B50FDC">
    <w:pPr>
      <w:pStyle w:val="Foo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90" w:rsidRDefault="00E92F90">
      <w:r>
        <w:t>____________________</w:t>
      </w:r>
    </w:p>
  </w:footnote>
  <w:footnote w:type="continuationSeparator" w:id="0">
    <w:p w:rsidR="00E92F90" w:rsidRDefault="00E92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DC" w:rsidRDefault="00B50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8436"/>
      <w:docPartObj>
        <w:docPartGallery w:val="Page Numbers (Top of Page)"/>
        <w:docPartUnique/>
      </w:docPartObj>
    </w:sdtPr>
    <w:sdtEndPr>
      <w:rPr>
        <w:noProof/>
      </w:rPr>
    </w:sdtEndPr>
    <w:sdtContent>
      <w:p w:rsidR="00E92F90" w:rsidRPr="003C4D56" w:rsidRDefault="00E92F90" w:rsidP="003C4D56">
        <w:pPr>
          <w:pStyle w:val="Header"/>
          <w:rPr>
            <w:noProof/>
            <w:sz w:val="24"/>
            <w:lang w:val="en-GB"/>
          </w:rPr>
        </w:pPr>
        <w:r>
          <w:rPr>
            <w:rFonts w:hint="eastAsia"/>
            <w:lang w:eastAsia="zh-CN"/>
          </w:rPr>
          <w:t xml:space="preserve">- </w:t>
        </w:r>
        <w:r w:rsidR="00BD45B7">
          <w:fldChar w:fldCharType="begin"/>
        </w:r>
        <w:r>
          <w:instrText xml:space="preserve"> PAGE   \* MERGEFORMAT </w:instrText>
        </w:r>
        <w:r w:rsidR="00BD45B7">
          <w:fldChar w:fldCharType="separate"/>
        </w:r>
        <w:r w:rsidR="00EE30E9">
          <w:rPr>
            <w:noProof/>
          </w:rPr>
          <w:t>2</w:t>
        </w:r>
        <w:r w:rsidR="00BD45B7">
          <w:rPr>
            <w:noProof/>
          </w:rPr>
          <w:fldChar w:fldCharType="end"/>
        </w:r>
        <w:r>
          <w:rPr>
            <w:rFonts w:hint="eastAsia"/>
            <w:noProof/>
            <w:lang w:eastAsia="zh-CN"/>
          </w:rP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DC" w:rsidRDefault="00B50F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980006"/>
      <w:docPartObj>
        <w:docPartGallery w:val="Page Numbers (Top of Page)"/>
        <w:docPartUnique/>
      </w:docPartObj>
    </w:sdtPr>
    <w:sdtEndPr>
      <w:rPr>
        <w:noProof/>
      </w:rPr>
    </w:sdtEndPr>
    <w:sdtContent>
      <w:p w:rsidR="00E92F90" w:rsidRDefault="00BD45B7" w:rsidP="00BA6B1A">
        <w:pPr>
          <w:pStyle w:val="Header"/>
        </w:pPr>
        <w:r>
          <w:fldChar w:fldCharType="begin"/>
        </w:r>
        <w:r w:rsidR="00E92F90">
          <w:instrText xml:space="preserve"> PAGE   \* MERGEFORMAT </w:instrText>
        </w:r>
        <w:r>
          <w:fldChar w:fldCharType="separate"/>
        </w:r>
        <w:r w:rsidR="00EE30E9">
          <w:rPr>
            <w:noProof/>
          </w:rPr>
          <w:t>- 3 -</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061666"/>
      <w:docPartObj>
        <w:docPartGallery w:val="Page Numbers (Top of Page)"/>
        <w:docPartUnique/>
      </w:docPartObj>
    </w:sdtPr>
    <w:sdtEndPr>
      <w:rPr>
        <w:noProof/>
      </w:rPr>
    </w:sdtEndPr>
    <w:sdtContent>
      <w:p w:rsidR="00E92F90" w:rsidRPr="003C4D56" w:rsidRDefault="00E92F90" w:rsidP="003C4D56">
        <w:pPr>
          <w:pStyle w:val="Header"/>
        </w:pPr>
        <w:r>
          <w:rPr>
            <w:rFonts w:hint="eastAsia"/>
            <w:lang w:eastAsia="zh-CN"/>
          </w:rPr>
          <w:t xml:space="preserve">- </w:t>
        </w:r>
        <w:r w:rsidR="00BD45B7">
          <w:fldChar w:fldCharType="begin"/>
        </w:r>
        <w:r>
          <w:instrText xml:space="preserve"> PAGE   \* MERGEFORMAT </w:instrText>
        </w:r>
        <w:r w:rsidR="00BD45B7">
          <w:fldChar w:fldCharType="separate"/>
        </w:r>
        <w:r w:rsidR="00EE30E9">
          <w:rPr>
            <w:noProof/>
          </w:rPr>
          <w:t>4</w:t>
        </w:r>
        <w:r w:rsidR="00BD45B7">
          <w:rPr>
            <w:noProof/>
          </w:rPr>
          <w:fldChar w:fldCharType="end"/>
        </w:r>
        <w:r>
          <w:rPr>
            <w:rFonts w:hint="eastAsia"/>
            <w:noProof/>
            <w:lang w:eastAsia="zh-CN"/>
          </w:rPr>
          <w:t xml:space="preserve">- </w: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117669"/>
      <w:docPartObj>
        <w:docPartGallery w:val="Page Numbers (Top of Page)"/>
        <w:docPartUnique/>
      </w:docPartObj>
    </w:sdtPr>
    <w:sdtEndPr>
      <w:rPr>
        <w:noProof/>
      </w:rPr>
    </w:sdtEndPr>
    <w:sdtContent>
      <w:p w:rsidR="00E92F90" w:rsidRDefault="00E92F90" w:rsidP="00BA6B1A">
        <w:pPr>
          <w:pStyle w:val="Header"/>
        </w:pPr>
        <w:r>
          <w:rPr>
            <w:rFonts w:hint="eastAsia"/>
            <w:lang w:eastAsia="zh-CN"/>
          </w:rPr>
          <w:t xml:space="preserve">- </w:t>
        </w:r>
        <w:r w:rsidR="00BD45B7">
          <w:fldChar w:fldCharType="begin"/>
        </w:r>
        <w:r>
          <w:instrText xml:space="preserve"> PAGE   \* MERGEFORMAT </w:instrText>
        </w:r>
        <w:r w:rsidR="00BD45B7">
          <w:fldChar w:fldCharType="separate"/>
        </w:r>
        <w:r w:rsidR="00EE30E9">
          <w:rPr>
            <w:noProof/>
          </w:rPr>
          <w:t>8</w:t>
        </w:r>
        <w:r w:rsidR="00BD45B7">
          <w:rPr>
            <w:noProof/>
          </w:rPr>
          <w:fldChar w:fldCharType="end"/>
        </w:r>
        <w:r>
          <w:rPr>
            <w:rFonts w:hint="eastAsia"/>
            <w:noProof/>
            <w:lang w:eastAsia="zh-CN"/>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6FD"/>
    <w:multiLevelType w:val="hybridMultilevel"/>
    <w:tmpl w:val="712C0490"/>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8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useFELayout/>
  </w:compat>
  <w:rsids>
    <w:rsidRoot w:val="007C596C"/>
    <w:rsid w:val="00087A44"/>
    <w:rsid w:val="001C21C8"/>
    <w:rsid w:val="001C7B49"/>
    <w:rsid w:val="001F22DE"/>
    <w:rsid w:val="003207F4"/>
    <w:rsid w:val="0036624E"/>
    <w:rsid w:val="00392437"/>
    <w:rsid w:val="003C4D56"/>
    <w:rsid w:val="003D5773"/>
    <w:rsid w:val="00460219"/>
    <w:rsid w:val="004A696A"/>
    <w:rsid w:val="004E6BDA"/>
    <w:rsid w:val="00534114"/>
    <w:rsid w:val="005365E4"/>
    <w:rsid w:val="0059425B"/>
    <w:rsid w:val="00624CB1"/>
    <w:rsid w:val="00706938"/>
    <w:rsid w:val="007367A4"/>
    <w:rsid w:val="007626DE"/>
    <w:rsid w:val="00762E1B"/>
    <w:rsid w:val="007C596C"/>
    <w:rsid w:val="007F73DB"/>
    <w:rsid w:val="008847B5"/>
    <w:rsid w:val="008B575D"/>
    <w:rsid w:val="00923D4B"/>
    <w:rsid w:val="00931217"/>
    <w:rsid w:val="0098410B"/>
    <w:rsid w:val="009963D1"/>
    <w:rsid w:val="009C144C"/>
    <w:rsid w:val="00A16D96"/>
    <w:rsid w:val="00A23824"/>
    <w:rsid w:val="00A6232A"/>
    <w:rsid w:val="00B50E4F"/>
    <w:rsid w:val="00B50FDC"/>
    <w:rsid w:val="00B67063"/>
    <w:rsid w:val="00B67F39"/>
    <w:rsid w:val="00BA6B1A"/>
    <w:rsid w:val="00BB04A8"/>
    <w:rsid w:val="00BB7187"/>
    <w:rsid w:val="00BC24E4"/>
    <w:rsid w:val="00BD45B7"/>
    <w:rsid w:val="00C115D3"/>
    <w:rsid w:val="00C32E78"/>
    <w:rsid w:val="00C62F0D"/>
    <w:rsid w:val="00D534EC"/>
    <w:rsid w:val="00DD7502"/>
    <w:rsid w:val="00E049DE"/>
    <w:rsid w:val="00E669B0"/>
    <w:rsid w:val="00E73313"/>
    <w:rsid w:val="00E92F90"/>
    <w:rsid w:val="00EE2A77"/>
    <w:rsid w:val="00EE30E9"/>
    <w:rsid w:val="00EE59AB"/>
    <w:rsid w:val="00F218C8"/>
    <w:rsid w:val="00FF714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6C"/>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93121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31217"/>
    <w:pPr>
      <w:spacing w:before="320"/>
      <w:outlineLvl w:val="1"/>
    </w:pPr>
  </w:style>
  <w:style w:type="paragraph" w:styleId="Heading3">
    <w:name w:val="heading 3"/>
    <w:basedOn w:val="Heading1"/>
    <w:next w:val="Normal"/>
    <w:qFormat/>
    <w:rsid w:val="00931217"/>
    <w:pPr>
      <w:spacing w:before="200"/>
      <w:outlineLvl w:val="2"/>
    </w:pPr>
  </w:style>
  <w:style w:type="paragraph" w:styleId="Heading4">
    <w:name w:val="heading 4"/>
    <w:basedOn w:val="Heading3"/>
    <w:next w:val="Normal"/>
    <w:qFormat/>
    <w:rsid w:val="00931217"/>
    <w:pPr>
      <w:tabs>
        <w:tab w:val="clear" w:pos="794"/>
        <w:tab w:val="left" w:pos="1191"/>
      </w:tabs>
      <w:ind w:left="993" w:hanging="993"/>
      <w:outlineLvl w:val="3"/>
    </w:pPr>
  </w:style>
  <w:style w:type="paragraph" w:styleId="Heading5">
    <w:name w:val="heading 5"/>
    <w:basedOn w:val="Heading3"/>
    <w:next w:val="Normal"/>
    <w:qFormat/>
    <w:rsid w:val="00931217"/>
    <w:pPr>
      <w:tabs>
        <w:tab w:val="clear" w:pos="794"/>
        <w:tab w:val="left" w:pos="1191"/>
      </w:tabs>
      <w:outlineLvl w:val="4"/>
    </w:pPr>
  </w:style>
  <w:style w:type="paragraph" w:styleId="Heading6">
    <w:name w:val="heading 6"/>
    <w:basedOn w:val="Heading3"/>
    <w:next w:val="Normal"/>
    <w:qFormat/>
    <w:rsid w:val="00931217"/>
    <w:pPr>
      <w:tabs>
        <w:tab w:val="clear" w:pos="794"/>
        <w:tab w:val="left" w:pos="1191"/>
      </w:tabs>
      <w:outlineLvl w:val="5"/>
    </w:pPr>
  </w:style>
  <w:style w:type="paragraph" w:styleId="Heading7">
    <w:name w:val="heading 7"/>
    <w:basedOn w:val="Heading3"/>
    <w:next w:val="Normal"/>
    <w:qFormat/>
    <w:rsid w:val="00931217"/>
    <w:pPr>
      <w:tabs>
        <w:tab w:val="clear" w:pos="794"/>
        <w:tab w:val="left" w:pos="1191"/>
      </w:tabs>
      <w:outlineLvl w:val="6"/>
    </w:pPr>
  </w:style>
  <w:style w:type="paragraph" w:styleId="Heading8">
    <w:name w:val="heading 8"/>
    <w:basedOn w:val="Heading3"/>
    <w:next w:val="Normal"/>
    <w:qFormat/>
    <w:rsid w:val="00931217"/>
    <w:pPr>
      <w:tabs>
        <w:tab w:val="clear" w:pos="794"/>
        <w:tab w:val="left" w:pos="1191"/>
      </w:tabs>
      <w:outlineLvl w:val="7"/>
    </w:pPr>
  </w:style>
  <w:style w:type="paragraph" w:styleId="Heading9">
    <w:name w:val="heading 9"/>
    <w:basedOn w:val="Heading3"/>
    <w:next w:val="Normal"/>
    <w:qFormat/>
    <w:rsid w:val="0093121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931217"/>
  </w:style>
  <w:style w:type="paragraph" w:styleId="TOC7">
    <w:name w:val="toc 7"/>
    <w:basedOn w:val="TOC3"/>
    <w:next w:val="Normal"/>
    <w:semiHidden/>
    <w:rsid w:val="00931217"/>
  </w:style>
  <w:style w:type="paragraph" w:styleId="TOC6">
    <w:name w:val="toc 6"/>
    <w:basedOn w:val="TOC3"/>
    <w:next w:val="Normal"/>
    <w:semiHidden/>
    <w:rsid w:val="00931217"/>
  </w:style>
  <w:style w:type="paragraph" w:styleId="TOC5">
    <w:name w:val="toc 5"/>
    <w:basedOn w:val="TOC3"/>
    <w:next w:val="Normal"/>
    <w:semiHidden/>
    <w:rsid w:val="00931217"/>
  </w:style>
  <w:style w:type="paragraph" w:styleId="TOC4">
    <w:name w:val="toc 4"/>
    <w:basedOn w:val="TOC3"/>
    <w:next w:val="Normal"/>
    <w:semiHidden/>
    <w:rsid w:val="00931217"/>
  </w:style>
  <w:style w:type="paragraph" w:styleId="TOC3">
    <w:name w:val="toc 3"/>
    <w:basedOn w:val="TOC2"/>
    <w:next w:val="Normal"/>
    <w:semiHidden/>
    <w:rsid w:val="00931217"/>
    <w:pPr>
      <w:spacing w:before="80"/>
    </w:pPr>
  </w:style>
  <w:style w:type="paragraph" w:styleId="TOC2">
    <w:name w:val="toc 2"/>
    <w:basedOn w:val="TOC1"/>
    <w:next w:val="Normal"/>
    <w:semiHidden/>
    <w:rsid w:val="00931217"/>
    <w:pPr>
      <w:spacing w:before="120"/>
    </w:pPr>
  </w:style>
  <w:style w:type="paragraph" w:styleId="TOC1">
    <w:name w:val="toc 1"/>
    <w:basedOn w:val="Normal"/>
    <w:semiHidden/>
    <w:rsid w:val="00931217"/>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31217"/>
    <w:pPr>
      <w:ind w:left="1698"/>
    </w:pPr>
  </w:style>
  <w:style w:type="paragraph" w:styleId="Index6">
    <w:name w:val="index 6"/>
    <w:basedOn w:val="Normal"/>
    <w:next w:val="Normal"/>
    <w:semiHidden/>
    <w:rsid w:val="00931217"/>
    <w:pPr>
      <w:ind w:left="1415"/>
    </w:pPr>
  </w:style>
  <w:style w:type="paragraph" w:styleId="Index5">
    <w:name w:val="index 5"/>
    <w:basedOn w:val="Normal"/>
    <w:next w:val="Normal"/>
    <w:semiHidden/>
    <w:rsid w:val="00931217"/>
    <w:pPr>
      <w:ind w:left="1132"/>
    </w:pPr>
  </w:style>
  <w:style w:type="paragraph" w:styleId="Index4">
    <w:name w:val="index 4"/>
    <w:basedOn w:val="Normal"/>
    <w:next w:val="Normal"/>
    <w:semiHidden/>
    <w:rsid w:val="00931217"/>
    <w:pPr>
      <w:ind w:left="851"/>
    </w:pPr>
  </w:style>
  <w:style w:type="paragraph" w:styleId="Index3">
    <w:name w:val="index 3"/>
    <w:basedOn w:val="Normal"/>
    <w:next w:val="Normal"/>
    <w:semiHidden/>
    <w:rsid w:val="00931217"/>
    <w:pPr>
      <w:ind w:left="567"/>
    </w:pPr>
  </w:style>
  <w:style w:type="paragraph" w:styleId="Index2">
    <w:name w:val="index 2"/>
    <w:basedOn w:val="Normal"/>
    <w:next w:val="Normal"/>
    <w:semiHidden/>
    <w:rsid w:val="00931217"/>
    <w:pPr>
      <w:ind w:left="284"/>
    </w:pPr>
  </w:style>
  <w:style w:type="paragraph" w:styleId="Index1">
    <w:name w:val="index 1"/>
    <w:basedOn w:val="Normal"/>
    <w:next w:val="Normal"/>
    <w:semiHidden/>
    <w:rsid w:val="00931217"/>
  </w:style>
  <w:style w:type="character" w:styleId="LineNumber">
    <w:name w:val="line number"/>
    <w:basedOn w:val="DefaultParagraphFont"/>
    <w:rsid w:val="00931217"/>
  </w:style>
  <w:style w:type="paragraph" w:styleId="IndexHeading">
    <w:name w:val="index heading"/>
    <w:basedOn w:val="Normal"/>
    <w:next w:val="Normal"/>
    <w:semiHidden/>
    <w:rsid w:val="00931217"/>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93121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931217"/>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931217"/>
    <w:rPr>
      <w:position w:val="6"/>
      <w:sz w:val="16"/>
    </w:rPr>
  </w:style>
  <w:style w:type="paragraph" w:styleId="FootnoteText">
    <w:name w:val="footnote text"/>
    <w:basedOn w:val="Normal"/>
    <w:semiHidden/>
    <w:rsid w:val="00931217"/>
    <w:pPr>
      <w:keepLines/>
      <w:tabs>
        <w:tab w:val="left" w:pos="256"/>
      </w:tabs>
      <w:ind w:left="256" w:hanging="256"/>
    </w:pPr>
  </w:style>
  <w:style w:type="paragraph" w:styleId="NormalIndent">
    <w:name w:val="Normal Indent"/>
    <w:basedOn w:val="Normal"/>
    <w:rsid w:val="00931217"/>
    <w:pPr>
      <w:ind w:left="794"/>
    </w:pPr>
  </w:style>
  <w:style w:type="paragraph" w:customStyle="1" w:styleId="TableLegend">
    <w:name w:val="Table_Legend"/>
    <w:basedOn w:val="TableText"/>
    <w:rsid w:val="00931217"/>
    <w:pPr>
      <w:spacing w:before="120"/>
    </w:pPr>
  </w:style>
  <w:style w:type="paragraph" w:customStyle="1" w:styleId="TableText">
    <w:name w:val="Table_Text"/>
    <w:basedOn w:val="Normal"/>
    <w:rsid w:val="009312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31217"/>
    <w:pPr>
      <w:keepLines/>
      <w:spacing w:before="0"/>
    </w:pPr>
    <w:rPr>
      <w:b/>
      <w:caps w:val="0"/>
    </w:rPr>
  </w:style>
  <w:style w:type="paragraph" w:customStyle="1" w:styleId="Table">
    <w:name w:val="Table_#"/>
    <w:basedOn w:val="Normal"/>
    <w:next w:val="TableTitle"/>
    <w:rsid w:val="00931217"/>
    <w:pPr>
      <w:keepNext/>
      <w:spacing w:before="560" w:after="120"/>
      <w:jc w:val="center"/>
    </w:pPr>
    <w:rPr>
      <w:caps/>
    </w:rPr>
  </w:style>
  <w:style w:type="paragraph" w:customStyle="1" w:styleId="enumlev1">
    <w:name w:val="enumlev1"/>
    <w:basedOn w:val="Normal"/>
    <w:rsid w:val="00931217"/>
    <w:pPr>
      <w:spacing w:before="80"/>
      <w:ind w:left="794" w:hanging="794"/>
    </w:pPr>
  </w:style>
  <w:style w:type="paragraph" w:customStyle="1" w:styleId="enumlev2">
    <w:name w:val="enumlev2"/>
    <w:basedOn w:val="enumlev1"/>
    <w:rsid w:val="00931217"/>
    <w:pPr>
      <w:ind w:left="1191" w:hanging="397"/>
    </w:pPr>
  </w:style>
  <w:style w:type="paragraph" w:customStyle="1" w:styleId="enumlev3">
    <w:name w:val="enumlev3"/>
    <w:basedOn w:val="enumlev2"/>
    <w:rsid w:val="00931217"/>
    <w:pPr>
      <w:ind w:left="1588"/>
    </w:pPr>
  </w:style>
  <w:style w:type="paragraph" w:customStyle="1" w:styleId="TableHead">
    <w:name w:val="Table_Head"/>
    <w:basedOn w:val="TableText"/>
    <w:rsid w:val="00931217"/>
    <w:pPr>
      <w:keepNext/>
      <w:spacing w:before="80" w:after="80"/>
      <w:jc w:val="center"/>
    </w:pPr>
    <w:rPr>
      <w:b/>
    </w:rPr>
  </w:style>
  <w:style w:type="paragraph" w:customStyle="1" w:styleId="FigureLegend">
    <w:name w:val="Figure_Legend"/>
    <w:basedOn w:val="Normal"/>
    <w:rsid w:val="0093121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31217"/>
    <w:pPr>
      <w:spacing w:before="480"/>
    </w:pPr>
  </w:style>
  <w:style w:type="paragraph" w:customStyle="1" w:styleId="FigureTitle">
    <w:name w:val="Figure_Title"/>
    <w:basedOn w:val="TableTitle"/>
    <w:next w:val="Normal"/>
    <w:rsid w:val="00931217"/>
    <w:pPr>
      <w:keepNext w:val="0"/>
      <w:spacing w:after="480"/>
    </w:pPr>
  </w:style>
  <w:style w:type="paragraph" w:customStyle="1" w:styleId="Annex">
    <w:name w:val="Annex_#"/>
    <w:basedOn w:val="Normal"/>
    <w:next w:val="AnnexRef"/>
    <w:rsid w:val="00931217"/>
    <w:pPr>
      <w:keepNext/>
      <w:keepLines/>
      <w:spacing w:before="480" w:after="80"/>
      <w:jc w:val="center"/>
    </w:pPr>
    <w:rPr>
      <w:caps/>
    </w:rPr>
  </w:style>
  <w:style w:type="paragraph" w:customStyle="1" w:styleId="AnnexRef">
    <w:name w:val="Annex_Ref"/>
    <w:basedOn w:val="Normal"/>
    <w:next w:val="AnnexTitle"/>
    <w:rsid w:val="00931217"/>
    <w:pPr>
      <w:keepNext/>
      <w:keepLines/>
      <w:jc w:val="center"/>
    </w:pPr>
  </w:style>
  <w:style w:type="paragraph" w:customStyle="1" w:styleId="AnnexTitle">
    <w:name w:val="Annex_Title"/>
    <w:basedOn w:val="Normal"/>
    <w:next w:val="Normalaftertitle"/>
    <w:rsid w:val="00931217"/>
    <w:pPr>
      <w:keepNext/>
      <w:keepLines/>
      <w:spacing w:before="240" w:after="280"/>
      <w:jc w:val="center"/>
    </w:pPr>
    <w:rPr>
      <w:b/>
    </w:rPr>
  </w:style>
  <w:style w:type="paragraph" w:customStyle="1" w:styleId="Appendix">
    <w:name w:val="Appendix_#"/>
    <w:basedOn w:val="Annex"/>
    <w:next w:val="AppendixRef"/>
    <w:rsid w:val="00931217"/>
  </w:style>
  <w:style w:type="paragraph" w:customStyle="1" w:styleId="AppendixRef">
    <w:name w:val="Appendix_Ref"/>
    <w:basedOn w:val="AnnexRef"/>
    <w:next w:val="AppendixTitle"/>
    <w:rsid w:val="00931217"/>
  </w:style>
  <w:style w:type="paragraph" w:customStyle="1" w:styleId="AppendixTitle">
    <w:name w:val="Appendix_Title"/>
    <w:basedOn w:val="AnnexTitle"/>
    <w:next w:val="Normalaftertitle"/>
    <w:rsid w:val="00931217"/>
  </w:style>
  <w:style w:type="paragraph" w:customStyle="1" w:styleId="RefTitle">
    <w:name w:val="Ref_Title"/>
    <w:basedOn w:val="Normal"/>
    <w:next w:val="RefText"/>
    <w:rsid w:val="00931217"/>
    <w:pPr>
      <w:spacing w:before="480"/>
      <w:jc w:val="center"/>
    </w:pPr>
    <w:rPr>
      <w:caps/>
    </w:rPr>
  </w:style>
  <w:style w:type="paragraph" w:customStyle="1" w:styleId="RefText">
    <w:name w:val="Ref_Text"/>
    <w:basedOn w:val="Normal"/>
    <w:rsid w:val="00931217"/>
    <w:pPr>
      <w:ind w:left="794" w:hanging="794"/>
    </w:pPr>
  </w:style>
  <w:style w:type="paragraph" w:customStyle="1" w:styleId="Equation">
    <w:name w:val="Equation"/>
    <w:basedOn w:val="Normal"/>
    <w:rsid w:val="00931217"/>
    <w:pPr>
      <w:tabs>
        <w:tab w:val="clear" w:pos="1191"/>
        <w:tab w:val="clear" w:pos="1588"/>
        <w:tab w:val="clear" w:pos="1985"/>
        <w:tab w:val="center" w:pos="4876"/>
        <w:tab w:val="right" w:pos="9752"/>
      </w:tabs>
    </w:pPr>
  </w:style>
  <w:style w:type="paragraph" w:customStyle="1" w:styleId="Head">
    <w:name w:val="Head"/>
    <w:basedOn w:val="Normal"/>
    <w:rsid w:val="0093121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31217"/>
    <w:pPr>
      <w:keepNext/>
      <w:keepLines/>
      <w:spacing w:before="240"/>
      <w:jc w:val="center"/>
    </w:pPr>
    <w:rPr>
      <w:b/>
      <w:caps/>
    </w:rPr>
  </w:style>
  <w:style w:type="paragraph" w:customStyle="1" w:styleId="Normalaftertitle">
    <w:name w:val="Normal after title"/>
    <w:basedOn w:val="Normal"/>
    <w:next w:val="Normal"/>
    <w:rsid w:val="00931217"/>
    <w:pPr>
      <w:spacing w:before="320"/>
    </w:pPr>
  </w:style>
  <w:style w:type="paragraph" w:customStyle="1" w:styleId="call">
    <w:name w:val="call"/>
    <w:basedOn w:val="Normal"/>
    <w:next w:val="Normal"/>
    <w:rsid w:val="00931217"/>
    <w:pPr>
      <w:keepNext/>
      <w:keepLines/>
      <w:spacing w:before="160"/>
      <w:ind w:left="794"/>
    </w:pPr>
    <w:rPr>
      <w:i/>
    </w:rPr>
  </w:style>
  <w:style w:type="paragraph" w:customStyle="1" w:styleId="Rec">
    <w:name w:val="Rec_#"/>
    <w:basedOn w:val="Normal"/>
    <w:next w:val="RecTitle"/>
    <w:rsid w:val="00931217"/>
    <w:pPr>
      <w:keepNext/>
      <w:keepLines/>
      <w:spacing w:before="480"/>
      <w:jc w:val="center"/>
    </w:pPr>
    <w:rPr>
      <w:caps/>
    </w:rPr>
  </w:style>
  <w:style w:type="paragraph" w:customStyle="1" w:styleId="toc0">
    <w:name w:val="toc 0"/>
    <w:basedOn w:val="Normal"/>
    <w:next w:val="TOC1"/>
    <w:rsid w:val="00931217"/>
    <w:pPr>
      <w:tabs>
        <w:tab w:val="clear" w:pos="794"/>
        <w:tab w:val="clear" w:pos="1191"/>
        <w:tab w:val="clear" w:pos="1588"/>
        <w:tab w:val="clear" w:pos="1985"/>
        <w:tab w:val="right" w:pos="9781"/>
      </w:tabs>
    </w:pPr>
    <w:rPr>
      <w:b/>
    </w:rPr>
  </w:style>
  <w:style w:type="paragraph" w:styleId="List">
    <w:name w:val="List"/>
    <w:basedOn w:val="Normal"/>
    <w:rsid w:val="0093121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3121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3121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3121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31217"/>
    <w:pPr>
      <w:spacing w:before="160"/>
      <w:ind w:left="0" w:firstLine="0"/>
      <w:outlineLvl w:val="9"/>
    </w:pPr>
  </w:style>
  <w:style w:type="paragraph" w:customStyle="1" w:styleId="Keywords">
    <w:name w:val="Keywords"/>
    <w:basedOn w:val="Normal"/>
    <w:rsid w:val="00931217"/>
    <w:pPr>
      <w:tabs>
        <w:tab w:val="clear" w:pos="1191"/>
        <w:tab w:val="clear" w:pos="1588"/>
      </w:tabs>
      <w:ind w:left="794" w:hanging="794"/>
    </w:pPr>
  </w:style>
  <w:style w:type="paragraph" w:customStyle="1" w:styleId="ASN1">
    <w:name w:val="ASN.1"/>
    <w:basedOn w:val="Normal"/>
    <w:rsid w:val="0093121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3121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31217"/>
    <w:pPr>
      <w:tabs>
        <w:tab w:val="clear" w:pos="794"/>
        <w:tab w:val="clear" w:pos="1191"/>
        <w:tab w:val="clear" w:pos="1588"/>
        <w:tab w:val="clear" w:pos="1985"/>
      </w:tabs>
      <w:spacing w:before="480"/>
      <w:ind w:left="4961"/>
    </w:pPr>
  </w:style>
  <w:style w:type="paragraph" w:customStyle="1" w:styleId="meeting">
    <w:name w:val="meeting"/>
    <w:basedOn w:val="Head"/>
    <w:next w:val="Head"/>
    <w:rsid w:val="00931217"/>
    <w:pPr>
      <w:tabs>
        <w:tab w:val="left" w:pos="7371"/>
      </w:tabs>
      <w:spacing w:after="560"/>
    </w:pPr>
  </w:style>
  <w:style w:type="paragraph" w:customStyle="1" w:styleId="BodyText">
    <w:name w:val="BodyText"/>
    <w:basedOn w:val="Normal"/>
    <w:rsid w:val="00931217"/>
    <w:pPr>
      <w:tabs>
        <w:tab w:val="clear" w:pos="794"/>
        <w:tab w:val="clear" w:pos="1191"/>
        <w:tab w:val="clear" w:pos="1588"/>
        <w:tab w:val="clear" w:pos="1985"/>
      </w:tabs>
      <w:spacing w:before="240"/>
    </w:pPr>
  </w:style>
  <w:style w:type="paragraph" w:customStyle="1" w:styleId="ITUadres">
    <w:name w:val="ITU_adres"/>
    <w:basedOn w:val="Normal"/>
    <w:rsid w:val="0093121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3121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3121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3121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3121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31217"/>
  </w:style>
  <w:style w:type="paragraph" w:customStyle="1" w:styleId="ITUbureau">
    <w:name w:val="ITU_bureau"/>
    <w:basedOn w:val="Normal"/>
    <w:rsid w:val="0093121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93121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3121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3121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3121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31217"/>
    <w:pPr>
      <w:tabs>
        <w:tab w:val="left" w:pos="1418"/>
        <w:tab w:val="left" w:pos="1985"/>
        <w:tab w:val="left" w:pos="2268"/>
      </w:tabs>
      <w:ind w:firstLine="1304"/>
    </w:pPr>
  </w:style>
  <w:style w:type="paragraph" w:customStyle="1" w:styleId="Tiret">
    <w:name w:val="Tiret"/>
    <w:basedOn w:val="Normal"/>
    <w:rsid w:val="00931217"/>
    <w:pPr>
      <w:tabs>
        <w:tab w:val="clear" w:pos="794"/>
        <w:tab w:val="clear" w:pos="1191"/>
        <w:tab w:val="clear" w:pos="1588"/>
        <w:tab w:val="clear" w:pos="1985"/>
      </w:tabs>
      <w:ind w:left="-680"/>
    </w:pPr>
  </w:style>
  <w:style w:type="paragraph" w:customStyle="1" w:styleId="NormFoot">
    <w:name w:val="Norm_Foot"/>
    <w:basedOn w:val="Normal"/>
    <w:rsid w:val="0093121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3121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31217"/>
    <w:pPr>
      <w:keepLines/>
      <w:tabs>
        <w:tab w:val="left" w:pos="1361"/>
        <w:tab w:val="left" w:pos="1758"/>
        <w:tab w:val="left" w:pos="2155"/>
        <w:tab w:val="left" w:pos="2552"/>
      </w:tabs>
      <w:ind w:left="567"/>
    </w:pPr>
  </w:style>
  <w:style w:type="paragraph" w:customStyle="1" w:styleId="headingi">
    <w:name w:val="heading_i"/>
    <w:basedOn w:val="Heading3"/>
    <w:next w:val="Normal"/>
    <w:rsid w:val="00931217"/>
    <w:pPr>
      <w:spacing w:before="160"/>
      <w:ind w:left="0" w:firstLine="0"/>
      <w:outlineLvl w:val="9"/>
    </w:pPr>
    <w:rPr>
      <w:b w:val="0"/>
      <w:i/>
    </w:rPr>
  </w:style>
  <w:style w:type="character" w:styleId="Hyperlink">
    <w:name w:val="Hyperlink"/>
    <w:basedOn w:val="DefaultParagraphFont"/>
    <w:rsid w:val="00931217"/>
    <w:rPr>
      <w:color w:val="0000FF"/>
      <w:u w:val="single"/>
    </w:rPr>
  </w:style>
  <w:style w:type="paragraph" w:customStyle="1" w:styleId="Qlist">
    <w:name w:val="Qlist"/>
    <w:basedOn w:val="Normal"/>
    <w:rsid w:val="0093121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31217"/>
    <w:pPr>
      <w:tabs>
        <w:tab w:val="left" w:pos="397"/>
      </w:tabs>
    </w:pPr>
  </w:style>
  <w:style w:type="paragraph" w:customStyle="1" w:styleId="FirstFooter">
    <w:name w:val="FirstFooter"/>
    <w:basedOn w:val="Footer"/>
    <w:rsid w:val="00931217"/>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931217"/>
  </w:style>
  <w:style w:type="paragraph" w:styleId="BodyText0">
    <w:name w:val="Body Text"/>
    <w:basedOn w:val="Normal"/>
    <w:rsid w:val="00931217"/>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931217"/>
  </w:style>
  <w:style w:type="paragraph" w:customStyle="1" w:styleId="AnnexNo">
    <w:name w:val="Annex_No"/>
    <w:basedOn w:val="Normal"/>
    <w:next w:val="Normal"/>
    <w:rsid w:val="00931217"/>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931217"/>
    <w:rPr>
      <w:color w:val="800080"/>
      <w:u w:val="single"/>
    </w:rPr>
  </w:style>
  <w:style w:type="paragraph" w:styleId="BodyTextIndent">
    <w:name w:val="Body Text Indent"/>
    <w:basedOn w:val="Normal"/>
    <w:rsid w:val="00931217"/>
    <w:pPr>
      <w:tabs>
        <w:tab w:val="left" w:pos="4111"/>
      </w:tabs>
      <w:spacing w:before="0"/>
      <w:ind w:left="57"/>
    </w:pPr>
  </w:style>
  <w:style w:type="paragraph" w:styleId="BalloonText">
    <w:name w:val="Balloon Text"/>
    <w:basedOn w:val="Normal"/>
    <w:semiHidden/>
    <w:rsid w:val="00931217"/>
    <w:rPr>
      <w:rFonts w:ascii="Tahoma" w:hAnsi="Tahoma" w:cs="Tahoma"/>
      <w:sz w:val="16"/>
      <w:szCs w:val="16"/>
    </w:rPr>
  </w:style>
  <w:style w:type="character" w:customStyle="1" w:styleId="HeaderChar">
    <w:name w:val="Header Char"/>
    <w:basedOn w:val="DefaultParagraphFont"/>
    <w:link w:val="Header"/>
    <w:uiPriority w:val="99"/>
    <w:rsid w:val="007C596C"/>
    <w:rPr>
      <w:rFonts w:ascii="Times New Roman" w:hAnsi="Times New Roman"/>
      <w:sz w:val="18"/>
      <w:lang w:val="fr-FR" w:eastAsia="en-US"/>
    </w:rPr>
  </w:style>
  <w:style w:type="paragraph" w:customStyle="1" w:styleId="Tablehead0">
    <w:name w:val="Table_head"/>
    <w:basedOn w:val="Normal"/>
    <w:next w:val="Normal"/>
    <w:rsid w:val="007C596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text0">
    <w:name w:val="Table_text"/>
    <w:basedOn w:val="Normal"/>
    <w:rsid w:val="007C596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B50FDC"/>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6C"/>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7C596C"/>
    <w:rPr>
      <w:rFonts w:ascii="Times New Roman" w:hAnsi="Times New Roman"/>
      <w:sz w:val="18"/>
      <w:lang w:val="fr-FR" w:eastAsia="en-US"/>
    </w:rPr>
  </w:style>
  <w:style w:type="paragraph" w:customStyle="1" w:styleId="Tablehead0">
    <w:name w:val="Table_head"/>
    <w:basedOn w:val="Normal"/>
    <w:next w:val="Normal"/>
    <w:rsid w:val="007C596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text0">
    <w:name w:val="Table_text"/>
    <w:basedOn w:val="Normal"/>
    <w:rsid w:val="007C596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5242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tu.int/interop" TargetMode="External"/><Relationship Id="rId26" Type="http://schemas.openxmlformats.org/officeDocument/2006/relationships/hyperlink" Target="http://www.orlahotel.com.br/en" TargetMode="External"/><Relationship Id="rId39" Type="http://schemas.openxmlformats.org/officeDocument/2006/relationships/hyperlink" Target="http://www.infraero.gov.br"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en.wikipedia.org/wiki/Brazilian_real" TargetMode="External"/><Relationship Id="rId42" Type="http://schemas.openxmlformats.org/officeDocument/2006/relationships/hyperlink" Target="http://www.worldtimezone.com" TargetMode="External"/><Relationship Id="rId47" Type="http://schemas.openxmlformats.org/officeDocument/2006/relationships/hyperlink" Target="http://en.wikipedia.org/wiki/Rio_de_janeiro"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ofitel.com" TargetMode="External"/><Relationship Id="rId33" Type="http://schemas.openxmlformats.org/officeDocument/2006/relationships/hyperlink" Target="http://www.arpoadorinn.com.br" TargetMode="External"/><Relationship Id="rId38" Type="http://schemas.openxmlformats.org/officeDocument/2006/relationships/hyperlink" Target="http://www.infraero.gov.br" TargetMode="External"/><Relationship Id="rId46" Type="http://schemas.openxmlformats.org/officeDocument/2006/relationships/hyperlink" Target="http://www.braziltour.co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hotelportinari.com.br/en.us" TargetMode="External"/><Relationship Id="rId41" Type="http://schemas.openxmlformats.org/officeDocument/2006/relationships/hyperlink" Target="http://www.metrorio.com.br/mapa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gsi/iptv/" TargetMode="External"/><Relationship Id="rId24" Type="http://schemas.openxmlformats.org/officeDocument/2006/relationships/hyperlink" Target="mailto:moreno@ice.ufjf.br" TargetMode="External"/><Relationship Id="rId32" Type="http://schemas.openxmlformats.org/officeDocument/2006/relationships/hyperlink" Target="http://www.atlantishotel.com.br/ing" TargetMode="External"/><Relationship Id="rId37" Type="http://schemas.openxmlformats.org/officeDocument/2006/relationships/hyperlink" Target="http://wikitravel.org/en/Portuguese_phrasebook" TargetMode="External"/><Relationship Id="rId40" Type="http://schemas.openxmlformats.org/officeDocument/2006/relationships/hyperlink" Target="http://www.vadeonibus.com.br/home/index_ing.php" TargetMode="External"/><Relationship Id="rId45" Type="http://schemas.openxmlformats.org/officeDocument/2006/relationships/hyperlink" Target="http://www.rioguiaoficial.com.br/en/hom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sofitel.com" TargetMode="External"/><Relationship Id="rId28" Type="http://schemas.openxmlformats.org/officeDocument/2006/relationships/hyperlink" Target="http://www.accorhotels.com" TargetMode="External"/><Relationship Id="rId36" Type="http://schemas.openxmlformats.org/officeDocument/2006/relationships/hyperlink" Target="http://www.itamaraty.gov.br/o-ministerio/o-brasil-no-exterior" TargetMode="External"/><Relationship Id="rId49" Type="http://schemas.openxmlformats.org/officeDocument/2006/relationships/fontTable" Target="fontTable.xml"/><Relationship Id="rId10" Type="http://schemas.openxmlformats.org/officeDocument/2006/relationships/hyperlink" Target="http://www.itu.int/oth/T0A0F000010/en" TargetMode="External"/><Relationship Id="rId19" Type="http://schemas.openxmlformats.org/officeDocument/2006/relationships/hyperlink" Target="http://itu.int/ITU-T/worksem" TargetMode="External"/><Relationship Id="rId31" Type="http://schemas.openxmlformats.org/officeDocument/2006/relationships/hyperlink" Target="http://www.hotelcristalpalace.com.br"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terop@itu.int"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copacabanapraiahotel.com.br" TargetMode="External"/><Relationship Id="rId30" Type="http://schemas.openxmlformats.org/officeDocument/2006/relationships/hyperlink" Target="http://www.copasul.com.br/en-us" TargetMode="External"/><Relationship Id="rId35" Type="http://schemas.openxmlformats.org/officeDocument/2006/relationships/hyperlink" Target="http://www.portalconsular.mre.gov.br/antes/qgrv_ingles_01.04.2011.pdf" TargetMode="External"/><Relationship Id="rId43" Type="http://schemas.openxmlformats.org/officeDocument/2006/relationships/image" Target="media/image2.png"/><Relationship Id="rId48" Type="http://schemas.openxmlformats.org/officeDocument/2006/relationships/header" Target="header6.xml"/><Relationship Id="rId8" Type="http://schemas.openxmlformats.org/officeDocument/2006/relationships/hyperlink" Target="mailto:tsbiptv@itu.int" TargetMode="External"/><Relationship Id="rId51"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Template>
  <TotalTime>0</TotalTime>
  <Pages>8</Pages>
  <Words>3375</Words>
  <Characters>13625</Characters>
  <Application>Microsoft Office Word</Application>
  <DocSecurity>0</DocSecurity>
  <Lines>113</Lines>
  <Paragraphs>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INTERNATIONAL TELECOMMUNICATION UNION</vt:lpstr>
      <vt:lpstr>Venue</vt:lpstr>
      <vt:lpstr>Local Organization</vt:lpstr>
      <vt:lpstr>    Mr Marcelo Moreno Federal University of Juiz de Fora – UFJF under collaboration </vt:lpstr>
      <vt:lpstr>Accommodation</vt:lpstr>
      <vt:lpstr>Currency</vt:lpstr>
      <vt:lpstr>Entry Requirements (Visa)</vt:lpstr>
      <vt:lpstr>Language</vt:lpstr>
      <vt:lpstr>Transportation</vt:lpstr>
      <vt:lpstr>Time Zone</vt:lpstr>
      <vt:lpstr>Electricity</vt:lpstr>
      <vt:lpstr>Business Hours</vt:lpstr>
      <vt:lpstr>Weather</vt:lpstr>
      <vt:lpstr>Tipping</vt:lpstr>
      <vt:lpstr>Smoking</vt:lpstr>
      <vt:lpstr>Security</vt:lpstr>
      <vt:lpstr>Other information</vt:lpstr>
    </vt:vector>
  </TitlesOfParts>
  <Company>ITU</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chenm</dc:creator>
  <cp:keywords/>
  <dc:description/>
  <cp:lastModifiedBy>bettini</cp:lastModifiedBy>
  <cp:revision>2</cp:revision>
  <cp:lastPrinted>2011-05-26T15:00:00Z</cp:lastPrinted>
  <dcterms:created xsi:type="dcterms:W3CDTF">2011-06-06T06:42:00Z</dcterms:created>
  <dcterms:modified xsi:type="dcterms:W3CDTF">2011-06-06T06:42:00Z</dcterms:modified>
</cp:coreProperties>
</file>