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956BC" w:rsidTr="006A046E">
        <w:trPr>
          <w:cantSplit/>
        </w:trPr>
        <w:tc>
          <w:tcPr>
            <w:tcW w:w="6911" w:type="dxa"/>
          </w:tcPr>
          <w:p w:rsidR="00BD1614" w:rsidRPr="00E956BC" w:rsidRDefault="00BD1614" w:rsidP="00E02856">
            <w:pPr>
              <w:rPr>
                <w:b/>
                <w:bCs/>
                <w:position w:val="6"/>
                <w:szCs w:val="24"/>
              </w:rPr>
            </w:pPr>
            <w:bookmarkStart w:id="0" w:name="dbreak"/>
            <w:bookmarkStart w:id="1" w:name="dpp"/>
            <w:bookmarkEnd w:id="0"/>
            <w:bookmarkEnd w:id="1"/>
            <w:r w:rsidRPr="00E956BC">
              <w:rPr>
                <w:rFonts w:cs="Times"/>
                <w:b/>
                <w:sz w:val="30"/>
                <w:szCs w:val="30"/>
              </w:rPr>
              <w:t>Conférence de plénipotentiaires</w:t>
            </w:r>
            <w:r w:rsidRPr="00E956BC">
              <w:rPr>
                <w:b/>
                <w:smallCaps/>
                <w:sz w:val="30"/>
                <w:szCs w:val="30"/>
              </w:rPr>
              <w:t xml:space="preserve"> (PP-1</w:t>
            </w:r>
            <w:r w:rsidR="001E2226" w:rsidRPr="00E956BC">
              <w:rPr>
                <w:b/>
                <w:smallCaps/>
                <w:sz w:val="30"/>
                <w:szCs w:val="30"/>
              </w:rPr>
              <w:t>8</w:t>
            </w:r>
            <w:proofErr w:type="gramStart"/>
            <w:r w:rsidRPr="00E956BC">
              <w:rPr>
                <w:b/>
                <w:smallCaps/>
                <w:sz w:val="30"/>
                <w:szCs w:val="30"/>
              </w:rPr>
              <w:t>)</w:t>
            </w:r>
            <w:proofErr w:type="gramEnd"/>
            <w:r w:rsidRPr="00E956BC">
              <w:rPr>
                <w:b/>
                <w:smallCaps/>
                <w:sz w:val="36"/>
              </w:rPr>
              <w:br/>
            </w:r>
            <w:r w:rsidR="001E2226" w:rsidRPr="00E956BC">
              <w:rPr>
                <w:rFonts w:cs="Times New Roman Bold"/>
                <w:b/>
                <w:bCs/>
                <w:szCs w:val="24"/>
              </w:rPr>
              <w:t>Dubaï</w:t>
            </w:r>
            <w:r w:rsidRPr="00E956BC">
              <w:rPr>
                <w:rFonts w:cs="Times New Roman Bold"/>
                <w:b/>
                <w:bCs/>
                <w:szCs w:val="24"/>
              </w:rPr>
              <w:t>, 2</w:t>
            </w:r>
            <w:r w:rsidR="001E2226" w:rsidRPr="00E956BC">
              <w:rPr>
                <w:rFonts w:cs="Times New Roman Bold"/>
                <w:b/>
                <w:bCs/>
                <w:szCs w:val="24"/>
              </w:rPr>
              <w:t>9</w:t>
            </w:r>
            <w:r w:rsidRPr="00E956BC">
              <w:rPr>
                <w:rFonts w:cs="Times New Roman Bold"/>
                <w:b/>
                <w:bCs/>
                <w:szCs w:val="24"/>
              </w:rPr>
              <w:t xml:space="preserve"> octobre </w:t>
            </w:r>
            <w:r w:rsidR="001E2226" w:rsidRPr="00E956BC">
              <w:rPr>
                <w:rFonts w:cs="Times New Roman Bold"/>
                <w:b/>
                <w:bCs/>
                <w:szCs w:val="24"/>
              </w:rPr>
              <w:t>–</w:t>
            </w:r>
            <w:r w:rsidRPr="00E956BC">
              <w:rPr>
                <w:rFonts w:cs="Times New Roman Bold"/>
                <w:b/>
                <w:bCs/>
                <w:szCs w:val="24"/>
              </w:rPr>
              <w:t xml:space="preserve"> </w:t>
            </w:r>
            <w:r w:rsidR="001E2226" w:rsidRPr="00E956BC">
              <w:rPr>
                <w:rFonts w:cs="Times New Roman Bold"/>
                <w:b/>
                <w:bCs/>
                <w:szCs w:val="24"/>
              </w:rPr>
              <w:t>16</w:t>
            </w:r>
            <w:r w:rsidRPr="00E956BC">
              <w:rPr>
                <w:rFonts w:cs="Times New Roman Bold"/>
                <w:b/>
                <w:bCs/>
                <w:szCs w:val="24"/>
              </w:rPr>
              <w:t xml:space="preserve"> novembre 201</w:t>
            </w:r>
            <w:r w:rsidR="001E2226" w:rsidRPr="00E956BC">
              <w:rPr>
                <w:rFonts w:cs="Times New Roman Bold"/>
                <w:b/>
                <w:bCs/>
                <w:szCs w:val="24"/>
              </w:rPr>
              <w:t>8</w:t>
            </w:r>
          </w:p>
        </w:tc>
        <w:tc>
          <w:tcPr>
            <w:tcW w:w="3120" w:type="dxa"/>
          </w:tcPr>
          <w:p w:rsidR="00BD1614" w:rsidRPr="00E956BC" w:rsidRDefault="00BD1614" w:rsidP="00E02856">
            <w:pPr>
              <w:spacing w:before="0"/>
              <w:rPr>
                <w:rFonts w:cstheme="minorHAnsi"/>
              </w:rPr>
            </w:pPr>
            <w:bookmarkStart w:id="2" w:name="ditulogo"/>
            <w:bookmarkEnd w:id="2"/>
            <w:r w:rsidRPr="00E956BC">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E956BC" w:rsidTr="006A046E">
        <w:trPr>
          <w:cantSplit/>
        </w:trPr>
        <w:tc>
          <w:tcPr>
            <w:tcW w:w="6911" w:type="dxa"/>
            <w:tcBorders>
              <w:bottom w:val="single" w:sz="12" w:space="0" w:color="auto"/>
            </w:tcBorders>
          </w:tcPr>
          <w:p w:rsidR="00BD1614" w:rsidRPr="00E956BC" w:rsidRDefault="00BD1614" w:rsidP="00E02856">
            <w:pPr>
              <w:spacing w:before="0" w:after="48"/>
              <w:rPr>
                <w:rFonts w:cstheme="minorHAnsi"/>
                <w:b/>
                <w:smallCaps/>
                <w:szCs w:val="24"/>
              </w:rPr>
            </w:pPr>
            <w:bookmarkStart w:id="3" w:name="dhead"/>
          </w:p>
        </w:tc>
        <w:tc>
          <w:tcPr>
            <w:tcW w:w="3120" w:type="dxa"/>
            <w:tcBorders>
              <w:bottom w:val="single" w:sz="12" w:space="0" w:color="auto"/>
            </w:tcBorders>
          </w:tcPr>
          <w:p w:rsidR="00BD1614" w:rsidRPr="00E956BC" w:rsidRDefault="00BD1614" w:rsidP="00E02856">
            <w:pPr>
              <w:spacing w:before="0" w:after="48"/>
              <w:rPr>
                <w:rFonts w:cstheme="minorHAnsi"/>
                <w:b/>
                <w:smallCaps/>
                <w:szCs w:val="24"/>
              </w:rPr>
            </w:pPr>
          </w:p>
        </w:tc>
      </w:tr>
      <w:tr w:rsidR="00BD1614" w:rsidRPr="00E956BC" w:rsidTr="006A046E">
        <w:trPr>
          <w:cantSplit/>
        </w:trPr>
        <w:tc>
          <w:tcPr>
            <w:tcW w:w="6911" w:type="dxa"/>
            <w:tcBorders>
              <w:top w:val="single" w:sz="12" w:space="0" w:color="auto"/>
            </w:tcBorders>
          </w:tcPr>
          <w:p w:rsidR="00BD1614" w:rsidRPr="00E956BC" w:rsidRDefault="00BD1614" w:rsidP="00E02856">
            <w:pPr>
              <w:spacing w:before="0"/>
              <w:rPr>
                <w:rFonts w:cstheme="minorHAnsi"/>
                <w:b/>
                <w:smallCaps/>
                <w:szCs w:val="24"/>
              </w:rPr>
            </w:pPr>
          </w:p>
        </w:tc>
        <w:tc>
          <w:tcPr>
            <w:tcW w:w="3120" w:type="dxa"/>
            <w:tcBorders>
              <w:top w:val="single" w:sz="12" w:space="0" w:color="auto"/>
            </w:tcBorders>
          </w:tcPr>
          <w:p w:rsidR="00BD1614" w:rsidRPr="00E956BC" w:rsidRDefault="00BD1614" w:rsidP="00E02856">
            <w:pPr>
              <w:spacing w:before="0"/>
              <w:rPr>
                <w:rFonts w:cstheme="minorHAnsi"/>
                <w:szCs w:val="24"/>
              </w:rPr>
            </w:pPr>
          </w:p>
        </w:tc>
      </w:tr>
      <w:tr w:rsidR="00BD1614" w:rsidRPr="00E956BC" w:rsidTr="006A046E">
        <w:trPr>
          <w:cantSplit/>
        </w:trPr>
        <w:tc>
          <w:tcPr>
            <w:tcW w:w="6911" w:type="dxa"/>
          </w:tcPr>
          <w:p w:rsidR="00BD1614" w:rsidRPr="00E956BC" w:rsidRDefault="00BD1614" w:rsidP="00E02856">
            <w:pPr>
              <w:pStyle w:val="Committee"/>
              <w:framePr w:hSpace="0" w:wrap="auto" w:hAnchor="text" w:yAlign="inline"/>
              <w:spacing w:after="0" w:line="240" w:lineRule="auto"/>
              <w:rPr>
                <w:lang w:val="fr-FR"/>
              </w:rPr>
            </w:pPr>
            <w:r w:rsidRPr="00E956BC">
              <w:rPr>
                <w:lang w:val="fr-FR"/>
              </w:rPr>
              <w:t>SÉANCE PLÉNIÈRE</w:t>
            </w:r>
          </w:p>
        </w:tc>
        <w:tc>
          <w:tcPr>
            <w:tcW w:w="3120" w:type="dxa"/>
          </w:tcPr>
          <w:p w:rsidR="00BD1614" w:rsidRPr="00E956BC" w:rsidRDefault="00BD1614" w:rsidP="00E02856">
            <w:pPr>
              <w:spacing w:before="0"/>
              <w:rPr>
                <w:rFonts w:cstheme="minorHAnsi"/>
                <w:szCs w:val="24"/>
              </w:rPr>
            </w:pPr>
            <w:r w:rsidRPr="00E956BC">
              <w:rPr>
                <w:rFonts w:cstheme="minorHAnsi"/>
                <w:b/>
                <w:szCs w:val="24"/>
              </w:rPr>
              <w:t>Document 73</w:t>
            </w:r>
            <w:r w:rsidR="005F63BD" w:rsidRPr="00E956BC">
              <w:rPr>
                <w:rFonts w:cstheme="minorHAnsi"/>
                <w:b/>
                <w:szCs w:val="24"/>
              </w:rPr>
              <w:t>-F</w:t>
            </w:r>
          </w:p>
        </w:tc>
      </w:tr>
      <w:tr w:rsidR="00BD1614" w:rsidRPr="00E956BC" w:rsidTr="006A046E">
        <w:trPr>
          <w:cantSplit/>
        </w:trPr>
        <w:tc>
          <w:tcPr>
            <w:tcW w:w="6911" w:type="dxa"/>
          </w:tcPr>
          <w:p w:rsidR="00BD1614" w:rsidRPr="00E956BC" w:rsidRDefault="00BD1614" w:rsidP="00E02856">
            <w:pPr>
              <w:spacing w:before="0"/>
              <w:rPr>
                <w:rFonts w:cstheme="minorHAnsi"/>
                <w:b/>
                <w:szCs w:val="24"/>
              </w:rPr>
            </w:pPr>
          </w:p>
        </w:tc>
        <w:tc>
          <w:tcPr>
            <w:tcW w:w="3120" w:type="dxa"/>
          </w:tcPr>
          <w:p w:rsidR="00BD1614" w:rsidRPr="00E956BC" w:rsidRDefault="00BD1614" w:rsidP="00E02856">
            <w:pPr>
              <w:spacing w:before="0"/>
              <w:rPr>
                <w:rFonts w:cstheme="minorHAnsi"/>
                <w:b/>
                <w:szCs w:val="24"/>
              </w:rPr>
            </w:pPr>
            <w:r w:rsidRPr="00E956BC">
              <w:rPr>
                <w:rFonts w:cstheme="minorHAnsi"/>
                <w:b/>
                <w:szCs w:val="24"/>
              </w:rPr>
              <w:t>15 octobre 2018</w:t>
            </w:r>
          </w:p>
        </w:tc>
      </w:tr>
      <w:tr w:rsidR="00BD1614" w:rsidRPr="00E956BC" w:rsidTr="006A046E">
        <w:trPr>
          <w:cantSplit/>
        </w:trPr>
        <w:tc>
          <w:tcPr>
            <w:tcW w:w="6911" w:type="dxa"/>
          </w:tcPr>
          <w:p w:rsidR="00BD1614" w:rsidRPr="00E956BC" w:rsidRDefault="00BD1614" w:rsidP="00E02856">
            <w:pPr>
              <w:spacing w:before="0"/>
              <w:rPr>
                <w:rFonts w:cstheme="minorHAnsi"/>
                <w:b/>
                <w:smallCaps/>
                <w:szCs w:val="24"/>
              </w:rPr>
            </w:pPr>
          </w:p>
        </w:tc>
        <w:tc>
          <w:tcPr>
            <w:tcW w:w="3120" w:type="dxa"/>
          </w:tcPr>
          <w:p w:rsidR="00BD1614" w:rsidRPr="00E956BC" w:rsidRDefault="00BD1614" w:rsidP="00E02856">
            <w:pPr>
              <w:spacing w:before="0"/>
              <w:rPr>
                <w:rFonts w:cstheme="minorHAnsi"/>
                <w:b/>
                <w:szCs w:val="24"/>
              </w:rPr>
            </w:pPr>
            <w:r w:rsidRPr="00E956BC">
              <w:rPr>
                <w:rFonts w:cstheme="minorHAnsi"/>
                <w:b/>
                <w:szCs w:val="24"/>
              </w:rPr>
              <w:t>Original: anglais</w:t>
            </w:r>
          </w:p>
        </w:tc>
      </w:tr>
      <w:tr w:rsidR="00BD1614" w:rsidRPr="00E956BC" w:rsidTr="006A046E">
        <w:trPr>
          <w:cantSplit/>
        </w:trPr>
        <w:tc>
          <w:tcPr>
            <w:tcW w:w="10031" w:type="dxa"/>
            <w:gridSpan w:val="2"/>
          </w:tcPr>
          <w:p w:rsidR="00BD1614" w:rsidRPr="00E956BC" w:rsidRDefault="00BD1614" w:rsidP="00E02856">
            <w:pPr>
              <w:spacing w:before="0"/>
              <w:rPr>
                <w:rFonts w:cstheme="minorHAnsi"/>
                <w:b/>
                <w:szCs w:val="24"/>
              </w:rPr>
            </w:pPr>
          </w:p>
        </w:tc>
      </w:tr>
      <w:tr w:rsidR="00BD1614" w:rsidRPr="00E956BC" w:rsidTr="006A046E">
        <w:trPr>
          <w:cantSplit/>
        </w:trPr>
        <w:tc>
          <w:tcPr>
            <w:tcW w:w="10031" w:type="dxa"/>
            <w:gridSpan w:val="2"/>
          </w:tcPr>
          <w:p w:rsidR="00BD1614" w:rsidRPr="00E956BC" w:rsidRDefault="00BD1614" w:rsidP="00E02856">
            <w:pPr>
              <w:pStyle w:val="Source"/>
            </w:pPr>
            <w:bookmarkStart w:id="4" w:name="dsource" w:colFirst="0" w:colLast="0"/>
            <w:bookmarkEnd w:id="3"/>
            <w:r w:rsidRPr="00E956BC">
              <w:t>Allemagne (République fédérale d')</w:t>
            </w:r>
          </w:p>
        </w:tc>
      </w:tr>
      <w:tr w:rsidR="00BD1614" w:rsidRPr="00E956BC" w:rsidTr="006A046E">
        <w:trPr>
          <w:cantSplit/>
        </w:trPr>
        <w:tc>
          <w:tcPr>
            <w:tcW w:w="10031" w:type="dxa"/>
            <w:gridSpan w:val="2"/>
          </w:tcPr>
          <w:p w:rsidR="00BD1614" w:rsidRPr="00E956BC" w:rsidRDefault="00BD1614" w:rsidP="00E02856">
            <w:pPr>
              <w:pStyle w:val="Title1"/>
            </w:pPr>
            <w:bookmarkStart w:id="5" w:name="dtitle1" w:colFirst="0" w:colLast="0"/>
            <w:bookmarkEnd w:id="4"/>
            <w:r w:rsidRPr="00E956BC">
              <w:t>Propositions pour les travaux de la conférence</w:t>
            </w:r>
          </w:p>
        </w:tc>
      </w:tr>
      <w:tr w:rsidR="00BD1614" w:rsidRPr="00E956BC" w:rsidTr="006A046E">
        <w:trPr>
          <w:cantSplit/>
        </w:trPr>
        <w:tc>
          <w:tcPr>
            <w:tcW w:w="10031" w:type="dxa"/>
            <w:gridSpan w:val="2"/>
          </w:tcPr>
          <w:p w:rsidR="00BD1614" w:rsidRPr="00E956BC" w:rsidRDefault="00BD1614" w:rsidP="00E02856">
            <w:pPr>
              <w:pStyle w:val="Title2"/>
            </w:pPr>
            <w:bookmarkStart w:id="6" w:name="dtitle2" w:colFirst="0" w:colLast="0"/>
            <w:bookmarkEnd w:id="5"/>
          </w:p>
        </w:tc>
      </w:tr>
      <w:tr w:rsidR="00BD1614" w:rsidRPr="00E956BC" w:rsidTr="006A046E">
        <w:trPr>
          <w:cantSplit/>
        </w:trPr>
        <w:tc>
          <w:tcPr>
            <w:tcW w:w="10031" w:type="dxa"/>
            <w:gridSpan w:val="2"/>
          </w:tcPr>
          <w:p w:rsidR="00BD1614" w:rsidRPr="00E956BC" w:rsidRDefault="00BD1614" w:rsidP="00E02856">
            <w:pPr>
              <w:pStyle w:val="Agendaitem"/>
              <w:rPr>
                <w:lang w:val="fr-FR"/>
              </w:rPr>
            </w:pPr>
            <w:bookmarkStart w:id="7" w:name="dtitle3" w:colFirst="0" w:colLast="0"/>
            <w:bookmarkEnd w:id="6"/>
          </w:p>
        </w:tc>
      </w:tr>
      <w:bookmarkEnd w:id="7"/>
    </w:tbl>
    <w:p w:rsidR="000D15FB" w:rsidRPr="00E956BC" w:rsidRDefault="000D15FB" w:rsidP="00E02856"/>
    <w:p w:rsidR="00BD1614" w:rsidRPr="00E956BC" w:rsidRDefault="00BD1614" w:rsidP="00E02856">
      <w:pPr>
        <w:tabs>
          <w:tab w:val="clear" w:pos="567"/>
          <w:tab w:val="clear" w:pos="1134"/>
          <w:tab w:val="clear" w:pos="1701"/>
          <w:tab w:val="clear" w:pos="2268"/>
          <w:tab w:val="clear" w:pos="2835"/>
        </w:tabs>
        <w:overflowPunct/>
        <w:autoSpaceDE/>
        <w:autoSpaceDN/>
        <w:adjustRightInd/>
        <w:spacing w:before="0"/>
        <w:textAlignment w:val="auto"/>
      </w:pPr>
      <w:r w:rsidRPr="00E956BC">
        <w:br w:type="page"/>
      </w:r>
    </w:p>
    <w:p w:rsidR="007240B0" w:rsidRPr="00E956BC" w:rsidRDefault="00E40627" w:rsidP="00E02856">
      <w:pPr>
        <w:pStyle w:val="Proposal"/>
      </w:pPr>
      <w:r w:rsidRPr="00E956BC">
        <w:lastRenderedPageBreak/>
        <w:t>ADD</w:t>
      </w:r>
      <w:r w:rsidRPr="00E956BC">
        <w:tab/>
        <w:t>D/73/1</w:t>
      </w:r>
    </w:p>
    <w:p w:rsidR="007240B0" w:rsidRPr="00E956BC" w:rsidRDefault="00E40627" w:rsidP="00E02856">
      <w:pPr>
        <w:pStyle w:val="ResNo"/>
      </w:pPr>
      <w:r w:rsidRPr="00E956BC">
        <w:t>Projet de nouvelle Résolution [D-1]</w:t>
      </w:r>
    </w:p>
    <w:p w:rsidR="007240B0" w:rsidRPr="00E956BC" w:rsidRDefault="00275296" w:rsidP="00E02856">
      <w:pPr>
        <w:pStyle w:val="Restitle"/>
      </w:pPr>
      <w:r w:rsidRPr="00E956BC">
        <w:t xml:space="preserve">Rôle de l'UIT en tant qu'Autorité de surveillance </w:t>
      </w:r>
      <w:r w:rsidR="00D45CBF" w:rsidRPr="00E956BC">
        <w:rPr>
          <w:color w:val="000000"/>
        </w:rPr>
        <w:t>du</w:t>
      </w:r>
      <w:r w:rsidR="00E02856" w:rsidRPr="00E956BC">
        <w:t xml:space="preserve"> </w:t>
      </w:r>
      <w:r w:rsidR="00E02856" w:rsidRPr="00E956BC">
        <w:rPr>
          <w:color w:val="000000"/>
        </w:rPr>
        <w:t>futur Registre</w:t>
      </w:r>
      <w:r w:rsidR="00E02856" w:rsidRPr="00E956BC">
        <w:rPr>
          <w:color w:val="000000"/>
        </w:rPr>
        <w:br/>
      </w:r>
      <w:r w:rsidR="00D45CBF" w:rsidRPr="00E956BC">
        <w:rPr>
          <w:color w:val="000000"/>
        </w:rPr>
        <w:t xml:space="preserve">international pour les biens spatiaux </w:t>
      </w:r>
      <w:r w:rsidR="00E02856" w:rsidRPr="00E956BC">
        <w:rPr>
          <w:color w:val="000000"/>
        </w:rPr>
        <w:t>conformément</w:t>
      </w:r>
      <w:r w:rsidR="00E02856" w:rsidRPr="00E956BC">
        <w:rPr>
          <w:color w:val="000000"/>
        </w:rPr>
        <w:br/>
        <w:t xml:space="preserve">au Protocole </w:t>
      </w:r>
      <w:r w:rsidR="00D45CBF" w:rsidRPr="00E956BC">
        <w:rPr>
          <w:color w:val="000000"/>
        </w:rPr>
        <w:t>portant sur les biens spatiaux</w:t>
      </w:r>
      <w:r w:rsidR="00E02856" w:rsidRPr="00E956BC">
        <w:rPr>
          <w:color w:val="000000"/>
        </w:rPr>
        <w:t xml:space="preserve"> </w:t>
      </w:r>
    </w:p>
    <w:p w:rsidR="007F06C6" w:rsidRPr="00E956BC" w:rsidRDefault="00D45CBF" w:rsidP="00E02856">
      <w:pPr>
        <w:pStyle w:val="Normalaftertitle"/>
      </w:pPr>
      <w:r w:rsidRPr="00E956BC">
        <w:rPr>
          <w:color w:val="000000"/>
        </w:rPr>
        <w:t>La Conférence de plénipotentiaires de l'Union internationale</w:t>
      </w:r>
      <w:r w:rsidR="00E02856" w:rsidRPr="00E956BC">
        <w:rPr>
          <w:color w:val="000000"/>
        </w:rPr>
        <w:t xml:space="preserve"> des télécommunications (Dubaï, </w:t>
      </w:r>
      <w:r w:rsidRPr="00E956BC">
        <w:rPr>
          <w:color w:val="000000"/>
        </w:rPr>
        <w:t>2018),</w:t>
      </w:r>
    </w:p>
    <w:p w:rsidR="007F06C6" w:rsidRPr="00E956BC" w:rsidRDefault="00D43A9D" w:rsidP="00E02856">
      <w:pPr>
        <w:pStyle w:val="Call"/>
      </w:pPr>
      <w:proofErr w:type="gramStart"/>
      <w:r w:rsidRPr="00E956BC">
        <w:t>reconnaissant</w:t>
      </w:r>
      <w:proofErr w:type="gramEnd"/>
    </w:p>
    <w:p w:rsidR="00275296" w:rsidRPr="00E956BC" w:rsidRDefault="00275296" w:rsidP="00E02856">
      <w:r w:rsidRPr="00E956BC">
        <w:rPr>
          <w:i/>
          <w:iCs/>
        </w:rPr>
        <w:t>a)</w:t>
      </w:r>
      <w:r w:rsidRPr="00E956BC">
        <w:tab/>
        <w:t>que l'article 1 de la Constitution de l'UIT définit l'objet de l'Union;</w:t>
      </w:r>
    </w:p>
    <w:p w:rsidR="00275296" w:rsidRPr="00E956BC" w:rsidRDefault="00275296" w:rsidP="00E02856">
      <w:r w:rsidRPr="00E956BC">
        <w:rPr>
          <w:i/>
          <w:iCs/>
        </w:rPr>
        <w:t>b)</w:t>
      </w:r>
      <w:r w:rsidRPr="00E956BC">
        <w:tab/>
        <w:t xml:space="preserve">qu'à la Conférence diplomatique tenue à Berlin en 2012 sous les auspices de l'Institut international pour l'unification du droit privé ("UNIDROIT"), les plénipotentiaires ont adopté le Protocole portant sur les questions spécifiques aux biens spatiaux à la Convention relative aux </w:t>
      </w:r>
      <w:proofErr w:type="gramStart"/>
      <w:r w:rsidRPr="00E956BC">
        <w:t>garanties</w:t>
      </w:r>
      <w:proofErr w:type="gramEnd"/>
      <w:r w:rsidRPr="00E956BC">
        <w:t xml:space="preserve"> internationales portant sur des matériels d'équipement mobiles ("Protocole portant sur les biens spatiaux");</w:t>
      </w:r>
    </w:p>
    <w:p w:rsidR="00275296" w:rsidRPr="00E956BC" w:rsidRDefault="00275296" w:rsidP="00E02856">
      <w:r w:rsidRPr="00E956BC">
        <w:rPr>
          <w:i/>
          <w:iCs/>
        </w:rPr>
        <w:t>c)</w:t>
      </w:r>
      <w:r w:rsidRPr="00E956BC">
        <w:tab/>
        <w:t>que le Protocole portant sur les biens spatiaux n'entrera pas en vigueur tant qu'il n'aura pas été signé par au moins dix Etats Parties;</w:t>
      </w:r>
    </w:p>
    <w:p w:rsidR="007F06C6" w:rsidRPr="00E956BC" w:rsidRDefault="00275296" w:rsidP="00E02856">
      <w:r w:rsidRPr="00E956BC">
        <w:rPr>
          <w:i/>
          <w:iCs/>
        </w:rPr>
        <w:t>d)</w:t>
      </w:r>
      <w:r w:rsidRPr="00E956BC">
        <w:tab/>
        <w:t xml:space="preserve">que la Conférence diplomatique a également adopté la Résolution 1, par laquelle il a été décidé d'établir, en attendant l'entrée en vigueur du Protocole, une Commission préparatoire investie de tous les pouvoirs nécessaires pour faire fonction d'Autorité provisoire de surveillance pour l'établissement du Registre international pour les biens spatiaux, sous la direction de l'Assemblée Générale d'UNIDROIT, ainsi que la Résolution 2, par laquelle les organes directeurs de l'UIT ont été invités à examiner la question de l'acceptation par l'UIT des fonctions d'Autorité de surveillance du </w:t>
      </w:r>
      <w:r w:rsidR="00771646" w:rsidRPr="00E956BC">
        <w:rPr>
          <w:color w:val="000000"/>
        </w:rPr>
        <w:t xml:space="preserve">Registre international pour les biens spatiaux </w:t>
      </w:r>
      <w:r w:rsidRPr="00E956BC">
        <w:t>conformément au Protocole portant sur les biens spatiaux au moment de, ou après, l'entrée en vigueur du Protocole, et à informer UNIDROIT en conséquence,</w:t>
      </w:r>
    </w:p>
    <w:p w:rsidR="007F06C6" w:rsidRPr="00E956BC" w:rsidRDefault="00D43A9D" w:rsidP="00E02856">
      <w:pPr>
        <w:pStyle w:val="Call"/>
      </w:pPr>
      <w:proofErr w:type="gramStart"/>
      <w:r w:rsidRPr="00E956BC">
        <w:t>rappelant</w:t>
      </w:r>
      <w:proofErr w:type="gramEnd"/>
    </w:p>
    <w:p w:rsidR="007F06C6" w:rsidRPr="00E956BC" w:rsidRDefault="00771646" w:rsidP="00E02856">
      <w:r w:rsidRPr="00E956BC">
        <w:rPr>
          <w:color w:val="000000"/>
        </w:rPr>
        <w:t>la Résolution 70/1 de l'Assemblée générale des Nations Unies, en date du 25 septembre 2015, intitulée "Transformer notre monde:</w:t>
      </w:r>
      <w:r w:rsidR="00E02856" w:rsidRPr="00E956BC">
        <w:t xml:space="preserve"> </w:t>
      </w:r>
      <w:r w:rsidR="00275296" w:rsidRPr="00E956BC">
        <w:t>le Programme de développement durable à l'horizon 2030"</w:t>
      </w:r>
      <w:r w:rsidR="007F06C6" w:rsidRPr="00E956BC">
        <w:t xml:space="preserve">, </w:t>
      </w:r>
      <w:r w:rsidRPr="00E956BC">
        <w:t>en particulier la cible c) associée à l'objectif 9, qui est libellée comme suit</w:t>
      </w:r>
      <w:r w:rsidR="00E02856" w:rsidRPr="00E956BC">
        <w:t>:</w:t>
      </w:r>
      <w:r w:rsidRPr="00E956BC">
        <w:t xml:space="preserve"> </w:t>
      </w:r>
      <w:r w:rsidR="00E02856" w:rsidRPr="00E956BC">
        <w:t>"</w:t>
      </w:r>
      <w:r w:rsidRPr="00E956BC">
        <w:rPr>
          <w:color w:val="000000"/>
        </w:rPr>
        <w:t>Accroître nettement l'accès aux technologies de l'information et des communications et faire en sorte que tous les habitants des pays les moins avancés aient accès à Internet à un coût abordable d'ici à 2020"</w:t>
      </w:r>
      <w:r w:rsidR="00E02856" w:rsidRPr="00E956BC">
        <w:t>,</w:t>
      </w:r>
      <w:r w:rsidRPr="00E956BC">
        <w:t xml:space="preserve"> </w:t>
      </w:r>
    </w:p>
    <w:p w:rsidR="007F06C6" w:rsidRPr="00E956BC" w:rsidRDefault="00D43A9D" w:rsidP="00E02856">
      <w:pPr>
        <w:pStyle w:val="Call"/>
      </w:pPr>
      <w:proofErr w:type="gramStart"/>
      <w:r w:rsidRPr="00E956BC">
        <w:t>considérant</w:t>
      </w:r>
      <w:proofErr w:type="gramEnd"/>
    </w:p>
    <w:p w:rsidR="007F06C6" w:rsidRPr="00E956BC" w:rsidRDefault="00771646" w:rsidP="00E02856">
      <w:proofErr w:type="gramStart"/>
      <w:r w:rsidRPr="00E956BC">
        <w:t>le</w:t>
      </w:r>
      <w:proofErr w:type="gramEnd"/>
      <w:r w:rsidRPr="00E956BC">
        <w:t xml:space="preserve"> rapport du Secrétaire général sur le rôle</w:t>
      </w:r>
      <w:r w:rsidR="00275296" w:rsidRPr="00E956BC">
        <w:t xml:space="preserve"> </w:t>
      </w:r>
      <w:r w:rsidRPr="00E956BC">
        <w:t xml:space="preserve">de l'UIT en tant qu'Autorité de surveillance </w:t>
      </w:r>
      <w:r w:rsidRPr="00E956BC">
        <w:rPr>
          <w:color w:val="000000"/>
        </w:rPr>
        <w:t>du</w:t>
      </w:r>
      <w:r w:rsidR="00E02856" w:rsidRPr="00E956BC">
        <w:t xml:space="preserve"> </w:t>
      </w:r>
      <w:r w:rsidRPr="00E956BC">
        <w:rPr>
          <w:color w:val="000000"/>
        </w:rPr>
        <w:t>futur Registre international pour les biens spatiaux conformément au Protocole portant sur les biens spatiaux,</w:t>
      </w:r>
    </w:p>
    <w:p w:rsidR="007F06C6" w:rsidRPr="00E956BC" w:rsidRDefault="00D43A9D" w:rsidP="00E02856">
      <w:pPr>
        <w:pStyle w:val="Call"/>
      </w:pPr>
      <w:proofErr w:type="gramStart"/>
      <w:r w:rsidRPr="00E956BC">
        <w:lastRenderedPageBreak/>
        <w:t>considérant</w:t>
      </w:r>
      <w:proofErr w:type="gramEnd"/>
      <w:r w:rsidRPr="00E956BC">
        <w:t xml:space="preserve"> en outre</w:t>
      </w:r>
    </w:p>
    <w:p w:rsidR="007F06C6" w:rsidRPr="00E956BC" w:rsidRDefault="007F06C6" w:rsidP="00E02856">
      <w:r w:rsidRPr="00E956BC">
        <w:rPr>
          <w:i/>
          <w:iCs/>
        </w:rPr>
        <w:t>a)</w:t>
      </w:r>
      <w:r w:rsidRPr="00E956BC">
        <w:tab/>
      </w:r>
      <w:r w:rsidR="00771646" w:rsidRPr="00E956BC">
        <w:rPr>
          <w:color w:val="000000"/>
        </w:rPr>
        <w:t>que la possibilité que l'UIT devienne l'Autorité de surveillance n'a donné lieu à aucune objection de principe</w:t>
      </w:r>
      <w:r w:rsidR="00771646" w:rsidRPr="00E956BC">
        <w:t xml:space="preserve"> de la part des </w:t>
      </w:r>
      <w:r w:rsidR="00E02856" w:rsidRPr="00E956BC">
        <w:t>E</w:t>
      </w:r>
      <w:r w:rsidR="00771646" w:rsidRPr="00E956BC">
        <w:t>tats Membres</w:t>
      </w:r>
      <w:r w:rsidR="00F35A68" w:rsidRPr="00E956BC">
        <w:t xml:space="preserve"> </w:t>
      </w:r>
      <w:r w:rsidR="00E02856" w:rsidRPr="00E956BC">
        <w:t xml:space="preserve">de l'UIT </w:t>
      </w:r>
      <w:r w:rsidR="00F35A68" w:rsidRPr="00E956BC">
        <w:t>et que la décision finale devrait être prise par la</w:t>
      </w:r>
      <w:r w:rsidR="00E02856" w:rsidRPr="00E956BC">
        <w:t xml:space="preserve"> </w:t>
      </w:r>
      <w:r w:rsidRPr="00E956BC">
        <w:t>PP-18;</w:t>
      </w:r>
    </w:p>
    <w:p w:rsidR="007F06C6" w:rsidRPr="00E956BC" w:rsidRDefault="007F06C6" w:rsidP="00E02856">
      <w:r w:rsidRPr="00E956BC">
        <w:rPr>
          <w:i/>
          <w:iCs/>
        </w:rPr>
        <w:t>b)</w:t>
      </w:r>
      <w:r w:rsidRPr="00E956BC">
        <w:tab/>
      </w:r>
      <w:r w:rsidR="00F35A68" w:rsidRPr="00E956BC">
        <w:t xml:space="preserve">que le </w:t>
      </w:r>
      <w:r w:rsidR="00F35A68" w:rsidRPr="00E956BC">
        <w:rPr>
          <w:color w:val="000000"/>
        </w:rPr>
        <w:t>Protocole portant sur les biens spatiaux devrait avoir des effets positifs sur la réduction</w:t>
      </w:r>
      <w:r w:rsidR="00F35A68" w:rsidRPr="00E956BC">
        <w:t xml:space="preserve"> des coûts de financement des biens spatiaux</w:t>
      </w:r>
      <w:r w:rsidR="00E02856" w:rsidRPr="00E956BC">
        <w:t>,</w:t>
      </w:r>
      <w:r w:rsidR="00F35A68" w:rsidRPr="00E956BC">
        <w:t xml:space="preserve"> en particulier pour les opérateurs de petite ou moyenne envergure</w:t>
      </w:r>
      <w:r w:rsidR="00E02856" w:rsidRPr="00E956BC">
        <w:t>;</w:t>
      </w:r>
    </w:p>
    <w:p w:rsidR="007F06C6" w:rsidRPr="00E956BC" w:rsidRDefault="007F06C6" w:rsidP="00E02856">
      <w:r w:rsidRPr="00E956BC">
        <w:rPr>
          <w:i/>
          <w:iCs/>
        </w:rPr>
        <w:t>c)</w:t>
      </w:r>
      <w:r w:rsidRPr="00E956BC">
        <w:tab/>
      </w:r>
      <w:r w:rsidR="00900243" w:rsidRPr="00E956BC">
        <w:t>la responsabilité qui incombe à l'UIT en matière d'attribution</w:t>
      </w:r>
      <w:r w:rsidR="00E02856" w:rsidRPr="00E956BC">
        <w:t xml:space="preserve"> </w:t>
      </w:r>
      <w:r w:rsidR="007835AF" w:rsidRPr="00E956BC">
        <w:t>des bandes de fréquences</w:t>
      </w:r>
      <w:r w:rsidR="00900243" w:rsidRPr="00E956BC">
        <w:t xml:space="preserve">, ses </w:t>
      </w:r>
      <w:r w:rsidR="007835AF" w:rsidRPr="00E956BC">
        <w:t xml:space="preserve">compétences spécialisées dans le domaine des communications spatiales </w:t>
      </w:r>
      <w:r w:rsidR="00900243" w:rsidRPr="00E956BC">
        <w:t>et le rôle qui est le sien</w:t>
      </w:r>
      <w:r w:rsidR="00E02856" w:rsidRPr="00E956BC">
        <w:t xml:space="preserve"> </w:t>
      </w:r>
      <w:r w:rsidR="007835AF" w:rsidRPr="00E956BC">
        <w:t>en tant qu'organisation internationa</w:t>
      </w:r>
      <w:r w:rsidR="00E02856" w:rsidRPr="00E956BC">
        <w:t>le composée de 193 E</w:t>
      </w:r>
      <w:r w:rsidR="007835AF" w:rsidRPr="00E956BC">
        <w:t>tats Membres</w:t>
      </w:r>
      <w:r w:rsidR="00E02856" w:rsidRPr="00E956BC">
        <w:t>;</w:t>
      </w:r>
    </w:p>
    <w:p w:rsidR="007F06C6" w:rsidRPr="00E956BC" w:rsidRDefault="007F06C6" w:rsidP="00E02856">
      <w:r w:rsidRPr="00E956BC">
        <w:rPr>
          <w:i/>
          <w:iCs/>
        </w:rPr>
        <w:t>d)</w:t>
      </w:r>
      <w:r w:rsidRPr="00E956BC">
        <w:tab/>
      </w:r>
      <w:r w:rsidR="00947A66" w:rsidRPr="00E956BC">
        <w:t xml:space="preserve">que </w:t>
      </w:r>
      <w:r w:rsidR="00947A66" w:rsidRPr="00E956BC">
        <w:rPr>
          <w:color w:val="000000"/>
        </w:rPr>
        <w:t xml:space="preserve">l'Organisation de l'aviation civile internationale (OACI), </w:t>
      </w:r>
      <w:r w:rsidR="00947A66" w:rsidRPr="00E956BC">
        <w:t>en sa qualité d</w:t>
      </w:r>
      <w:r w:rsidR="007C1C40" w:rsidRPr="00E956BC">
        <w:t>'</w:t>
      </w:r>
      <w:r w:rsidR="00947A66" w:rsidRPr="00E956BC">
        <w:t xml:space="preserve">institution spécialisée des Nations Unies, </w:t>
      </w:r>
      <w:r w:rsidR="00947A66" w:rsidRPr="00E956BC">
        <w:rPr>
          <w:color w:val="000000"/>
        </w:rPr>
        <w:t>exerce les fonctions d'Autorité de surveillance du Registre international pour les garanties internationales portant sur des biens aéronautiques</w:t>
      </w:r>
      <w:r w:rsidR="00266F9A" w:rsidRPr="00E956BC">
        <w:rPr>
          <w:color w:val="000000"/>
        </w:rPr>
        <w:t>, qui a été créée en vertu du</w:t>
      </w:r>
      <w:r w:rsidR="00E02856" w:rsidRPr="00E956BC">
        <w:rPr>
          <w:color w:val="000000"/>
        </w:rPr>
        <w:t xml:space="preserve"> </w:t>
      </w:r>
      <w:r w:rsidR="00266F9A" w:rsidRPr="00E956BC">
        <w:rPr>
          <w:color w:val="000000"/>
        </w:rPr>
        <w:t>Protocole</w:t>
      </w:r>
      <w:r w:rsidR="00E02856" w:rsidRPr="00E956BC">
        <w:rPr>
          <w:color w:val="000000"/>
        </w:rPr>
        <w:t xml:space="preserve"> </w:t>
      </w:r>
      <w:r w:rsidR="00266F9A" w:rsidRPr="00E956BC">
        <w:rPr>
          <w:color w:val="000000"/>
        </w:rPr>
        <w:t>aéronautique,</w:t>
      </w:r>
    </w:p>
    <w:p w:rsidR="007F06C6" w:rsidRPr="00E956BC" w:rsidRDefault="00D43A9D" w:rsidP="00E02856">
      <w:pPr>
        <w:pStyle w:val="Call"/>
      </w:pPr>
      <w:proofErr w:type="gramStart"/>
      <w:r w:rsidRPr="00E956BC">
        <w:t>décide</w:t>
      </w:r>
      <w:proofErr w:type="gramEnd"/>
    </w:p>
    <w:p w:rsidR="007F06C6" w:rsidRPr="00E956BC" w:rsidRDefault="00B148D6" w:rsidP="00E02856">
      <w:proofErr w:type="gramStart"/>
      <w:r w:rsidRPr="00E956BC">
        <w:t>que</w:t>
      </w:r>
      <w:proofErr w:type="gramEnd"/>
      <w:r w:rsidRPr="00E956BC">
        <w:t xml:space="preserve"> l'UIT sera </w:t>
      </w:r>
      <w:r w:rsidRPr="00E956BC">
        <w:rPr>
          <w:color w:val="000000"/>
        </w:rPr>
        <w:t>l'Autorité de surveillance</w:t>
      </w:r>
      <w:r w:rsidRPr="00E956BC">
        <w:t xml:space="preserve"> </w:t>
      </w:r>
      <w:r w:rsidRPr="00E956BC">
        <w:rPr>
          <w:color w:val="000000"/>
        </w:rPr>
        <w:t>du</w:t>
      </w:r>
      <w:r w:rsidR="00E02856" w:rsidRPr="00E956BC">
        <w:t xml:space="preserve"> </w:t>
      </w:r>
      <w:r w:rsidRPr="00E956BC">
        <w:rPr>
          <w:color w:val="000000"/>
        </w:rPr>
        <w:t>Registre international pour les biens spatiaux conformément au Protocole portant sur les biens spatiaux,</w:t>
      </w:r>
    </w:p>
    <w:p w:rsidR="007F06C6" w:rsidRPr="00E956BC" w:rsidRDefault="00D43A9D" w:rsidP="00E02856">
      <w:pPr>
        <w:pStyle w:val="Call"/>
      </w:pPr>
      <w:proofErr w:type="gramStart"/>
      <w:r w:rsidRPr="00E956BC">
        <w:t>charge</w:t>
      </w:r>
      <w:proofErr w:type="gramEnd"/>
      <w:r w:rsidRPr="00E956BC">
        <w:t xml:space="preserve"> le Secrétaire général</w:t>
      </w:r>
    </w:p>
    <w:p w:rsidR="007F06C6" w:rsidRPr="00E956BC" w:rsidRDefault="007F06C6" w:rsidP="00E02856">
      <w:r w:rsidRPr="00E956BC">
        <w:t>1</w:t>
      </w:r>
      <w:r w:rsidRPr="00E956BC">
        <w:tab/>
      </w:r>
      <w:r w:rsidR="00B148D6" w:rsidRPr="00E956BC">
        <w:t>de continuer de participer aux travaux de la Commission préparatoire et de ses groupes de travail et d'informer</w:t>
      </w:r>
      <w:r w:rsidR="00E02856" w:rsidRPr="00E956BC">
        <w:t xml:space="preserve"> </w:t>
      </w:r>
      <w:r w:rsidRPr="00E956BC">
        <w:t>UNIDROIT</w:t>
      </w:r>
      <w:r w:rsidR="00B148D6" w:rsidRPr="00E956BC">
        <w:t xml:space="preserve"> du texte du décide ci-dessus</w:t>
      </w:r>
      <w:r w:rsidR="00E02856" w:rsidRPr="00E956BC">
        <w:t>;</w:t>
      </w:r>
    </w:p>
    <w:p w:rsidR="007F06C6" w:rsidRPr="00E956BC" w:rsidRDefault="007F06C6" w:rsidP="00E02856">
      <w:r w:rsidRPr="00E956BC">
        <w:t>2</w:t>
      </w:r>
      <w:r w:rsidRPr="00E956BC">
        <w:tab/>
      </w:r>
      <w:r w:rsidR="00BD2F1D" w:rsidRPr="00827979">
        <w:t>de soumettre au Conseil de l'UIT, à ses sessions de</w:t>
      </w:r>
      <w:r w:rsidR="00E02856" w:rsidRPr="00E956BC">
        <w:t xml:space="preserve"> </w:t>
      </w:r>
      <w:r w:rsidR="00BD2F1D" w:rsidRPr="00E956BC">
        <w:t>2019 à 2022</w:t>
      </w:r>
      <w:r w:rsidR="00BD2F1D" w:rsidRPr="00827979">
        <w:t xml:space="preserve">, un rapport annuel sur les résultats de la mise en </w:t>
      </w:r>
      <w:proofErr w:type="spellStart"/>
      <w:r w:rsidR="00742F07">
        <w:t>oe</w:t>
      </w:r>
      <w:r w:rsidR="00BD2F1D" w:rsidRPr="00827979">
        <w:t>uvre</w:t>
      </w:r>
      <w:proofErr w:type="spellEnd"/>
      <w:r w:rsidR="00BD2F1D" w:rsidRPr="00827979">
        <w:t xml:space="preserve"> de la présente résolution</w:t>
      </w:r>
      <w:r w:rsidRPr="00E956BC">
        <w:t>.</w:t>
      </w:r>
    </w:p>
    <w:p w:rsidR="00D61CDA" w:rsidRDefault="00E40627" w:rsidP="007C1C40">
      <w:pPr>
        <w:pStyle w:val="Reasons"/>
      </w:pPr>
      <w:r w:rsidRPr="00E956BC">
        <w:rPr>
          <w:b/>
        </w:rPr>
        <w:t>Motifs:</w:t>
      </w:r>
      <w:r w:rsidRPr="00E956BC">
        <w:tab/>
      </w:r>
      <w:r w:rsidR="00B148D6" w:rsidRPr="00E956BC">
        <w:t>Le Protocole portant sur les biens spatiaux est le troisième</w:t>
      </w:r>
      <w:r w:rsidR="00B148D6" w:rsidRPr="00E956BC">
        <w:rPr>
          <w:color w:val="000000"/>
        </w:rPr>
        <w:t xml:space="preserve"> Protocole sur les questions spécifiques aux biens spatiaux à la Convention relative aux garanties internationales portant sur des matériels d'équipement mobiles</w:t>
      </w:r>
      <w:r w:rsidR="00E02856" w:rsidRPr="00E956BC">
        <w:t xml:space="preserve"> </w:t>
      </w:r>
      <w:r w:rsidR="007F06C6" w:rsidRPr="00E956BC">
        <w:t>(</w:t>
      </w:r>
      <w:r w:rsidR="00B148D6" w:rsidRPr="00E956BC">
        <w:rPr>
          <w:color w:val="000000"/>
        </w:rPr>
        <w:t>Convention du Cap</w:t>
      </w:r>
      <w:r w:rsidR="007F06C6" w:rsidRPr="00E956BC">
        <w:t>),</w:t>
      </w:r>
      <w:r w:rsidR="00E02856" w:rsidRPr="00E956BC">
        <w:t xml:space="preserve"> </w:t>
      </w:r>
      <w:r w:rsidR="00F8015D" w:rsidRPr="00E956BC">
        <w:t>qui est placé sous les auspices de</w:t>
      </w:r>
      <w:r w:rsidR="00E02856" w:rsidRPr="00E956BC">
        <w:t xml:space="preserve"> </w:t>
      </w:r>
      <w:r w:rsidR="00B148D6" w:rsidRPr="00E956BC">
        <w:rPr>
          <w:color w:val="000000"/>
        </w:rPr>
        <w:t>l'Institut international pour l'unification du droit privé (UNIDROIT)</w:t>
      </w:r>
      <w:r w:rsidR="003C6447" w:rsidRPr="00E956BC">
        <w:rPr>
          <w:color w:val="000000"/>
        </w:rPr>
        <w:t>. La Convention du Cap vise à</w:t>
      </w:r>
      <w:r w:rsidR="00F8015D" w:rsidRPr="00E956BC">
        <w:rPr>
          <w:color w:val="000000"/>
        </w:rPr>
        <w:t xml:space="preserve"> </w:t>
      </w:r>
      <w:r w:rsidR="003C6447" w:rsidRPr="00E956BC">
        <w:rPr>
          <w:color w:val="000000"/>
        </w:rPr>
        <w:t>encourager les investissements dans les</w:t>
      </w:r>
      <w:r w:rsidR="00E02856" w:rsidRPr="00E956BC">
        <w:rPr>
          <w:color w:val="000000"/>
        </w:rPr>
        <w:t xml:space="preserve"> </w:t>
      </w:r>
      <w:r w:rsidR="003C6447" w:rsidRPr="00E956BC">
        <w:t>matériels d</w:t>
      </w:r>
      <w:r w:rsidR="007C1C40" w:rsidRPr="00E956BC">
        <w:t>'</w:t>
      </w:r>
      <w:r w:rsidR="003C6447" w:rsidRPr="00E956BC">
        <w:t>équipement mobiles de grande valeur, en</w:t>
      </w:r>
      <w:r w:rsidR="00E02856" w:rsidRPr="00E956BC">
        <w:t xml:space="preserve"> </w:t>
      </w:r>
      <w:r w:rsidR="003C6447" w:rsidRPr="00E956BC">
        <w:t>fournissant aux créanciers garantis, aux vendeurs conditionnels et aux bailleurs une garantie internationale autonome, qui est protégée par son inscription dans un Registre international.</w:t>
      </w:r>
      <w:r w:rsidR="00E02856" w:rsidRPr="00E956BC">
        <w:t xml:space="preserve"> </w:t>
      </w:r>
      <w:r w:rsidR="003C6447" w:rsidRPr="00E956BC">
        <w:t>L'avantage du financement de biens spatiaux garantis par un actif</w:t>
      </w:r>
      <w:r w:rsidR="0084036E" w:rsidRPr="00E956BC">
        <w:t xml:space="preserve"> est que le financeur peut utiliser la valeur de l'actif pour garantir son crédit.</w:t>
      </w:r>
    </w:p>
    <w:p w:rsidR="00D442C4" w:rsidRDefault="0084036E" w:rsidP="00D442C4">
      <w:r w:rsidRPr="00E956BC">
        <w:t xml:space="preserve">Le Protocole portant sur les biens spatiaux permet de réduire les coûts de financement à la charge de ceux qui </w:t>
      </w:r>
      <w:r w:rsidRPr="00E956BC">
        <w:rPr>
          <w:color w:val="000000"/>
        </w:rPr>
        <w:t>acquièrent</w:t>
      </w:r>
      <w:r w:rsidRPr="00E956BC">
        <w:t xml:space="preserve"> des biens spatiaux, notamment les opérateurs de satellites.</w:t>
      </w:r>
      <w:r w:rsidR="00E02856" w:rsidRPr="00E956BC">
        <w:t xml:space="preserve"> </w:t>
      </w:r>
      <w:r w:rsidRPr="00E956BC">
        <w:t>Compte tenu de l'expérience acquise en ce qui concerne le Protocole aéronautique, nous pensons que les coûts de financement pourraient diminuer</w:t>
      </w:r>
      <w:r w:rsidR="00E02856" w:rsidRPr="00E956BC">
        <w:t xml:space="preserve"> </w:t>
      </w:r>
      <w:r w:rsidRPr="00E956BC">
        <w:t>dans une proportion allant jusqu</w:t>
      </w:r>
      <w:r w:rsidR="007C1C40" w:rsidRPr="00E956BC">
        <w:t>'</w:t>
      </w:r>
      <w:r w:rsidRPr="00E956BC">
        <w:t>à</w:t>
      </w:r>
      <w:r w:rsidR="00E02856" w:rsidRPr="00E956BC">
        <w:t xml:space="preserve"> </w:t>
      </w:r>
      <w:r w:rsidR="007C1C40" w:rsidRPr="00E956BC">
        <w:t>30%,</w:t>
      </w:r>
      <w:r w:rsidR="001F6BC3" w:rsidRPr="00E956BC">
        <w:t xml:space="preserve"> </w:t>
      </w:r>
      <w:r w:rsidR="007C1C40" w:rsidRPr="00E956BC">
        <w:t xml:space="preserve">diminution dont </w:t>
      </w:r>
      <w:r w:rsidR="001F6BC3" w:rsidRPr="00E956BC">
        <w:t>les opérateurs de petite et moyenne envergure</w:t>
      </w:r>
      <w:r w:rsidR="007C1C40" w:rsidRPr="00E956BC">
        <w:t xml:space="preserve"> seront les principaux bénéficiaires</w:t>
      </w:r>
      <w:r w:rsidR="001F6BC3" w:rsidRPr="00E956BC">
        <w:t>, étant donné que</w:t>
      </w:r>
      <w:r w:rsidR="00610259" w:rsidRPr="00E956BC">
        <w:t>,</w:t>
      </w:r>
      <w:r w:rsidR="001F6BC3" w:rsidRPr="00E956BC">
        <w:t xml:space="preserve"> sans les garanties </w:t>
      </w:r>
      <w:r w:rsidR="007C1C40" w:rsidRPr="00E956BC">
        <w:t xml:space="preserve">prévues dans </w:t>
      </w:r>
      <w:r w:rsidR="001F6BC3" w:rsidRPr="00E956BC">
        <w:t>le Protocole portant sur les biens spatiaux</w:t>
      </w:r>
      <w:r w:rsidR="00E02856" w:rsidRPr="00E956BC">
        <w:t>,</w:t>
      </w:r>
      <w:r w:rsidR="007F06C6" w:rsidRPr="00E956BC">
        <w:t xml:space="preserve"> </w:t>
      </w:r>
      <w:r w:rsidR="001F6BC3" w:rsidRPr="00E956BC">
        <w:t xml:space="preserve">les coûts de financement </w:t>
      </w:r>
      <w:r w:rsidR="007C1C40" w:rsidRPr="00E956BC">
        <w:t xml:space="preserve">que ces opérateurs </w:t>
      </w:r>
      <w:r w:rsidR="001F6BC3" w:rsidRPr="00E956BC">
        <w:t>devraient assumer seraient nettement plus élevés, et souvent prohibitifs.</w:t>
      </w:r>
      <w:r w:rsidR="00E02856" w:rsidRPr="00E956BC">
        <w:t xml:space="preserve"> </w:t>
      </w:r>
      <w:r w:rsidR="001F6BC3" w:rsidRPr="00E956BC">
        <w:t>En conséquence, le Protocole portant sur les biens spatiaux aura également pour effet d'accroître le potentiel de vente des</w:t>
      </w:r>
      <w:r w:rsidR="00E02856" w:rsidRPr="00E956BC">
        <w:t xml:space="preserve"> </w:t>
      </w:r>
      <w:r w:rsidR="001F6BC3" w:rsidRPr="00E956BC">
        <w:t>producteurs de biens spatiaux</w:t>
      </w:r>
      <w:r w:rsidR="00D61CDA">
        <w:t>.</w:t>
      </w:r>
    </w:p>
    <w:p w:rsidR="00742F07" w:rsidRDefault="00742F07">
      <w:pPr>
        <w:tabs>
          <w:tab w:val="clear" w:pos="567"/>
          <w:tab w:val="clear" w:pos="1134"/>
          <w:tab w:val="clear" w:pos="1701"/>
          <w:tab w:val="clear" w:pos="2268"/>
          <w:tab w:val="clear" w:pos="2835"/>
        </w:tabs>
        <w:overflowPunct/>
        <w:autoSpaceDE/>
        <w:autoSpaceDN/>
        <w:adjustRightInd/>
        <w:spacing w:before="0"/>
        <w:textAlignment w:val="auto"/>
      </w:pPr>
      <w:r>
        <w:br w:type="page"/>
      </w:r>
    </w:p>
    <w:p w:rsidR="00D61CDA" w:rsidRDefault="00AB10E9" w:rsidP="00D442C4">
      <w:r w:rsidRPr="00E956BC">
        <w:lastRenderedPageBreak/>
        <w:t>En sa qualité d'organisati</w:t>
      </w:r>
      <w:r w:rsidR="00D442C4">
        <w:t>on internationale comptant 193 E</w:t>
      </w:r>
      <w:r w:rsidRPr="00E956BC">
        <w:t>tats Membres, l'UIT est une autorité reconnue et impartiale</w:t>
      </w:r>
      <w:r w:rsidR="00E02856" w:rsidRPr="00E956BC">
        <w:t>,</w:t>
      </w:r>
      <w:r w:rsidR="00BF56CB" w:rsidRPr="00E956BC">
        <w:t xml:space="preserve"> qui assume des responsabilités d</w:t>
      </w:r>
      <w:r w:rsidR="007C1C40" w:rsidRPr="00E956BC">
        <w:t>'</w:t>
      </w:r>
      <w:r w:rsidR="00BF56CB" w:rsidRPr="00E956BC">
        <w:t>ordre opérationnel et offre la garantie que l'Autorité de surveillance s'acquittera des</w:t>
      </w:r>
      <w:r w:rsidR="00E02856" w:rsidRPr="00E956BC">
        <w:t xml:space="preserve"> </w:t>
      </w:r>
      <w:r w:rsidR="00BF56CB" w:rsidRPr="00E956BC">
        <w:t>fonctions qui lui ont été confiées avec neutralité</w:t>
      </w:r>
      <w:r w:rsidR="000722FD" w:rsidRPr="00E956BC">
        <w:t xml:space="preserve"> et savoir-faire</w:t>
      </w:r>
      <w:r w:rsidR="00E02856" w:rsidRPr="00E956BC">
        <w:t xml:space="preserve"> </w:t>
      </w:r>
      <w:r w:rsidR="000722FD" w:rsidRPr="00E956BC">
        <w:t>et en servant l'intérêt général</w:t>
      </w:r>
      <w:r w:rsidR="00D61CDA">
        <w:t>.</w:t>
      </w:r>
    </w:p>
    <w:p w:rsidR="00D61CDA" w:rsidRDefault="000722FD" w:rsidP="00D61CDA">
      <w:pPr>
        <w:rPr>
          <w:color w:val="000000"/>
        </w:rPr>
      </w:pPr>
      <w:r w:rsidRPr="00E956BC">
        <w:t>L'exercice de fonctions de surveillance relève indéniablement du mandat de l'UIT, tel qu'il est énoncé dans l'article 1 de la Constitution, en particulier le point</w:t>
      </w:r>
      <w:r w:rsidR="00E02856" w:rsidRPr="00E956BC">
        <w:t xml:space="preserve"> </w:t>
      </w:r>
      <w:r w:rsidR="007F06C6" w:rsidRPr="00E956BC">
        <w:t>d</w:t>
      </w:r>
      <w:r w:rsidR="007C1C40" w:rsidRPr="00E956BC">
        <w:t>)</w:t>
      </w:r>
      <w:r w:rsidR="007F06C6" w:rsidRPr="00E956BC">
        <w:t>,</w:t>
      </w:r>
      <w:r w:rsidRPr="00E956BC">
        <w:t xml:space="preserve"> selon lequel</w:t>
      </w:r>
      <w:r w:rsidRPr="00E956BC">
        <w:rPr>
          <w:color w:val="000000"/>
        </w:rPr>
        <w:t xml:space="preserve"> l'Union a notamment pour objet</w:t>
      </w:r>
      <w:r w:rsidR="00E02856" w:rsidRPr="00E956BC">
        <w:rPr>
          <w:color w:val="000000"/>
        </w:rPr>
        <w:t xml:space="preserve"> </w:t>
      </w:r>
      <w:r w:rsidRPr="00E956BC">
        <w:rPr>
          <w:color w:val="000000"/>
        </w:rPr>
        <w:t xml:space="preserve">"de s'efforcer d'étendre les avantages des nouvelles technologies de télécommunication à tous les habitants de la planète". </w:t>
      </w:r>
      <w:r w:rsidR="00E85DAD" w:rsidRPr="00E956BC">
        <w:rPr>
          <w:color w:val="000000"/>
        </w:rPr>
        <w:t>En effet, le Protocole permet aux pays en développement comprenant des opérateurs de petite et moyenne envergure de financer plus facilement des satellites</w:t>
      </w:r>
      <w:r w:rsidR="007C1C40" w:rsidRPr="00E956BC">
        <w:rPr>
          <w:color w:val="000000"/>
        </w:rPr>
        <w:t xml:space="preserve"> et</w:t>
      </w:r>
      <w:r w:rsidR="00E85DAD" w:rsidRPr="00E956BC">
        <w:rPr>
          <w:color w:val="000000"/>
        </w:rPr>
        <w:t xml:space="preserve">, </w:t>
      </w:r>
      <w:r w:rsidR="007C1C40" w:rsidRPr="00E956BC">
        <w:rPr>
          <w:color w:val="000000"/>
        </w:rPr>
        <w:t>partant, d'</w:t>
      </w:r>
      <w:r w:rsidR="00E85DAD" w:rsidRPr="00E956BC">
        <w:rPr>
          <w:color w:val="000000"/>
        </w:rPr>
        <w:t>offr</w:t>
      </w:r>
      <w:r w:rsidR="007C1C40" w:rsidRPr="00E956BC">
        <w:rPr>
          <w:color w:val="000000"/>
        </w:rPr>
        <w:t>ir</w:t>
      </w:r>
      <w:r w:rsidR="00E85DAD" w:rsidRPr="00E956BC">
        <w:rPr>
          <w:color w:val="000000"/>
        </w:rPr>
        <w:t xml:space="preserve"> un accès aux nouvelles techniques de télécommunication </w:t>
      </w:r>
      <w:r w:rsidR="00192CDE" w:rsidRPr="00E956BC">
        <w:rPr>
          <w:color w:val="000000"/>
        </w:rPr>
        <w:t>à ceux qui en étaient privés jusqu'à présent</w:t>
      </w:r>
      <w:r w:rsidR="00E02856" w:rsidRPr="00E956BC">
        <w:rPr>
          <w:color w:val="000000"/>
        </w:rPr>
        <w:t>.</w:t>
      </w:r>
    </w:p>
    <w:p w:rsidR="00D61CDA" w:rsidRDefault="00192CDE" w:rsidP="00D61CDA">
      <w:r w:rsidRPr="00E956BC">
        <w:t>Les fonctions incombant à l'Autorité de surveillance sont strictement limitées aux questions relatives au</w:t>
      </w:r>
      <w:r w:rsidR="00E02856" w:rsidRPr="00E956BC">
        <w:t xml:space="preserve"> </w:t>
      </w:r>
      <w:r w:rsidRPr="00E956BC">
        <w:t xml:space="preserve">Registre international pour les biens spatiaux et les coûts connexes sont recouvrés </w:t>
      </w:r>
      <w:r w:rsidR="00BD709A" w:rsidRPr="00E956BC">
        <w:t xml:space="preserve">au moyen d'une partie des </w:t>
      </w:r>
      <w:r w:rsidRPr="00E956BC">
        <w:t>droits perçus par le Conservateur</w:t>
      </w:r>
      <w:r w:rsidR="00BD709A" w:rsidRPr="00E956BC">
        <w:t>. La Commission préparatoire, en sa qualité d'Autorité</w:t>
      </w:r>
      <w:r w:rsidR="00E02856" w:rsidRPr="00E956BC">
        <w:t xml:space="preserve"> </w:t>
      </w:r>
      <w:r w:rsidR="00BD709A" w:rsidRPr="00E956BC">
        <w:rPr>
          <w:color w:val="000000"/>
        </w:rPr>
        <w:t>provisoire de surveillance</w:t>
      </w:r>
      <w:r w:rsidR="007F06C6" w:rsidRPr="00E956BC">
        <w:t xml:space="preserve">, </w:t>
      </w:r>
      <w:r w:rsidR="00BD709A" w:rsidRPr="00E956BC">
        <w:t>nommera le premier Conservateur, qui a pour fonctions d'inscrire les</w:t>
      </w:r>
      <w:r w:rsidR="007F06C6" w:rsidRPr="00E956BC">
        <w:t xml:space="preserve"> </w:t>
      </w:r>
      <w:r w:rsidR="00BD709A" w:rsidRPr="00E956BC">
        <w:t>garanties internationales portant sur des biens spatiaux. Les tâches incombant à l'</w:t>
      </w:r>
      <w:r w:rsidR="007C1C40" w:rsidRPr="00E956BC">
        <w:t>A</w:t>
      </w:r>
      <w:r w:rsidR="00BD709A" w:rsidRPr="00E956BC">
        <w:t>utorité de surveillance sont strictement limitées aux fonctions de surveillance prévue</w:t>
      </w:r>
      <w:r w:rsidR="007C1C40" w:rsidRPr="00E956BC">
        <w:t>s</w:t>
      </w:r>
      <w:r w:rsidR="00BD709A" w:rsidRPr="00E956BC">
        <w:t xml:space="preserve"> dans le Protocole. La Commission préparatoire a déjà élaboré</w:t>
      </w:r>
      <w:r w:rsidR="00DB6825" w:rsidRPr="00E956BC">
        <w:t xml:space="preserve"> le Règlement pour le Registre, de sorte que l'UIT n'aura</w:t>
      </w:r>
      <w:r w:rsidR="007C1C40" w:rsidRPr="00E956BC">
        <w:t>it</w:t>
      </w:r>
      <w:r w:rsidR="00DB6825" w:rsidRPr="00E956BC">
        <w:t xml:space="preserve"> pas à s'acquitter de cette tâche. Enfin, une Commission d'expert apportera un appui à l'UIT dans l'exercice de ses fonctions.</w:t>
      </w:r>
    </w:p>
    <w:p w:rsidR="00D61CDA" w:rsidRDefault="00DB6825" w:rsidP="00D61CDA">
      <w:r w:rsidRPr="00E956BC">
        <w:t xml:space="preserve">Les </w:t>
      </w:r>
      <w:r w:rsidR="00E02856" w:rsidRPr="00E956BC">
        <w:t>E</w:t>
      </w:r>
      <w:r w:rsidRPr="00E956BC">
        <w:t>tats Membres de l'UIT</w:t>
      </w:r>
      <w:r w:rsidR="00E02856" w:rsidRPr="00E956BC">
        <w:t xml:space="preserve"> </w:t>
      </w:r>
      <w:r w:rsidRPr="00E956BC">
        <w:t>examinent le rôle de l'Organisation en tant que futu</w:t>
      </w:r>
      <w:r w:rsidR="007C1C40" w:rsidRPr="00E956BC">
        <w:t>re Autorité de surveillance du R</w:t>
      </w:r>
      <w:r w:rsidRPr="00E956BC">
        <w:t>egistre international pour les biens spatiaux conformément au Protocole portant sur les biens spatiaux depuis la session de 2011 du Conseil.</w:t>
      </w:r>
      <w:r w:rsidR="00E02856" w:rsidRPr="00E956BC">
        <w:t xml:space="preserve"> </w:t>
      </w:r>
      <w:r w:rsidRPr="00E956BC">
        <w:t xml:space="preserve">L'UIT </w:t>
      </w:r>
      <w:r w:rsidR="007C1C40" w:rsidRPr="00E956BC">
        <w:t>a fait part de son intérêt l</w:t>
      </w:r>
      <w:r w:rsidRPr="00E956BC">
        <w:t>ors de la Conférence</w:t>
      </w:r>
      <w:r w:rsidR="00E02856" w:rsidRPr="00E956BC">
        <w:t xml:space="preserve"> </w:t>
      </w:r>
      <w:r w:rsidRPr="00E956BC">
        <w:t xml:space="preserve">diplomatique tenue en 2012 à Berlin, </w:t>
      </w:r>
      <w:r w:rsidR="007C1C40" w:rsidRPr="00E956BC">
        <w:t xml:space="preserve">laquelle </w:t>
      </w:r>
      <w:r w:rsidRPr="00E956BC">
        <w:t xml:space="preserve">a adopté le </w:t>
      </w:r>
      <w:r w:rsidRPr="00E956BC">
        <w:rPr>
          <w:color w:val="000000"/>
        </w:rPr>
        <w:t xml:space="preserve">Protocole portant sur les questions spécifiques aux biens spatiaux à la Convention relative aux garanties internationales portant sur des matériels d'équipement mobiles. Dans sa </w:t>
      </w:r>
      <w:r w:rsidR="007F06C6" w:rsidRPr="00E956BC">
        <w:t>R</w:t>
      </w:r>
      <w:r w:rsidR="00E02856" w:rsidRPr="00E956BC">
        <w:t>é</w:t>
      </w:r>
      <w:r w:rsidR="007F06C6" w:rsidRPr="00E956BC">
        <w:t>solution</w:t>
      </w:r>
      <w:r w:rsidR="00E02856" w:rsidRPr="00E956BC">
        <w:t xml:space="preserve"> </w:t>
      </w:r>
      <w:r w:rsidR="007F06C6" w:rsidRPr="00E956BC">
        <w:t>2</w:t>
      </w:r>
      <w:r w:rsidR="00E02856" w:rsidRPr="00E956BC">
        <w:t>,</w:t>
      </w:r>
      <w:r w:rsidRPr="00E956BC">
        <w:t xml:space="preserve"> la Conférence diplomatique invite expressément les organes directeurs de l'UIT à examiner la question de l'acceptation par l'UIT des fonctions d'Autorité de surveillance au moment de, ou après, l</w:t>
      </w:r>
      <w:r w:rsidR="00E02856" w:rsidRPr="00E956BC">
        <w:t>'e</w:t>
      </w:r>
      <w:r w:rsidR="00D61CDA">
        <w:t>ntrée en vigueur du Protocole.</w:t>
      </w:r>
    </w:p>
    <w:p w:rsidR="00D61CDA" w:rsidRDefault="00E02856" w:rsidP="00D61CDA">
      <w:r w:rsidRPr="00E956BC">
        <w:t>A</w:t>
      </w:r>
      <w:r w:rsidR="00DB6825" w:rsidRPr="00E956BC">
        <w:t xml:space="preserve"> sa session de 2016, le Président du</w:t>
      </w:r>
      <w:r w:rsidR="007C1C40" w:rsidRPr="00E956BC">
        <w:t xml:space="preserve"> Conseil a</w:t>
      </w:r>
      <w:r w:rsidR="00A37164" w:rsidRPr="00E956BC">
        <w:t xml:space="preserve"> noté, à la suite des débats sur ce sujet, que</w:t>
      </w:r>
      <w:r w:rsidRPr="00E956BC">
        <w:t xml:space="preserve"> </w:t>
      </w:r>
      <w:r w:rsidR="00DB6825" w:rsidRPr="00E956BC">
        <w:rPr>
          <w:color w:val="000000"/>
        </w:rPr>
        <w:t xml:space="preserve">la question </w:t>
      </w:r>
      <w:r w:rsidR="00DB6825" w:rsidRPr="00E956BC">
        <w:t>de l'acceptation par l'UIT des fonctions d'Autorité de surveillance</w:t>
      </w:r>
      <w:r w:rsidR="007F06C6" w:rsidRPr="00E956BC">
        <w:t xml:space="preserve"> </w:t>
      </w:r>
      <w:r w:rsidR="00742F07">
        <w:t>n'avait donné lieu à </w:t>
      </w:r>
      <w:r w:rsidR="00A37164" w:rsidRPr="00E956BC">
        <w:t>aucune objection de principe et que</w:t>
      </w:r>
      <w:r w:rsidR="007C1C40" w:rsidRPr="00E956BC">
        <w:t>,</w:t>
      </w:r>
      <w:r w:rsidR="00A37164" w:rsidRPr="00E956BC">
        <w:t xml:space="preserve"> de l'avis général, la décision finale devrait être prise par la</w:t>
      </w:r>
      <w:r w:rsidR="00742F07">
        <w:t> </w:t>
      </w:r>
      <w:r w:rsidR="00D61CDA">
        <w:t>PP</w:t>
      </w:r>
      <w:r w:rsidR="00D61CDA">
        <w:noBreakHyphen/>
        <w:t>18.</w:t>
      </w:r>
    </w:p>
    <w:p w:rsidR="007240B0" w:rsidRPr="00E956BC" w:rsidRDefault="00A37164" w:rsidP="00D61CDA">
      <w:r w:rsidRPr="00E956BC">
        <w:t xml:space="preserve">Nous sommes donc convaincus </w:t>
      </w:r>
      <w:r w:rsidR="00CD35C7" w:rsidRPr="00E956BC">
        <w:t>qu'il est désormais opportun, alors que la sélection d'un Conservateur par</w:t>
      </w:r>
      <w:r w:rsidR="00E02856" w:rsidRPr="00E956BC">
        <w:t xml:space="preserve"> </w:t>
      </w:r>
      <w:r w:rsidR="00CD35C7" w:rsidRPr="00E956BC">
        <w:t>la Commission préparatoire</w:t>
      </w:r>
      <w:r w:rsidR="00E02856" w:rsidRPr="00E956BC">
        <w:t xml:space="preserve"> </w:t>
      </w:r>
      <w:r w:rsidR="00CD35C7" w:rsidRPr="00E956BC">
        <w:rPr>
          <w:color w:val="000000"/>
        </w:rPr>
        <w:t>est également bien avancée, de charger le Secrétaire général de prendre les mesures nécessa</w:t>
      </w:r>
      <w:r w:rsidR="007C1C40" w:rsidRPr="00E956BC">
        <w:rPr>
          <w:color w:val="000000"/>
        </w:rPr>
        <w:t>ires pour que l'UIT devienne l'A</w:t>
      </w:r>
      <w:r w:rsidR="00CD35C7" w:rsidRPr="00E956BC">
        <w:rPr>
          <w:color w:val="000000"/>
        </w:rPr>
        <w:t>utorité de surveillance</w:t>
      </w:r>
      <w:r w:rsidR="00E02856" w:rsidRPr="00E956BC">
        <w:t>.</w:t>
      </w:r>
    </w:p>
    <w:p w:rsidR="00570AEA" w:rsidRPr="00E956BC" w:rsidRDefault="00570AEA" w:rsidP="00E02856"/>
    <w:p w:rsidR="00570AEA" w:rsidRPr="00E956BC" w:rsidRDefault="00570AEA" w:rsidP="00E02856">
      <w:pPr>
        <w:jc w:val="center"/>
      </w:pPr>
      <w:r w:rsidRPr="00E956BC">
        <w:t>______________</w:t>
      </w:r>
    </w:p>
    <w:p w:rsidR="00570AEA" w:rsidRPr="00E956BC" w:rsidRDefault="00570AEA" w:rsidP="00E02856">
      <w:bookmarkStart w:id="8" w:name="_GoBack"/>
      <w:bookmarkEnd w:id="8"/>
    </w:p>
    <w:sectPr w:rsidR="00570AEA" w:rsidRPr="00E956BC" w:rsidSect="003A0B7D">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FE4E43" w:rsidRDefault="000D15FB" w:rsidP="00FE4E4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5513E8">
      <w:rPr>
        <w:noProof/>
      </w:rPr>
      <w:t>4</w:t>
    </w:r>
    <w:r>
      <w:fldChar w:fldCharType="end"/>
    </w:r>
  </w:p>
  <w:p w:rsidR="00BD1614" w:rsidRDefault="00BD1614" w:rsidP="001E2226">
    <w:pPr>
      <w:pStyle w:val="Header"/>
    </w:pPr>
    <w:r>
      <w:t>PP1</w:t>
    </w:r>
    <w:r w:rsidR="001E2226">
      <w:t>8</w:t>
    </w:r>
    <w:r>
      <w:t>/73-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8E7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A44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E7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5E5D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588E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9C4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7859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C7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AC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2A0D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4047CB-BBED-44E3-96FE-CED11B5A7DE0}"/>
    <w:docVar w:name="dgnword-eventsink" w:val="452603840"/>
  </w:docVars>
  <w:rsids>
    <w:rsidRoot w:val="00912D5E"/>
    <w:rsid w:val="000054D8"/>
    <w:rsid w:val="00060D74"/>
    <w:rsid w:val="000722FD"/>
    <w:rsid w:val="00072D5C"/>
    <w:rsid w:val="0008398C"/>
    <w:rsid w:val="00084308"/>
    <w:rsid w:val="000B14B6"/>
    <w:rsid w:val="000C467B"/>
    <w:rsid w:val="000D15FB"/>
    <w:rsid w:val="000F58F7"/>
    <w:rsid w:val="001051E4"/>
    <w:rsid w:val="001354EA"/>
    <w:rsid w:val="00136FCE"/>
    <w:rsid w:val="00153BA4"/>
    <w:rsid w:val="00160EF7"/>
    <w:rsid w:val="00192CDE"/>
    <w:rsid w:val="001941AD"/>
    <w:rsid w:val="0019732C"/>
    <w:rsid w:val="001A0682"/>
    <w:rsid w:val="001B4D8D"/>
    <w:rsid w:val="001D31B2"/>
    <w:rsid w:val="001E1B9B"/>
    <w:rsid w:val="001E2226"/>
    <w:rsid w:val="001F6233"/>
    <w:rsid w:val="001F6BC3"/>
    <w:rsid w:val="002355CD"/>
    <w:rsid w:val="00247B31"/>
    <w:rsid w:val="00266F9A"/>
    <w:rsid w:val="00270B2F"/>
    <w:rsid w:val="00275296"/>
    <w:rsid w:val="002A0E1B"/>
    <w:rsid w:val="002C1059"/>
    <w:rsid w:val="002C2F9C"/>
    <w:rsid w:val="00322DEA"/>
    <w:rsid w:val="00355FBD"/>
    <w:rsid w:val="00381461"/>
    <w:rsid w:val="00391C12"/>
    <w:rsid w:val="003A0B7D"/>
    <w:rsid w:val="003A45C2"/>
    <w:rsid w:val="003C4BE2"/>
    <w:rsid w:val="003C62C9"/>
    <w:rsid w:val="003C6447"/>
    <w:rsid w:val="003D147D"/>
    <w:rsid w:val="003D637A"/>
    <w:rsid w:val="00430015"/>
    <w:rsid w:val="004678D0"/>
    <w:rsid w:val="00482954"/>
    <w:rsid w:val="004951C0"/>
    <w:rsid w:val="004C7646"/>
    <w:rsid w:val="00524001"/>
    <w:rsid w:val="005513E8"/>
    <w:rsid w:val="00564B63"/>
    <w:rsid w:val="00570AEA"/>
    <w:rsid w:val="00575DC7"/>
    <w:rsid w:val="005836C2"/>
    <w:rsid w:val="005A4EFD"/>
    <w:rsid w:val="005A5ABE"/>
    <w:rsid w:val="005C2ECC"/>
    <w:rsid w:val="005C6744"/>
    <w:rsid w:val="005E419E"/>
    <w:rsid w:val="005F63BD"/>
    <w:rsid w:val="00610259"/>
    <w:rsid w:val="00611CF1"/>
    <w:rsid w:val="006201D9"/>
    <w:rsid w:val="006277DB"/>
    <w:rsid w:val="00635B7B"/>
    <w:rsid w:val="00655B98"/>
    <w:rsid w:val="006621EA"/>
    <w:rsid w:val="006710E6"/>
    <w:rsid w:val="00686973"/>
    <w:rsid w:val="006A2656"/>
    <w:rsid w:val="006A6342"/>
    <w:rsid w:val="006B6C9C"/>
    <w:rsid w:val="006C7AE3"/>
    <w:rsid w:val="006D55E8"/>
    <w:rsid w:val="006E1921"/>
    <w:rsid w:val="006F36F9"/>
    <w:rsid w:val="0070576B"/>
    <w:rsid w:val="00713335"/>
    <w:rsid w:val="007240B0"/>
    <w:rsid w:val="00727C2F"/>
    <w:rsid w:val="00735F13"/>
    <w:rsid w:val="00742F07"/>
    <w:rsid w:val="00771646"/>
    <w:rsid w:val="007717F2"/>
    <w:rsid w:val="00772E3B"/>
    <w:rsid w:val="0078134C"/>
    <w:rsid w:val="007835AF"/>
    <w:rsid w:val="007A5830"/>
    <w:rsid w:val="007C1C40"/>
    <w:rsid w:val="007D21FB"/>
    <w:rsid w:val="007F06C6"/>
    <w:rsid w:val="00801256"/>
    <w:rsid w:val="00827979"/>
    <w:rsid w:val="0084036E"/>
    <w:rsid w:val="008703CB"/>
    <w:rsid w:val="008B61AF"/>
    <w:rsid w:val="008C33C2"/>
    <w:rsid w:val="008C6137"/>
    <w:rsid w:val="008E2DB4"/>
    <w:rsid w:val="00900243"/>
    <w:rsid w:val="00901DD5"/>
    <w:rsid w:val="0090735B"/>
    <w:rsid w:val="00912D5E"/>
    <w:rsid w:val="00934340"/>
    <w:rsid w:val="00947A66"/>
    <w:rsid w:val="00956DC7"/>
    <w:rsid w:val="00966CD3"/>
    <w:rsid w:val="00987A20"/>
    <w:rsid w:val="009A0E15"/>
    <w:rsid w:val="009D4037"/>
    <w:rsid w:val="009F0592"/>
    <w:rsid w:val="00A20E72"/>
    <w:rsid w:val="00A246DC"/>
    <w:rsid w:val="00A37164"/>
    <w:rsid w:val="00A47BAF"/>
    <w:rsid w:val="00A542D3"/>
    <w:rsid w:val="00A5784F"/>
    <w:rsid w:val="00A8436E"/>
    <w:rsid w:val="00A95B66"/>
    <w:rsid w:val="00AB10E9"/>
    <w:rsid w:val="00AE0667"/>
    <w:rsid w:val="00B06317"/>
    <w:rsid w:val="00B148D6"/>
    <w:rsid w:val="00B41E0A"/>
    <w:rsid w:val="00B56DE0"/>
    <w:rsid w:val="00B71F12"/>
    <w:rsid w:val="00B96B1E"/>
    <w:rsid w:val="00BB2A6F"/>
    <w:rsid w:val="00BD1614"/>
    <w:rsid w:val="00BD2F1D"/>
    <w:rsid w:val="00BD382C"/>
    <w:rsid w:val="00BD5DA6"/>
    <w:rsid w:val="00BD709A"/>
    <w:rsid w:val="00BF56CB"/>
    <w:rsid w:val="00BF7D25"/>
    <w:rsid w:val="00C010C0"/>
    <w:rsid w:val="00C40CB5"/>
    <w:rsid w:val="00C54CE6"/>
    <w:rsid w:val="00C575E2"/>
    <w:rsid w:val="00C7368B"/>
    <w:rsid w:val="00C92746"/>
    <w:rsid w:val="00CC4DC5"/>
    <w:rsid w:val="00CD35C7"/>
    <w:rsid w:val="00CE1A7C"/>
    <w:rsid w:val="00D0464B"/>
    <w:rsid w:val="00D12C74"/>
    <w:rsid w:val="00D2263F"/>
    <w:rsid w:val="00D43A9D"/>
    <w:rsid w:val="00D442C4"/>
    <w:rsid w:val="00D45CBF"/>
    <w:rsid w:val="00D56483"/>
    <w:rsid w:val="00D5658F"/>
    <w:rsid w:val="00D56AD6"/>
    <w:rsid w:val="00D61CDA"/>
    <w:rsid w:val="00D70019"/>
    <w:rsid w:val="00D74B58"/>
    <w:rsid w:val="00D82ABE"/>
    <w:rsid w:val="00DA4ABA"/>
    <w:rsid w:val="00DA685B"/>
    <w:rsid w:val="00DA742B"/>
    <w:rsid w:val="00DB6825"/>
    <w:rsid w:val="00DF25C1"/>
    <w:rsid w:val="00DF48F7"/>
    <w:rsid w:val="00DF4964"/>
    <w:rsid w:val="00DF4D73"/>
    <w:rsid w:val="00DF79B0"/>
    <w:rsid w:val="00E02856"/>
    <w:rsid w:val="00E1047D"/>
    <w:rsid w:val="00E40627"/>
    <w:rsid w:val="00E443FA"/>
    <w:rsid w:val="00E54FCE"/>
    <w:rsid w:val="00E60DA1"/>
    <w:rsid w:val="00E85DAD"/>
    <w:rsid w:val="00E93D35"/>
    <w:rsid w:val="00E956BC"/>
    <w:rsid w:val="00EA45DB"/>
    <w:rsid w:val="00ED2CD9"/>
    <w:rsid w:val="00F07DA7"/>
    <w:rsid w:val="00F35A68"/>
    <w:rsid w:val="00F564C1"/>
    <w:rsid w:val="00F77FA2"/>
    <w:rsid w:val="00F8015D"/>
    <w:rsid w:val="00F8357A"/>
    <w:rsid w:val="00FA1B77"/>
    <w:rsid w:val="00FB4B65"/>
    <w:rsid w:val="00FB74B8"/>
    <w:rsid w:val="00FC49E0"/>
    <w:rsid w:val="00FE4E4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e8b1b0-4234-41a9-8c2a-a307d2611649">DPM</DPM_x0020_Author>
    <DPM_x0020_File_x0020_name xmlns="14e8b1b0-4234-41a9-8c2a-a307d2611649">S18-PP-C-0073!!MSW-F</DPM_x0020_File_x0020_name>
    <DPM_x0020_Version xmlns="14e8b1b0-4234-41a9-8c2a-a307d2611649">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e8b1b0-4234-41a9-8c2a-a307d2611649" targetNamespace="http://schemas.microsoft.com/office/2006/metadata/properties" ma:root="true" ma:fieldsID="d41af5c836d734370eb92e7ee5f83852" ns2:_="" ns3:_="">
    <xsd:import namespace="996b2e75-67fd-4955-a3b0-5ab9934cb50b"/>
    <xsd:import namespace="14e8b1b0-4234-41a9-8c2a-a307d26116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e8b1b0-4234-41a9-8c2a-a307d26116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14e8b1b0-4234-41a9-8c2a-a307d26116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e8b1b0-4234-41a9-8c2a-a307d261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S18-PP-C-0073!!MSW-F</vt:lpstr>
    </vt:vector>
  </TitlesOfParts>
  <Manager/>
  <Company/>
  <LinksUpToDate>false</LinksUpToDate>
  <CharactersWithSpaces>8997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S18-PP-C-0073!!MSW-F</dc:title>
  <dc:subject>Plenipotentiary Conference (PP-18)</dc:subject>
  <dc:creator>Documents Proposals Manager (DPM)</dc:creator>
  <cp:keywords>DPM_v2018.10.12.1_prod</cp:keywords>
  <dc:description/>
  <cp:lastModifiedBy>Mestrallet, Francoise</cp:lastModifiedBy>
  <cp:revision>11</cp:revision>
  <dcterms:created xsi:type="dcterms:W3CDTF">2018-10-17T08:54:00Z</dcterms:created>
  <dcterms:modified xsi:type="dcterms:W3CDTF">2018-10-18T09:16:00Z</dcterms:modified>
  <cp:category>Conference document</cp:category>
</cp:coreProperties>
</file>