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66F1B">
        <w:trPr>
          <w:cantSplit/>
        </w:trPr>
        <w:tc>
          <w:tcPr>
            <w:tcW w:w="6912" w:type="dxa"/>
          </w:tcPr>
          <w:p w:rsidR="00093EEB" w:rsidRPr="00F66F1B" w:rsidRDefault="00093EEB" w:rsidP="00005A84">
            <w:pPr>
              <w:spacing w:before="360"/>
              <w:rPr>
                <w:szCs w:val="24"/>
              </w:rPr>
            </w:pPr>
            <w:bookmarkStart w:id="0" w:name="dc06"/>
            <w:bookmarkStart w:id="1" w:name="dbluepink" w:colFirst="0" w:colLast="0"/>
            <w:bookmarkEnd w:id="0"/>
            <w:r w:rsidRPr="00F66F1B">
              <w:rPr>
                <w:b/>
                <w:bCs/>
                <w:sz w:val="30"/>
                <w:szCs w:val="30"/>
              </w:rPr>
              <w:t>Consejo 201</w:t>
            </w:r>
            <w:r w:rsidR="009F4811" w:rsidRPr="00F66F1B">
              <w:rPr>
                <w:b/>
                <w:bCs/>
                <w:sz w:val="30"/>
                <w:szCs w:val="30"/>
              </w:rPr>
              <w:t>8</w:t>
            </w:r>
            <w:r w:rsidRPr="00F66F1B">
              <w:rPr>
                <w:b/>
                <w:bCs/>
                <w:sz w:val="26"/>
                <w:szCs w:val="26"/>
              </w:rPr>
              <w:br/>
            </w:r>
            <w:r w:rsidRPr="00F66F1B">
              <w:rPr>
                <w:b/>
                <w:bCs/>
                <w:szCs w:val="24"/>
              </w:rPr>
              <w:t>Ginebra, 1</w:t>
            </w:r>
            <w:r w:rsidR="009F4811" w:rsidRPr="00F66F1B">
              <w:rPr>
                <w:b/>
                <w:bCs/>
                <w:szCs w:val="24"/>
              </w:rPr>
              <w:t>7</w:t>
            </w:r>
            <w:r w:rsidRPr="00F66F1B">
              <w:rPr>
                <w:b/>
                <w:bCs/>
                <w:szCs w:val="24"/>
              </w:rPr>
              <w:t>-2</w:t>
            </w:r>
            <w:r w:rsidR="009F4811" w:rsidRPr="00F66F1B">
              <w:rPr>
                <w:b/>
                <w:bCs/>
                <w:szCs w:val="24"/>
              </w:rPr>
              <w:t>7</w:t>
            </w:r>
            <w:r w:rsidRPr="00F66F1B">
              <w:rPr>
                <w:b/>
                <w:bCs/>
                <w:szCs w:val="24"/>
              </w:rPr>
              <w:t xml:space="preserve"> de </w:t>
            </w:r>
            <w:r w:rsidR="009F4811" w:rsidRPr="00F66F1B">
              <w:rPr>
                <w:b/>
                <w:bCs/>
                <w:szCs w:val="24"/>
              </w:rPr>
              <w:t>abril</w:t>
            </w:r>
            <w:r w:rsidRPr="00F66F1B">
              <w:rPr>
                <w:b/>
                <w:bCs/>
                <w:szCs w:val="24"/>
              </w:rPr>
              <w:t xml:space="preserve"> de 201</w:t>
            </w:r>
            <w:r w:rsidR="009F4811" w:rsidRPr="00F66F1B">
              <w:rPr>
                <w:b/>
                <w:bCs/>
                <w:szCs w:val="24"/>
              </w:rPr>
              <w:t>8</w:t>
            </w:r>
          </w:p>
        </w:tc>
        <w:tc>
          <w:tcPr>
            <w:tcW w:w="3261" w:type="dxa"/>
          </w:tcPr>
          <w:p w:rsidR="00093EEB" w:rsidRPr="00F66F1B" w:rsidRDefault="00093EEB" w:rsidP="00005A84">
            <w:pPr>
              <w:spacing w:before="0"/>
              <w:jc w:val="right"/>
              <w:rPr>
                <w:szCs w:val="24"/>
              </w:rPr>
            </w:pPr>
            <w:bookmarkStart w:id="2" w:name="ditulogo"/>
            <w:bookmarkEnd w:id="2"/>
            <w:r w:rsidRPr="00F66F1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66F1B">
        <w:trPr>
          <w:cantSplit/>
          <w:trHeight w:val="20"/>
        </w:trPr>
        <w:tc>
          <w:tcPr>
            <w:tcW w:w="10173" w:type="dxa"/>
            <w:gridSpan w:val="2"/>
            <w:tcBorders>
              <w:bottom w:val="single" w:sz="12" w:space="0" w:color="auto"/>
            </w:tcBorders>
          </w:tcPr>
          <w:p w:rsidR="00093EEB" w:rsidRPr="00F66F1B" w:rsidRDefault="00093EEB" w:rsidP="00005A84">
            <w:pPr>
              <w:spacing w:before="0"/>
              <w:rPr>
                <w:b/>
                <w:bCs/>
                <w:szCs w:val="24"/>
              </w:rPr>
            </w:pPr>
          </w:p>
        </w:tc>
      </w:tr>
      <w:tr w:rsidR="00093EEB" w:rsidRPr="00F66F1B">
        <w:trPr>
          <w:cantSplit/>
          <w:trHeight w:val="20"/>
        </w:trPr>
        <w:tc>
          <w:tcPr>
            <w:tcW w:w="6912" w:type="dxa"/>
            <w:tcBorders>
              <w:top w:val="single" w:sz="12" w:space="0" w:color="auto"/>
            </w:tcBorders>
          </w:tcPr>
          <w:p w:rsidR="00093EEB" w:rsidRPr="00F66F1B" w:rsidRDefault="00093EEB" w:rsidP="00005A84">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F66F1B" w:rsidRDefault="00093EEB" w:rsidP="00005A84">
            <w:pPr>
              <w:spacing w:before="0"/>
              <w:rPr>
                <w:b/>
                <w:bCs/>
                <w:szCs w:val="24"/>
              </w:rPr>
            </w:pPr>
          </w:p>
        </w:tc>
      </w:tr>
      <w:tr w:rsidR="00093EEB" w:rsidRPr="00F66F1B">
        <w:trPr>
          <w:cantSplit/>
          <w:trHeight w:val="20"/>
        </w:trPr>
        <w:tc>
          <w:tcPr>
            <w:tcW w:w="6912" w:type="dxa"/>
            <w:shd w:val="clear" w:color="auto" w:fill="auto"/>
          </w:tcPr>
          <w:p w:rsidR="00093EEB" w:rsidRPr="00F66F1B" w:rsidRDefault="00A03BD6" w:rsidP="00005A84">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F66F1B">
              <w:rPr>
                <w:rFonts w:cs="Times"/>
                <w:b/>
                <w:szCs w:val="24"/>
              </w:rPr>
              <w:t>Punto del orden del día: PL 1.4</w:t>
            </w:r>
          </w:p>
        </w:tc>
        <w:tc>
          <w:tcPr>
            <w:tcW w:w="3261" w:type="dxa"/>
          </w:tcPr>
          <w:p w:rsidR="00093EEB" w:rsidRPr="00F66F1B" w:rsidRDefault="00093EEB" w:rsidP="00005A84">
            <w:pPr>
              <w:spacing w:before="0"/>
              <w:rPr>
                <w:b/>
                <w:bCs/>
                <w:szCs w:val="24"/>
              </w:rPr>
            </w:pPr>
            <w:r w:rsidRPr="00F66F1B">
              <w:rPr>
                <w:b/>
                <w:bCs/>
                <w:szCs w:val="24"/>
              </w:rPr>
              <w:t>Documento C1</w:t>
            </w:r>
            <w:r w:rsidR="009F4811" w:rsidRPr="00F66F1B">
              <w:rPr>
                <w:b/>
                <w:bCs/>
                <w:szCs w:val="24"/>
              </w:rPr>
              <w:t>8</w:t>
            </w:r>
            <w:r w:rsidRPr="00F66F1B">
              <w:rPr>
                <w:b/>
                <w:bCs/>
                <w:szCs w:val="24"/>
              </w:rPr>
              <w:t>/</w:t>
            </w:r>
            <w:r w:rsidR="00A03BD6" w:rsidRPr="00F66F1B">
              <w:rPr>
                <w:b/>
                <w:bCs/>
                <w:szCs w:val="24"/>
              </w:rPr>
              <w:t>33</w:t>
            </w:r>
            <w:r w:rsidRPr="00F66F1B">
              <w:rPr>
                <w:b/>
                <w:bCs/>
                <w:szCs w:val="24"/>
              </w:rPr>
              <w:t>-S</w:t>
            </w:r>
          </w:p>
        </w:tc>
      </w:tr>
      <w:tr w:rsidR="00093EEB" w:rsidRPr="00F66F1B">
        <w:trPr>
          <w:cantSplit/>
          <w:trHeight w:val="20"/>
        </w:trPr>
        <w:tc>
          <w:tcPr>
            <w:tcW w:w="6912" w:type="dxa"/>
            <w:shd w:val="clear" w:color="auto" w:fill="auto"/>
          </w:tcPr>
          <w:p w:rsidR="00093EEB" w:rsidRPr="00F66F1B" w:rsidRDefault="00093EEB" w:rsidP="00005A84">
            <w:pPr>
              <w:shd w:val="solid" w:color="FFFFFF" w:fill="FFFFFF"/>
              <w:spacing w:before="0"/>
              <w:rPr>
                <w:smallCaps/>
                <w:szCs w:val="24"/>
              </w:rPr>
            </w:pPr>
            <w:bookmarkStart w:id="5" w:name="ddate" w:colFirst="1" w:colLast="1"/>
            <w:bookmarkEnd w:id="3"/>
            <w:bookmarkEnd w:id="4"/>
          </w:p>
        </w:tc>
        <w:tc>
          <w:tcPr>
            <w:tcW w:w="3261" w:type="dxa"/>
          </w:tcPr>
          <w:p w:rsidR="00093EEB" w:rsidRPr="00F66F1B" w:rsidRDefault="00A03BD6" w:rsidP="00005A84">
            <w:pPr>
              <w:spacing w:before="0"/>
              <w:rPr>
                <w:b/>
                <w:bCs/>
                <w:szCs w:val="24"/>
              </w:rPr>
            </w:pPr>
            <w:r w:rsidRPr="00F66F1B">
              <w:rPr>
                <w:b/>
                <w:bCs/>
                <w:szCs w:val="24"/>
              </w:rPr>
              <w:t>8 de marzo</w:t>
            </w:r>
            <w:r w:rsidR="00093EEB" w:rsidRPr="00F66F1B">
              <w:rPr>
                <w:b/>
                <w:bCs/>
                <w:szCs w:val="24"/>
              </w:rPr>
              <w:t xml:space="preserve"> de 201</w:t>
            </w:r>
            <w:r w:rsidR="009F4811" w:rsidRPr="00F66F1B">
              <w:rPr>
                <w:b/>
                <w:bCs/>
                <w:szCs w:val="24"/>
              </w:rPr>
              <w:t>8</w:t>
            </w:r>
          </w:p>
        </w:tc>
      </w:tr>
      <w:tr w:rsidR="00093EEB" w:rsidRPr="00F66F1B">
        <w:trPr>
          <w:cantSplit/>
          <w:trHeight w:val="20"/>
        </w:trPr>
        <w:tc>
          <w:tcPr>
            <w:tcW w:w="6912" w:type="dxa"/>
            <w:shd w:val="clear" w:color="auto" w:fill="auto"/>
          </w:tcPr>
          <w:p w:rsidR="00093EEB" w:rsidRPr="00F66F1B" w:rsidRDefault="00093EEB" w:rsidP="00005A84">
            <w:pPr>
              <w:shd w:val="solid" w:color="FFFFFF" w:fill="FFFFFF"/>
              <w:spacing w:before="0"/>
              <w:rPr>
                <w:smallCaps/>
                <w:szCs w:val="24"/>
              </w:rPr>
            </w:pPr>
            <w:bookmarkStart w:id="6" w:name="dorlang" w:colFirst="1" w:colLast="1"/>
            <w:bookmarkEnd w:id="5"/>
          </w:p>
        </w:tc>
        <w:tc>
          <w:tcPr>
            <w:tcW w:w="3261" w:type="dxa"/>
          </w:tcPr>
          <w:p w:rsidR="00093EEB" w:rsidRPr="00F66F1B" w:rsidRDefault="00093EEB" w:rsidP="00005A84">
            <w:pPr>
              <w:spacing w:before="0"/>
              <w:rPr>
                <w:b/>
                <w:bCs/>
                <w:szCs w:val="24"/>
              </w:rPr>
            </w:pPr>
            <w:r w:rsidRPr="00F66F1B">
              <w:rPr>
                <w:b/>
                <w:bCs/>
                <w:szCs w:val="24"/>
              </w:rPr>
              <w:t>Original: inglés</w:t>
            </w:r>
          </w:p>
        </w:tc>
      </w:tr>
      <w:tr w:rsidR="00093EEB" w:rsidRPr="00F66F1B">
        <w:trPr>
          <w:cantSplit/>
        </w:trPr>
        <w:tc>
          <w:tcPr>
            <w:tcW w:w="10173" w:type="dxa"/>
            <w:gridSpan w:val="2"/>
          </w:tcPr>
          <w:p w:rsidR="00093EEB" w:rsidRPr="00F66F1B" w:rsidRDefault="009A7A2F" w:rsidP="00005A84">
            <w:pPr>
              <w:pStyle w:val="Source"/>
            </w:pPr>
            <w:bookmarkStart w:id="7" w:name="dsource" w:colFirst="0" w:colLast="0"/>
            <w:bookmarkEnd w:id="1"/>
            <w:bookmarkEnd w:id="6"/>
            <w:r w:rsidRPr="00F66F1B">
              <w:t>Informe del Secretario General</w:t>
            </w:r>
          </w:p>
        </w:tc>
      </w:tr>
      <w:tr w:rsidR="00093EEB" w:rsidRPr="00F66F1B">
        <w:trPr>
          <w:cantSplit/>
        </w:trPr>
        <w:tc>
          <w:tcPr>
            <w:tcW w:w="10173" w:type="dxa"/>
            <w:gridSpan w:val="2"/>
          </w:tcPr>
          <w:p w:rsidR="00093EEB" w:rsidRPr="00F66F1B" w:rsidRDefault="009A7A2F" w:rsidP="00005A84">
            <w:pPr>
              <w:pStyle w:val="Title1"/>
            </w:pPr>
            <w:bookmarkStart w:id="8" w:name="dtitle1" w:colFirst="0" w:colLast="0"/>
            <w:bookmarkEnd w:id="7"/>
            <w:r w:rsidRPr="00F66F1B">
              <w:t>ACTIVIDADES DE LA UIT EN EL ÁMBITO DE INTERNET:</w:t>
            </w:r>
            <w:r w:rsidRPr="00F66F1B">
              <w:br/>
              <w:t>REsOLUCIONES 101, 102, 133 Y 180</w:t>
            </w:r>
          </w:p>
        </w:tc>
      </w:tr>
      <w:bookmarkEnd w:id="8"/>
    </w:tbl>
    <w:p w:rsidR="00093EEB" w:rsidRPr="00F66F1B" w:rsidRDefault="00093EEB" w:rsidP="00005A8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F66F1B">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F66F1B" w:rsidRDefault="00093EEB" w:rsidP="00005A84">
            <w:pPr>
              <w:pStyle w:val="Headingb"/>
            </w:pPr>
            <w:r w:rsidRPr="00F66F1B">
              <w:t>Resumen</w:t>
            </w:r>
          </w:p>
          <w:p w:rsidR="00093EEB" w:rsidRPr="00F66F1B" w:rsidRDefault="009A7A2F" w:rsidP="00005A84">
            <w:r w:rsidRPr="00F66F1B">
              <w:t xml:space="preserve">En el presente Informe se resumen las actividades realizadas por la UIT respecto de la Resolución 101 (Rev. Busán, 2014): "Redes basadas en el protocolo Internet", la Resolución 102 (Rev. Busán, 2014): "Función de la UIT con respecto a las cuestiones de política pública internacional relacionadas con Internet y la gestión de los recursos de Internet, incluidos los nombres de dominio y las direcciones", la Resolución 133 (Rev. Busán, 2014): "Función de las Administraciones de los Estados Miembros </w:t>
            </w:r>
            <w:r w:rsidR="0008188D">
              <w:t>en la gestión de los nombres de </w:t>
            </w:r>
            <w:r w:rsidRPr="00F66F1B">
              <w:t>dominio internacionalizados (plurilingües)" y</w:t>
            </w:r>
            <w:r w:rsidR="0008188D">
              <w:t xml:space="preserve"> la Resolución 180 (Rev. Busán, </w:t>
            </w:r>
            <w:r w:rsidRPr="00F66F1B">
              <w:t>2014): "Facilitar la transición de IPv4 a IPv6" de la Conferencia de Plenipotenciarios (PP).</w:t>
            </w:r>
          </w:p>
          <w:p w:rsidR="00093EEB" w:rsidRPr="00F66F1B" w:rsidRDefault="00093EEB" w:rsidP="00005A84">
            <w:pPr>
              <w:pStyle w:val="Headingb"/>
            </w:pPr>
            <w:r w:rsidRPr="00F66F1B">
              <w:t>Acción solicitada</w:t>
            </w:r>
          </w:p>
          <w:p w:rsidR="00093EEB" w:rsidRPr="00F66F1B" w:rsidRDefault="009A7A2F" w:rsidP="00005A84">
            <w:r w:rsidRPr="00F66F1B">
              <w:t xml:space="preserve">Se invita al Consejo a </w:t>
            </w:r>
            <w:r w:rsidRPr="00F66F1B">
              <w:rPr>
                <w:b/>
                <w:bCs/>
              </w:rPr>
              <w:t>tomar nota</w:t>
            </w:r>
            <w:r w:rsidRPr="00F66F1B">
              <w:t xml:space="preserve"> del presente Informe.</w:t>
            </w:r>
            <w:r w:rsidRPr="00F66F1B">
              <w:rPr>
                <w:szCs w:val="24"/>
              </w:rPr>
              <w:t xml:space="preserve"> Se invita asimismo al </w:t>
            </w:r>
            <w:r w:rsidRPr="00F66F1B">
              <w:t xml:space="preserve">Consejo a </w:t>
            </w:r>
            <w:r w:rsidRPr="00F66F1B">
              <w:rPr>
                <w:b/>
                <w:bCs/>
              </w:rPr>
              <w:t>refrendar</w:t>
            </w:r>
            <w:r w:rsidRPr="00F66F1B">
              <w:t xml:space="preserve"> la transmisión del informe, junto con la compilación de opiniones de los Estados Miembros del Consejo y los correspondientes resúmenes de los debates y la nota de presentación, al Secretario General de las Naciones Unidas.</w:t>
            </w:r>
          </w:p>
          <w:p w:rsidR="00093EEB" w:rsidRPr="00F66F1B" w:rsidRDefault="00093EEB" w:rsidP="00005A84">
            <w:pPr>
              <w:pStyle w:val="Headingb"/>
            </w:pPr>
            <w:r w:rsidRPr="00F66F1B">
              <w:t>Referencia</w:t>
            </w:r>
            <w:r w:rsidR="00484F9E" w:rsidRPr="00F66F1B">
              <w:t>s</w:t>
            </w:r>
          </w:p>
          <w:p w:rsidR="00093EEB" w:rsidRPr="00F66F1B" w:rsidRDefault="009A7A2F" w:rsidP="00005A84">
            <w:pPr>
              <w:spacing w:after="120"/>
              <w:rPr>
                <w:i/>
                <w:iCs/>
              </w:rPr>
            </w:pPr>
            <w:r w:rsidRPr="00F66F1B">
              <w:rPr>
                <w:i/>
                <w:iCs/>
              </w:rPr>
              <w:t xml:space="preserve">Resoluciones </w:t>
            </w:r>
            <w:hyperlink r:id="rId8" w:history="1">
              <w:r w:rsidRPr="00F66F1B">
                <w:rPr>
                  <w:rStyle w:val="Hyperlink"/>
                  <w:i/>
                  <w:iCs/>
                </w:rPr>
                <w:t>101</w:t>
              </w:r>
            </w:hyperlink>
            <w:r w:rsidRPr="00F66F1B">
              <w:rPr>
                <w:i/>
                <w:iCs/>
              </w:rPr>
              <w:t xml:space="preserve">, </w:t>
            </w:r>
            <w:hyperlink r:id="rId9" w:history="1">
              <w:r w:rsidRPr="00F66F1B">
                <w:rPr>
                  <w:rStyle w:val="Hyperlink"/>
                  <w:i/>
                  <w:iCs/>
                </w:rPr>
                <w:t>102</w:t>
              </w:r>
            </w:hyperlink>
            <w:r w:rsidRPr="00F66F1B">
              <w:rPr>
                <w:i/>
                <w:iCs/>
              </w:rPr>
              <w:t xml:space="preserve">, </w:t>
            </w:r>
            <w:hyperlink r:id="rId10" w:history="1">
              <w:r w:rsidRPr="00F66F1B">
                <w:rPr>
                  <w:rStyle w:val="Hyperlink"/>
                  <w:i/>
                  <w:iCs/>
                </w:rPr>
                <w:t>133</w:t>
              </w:r>
            </w:hyperlink>
            <w:r w:rsidRPr="00F66F1B">
              <w:rPr>
                <w:i/>
                <w:iCs/>
              </w:rPr>
              <w:t xml:space="preserve">, </w:t>
            </w:r>
            <w:hyperlink r:id="rId11" w:history="1">
              <w:r w:rsidRPr="00F66F1B">
                <w:rPr>
                  <w:rStyle w:val="Hyperlink"/>
                  <w:i/>
                  <w:iCs/>
                </w:rPr>
                <w:t>180</w:t>
              </w:r>
            </w:hyperlink>
            <w:r w:rsidRPr="00F66F1B">
              <w:rPr>
                <w:i/>
                <w:iCs/>
              </w:rPr>
              <w:t xml:space="preserve"> (Rev. Busán, 2014) de la Conferencia de Plenipotenciarios; Resoluciones </w:t>
            </w:r>
            <w:hyperlink r:id="rId12" w:history="1">
              <w:r w:rsidRPr="00F66F1B">
                <w:rPr>
                  <w:rStyle w:val="Hyperlink"/>
                  <w:i/>
                  <w:iCs/>
                </w:rPr>
                <w:t>1305</w:t>
              </w:r>
            </w:hyperlink>
            <w:r w:rsidRPr="00F66F1B">
              <w:rPr>
                <w:i/>
                <w:iCs/>
              </w:rPr>
              <w:t xml:space="preserve"> (2009), </w:t>
            </w:r>
            <w:hyperlink r:id="rId13" w:history="1">
              <w:r w:rsidRPr="00F66F1B">
                <w:rPr>
                  <w:rStyle w:val="Hyperlink"/>
                  <w:i/>
                  <w:iCs/>
                </w:rPr>
                <w:t>1336</w:t>
              </w:r>
            </w:hyperlink>
            <w:r w:rsidRPr="00F66F1B">
              <w:rPr>
                <w:i/>
                <w:iCs/>
              </w:rPr>
              <w:t xml:space="preserve"> (mod 2015), </w:t>
            </w:r>
            <w:hyperlink r:id="rId14" w:history="1">
              <w:r w:rsidRPr="00F66F1B">
                <w:rPr>
                  <w:rStyle w:val="Hyperlink"/>
                  <w:i/>
                  <w:iCs/>
                </w:rPr>
                <w:t>1344</w:t>
              </w:r>
            </w:hyperlink>
            <w:r w:rsidRPr="00F66F1B">
              <w:rPr>
                <w:i/>
                <w:iCs/>
              </w:rPr>
              <w:t xml:space="preserve"> (mod 2015) del Consejo; Resoluciones </w:t>
            </w:r>
            <w:hyperlink r:id="rId15" w:history="1">
              <w:r w:rsidRPr="00F66F1B">
                <w:rPr>
                  <w:rStyle w:val="Hyperlink"/>
                  <w:i/>
                  <w:iCs/>
                </w:rPr>
                <w:t>47</w:t>
              </w:r>
            </w:hyperlink>
            <w:r w:rsidRPr="00F66F1B">
              <w:rPr>
                <w:i/>
                <w:iCs/>
              </w:rPr>
              <w:t xml:space="preserve">, </w:t>
            </w:r>
            <w:hyperlink r:id="rId16" w:history="1">
              <w:r w:rsidRPr="00F66F1B">
                <w:rPr>
                  <w:rStyle w:val="Hyperlink"/>
                  <w:i/>
                  <w:iCs/>
                </w:rPr>
                <w:t>48</w:t>
              </w:r>
            </w:hyperlink>
            <w:r w:rsidRPr="00F66F1B">
              <w:rPr>
                <w:i/>
                <w:iCs/>
              </w:rPr>
              <w:t xml:space="preserve"> (Rev. Dubái, 2012), </w:t>
            </w:r>
            <w:hyperlink r:id="rId17" w:history="1">
              <w:r w:rsidRPr="00F66F1B">
                <w:rPr>
                  <w:rStyle w:val="Hyperlink"/>
                  <w:i/>
                  <w:iCs/>
                </w:rPr>
                <w:t>49</w:t>
              </w:r>
            </w:hyperlink>
            <w:r w:rsidRPr="00F66F1B">
              <w:rPr>
                <w:i/>
                <w:iCs/>
              </w:rPr>
              <w:t xml:space="preserve">, </w:t>
            </w:r>
            <w:hyperlink r:id="rId18" w:history="1">
              <w:r w:rsidRPr="00F66F1B">
                <w:rPr>
                  <w:rStyle w:val="Hyperlink"/>
                  <w:i/>
                  <w:iCs/>
                </w:rPr>
                <w:t>50</w:t>
              </w:r>
            </w:hyperlink>
            <w:r w:rsidRPr="00F66F1B">
              <w:rPr>
                <w:i/>
                <w:iCs/>
              </w:rPr>
              <w:t xml:space="preserve">, </w:t>
            </w:r>
            <w:hyperlink r:id="rId19" w:history="1">
              <w:r w:rsidRPr="00F66F1B">
                <w:rPr>
                  <w:rStyle w:val="Hyperlink"/>
                  <w:i/>
                  <w:iCs/>
                </w:rPr>
                <w:t>52</w:t>
              </w:r>
            </w:hyperlink>
            <w:r w:rsidRPr="00F66F1B">
              <w:rPr>
                <w:i/>
                <w:iCs/>
              </w:rPr>
              <w:t xml:space="preserve"> (Rev. Hammamet, 2016), </w:t>
            </w:r>
            <w:hyperlink r:id="rId20" w:history="1">
              <w:r w:rsidRPr="00F66F1B">
                <w:rPr>
                  <w:rStyle w:val="Hyperlink"/>
                  <w:i/>
                  <w:iCs/>
                </w:rPr>
                <w:t>58</w:t>
              </w:r>
            </w:hyperlink>
            <w:r w:rsidRPr="00F66F1B">
              <w:rPr>
                <w:i/>
                <w:iCs/>
              </w:rPr>
              <w:t xml:space="preserve">, </w:t>
            </w:r>
            <w:hyperlink r:id="rId21" w:history="1">
              <w:r w:rsidRPr="00F66F1B">
                <w:rPr>
                  <w:rStyle w:val="Hyperlink"/>
                  <w:i/>
                  <w:iCs/>
                </w:rPr>
                <w:t>60</w:t>
              </w:r>
            </w:hyperlink>
            <w:r w:rsidRPr="00F66F1B">
              <w:rPr>
                <w:i/>
                <w:iCs/>
              </w:rPr>
              <w:t xml:space="preserve"> (Rev. Dubái, 2012), </w:t>
            </w:r>
            <w:hyperlink r:id="rId22" w:history="1">
              <w:r w:rsidRPr="00F66F1B">
                <w:rPr>
                  <w:rStyle w:val="Hyperlink"/>
                  <w:i/>
                  <w:iCs/>
                </w:rPr>
                <w:t>64</w:t>
              </w:r>
            </w:hyperlink>
            <w:r w:rsidRPr="00F66F1B">
              <w:rPr>
                <w:i/>
                <w:iCs/>
              </w:rPr>
              <w:t xml:space="preserve">, </w:t>
            </w:r>
            <w:hyperlink r:id="rId23" w:history="1">
              <w:r w:rsidRPr="00F66F1B">
                <w:rPr>
                  <w:rStyle w:val="Hyperlink"/>
                  <w:i/>
                  <w:iCs/>
                </w:rPr>
                <w:t>69</w:t>
              </w:r>
            </w:hyperlink>
            <w:r w:rsidRPr="00F66F1B">
              <w:rPr>
                <w:i/>
                <w:iCs/>
              </w:rPr>
              <w:t xml:space="preserve">, </w:t>
            </w:r>
            <w:hyperlink r:id="rId24" w:history="1">
              <w:r w:rsidRPr="00F66F1B">
                <w:rPr>
                  <w:rStyle w:val="Hyperlink"/>
                  <w:i/>
                  <w:iCs/>
                </w:rPr>
                <w:t>75</w:t>
              </w:r>
            </w:hyperlink>
            <w:r w:rsidRPr="00F66F1B">
              <w:rPr>
                <w:i/>
                <w:iCs/>
              </w:rPr>
              <w:t xml:space="preserve"> (Rev. Hammamet, 2016), </w:t>
            </w:r>
            <w:hyperlink r:id="rId25" w:history="1">
              <w:r w:rsidRPr="00F66F1B">
                <w:rPr>
                  <w:rStyle w:val="Hyperlink"/>
                  <w:i/>
                  <w:iCs/>
                </w:rPr>
                <w:t>98</w:t>
              </w:r>
            </w:hyperlink>
            <w:r w:rsidRPr="00F66F1B">
              <w:rPr>
                <w:i/>
                <w:iCs/>
              </w:rPr>
              <w:t xml:space="preserve"> (Hammamet, 2016) de la AMNT; </w:t>
            </w:r>
            <w:hyperlink r:id="rId26" w:history="1">
              <w:r w:rsidR="007B6A55">
                <w:rPr>
                  <w:rStyle w:val="Hyperlink"/>
                  <w:i/>
                  <w:iCs/>
                </w:rPr>
                <w:t>Objetivo 3</w:t>
              </w:r>
              <w:r w:rsidR="005A5DEA" w:rsidRPr="00F66F1B">
                <w:rPr>
                  <w:rStyle w:val="Hyperlink"/>
                  <w:i/>
                  <w:iCs/>
                </w:rPr>
                <w:t>/Produc</w:t>
              </w:r>
              <w:r w:rsidR="005A5DEA" w:rsidRPr="00F66F1B">
                <w:rPr>
                  <w:rStyle w:val="Hyperlink"/>
                  <w:i/>
                  <w:iCs/>
                </w:rPr>
                <w:t>t</w:t>
              </w:r>
              <w:r w:rsidR="005A5DEA" w:rsidRPr="00F66F1B">
                <w:rPr>
                  <w:rStyle w:val="Hyperlink"/>
                  <w:i/>
                  <w:iCs/>
                </w:rPr>
                <w:t xml:space="preserve">o </w:t>
              </w:r>
              <w:r w:rsidR="005A5DEA" w:rsidRPr="00F66F1B">
                <w:rPr>
                  <w:rStyle w:val="Hyperlink"/>
                  <w:i/>
                  <w:iCs/>
                </w:rPr>
                <w:t>3</w:t>
              </w:r>
              <w:r w:rsidR="005A5DEA" w:rsidRPr="00F66F1B">
                <w:rPr>
                  <w:rStyle w:val="Hyperlink"/>
                  <w:i/>
                  <w:iCs/>
                </w:rPr>
                <w:t>.3</w:t>
              </w:r>
              <w:r w:rsidRPr="00F66F1B">
                <w:rPr>
                  <w:rStyle w:val="Hyperlink"/>
                  <w:i/>
                  <w:iCs/>
                </w:rPr>
                <w:t xml:space="preserve"> del Plan de Acción de </w:t>
              </w:r>
              <w:r w:rsidR="005A5DEA" w:rsidRPr="00F66F1B">
                <w:rPr>
                  <w:rStyle w:val="Hyperlink"/>
                  <w:i/>
                  <w:iCs/>
                </w:rPr>
                <w:t>Buenos Aires</w:t>
              </w:r>
              <w:r w:rsidRPr="00F66F1B">
                <w:rPr>
                  <w:rStyle w:val="Hyperlink"/>
                  <w:i/>
                  <w:iCs/>
                </w:rPr>
                <w:t xml:space="preserve"> de la CMDT-1</w:t>
              </w:r>
              <w:r w:rsidR="005A5DEA" w:rsidRPr="00F66F1B">
                <w:rPr>
                  <w:rStyle w:val="Hyperlink"/>
                  <w:i/>
                  <w:iCs/>
                </w:rPr>
                <w:t>7</w:t>
              </w:r>
            </w:hyperlink>
            <w:r w:rsidRPr="00F66F1B">
              <w:rPr>
                <w:i/>
                <w:iCs/>
              </w:rPr>
              <w:t xml:space="preserve">, Resoluciones </w:t>
            </w:r>
            <w:hyperlink r:id="rId27" w:history="1">
              <w:r w:rsidRPr="00F66F1B">
                <w:rPr>
                  <w:rStyle w:val="Hyperlink"/>
                  <w:i/>
                  <w:iCs/>
                </w:rPr>
                <w:t>20</w:t>
              </w:r>
            </w:hyperlink>
            <w:r w:rsidRPr="00F66F1B">
              <w:rPr>
                <w:i/>
                <w:iCs/>
              </w:rPr>
              <w:t xml:space="preserve">, </w:t>
            </w:r>
            <w:hyperlink r:id="rId28" w:history="1">
              <w:r w:rsidRPr="00F66F1B">
                <w:rPr>
                  <w:rStyle w:val="Hyperlink"/>
                  <w:i/>
                  <w:iCs/>
                </w:rPr>
                <w:t>30</w:t>
              </w:r>
            </w:hyperlink>
            <w:r w:rsidRPr="00F66F1B">
              <w:rPr>
                <w:i/>
                <w:iCs/>
              </w:rPr>
              <w:t xml:space="preserve"> y </w:t>
            </w:r>
            <w:hyperlink r:id="rId29" w:history="1">
              <w:r w:rsidRPr="00F66F1B">
                <w:rPr>
                  <w:rStyle w:val="Hyperlink"/>
                  <w:i/>
                  <w:iCs/>
                </w:rPr>
                <w:t>63</w:t>
              </w:r>
            </w:hyperlink>
            <w:r w:rsidRPr="00F66F1B">
              <w:rPr>
                <w:i/>
                <w:iCs/>
              </w:rPr>
              <w:t xml:space="preserve"> (Rev. </w:t>
            </w:r>
            <w:r w:rsidR="003C2DDA" w:rsidRPr="00F66F1B">
              <w:rPr>
                <w:i/>
                <w:iCs/>
              </w:rPr>
              <w:t>Buenos Aires</w:t>
            </w:r>
            <w:r w:rsidRPr="00F66F1B">
              <w:rPr>
                <w:i/>
                <w:iCs/>
              </w:rPr>
              <w:t>, 201</w:t>
            </w:r>
            <w:r w:rsidR="003C2DDA" w:rsidRPr="00F66F1B">
              <w:rPr>
                <w:i/>
                <w:iCs/>
              </w:rPr>
              <w:t>7</w:t>
            </w:r>
            <w:r w:rsidRPr="00F66F1B">
              <w:rPr>
                <w:i/>
                <w:iCs/>
              </w:rPr>
              <w:t xml:space="preserve">) </w:t>
            </w:r>
            <w:r w:rsidR="00401F98" w:rsidRPr="00F66F1B">
              <w:rPr>
                <w:i/>
                <w:iCs/>
              </w:rPr>
              <w:t xml:space="preserve">y </w:t>
            </w:r>
            <w:hyperlink r:id="rId30" w:history="1">
              <w:r w:rsidR="00401F98" w:rsidRPr="00F66F1B">
                <w:rPr>
                  <w:rStyle w:val="Hyperlink"/>
                  <w:i/>
                  <w:iCs/>
                </w:rPr>
                <w:t>45</w:t>
              </w:r>
            </w:hyperlink>
            <w:r w:rsidR="00401F98" w:rsidRPr="00F66F1B">
              <w:t xml:space="preserve"> </w:t>
            </w:r>
            <w:r w:rsidR="00401F98" w:rsidRPr="00F66F1B">
              <w:rPr>
                <w:i/>
                <w:iCs/>
              </w:rPr>
              <w:t>(Rev. Dubái, 2014)</w:t>
            </w:r>
            <w:r w:rsidR="007F3A55">
              <w:rPr>
                <w:i/>
                <w:iCs/>
              </w:rPr>
              <w:t xml:space="preserve"> </w:t>
            </w:r>
            <w:r w:rsidRPr="00F66F1B">
              <w:rPr>
                <w:i/>
                <w:iCs/>
              </w:rPr>
              <w:t xml:space="preserve">de la CMDT; Documentos </w:t>
            </w:r>
            <w:hyperlink r:id="rId31" w:history="1">
              <w:r w:rsidRPr="00F66F1B">
                <w:rPr>
                  <w:rStyle w:val="Hyperlink"/>
                  <w:i/>
                  <w:iCs/>
                </w:rPr>
                <w:t>C14/40</w:t>
              </w:r>
            </w:hyperlink>
            <w:r w:rsidRPr="00F66F1B">
              <w:rPr>
                <w:i/>
                <w:iCs/>
              </w:rPr>
              <w:t xml:space="preserve">, </w:t>
            </w:r>
            <w:hyperlink r:id="rId32" w:history="1">
              <w:r w:rsidRPr="00F66F1B">
                <w:rPr>
                  <w:rStyle w:val="Hyperlink"/>
                  <w:i/>
                  <w:iCs/>
                </w:rPr>
                <w:t>C15/33</w:t>
              </w:r>
            </w:hyperlink>
            <w:r w:rsidR="00992514" w:rsidRPr="00F66F1B">
              <w:rPr>
                <w:i/>
                <w:iCs/>
              </w:rPr>
              <w:t>,</w:t>
            </w:r>
            <w:r w:rsidRPr="00F66F1B">
              <w:rPr>
                <w:i/>
                <w:iCs/>
              </w:rPr>
              <w:t xml:space="preserve"> </w:t>
            </w:r>
            <w:hyperlink r:id="rId33" w:history="1">
              <w:r w:rsidRPr="00F66F1B">
                <w:rPr>
                  <w:rStyle w:val="Hyperlink"/>
                  <w:i/>
                  <w:iCs/>
                </w:rPr>
                <w:t>C16/33</w:t>
              </w:r>
            </w:hyperlink>
            <w:r w:rsidRPr="00F66F1B">
              <w:rPr>
                <w:i/>
                <w:iCs/>
              </w:rPr>
              <w:t xml:space="preserve"> </w:t>
            </w:r>
            <w:r w:rsidR="00992514" w:rsidRPr="00F66F1B">
              <w:rPr>
                <w:i/>
                <w:iCs/>
              </w:rPr>
              <w:t xml:space="preserve">y </w:t>
            </w:r>
            <w:hyperlink r:id="rId34" w:history="1">
              <w:r w:rsidR="00992514" w:rsidRPr="00F66F1B">
                <w:rPr>
                  <w:rStyle w:val="Hyperlink"/>
                  <w:rFonts w:cstheme="minorHAnsi"/>
                  <w:i/>
                  <w:iCs/>
                  <w:szCs w:val="24"/>
                </w:rPr>
                <w:t>C17/33</w:t>
              </w:r>
            </w:hyperlink>
            <w:r w:rsidR="00992514" w:rsidRPr="00F66F1B">
              <w:t xml:space="preserve"> </w:t>
            </w:r>
            <w:r w:rsidRPr="00F66F1B">
              <w:rPr>
                <w:i/>
                <w:iCs/>
              </w:rPr>
              <w:t>del Consejo.</w:t>
            </w:r>
          </w:p>
        </w:tc>
      </w:tr>
    </w:tbl>
    <w:p w:rsidR="009A7A2F" w:rsidRPr="00F66F1B" w:rsidRDefault="009A7A2F" w:rsidP="00005A84">
      <w:r w:rsidRPr="00F66F1B">
        <w:br w:type="page"/>
      </w:r>
    </w:p>
    <w:p w:rsidR="003F147B" w:rsidRPr="00F66F1B" w:rsidRDefault="003F147B" w:rsidP="00005A84">
      <w:pPr>
        <w:pStyle w:val="Heading1"/>
        <w:tabs>
          <w:tab w:val="clear" w:pos="2268"/>
          <w:tab w:val="clear" w:pos="2835"/>
          <w:tab w:val="center" w:pos="4819"/>
        </w:tabs>
      </w:pPr>
      <w:r w:rsidRPr="00F66F1B">
        <w:lastRenderedPageBreak/>
        <w:t>1</w:t>
      </w:r>
      <w:r w:rsidRPr="00F66F1B">
        <w:tab/>
        <w:t>Introducción</w:t>
      </w:r>
    </w:p>
    <w:p w:rsidR="003F147B" w:rsidRPr="00F66F1B" w:rsidRDefault="003F147B" w:rsidP="00005A84">
      <w:r w:rsidRPr="00F66F1B">
        <w:t xml:space="preserve">En el presente Informe se describen las actividades de la UIT relativas a las Resoluciones 101, 102, 133 y 180 de la PP </w:t>
      </w:r>
      <w:r w:rsidR="0059424A" w:rsidRPr="00F66F1B">
        <w:t xml:space="preserve">realizadas durante el periodo considerado, </w:t>
      </w:r>
      <w:r w:rsidR="002053E0" w:rsidRPr="00F66F1B">
        <w:t xml:space="preserve">es decir, desde </w:t>
      </w:r>
      <w:r w:rsidR="00CC5E58">
        <w:t xml:space="preserve">la </w:t>
      </w:r>
      <w:r w:rsidRPr="00F66F1B">
        <w:t>reunión de 201</w:t>
      </w:r>
      <w:r w:rsidR="008F5389" w:rsidRPr="00F66F1B">
        <w:t>7</w:t>
      </w:r>
      <w:r w:rsidRPr="00F66F1B">
        <w:t xml:space="preserve"> del Consejo</w:t>
      </w:r>
      <w:r w:rsidR="002053E0" w:rsidRPr="00F66F1B">
        <w:t xml:space="preserve"> hasta la fecha</w:t>
      </w:r>
      <w:r w:rsidRPr="00F66F1B">
        <w:t>.</w:t>
      </w:r>
      <w:r w:rsidR="008F5389" w:rsidRPr="00F66F1B">
        <w:rPr>
          <w:rStyle w:val="FootnoteReference"/>
          <w:rFonts w:cstheme="minorHAnsi"/>
          <w:szCs w:val="24"/>
        </w:rPr>
        <w:footnoteReference w:id="1"/>
      </w:r>
    </w:p>
    <w:p w:rsidR="003F147B" w:rsidRPr="00F66F1B" w:rsidRDefault="003F147B" w:rsidP="00005A84">
      <w:pPr>
        <w:pStyle w:val="Heading1"/>
        <w:tabs>
          <w:tab w:val="clear" w:pos="2268"/>
          <w:tab w:val="clear" w:pos="2835"/>
          <w:tab w:val="center" w:pos="4819"/>
        </w:tabs>
      </w:pPr>
      <w:r w:rsidRPr="00F66F1B">
        <w:t>2</w:t>
      </w:r>
      <w:r w:rsidRPr="00F66F1B">
        <w:tab/>
        <w:t xml:space="preserve">Actividades relacionadas con las redes con protocolo Internet (IP), el desarrollo de redes de la próxima generación (NGN) y la Internet del futuro, incluidas las </w:t>
      </w:r>
      <w:r w:rsidR="002053E0" w:rsidRPr="00F66F1B">
        <w:t xml:space="preserve">dificultades </w:t>
      </w:r>
      <w:r w:rsidRPr="00F66F1B">
        <w:t>en materia de política y reglamentación</w:t>
      </w:r>
    </w:p>
    <w:p w:rsidR="00576392" w:rsidRPr="00F66F1B" w:rsidRDefault="003F147B" w:rsidP="00005A84">
      <w:bookmarkStart w:id="9" w:name="a353677d2-7347-4cd3-8301-15d8ee365aeb"/>
      <w:bookmarkEnd w:id="9"/>
      <w:r w:rsidRPr="00F66F1B">
        <w:t>2.1</w:t>
      </w:r>
      <w:r w:rsidRPr="00F66F1B">
        <w:tab/>
        <w:t xml:space="preserve">Todas las Comisiones de Estudio del UIT-T prosiguen sus trabajos sobre diferentes ámbitos de </w:t>
      </w:r>
      <w:r w:rsidR="00916170" w:rsidRPr="00F66F1B">
        <w:rPr>
          <w:rFonts w:asciiTheme="minorHAnsi" w:hAnsiTheme="minorHAnsi" w:cstheme="minorHAnsi"/>
          <w:bCs/>
          <w:iCs/>
          <w:szCs w:val="24"/>
        </w:rPr>
        <w:t xml:space="preserve">Internet, </w:t>
      </w:r>
      <w:r w:rsidR="002053E0" w:rsidRPr="00F66F1B">
        <w:rPr>
          <w:rFonts w:asciiTheme="minorHAnsi" w:hAnsiTheme="minorHAnsi" w:cstheme="minorHAnsi"/>
          <w:bCs/>
          <w:iCs/>
          <w:szCs w:val="24"/>
        </w:rPr>
        <w:t xml:space="preserve">redes </w:t>
      </w:r>
      <w:r w:rsidR="00916170" w:rsidRPr="00F66F1B">
        <w:rPr>
          <w:rFonts w:asciiTheme="minorHAnsi" w:hAnsiTheme="minorHAnsi" w:cstheme="minorHAnsi"/>
          <w:bCs/>
          <w:iCs/>
          <w:szCs w:val="24"/>
        </w:rPr>
        <w:t>IPv4/IPv6</w:t>
      </w:r>
      <w:r w:rsidR="00916170" w:rsidRPr="00F66F1B">
        <w:rPr>
          <w:rFonts w:asciiTheme="minorHAnsi" w:hAnsiTheme="minorHAnsi" w:cstheme="minorHAnsi"/>
          <w:iCs/>
          <w:szCs w:val="24"/>
        </w:rPr>
        <w:t>, Internet</w:t>
      </w:r>
      <w:r w:rsidR="002053E0" w:rsidRPr="00F66F1B">
        <w:rPr>
          <w:rFonts w:asciiTheme="minorHAnsi" w:hAnsiTheme="minorHAnsi" w:cstheme="minorHAnsi"/>
          <w:iCs/>
          <w:szCs w:val="24"/>
        </w:rPr>
        <w:t xml:space="preserve"> de las cosas</w:t>
      </w:r>
      <w:r w:rsidR="00916170" w:rsidRPr="00F66F1B">
        <w:rPr>
          <w:rFonts w:asciiTheme="minorHAnsi" w:hAnsiTheme="minorHAnsi" w:cstheme="minorHAnsi"/>
          <w:iCs/>
          <w:szCs w:val="24"/>
        </w:rPr>
        <w:t xml:space="preserve">, </w:t>
      </w:r>
      <w:r w:rsidR="002053E0" w:rsidRPr="00F66F1B">
        <w:rPr>
          <w:rFonts w:asciiTheme="minorHAnsi" w:hAnsiTheme="minorHAnsi" w:cstheme="minorHAnsi"/>
          <w:iCs/>
          <w:szCs w:val="24"/>
        </w:rPr>
        <w:t xml:space="preserve">denominación y direccionamiento de </w:t>
      </w:r>
      <w:r w:rsidR="00916170" w:rsidRPr="00F66F1B">
        <w:rPr>
          <w:rFonts w:asciiTheme="minorHAnsi" w:hAnsiTheme="minorHAnsi" w:cstheme="minorHAnsi"/>
          <w:iCs/>
          <w:szCs w:val="24"/>
        </w:rPr>
        <w:t xml:space="preserve">Internet, </w:t>
      </w:r>
      <w:r w:rsidRPr="00F66F1B">
        <w:t>las NGN y su evolución, las redes futuras (FN)</w:t>
      </w:r>
      <w:r w:rsidR="00576392" w:rsidRPr="00F66F1B">
        <w:t xml:space="preserve">, </w:t>
      </w:r>
      <w:r w:rsidR="002053E0" w:rsidRPr="00F66F1B">
        <w:rPr>
          <w:rFonts w:asciiTheme="minorHAnsi" w:hAnsiTheme="minorHAnsi" w:cstheme="minorHAnsi"/>
          <w:szCs w:val="24"/>
        </w:rPr>
        <w:t>la computación en la nube</w:t>
      </w:r>
      <w:r w:rsidR="00576392" w:rsidRPr="00F66F1B">
        <w:rPr>
          <w:rFonts w:asciiTheme="minorHAnsi" w:hAnsiTheme="minorHAnsi" w:cstheme="minorHAnsi"/>
          <w:szCs w:val="24"/>
        </w:rPr>
        <w:t xml:space="preserve">, QoS, </w:t>
      </w:r>
      <w:r w:rsidR="002053E0" w:rsidRPr="00F66F1B">
        <w:rPr>
          <w:rFonts w:asciiTheme="minorHAnsi" w:hAnsiTheme="minorHAnsi" w:cstheme="minorHAnsi"/>
          <w:szCs w:val="24"/>
        </w:rPr>
        <w:t>TV</w:t>
      </w:r>
      <w:r w:rsidR="00576392" w:rsidRPr="00F66F1B">
        <w:rPr>
          <w:rFonts w:asciiTheme="minorHAnsi" w:hAnsiTheme="minorHAnsi" w:cstheme="minorHAnsi"/>
          <w:szCs w:val="24"/>
        </w:rPr>
        <w:t>IP</w:t>
      </w:r>
      <w:r w:rsidR="002053E0" w:rsidRPr="00F66F1B">
        <w:rPr>
          <w:rFonts w:asciiTheme="minorHAnsi" w:hAnsiTheme="minorHAnsi" w:cstheme="minorHAnsi"/>
          <w:szCs w:val="24"/>
        </w:rPr>
        <w:t xml:space="preserve"> y</w:t>
      </w:r>
      <w:r w:rsidR="00576392" w:rsidRPr="00F66F1B">
        <w:rPr>
          <w:rFonts w:asciiTheme="minorHAnsi" w:hAnsiTheme="minorHAnsi" w:cstheme="minorHAnsi"/>
          <w:szCs w:val="24"/>
        </w:rPr>
        <w:t xml:space="preserve"> </w:t>
      </w:r>
      <w:r w:rsidR="00BC57AC" w:rsidRPr="00F66F1B">
        <w:rPr>
          <w:rFonts w:asciiTheme="minorHAnsi" w:hAnsiTheme="minorHAnsi" w:cstheme="minorHAnsi"/>
          <w:szCs w:val="24"/>
        </w:rPr>
        <w:t>aplicaciones </w:t>
      </w:r>
      <w:r w:rsidR="00576392" w:rsidRPr="00F66F1B">
        <w:rPr>
          <w:rFonts w:asciiTheme="minorHAnsi" w:hAnsiTheme="minorHAnsi" w:cstheme="minorHAnsi"/>
          <w:szCs w:val="24"/>
        </w:rPr>
        <w:t xml:space="preserve">IP, </w:t>
      </w:r>
      <w:r w:rsidR="002053E0" w:rsidRPr="00F66F1B">
        <w:rPr>
          <w:rFonts w:asciiTheme="minorHAnsi" w:hAnsiTheme="minorHAnsi" w:cstheme="minorHAnsi"/>
          <w:szCs w:val="24"/>
        </w:rPr>
        <w:t xml:space="preserve">incertidumbre del origen y conectividad </w:t>
      </w:r>
      <w:r w:rsidR="00576392" w:rsidRPr="00F66F1B">
        <w:rPr>
          <w:rFonts w:asciiTheme="minorHAnsi" w:hAnsiTheme="minorHAnsi" w:cstheme="minorHAnsi"/>
          <w:szCs w:val="24"/>
        </w:rPr>
        <w:t>interna</w:t>
      </w:r>
      <w:r w:rsidR="002053E0" w:rsidRPr="00F66F1B">
        <w:rPr>
          <w:rFonts w:asciiTheme="minorHAnsi" w:hAnsiTheme="minorHAnsi" w:cstheme="minorHAnsi"/>
          <w:szCs w:val="24"/>
        </w:rPr>
        <w:t>c</w:t>
      </w:r>
      <w:r w:rsidR="00576392" w:rsidRPr="00F66F1B">
        <w:rPr>
          <w:rFonts w:asciiTheme="minorHAnsi" w:hAnsiTheme="minorHAnsi" w:cstheme="minorHAnsi"/>
          <w:szCs w:val="24"/>
        </w:rPr>
        <w:t>ional</w:t>
      </w:r>
      <w:r w:rsidR="00576392" w:rsidRPr="00F66F1B">
        <w:t>.</w:t>
      </w:r>
    </w:p>
    <w:p w:rsidR="003F147B" w:rsidRPr="00F66F1B" w:rsidRDefault="002053E0" w:rsidP="00BC57AC">
      <w:r w:rsidRPr="00F66F1B">
        <w:rPr>
          <w:rFonts w:asciiTheme="minorHAnsi" w:hAnsiTheme="minorHAnsi" w:cstheme="minorHAnsi"/>
          <w:szCs w:val="24"/>
        </w:rPr>
        <w:t>Se han aprobado hasta la fecha</w:t>
      </w:r>
      <w:r w:rsidR="00730697" w:rsidRPr="00F66F1B">
        <w:rPr>
          <w:rFonts w:asciiTheme="minorHAnsi" w:hAnsiTheme="minorHAnsi" w:cstheme="minorHAnsi"/>
          <w:szCs w:val="24"/>
        </w:rPr>
        <w:t xml:space="preserve"> </w:t>
      </w:r>
      <w:r w:rsidRPr="00F66F1B">
        <w:rPr>
          <w:rFonts w:asciiTheme="minorHAnsi" w:hAnsiTheme="minorHAnsi" w:cstheme="minorHAnsi"/>
          <w:szCs w:val="24"/>
        </w:rPr>
        <w:t xml:space="preserve">más de </w:t>
      </w:r>
      <w:r w:rsidR="00730697" w:rsidRPr="00F66F1B">
        <w:rPr>
          <w:rFonts w:asciiTheme="minorHAnsi" w:hAnsiTheme="minorHAnsi" w:cstheme="minorHAnsi"/>
          <w:szCs w:val="24"/>
        </w:rPr>
        <w:t>260</w:t>
      </w:r>
      <w:r w:rsidR="00730697" w:rsidRPr="00F66F1B">
        <w:rPr>
          <w:rFonts w:asciiTheme="minorHAnsi" w:hAnsiTheme="minorHAnsi"/>
        </w:rPr>
        <w:t xml:space="preserve"> </w:t>
      </w:r>
      <w:r w:rsidR="003F147B" w:rsidRPr="00F66F1B">
        <w:t xml:space="preserve">Recomendaciones UIT-T nuevas/revisadas </w:t>
      </w:r>
      <w:r w:rsidRPr="00F66F1B">
        <w:rPr>
          <w:rFonts w:asciiTheme="minorHAnsi" w:hAnsiTheme="minorHAnsi" w:cstheme="minorHAnsi"/>
          <w:szCs w:val="24"/>
        </w:rPr>
        <w:t>desde el último periodo de notificación</w:t>
      </w:r>
      <w:r w:rsidR="00730697" w:rsidRPr="00F66F1B">
        <w:rPr>
          <w:rFonts w:asciiTheme="minorHAnsi" w:hAnsiTheme="minorHAnsi" w:cstheme="minorHAnsi"/>
          <w:szCs w:val="24"/>
        </w:rPr>
        <w:t xml:space="preserve">. </w:t>
      </w:r>
      <w:r w:rsidRPr="00F66F1B">
        <w:rPr>
          <w:rFonts w:asciiTheme="minorHAnsi" w:hAnsiTheme="minorHAnsi" w:cstheme="minorHAnsi"/>
          <w:szCs w:val="24"/>
        </w:rPr>
        <w:t>Las Recomendaciones del caso pueden consultarse en la página web de las respectivas Comisiones de Estudio del U</w:t>
      </w:r>
      <w:r w:rsidR="00730697" w:rsidRPr="00F66F1B">
        <w:rPr>
          <w:rFonts w:asciiTheme="minorHAnsi" w:hAnsiTheme="minorHAnsi" w:cstheme="minorHAnsi"/>
          <w:szCs w:val="24"/>
        </w:rPr>
        <w:t xml:space="preserve">IT-T </w:t>
      </w:r>
      <w:r w:rsidR="003F147B" w:rsidRPr="00F66F1B">
        <w:t xml:space="preserve">(véase la lista detallada </w:t>
      </w:r>
      <w:hyperlink r:id="rId35" w:history="1">
        <w:r w:rsidR="003F147B" w:rsidRPr="00F66F1B">
          <w:rPr>
            <w:rStyle w:val="Hyperlink"/>
            <w:rFonts w:asciiTheme="minorHAnsi" w:hAnsiTheme="minorHAnsi" w:cstheme="minorHAnsi"/>
            <w:szCs w:val="24"/>
          </w:rPr>
          <w:t>aquí</w:t>
        </w:r>
      </w:hyperlink>
      <w:r w:rsidR="00BC57AC" w:rsidRPr="00F66F1B">
        <w:t>)</w:t>
      </w:r>
      <w:r w:rsidR="003F147B" w:rsidRPr="00F66F1B">
        <w:t>.</w:t>
      </w:r>
    </w:p>
    <w:p w:rsidR="00BB1A4F" w:rsidRPr="00F66F1B" w:rsidRDefault="00BB1A4F" w:rsidP="00005A84">
      <w:pPr>
        <w:rPr>
          <w:rFonts w:asciiTheme="minorHAnsi" w:hAnsiTheme="minorHAnsi" w:cstheme="minorHAnsi"/>
          <w:szCs w:val="24"/>
        </w:rPr>
      </w:pPr>
      <w:r w:rsidRPr="00F66F1B">
        <w:rPr>
          <w:rFonts w:asciiTheme="minorHAnsi" w:hAnsiTheme="minorHAnsi" w:cstheme="minorHAnsi"/>
          <w:szCs w:val="24"/>
        </w:rPr>
        <w:t>2.2</w:t>
      </w:r>
      <w:r w:rsidRPr="00F66F1B">
        <w:rPr>
          <w:rFonts w:asciiTheme="minorHAnsi" w:hAnsiTheme="minorHAnsi" w:cstheme="minorHAnsi"/>
          <w:szCs w:val="24"/>
        </w:rPr>
        <w:tab/>
      </w:r>
      <w:r w:rsidR="00FF2CE3" w:rsidRPr="00F66F1B">
        <w:rPr>
          <w:rFonts w:asciiTheme="minorHAnsi" w:hAnsiTheme="minorHAnsi" w:cstheme="minorHAnsi"/>
          <w:szCs w:val="24"/>
        </w:rPr>
        <w:t>La CE 3 del UIT</w:t>
      </w:r>
      <w:r w:rsidR="00FF2CE3" w:rsidRPr="00F66F1B">
        <w:rPr>
          <w:rFonts w:asciiTheme="minorHAnsi" w:hAnsiTheme="minorHAnsi" w:cstheme="minorHAnsi"/>
          <w:szCs w:val="24"/>
        </w:rPr>
        <w:noBreakHyphen/>
        <w:t>T</w:t>
      </w:r>
      <w:r w:rsidRPr="00F66F1B">
        <w:rPr>
          <w:rFonts w:asciiTheme="minorHAnsi" w:hAnsiTheme="minorHAnsi" w:cstheme="minorHAnsi"/>
          <w:szCs w:val="24"/>
        </w:rPr>
        <w:t xml:space="preserve">, </w:t>
      </w:r>
      <w:r w:rsidR="002053E0" w:rsidRPr="00F66F1B">
        <w:t xml:space="preserve">aprobó en el marco de su Cuestión </w:t>
      </w:r>
      <w:r w:rsidRPr="00F66F1B">
        <w:rPr>
          <w:rFonts w:asciiTheme="minorHAnsi" w:hAnsiTheme="minorHAnsi" w:cstheme="minorHAnsi"/>
          <w:szCs w:val="24"/>
        </w:rPr>
        <w:t xml:space="preserve">9/3 </w:t>
      </w:r>
      <w:r w:rsidR="002053E0" w:rsidRPr="00F66F1B">
        <w:rPr>
          <w:rFonts w:asciiTheme="minorHAnsi" w:hAnsiTheme="minorHAnsi" w:cstheme="minorHAnsi"/>
          <w:szCs w:val="24"/>
        </w:rPr>
        <w:t xml:space="preserve">un </w:t>
      </w:r>
      <w:hyperlink r:id="rId36" w:history="1">
        <w:r w:rsidR="002053E0" w:rsidRPr="00F66F1B">
          <w:rPr>
            <w:rStyle w:val="Hyperlink"/>
            <w:rFonts w:asciiTheme="minorHAnsi" w:hAnsiTheme="minorHAnsi" w:cstheme="minorHAnsi"/>
            <w:szCs w:val="24"/>
          </w:rPr>
          <w:t>Informe</w:t>
        </w:r>
      </w:hyperlink>
      <w:r w:rsidR="002053E0" w:rsidRPr="00F66F1B">
        <w:rPr>
          <w:rStyle w:val="Hyperlink"/>
          <w:rFonts w:asciiTheme="minorHAnsi" w:hAnsiTheme="minorHAnsi" w:cstheme="minorHAnsi"/>
          <w:szCs w:val="24"/>
        </w:rPr>
        <w:t xml:space="preserve"> Técnico</w:t>
      </w:r>
      <w:r w:rsidR="002053E0" w:rsidRPr="00F66F1B">
        <w:rPr>
          <w:rFonts w:asciiTheme="minorHAnsi" w:hAnsiTheme="minorHAnsi" w:cstheme="minorHAnsi"/>
          <w:szCs w:val="24"/>
        </w:rPr>
        <w:t xml:space="preserve"> sobre las repercusiones económicas de los </w:t>
      </w:r>
      <w:r w:rsidRPr="00F66F1B">
        <w:rPr>
          <w:rFonts w:asciiTheme="minorHAnsi" w:hAnsiTheme="minorHAnsi" w:cstheme="minorHAnsi"/>
          <w:szCs w:val="24"/>
        </w:rPr>
        <w:t>OTT.</w:t>
      </w:r>
    </w:p>
    <w:p w:rsidR="00AA08C7" w:rsidRPr="00F66F1B" w:rsidRDefault="00AA08C7" w:rsidP="00005A84">
      <w:pPr>
        <w:rPr>
          <w:rFonts w:asciiTheme="minorHAnsi" w:hAnsiTheme="minorHAnsi" w:cstheme="minorHAnsi"/>
          <w:szCs w:val="24"/>
        </w:rPr>
      </w:pPr>
      <w:r w:rsidRPr="00F66F1B">
        <w:rPr>
          <w:rFonts w:asciiTheme="minorHAnsi" w:hAnsiTheme="minorHAnsi" w:cstheme="minorHAnsi"/>
          <w:bCs/>
          <w:szCs w:val="24"/>
        </w:rPr>
        <w:t>2.3</w:t>
      </w:r>
      <w:r w:rsidRPr="00F66F1B">
        <w:rPr>
          <w:rFonts w:asciiTheme="minorHAnsi" w:hAnsiTheme="minorHAnsi" w:cstheme="minorHAnsi"/>
          <w:szCs w:val="24"/>
        </w:rPr>
        <w:tab/>
        <w:t>La CE 3 del UIT</w:t>
      </w:r>
      <w:r w:rsidRPr="00F66F1B">
        <w:rPr>
          <w:rFonts w:asciiTheme="minorHAnsi" w:hAnsiTheme="minorHAnsi" w:cstheme="minorHAnsi"/>
          <w:szCs w:val="24"/>
        </w:rPr>
        <w:noBreakHyphen/>
        <w:t>T</w:t>
      </w:r>
      <w:r w:rsidR="003737E5" w:rsidRPr="00F66F1B">
        <w:rPr>
          <w:rFonts w:asciiTheme="minorHAnsi" w:hAnsiTheme="minorHAnsi" w:cstheme="minorHAnsi"/>
          <w:szCs w:val="24"/>
        </w:rPr>
        <w:t xml:space="preserve"> creó un nuevo </w:t>
      </w:r>
      <w:hyperlink r:id="rId37" w:history="1">
        <w:r w:rsidR="002053E0" w:rsidRPr="00F66F1B">
          <w:rPr>
            <w:rStyle w:val="Hyperlink"/>
            <w:rFonts w:asciiTheme="minorHAnsi" w:hAnsiTheme="minorHAnsi" w:cstheme="majorBidi"/>
          </w:rPr>
          <w:t xml:space="preserve">Grupo Temático del UIT-T sobre aprendizaje automático para redes futuras, incluidas las </w:t>
        </w:r>
        <w:r w:rsidR="00051ACE" w:rsidRPr="00F66F1B">
          <w:rPr>
            <w:rStyle w:val="Hyperlink"/>
            <w:rFonts w:asciiTheme="minorHAnsi" w:hAnsiTheme="minorHAnsi" w:cstheme="majorBidi"/>
          </w:rPr>
          <w:t>5G</w:t>
        </w:r>
      </w:hyperlink>
      <w:r w:rsidR="002053E0" w:rsidRPr="00F66F1B">
        <w:rPr>
          <w:rFonts w:asciiTheme="minorHAnsi" w:hAnsiTheme="minorHAnsi" w:cstheme="majorBidi"/>
        </w:rPr>
        <w:t xml:space="preserve"> </w:t>
      </w:r>
      <w:r w:rsidR="003737E5" w:rsidRPr="00F66F1B">
        <w:rPr>
          <w:rFonts w:asciiTheme="minorHAnsi" w:hAnsiTheme="minorHAnsi" w:cstheme="minorHAnsi"/>
          <w:szCs w:val="24"/>
        </w:rPr>
        <w:t>(FG-ML5G)</w:t>
      </w:r>
      <w:r w:rsidRPr="00F66F1B">
        <w:rPr>
          <w:rFonts w:asciiTheme="minorHAnsi" w:hAnsiTheme="minorHAnsi" w:cstheme="majorBidi"/>
        </w:rPr>
        <w:t xml:space="preserve">, </w:t>
      </w:r>
      <w:r w:rsidR="00051ACE" w:rsidRPr="00F66F1B">
        <w:rPr>
          <w:rFonts w:asciiTheme="minorHAnsi" w:hAnsiTheme="minorHAnsi" w:cstheme="majorBidi"/>
        </w:rPr>
        <w:t>que sienta las bases para la normalización en la UIT a fin de ayudar a que el aprendizaje automático aporte más automatización e inteligencia al diseño y gestión de redes TIC</w:t>
      </w:r>
      <w:r w:rsidRPr="00F66F1B">
        <w:rPr>
          <w:rFonts w:asciiTheme="minorHAnsi" w:hAnsiTheme="minorHAnsi" w:cstheme="majorBidi"/>
        </w:rPr>
        <w:t>.</w:t>
      </w:r>
    </w:p>
    <w:p w:rsidR="00CC1BAA" w:rsidRPr="00F66F1B" w:rsidRDefault="00CC1BAA" w:rsidP="00171937">
      <w:pPr>
        <w:rPr>
          <w:rFonts w:cstheme="majorBidi"/>
        </w:rPr>
      </w:pPr>
      <w:r w:rsidRPr="00F66F1B">
        <w:rPr>
          <w:rFonts w:asciiTheme="minorHAnsi" w:hAnsiTheme="minorHAnsi" w:cstheme="majorBidi"/>
        </w:rPr>
        <w:t>2.4</w:t>
      </w:r>
      <w:r w:rsidRPr="00F66F1B">
        <w:rPr>
          <w:rFonts w:asciiTheme="minorHAnsi" w:hAnsiTheme="minorHAnsi" w:cstheme="majorBidi"/>
        </w:rPr>
        <w:tab/>
        <w:t xml:space="preserve">El </w:t>
      </w:r>
      <w:hyperlink r:id="rId38" w:history="1">
        <w:r w:rsidR="00051ACE" w:rsidRPr="00F66F1B">
          <w:rPr>
            <w:rStyle w:val="Hyperlink"/>
            <w:rFonts w:asciiTheme="minorHAnsi" w:hAnsiTheme="minorHAnsi" w:cs="Arial"/>
            <w:szCs w:val="24"/>
          </w:rPr>
          <w:t>Quinto Taller regional de la CE 13 para África sobre "Labor de normalización del UIT-T sobre las redes futuras: para una mejor África</w:t>
        </w:r>
        <w:r w:rsidR="00171937">
          <w:rPr>
            <w:rStyle w:val="Hyperlink"/>
            <w:rFonts w:asciiTheme="minorHAnsi" w:hAnsiTheme="minorHAnsi" w:cs="Arial"/>
            <w:szCs w:val="24"/>
          </w:rPr>
          <w:t>"</w:t>
        </w:r>
      </w:hyperlink>
      <w:r w:rsidRPr="00F66F1B">
        <w:rPr>
          <w:rFonts w:cstheme="majorBidi"/>
        </w:rPr>
        <w:t>, se celebró en El Cairo, Egipto, los días 2-3 de abril de 2017.</w:t>
      </w:r>
    </w:p>
    <w:p w:rsidR="00703CA3" w:rsidRPr="00F66F1B" w:rsidRDefault="00703CA3" w:rsidP="00005A84">
      <w:pPr>
        <w:rPr>
          <w:lang w:eastAsia="zh-CN"/>
        </w:rPr>
      </w:pPr>
      <w:r w:rsidRPr="00F66F1B">
        <w:rPr>
          <w:bCs/>
        </w:rPr>
        <w:t>2.5</w:t>
      </w:r>
      <w:r w:rsidRPr="00F66F1B">
        <w:tab/>
      </w:r>
      <w:r w:rsidR="00DE119D" w:rsidRPr="00F66F1B">
        <w:t xml:space="preserve">La nueva </w:t>
      </w:r>
      <w:r w:rsidRPr="00F66F1B">
        <w:t xml:space="preserve">JCA-IMT2020 </w:t>
      </w:r>
      <w:r w:rsidR="00DE119D" w:rsidRPr="00F66F1B">
        <w:t xml:space="preserve">del UIT-T comenzó sus actividades de coordinación sobre </w:t>
      </w:r>
      <w:r w:rsidR="00BC57AC" w:rsidRPr="00F66F1B">
        <w:t>5G/IMT</w:t>
      </w:r>
      <w:r w:rsidR="00BC57AC" w:rsidRPr="00F66F1B">
        <w:noBreakHyphen/>
      </w:r>
      <w:r w:rsidRPr="00F66F1B">
        <w:t xml:space="preserve">2020 </w:t>
      </w:r>
      <w:r w:rsidR="00DE119D" w:rsidRPr="00F66F1B">
        <w:t xml:space="preserve">con la participación de las Comisiones de Estudio </w:t>
      </w:r>
      <w:r w:rsidRPr="00F66F1B">
        <w:t>5, 11, 13, 15</w:t>
      </w:r>
      <w:r w:rsidR="00DE119D" w:rsidRPr="00F66F1B">
        <w:t xml:space="preserve"> y</w:t>
      </w:r>
      <w:r w:rsidRPr="00F66F1B">
        <w:t xml:space="preserve"> 20</w:t>
      </w:r>
      <w:r w:rsidR="00DE119D" w:rsidRPr="00F66F1B">
        <w:t xml:space="preserve"> del UIT-T</w:t>
      </w:r>
      <w:r w:rsidRPr="00F66F1B">
        <w:t>, IEEE</w:t>
      </w:r>
      <w:r w:rsidR="00DE119D" w:rsidRPr="00F66F1B">
        <w:t xml:space="preserve"> y el Foro de la Banda Ancha </w:t>
      </w:r>
      <w:r w:rsidRPr="00F66F1B">
        <w:t xml:space="preserve">(BBF). </w:t>
      </w:r>
      <w:r w:rsidR="00DE119D" w:rsidRPr="00F66F1B">
        <w:t xml:space="preserve">La </w:t>
      </w:r>
      <w:r w:rsidRPr="00F66F1B">
        <w:t xml:space="preserve">JCA </w:t>
      </w:r>
      <w:r w:rsidR="00DE119D" w:rsidRPr="00F66F1B">
        <w:t xml:space="preserve">sigue actualizando la hoja de ruta de las </w:t>
      </w:r>
      <w:r w:rsidRPr="00F66F1B">
        <w:t xml:space="preserve">IMT-2020 </w:t>
      </w:r>
      <w:r w:rsidR="00DE119D" w:rsidRPr="00F66F1B">
        <w:t>con las contribuciones esperadas de organizaciones externas</w:t>
      </w:r>
      <w:r w:rsidRPr="00F66F1B">
        <w:t>.</w:t>
      </w:r>
    </w:p>
    <w:p w:rsidR="001B77FA" w:rsidRPr="00F66F1B" w:rsidRDefault="001B77FA" w:rsidP="00005A84">
      <w:pPr>
        <w:rPr>
          <w:rFonts w:asciiTheme="minorHAnsi" w:hAnsiTheme="minorHAnsi" w:cstheme="minorHAnsi"/>
          <w:szCs w:val="24"/>
        </w:rPr>
      </w:pPr>
      <w:r w:rsidRPr="00F66F1B">
        <w:rPr>
          <w:rFonts w:asciiTheme="minorHAnsi" w:hAnsiTheme="minorHAnsi" w:cstheme="minorHAnsi"/>
          <w:szCs w:val="24"/>
        </w:rPr>
        <w:t>2.6</w:t>
      </w:r>
      <w:r w:rsidRPr="00F66F1B">
        <w:rPr>
          <w:rFonts w:asciiTheme="minorHAnsi" w:hAnsiTheme="minorHAnsi" w:cstheme="minorHAnsi"/>
          <w:b/>
          <w:bCs/>
          <w:szCs w:val="24"/>
        </w:rPr>
        <w:tab/>
      </w:r>
      <w:r w:rsidR="00DE119D" w:rsidRPr="00F66F1B">
        <w:rPr>
          <w:rFonts w:asciiTheme="minorHAnsi" w:hAnsiTheme="minorHAnsi" w:cstheme="minorHAnsi"/>
          <w:szCs w:val="24"/>
        </w:rPr>
        <w:t xml:space="preserve">El 11 de julio de 2017 se organizó en Ginebra (Suiza) el </w:t>
      </w:r>
      <w:hyperlink r:id="rId39" w:history="1">
        <w:r w:rsidR="00DE119D" w:rsidRPr="00F66F1B">
          <w:rPr>
            <w:rStyle w:val="Hyperlink"/>
            <w:rFonts w:asciiTheme="minorHAnsi" w:hAnsiTheme="minorHAnsi"/>
            <w:szCs w:val="24"/>
            <w:lang w:eastAsia="zh-CN"/>
          </w:rPr>
          <w:t>Taller y la Jornada de demostración IMT-2020/5G</w:t>
        </w:r>
      </w:hyperlink>
      <w:r w:rsidR="00DE119D" w:rsidRPr="00F66F1B">
        <w:rPr>
          <w:rFonts w:asciiTheme="minorHAnsi" w:hAnsiTheme="minorHAnsi"/>
          <w:szCs w:val="24"/>
          <w:lang w:eastAsia="zh-CN"/>
        </w:rPr>
        <w:t xml:space="preserve"> de la UIT,</w:t>
      </w:r>
      <w:r w:rsidRPr="00F66F1B">
        <w:rPr>
          <w:rFonts w:asciiTheme="minorHAnsi" w:hAnsiTheme="minorHAnsi"/>
          <w:szCs w:val="24"/>
          <w:lang w:eastAsia="zh-CN"/>
        </w:rPr>
        <w:t xml:space="preserve"> </w:t>
      </w:r>
      <w:r w:rsidR="00DE119D" w:rsidRPr="00F66F1B">
        <w:rPr>
          <w:rFonts w:asciiTheme="minorHAnsi" w:hAnsiTheme="minorHAnsi"/>
          <w:szCs w:val="24"/>
          <w:lang w:eastAsia="zh-CN"/>
        </w:rPr>
        <w:t xml:space="preserve">en la que se describió el plan de futuro de la línea alámbrica </w:t>
      </w:r>
      <w:r w:rsidRPr="00F66F1B">
        <w:rPr>
          <w:rFonts w:asciiTheme="minorHAnsi" w:hAnsiTheme="minorHAnsi"/>
          <w:szCs w:val="24"/>
          <w:lang w:eastAsia="zh-CN"/>
        </w:rPr>
        <w:t xml:space="preserve">IMT-2020, </w:t>
      </w:r>
      <w:r w:rsidR="00DE119D" w:rsidRPr="00F66F1B">
        <w:rPr>
          <w:rFonts w:asciiTheme="minorHAnsi" w:hAnsiTheme="minorHAnsi"/>
          <w:szCs w:val="24"/>
          <w:lang w:eastAsia="zh-CN"/>
        </w:rPr>
        <w:t>así como los trabajos de la CE</w:t>
      </w:r>
      <w:r w:rsidR="00A50118">
        <w:rPr>
          <w:rFonts w:asciiTheme="minorHAnsi" w:hAnsiTheme="minorHAnsi"/>
          <w:szCs w:val="24"/>
          <w:lang w:eastAsia="zh-CN"/>
        </w:rPr>
        <w:t xml:space="preserve"> </w:t>
      </w:r>
      <w:r w:rsidR="00DE119D" w:rsidRPr="00F66F1B">
        <w:rPr>
          <w:rFonts w:asciiTheme="minorHAnsi" w:hAnsiTheme="minorHAnsi"/>
          <w:szCs w:val="24"/>
          <w:lang w:eastAsia="zh-CN"/>
        </w:rPr>
        <w:t>13 y otras Comisiones de Estudio del UIT-T que se ocupan de este tema</w:t>
      </w:r>
      <w:r w:rsidRPr="00F66F1B">
        <w:rPr>
          <w:rFonts w:asciiTheme="minorHAnsi" w:hAnsiTheme="minorHAnsi"/>
          <w:szCs w:val="24"/>
          <w:lang w:eastAsia="zh-CN"/>
        </w:rPr>
        <w:t>.</w:t>
      </w:r>
    </w:p>
    <w:p w:rsidR="001B77FA" w:rsidRPr="00F66F1B" w:rsidRDefault="001B77FA" w:rsidP="00171937">
      <w:pPr>
        <w:rPr>
          <w:rFonts w:asciiTheme="minorHAnsi" w:hAnsiTheme="minorHAnsi"/>
          <w:szCs w:val="24"/>
        </w:rPr>
      </w:pPr>
      <w:r w:rsidRPr="00F66F1B">
        <w:rPr>
          <w:rFonts w:asciiTheme="minorHAnsi" w:hAnsiTheme="minorHAnsi"/>
          <w:bCs/>
          <w:szCs w:val="24"/>
        </w:rPr>
        <w:t>2.7</w:t>
      </w:r>
      <w:r w:rsidRPr="00F66F1B">
        <w:rPr>
          <w:rFonts w:asciiTheme="minorHAnsi" w:hAnsiTheme="minorHAnsi"/>
          <w:szCs w:val="24"/>
        </w:rPr>
        <w:tab/>
      </w:r>
      <w:r w:rsidR="00171937">
        <w:rPr>
          <w:rFonts w:asciiTheme="minorHAnsi" w:hAnsiTheme="minorHAnsi"/>
          <w:szCs w:val="24"/>
        </w:rPr>
        <w:t>El nuevo</w:t>
      </w:r>
      <w:r w:rsidRPr="00F66F1B">
        <w:rPr>
          <w:rFonts w:asciiTheme="minorHAnsi" w:hAnsiTheme="minorHAnsi"/>
          <w:szCs w:val="24"/>
        </w:rPr>
        <w:t xml:space="preserve"> </w:t>
      </w:r>
      <w:r w:rsidR="00D3698C" w:rsidRPr="00F66F1B">
        <w:rPr>
          <w:rFonts w:asciiTheme="minorHAnsi" w:hAnsiTheme="minorHAnsi"/>
          <w:szCs w:val="24"/>
        </w:rPr>
        <w:t xml:space="preserve">Grupo Temático del UIT-T para el </w:t>
      </w:r>
      <w:hyperlink r:id="rId40" w:history="1">
        <w:r w:rsidR="00171937">
          <w:rPr>
            <w:rStyle w:val="Hyperlink"/>
            <w:rFonts w:asciiTheme="minorHAnsi" w:hAnsiTheme="minorHAnsi"/>
            <w:szCs w:val="24"/>
          </w:rPr>
          <w:t>"</w:t>
        </w:r>
        <w:r w:rsidR="00B4011D" w:rsidRPr="00F66F1B">
          <w:rPr>
            <w:rStyle w:val="Hyperlink"/>
            <w:rFonts w:asciiTheme="minorHAnsi" w:hAnsiTheme="minorHAnsi"/>
            <w:szCs w:val="24"/>
          </w:rPr>
          <w:t>tratamiento y la gestión de datos de loT y ciudades y comunidad</w:t>
        </w:r>
        <w:r w:rsidR="00B4011D" w:rsidRPr="00F66F1B">
          <w:rPr>
            <w:rStyle w:val="Hyperlink"/>
            <w:rFonts w:asciiTheme="minorHAnsi" w:hAnsiTheme="minorHAnsi"/>
            <w:szCs w:val="24"/>
          </w:rPr>
          <w:t>e</w:t>
        </w:r>
        <w:r w:rsidR="00B4011D" w:rsidRPr="00F66F1B">
          <w:rPr>
            <w:rStyle w:val="Hyperlink"/>
            <w:rFonts w:asciiTheme="minorHAnsi" w:hAnsiTheme="minorHAnsi"/>
            <w:szCs w:val="24"/>
          </w:rPr>
          <w:t>s inteligentes</w:t>
        </w:r>
        <w:r w:rsidR="00171937">
          <w:rPr>
            <w:rStyle w:val="Hyperlink"/>
            <w:rFonts w:asciiTheme="minorHAnsi" w:hAnsiTheme="minorHAnsi"/>
            <w:szCs w:val="24"/>
          </w:rPr>
          <w:t>"</w:t>
        </w:r>
      </w:hyperlink>
      <w:r w:rsidR="00B4011D" w:rsidRPr="00F66F1B">
        <w:rPr>
          <w:rFonts w:asciiTheme="minorHAnsi" w:hAnsiTheme="minorHAnsi"/>
          <w:szCs w:val="24"/>
        </w:rPr>
        <w:t xml:space="preserve"> </w:t>
      </w:r>
      <w:r w:rsidR="00D3698C" w:rsidRPr="00F66F1B">
        <w:rPr>
          <w:rFonts w:asciiTheme="minorHAnsi" w:hAnsiTheme="minorHAnsi"/>
          <w:szCs w:val="24"/>
        </w:rPr>
        <w:t>(FG</w:t>
      </w:r>
      <w:r w:rsidR="00D3698C" w:rsidRPr="00F66F1B">
        <w:rPr>
          <w:rFonts w:asciiTheme="minorHAnsi" w:hAnsiTheme="minorHAnsi"/>
          <w:szCs w:val="24"/>
        </w:rPr>
        <w:noBreakHyphen/>
        <w:t xml:space="preserve">DPM) </w:t>
      </w:r>
      <w:r w:rsidR="00B4011D" w:rsidRPr="00F66F1B">
        <w:rPr>
          <w:rFonts w:asciiTheme="minorHAnsi" w:hAnsiTheme="minorHAnsi"/>
          <w:szCs w:val="24"/>
        </w:rPr>
        <w:t xml:space="preserve">celebró sus dos primeras reuniones los días </w:t>
      </w:r>
      <w:r w:rsidRPr="00F66F1B">
        <w:rPr>
          <w:rFonts w:asciiTheme="minorHAnsi" w:hAnsiTheme="minorHAnsi"/>
          <w:szCs w:val="24"/>
        </w:rPr>
        <w:t xml:space="preserve">17-19 </w:t>
      </w:r>
      <w:r w:rsidR="00B4011D" w:rsidRPr="00F66F1B">
        <w:rPr>
          <w:rFonts w:asciiTheme="minorHAnsi" w:hAnsiTheme="minorHAnsi"/>
          <w:szCs w:val="24"/>
        </w:rPr>
        <w:t xml:space="preserve">de julio </w:t>
      </w:r>
      <w:r w:rsidRPr="00F66F1B">
        <w:rPr>
          <w:rFonts w:asciiTheme="minorHAnsi" w:hAnsiTheme="minorHAnsi"/>
          <w:szCs w:val="24"/>
        </w:rPr>
        <w:t xml:space="preserve">2017 </w:t>
      </w:r>
      <w:r w:rsidR="00B4011D" w:rsidRPr="00F66F1B">
        <w:rPr>
          <w:rFonts w:asciiTheme="minorHAnsi" w:hAnsiTheme="minorHAnsi"/>
          <w:szCs w:val="24"/>
        </w:rPr>
        <w:t xml:space="preserve">y </w:t>
      </w:r>
      <w:r w:rsidRPr="00F66F1B">
        <w:rPr>
          <w:rFonts w:asciiTheme="minorHAnsi" w:hAnsiTheme="minorHAnsi"/>
          <w:szCs w:val="24"/>
        </w:rPr>
        <w:t xml:space="preserve">20-25 </w:t>
      </w:r>
      <w:r w:rsidR="00B4011D" w:rsidRPr="00F66F1B">
        <w:rPr>
          <w:rFonts w:asciiTheme="minorHAnsi" w:hAnsiTheme="minorHAnsi"/>
          <w:szCs w:val="24"/>
        </w:rPr>
        <w:t xml:space="preserve">de octubre de </w:t>
      </w:r>
      <w:r w:rsidRPr="00F66F1B">
        <w:rPr>
          <w:rFonts w:asciiTheme="minorHAnsi" w:hAnsiTheme="minorHAnsi"/>
          <w:szCs w:val="24"/>
        </w:rPr>
        <w:t xml:space="preserve">2017 </w:t>
      </w:r>
      <w:r w:rsidR="00B4011D" w:rsidRPr="00F66F1B">
        <w:rPr>
          <w:rFonts w:asciiTheme="minorHAnsi" w:hAnsiTheme="minorHAnsi"/>
          <w:szCs w:val="24"/>
        </w:rPr>
        <w:t>e</w:t>
      </w:r>
      <w:r w:rsidRPr="00F66F1B">
        <w:rPr>
          <w:rFonts w:asciiTheme="minorHAnsi" w:hAnsiTheme="minorHAnsi"/>
          <w:szCs w:val="24"/>
        </w:rPr>
        <w:t xml:space="preserve">n </w:t>
      </w:r>
      <w:r w:rsidR="00B4011D" w:rsidRPr="00F66F1B">
        <w:rPr>
          <w:rFonts w:asciiTheme="minorHAnsi" w:hAnsiTheme="minorHAnsi"/>
          <w:szCs w:val="24"/>
        </w:rPr>
        <w:t>Ginebra (Suiza)</w:t>
      </w:r>
      <w:r w:rsidRPr="00F66F1B">
        <w:rPr>
          <w:rFonts w:asciiTheme="minorHAnsi" w:hAnsiTheme="minorHAnsi"/>
          <w:szCs w:val="24"/>
        </w:rPr>
        <w:t>.</w:t>
      </w:r>
    </w:p>
    <w:p w:rsidR="001B77FA" w:rsidRPr="00F66F1B" w:rsidRDefault="001B77FA" w:rsidP="00BC57AC">
      <w:pPr>
        <w:keepLines/>
        <w:rPr>
          <w:rFonts w:asciiTheme="minorHAnsi" w:hAnsiTheme="minorHAnsi"/>
          <w:szCs w:val="24"/>
        </w:rPr>
      </w:pPr>
      <w:r w:rsidRPr="00F66F1B">
        <w:rPr>
          <w:rFonts w:asciiTheme="minorHAnsi" w:hAnsiTheme="minorHAnsi"/>
          <w:bCs/>
          <w:szCs w:val="24"/>
        </w:rPr>
        <w:lastRenderedPageBreak/>
        <w:t>2.8</w:t>
      </w:r>
      <w:r w:rsidRPr="00F66F1B">
        <w:rPr>
          <w:rFonts w:asciiTheme="minorHAnsi" w:hAnsiTheme="minorHAnsi"/>
          <w:szCs w:val="24"/>
        </w:rPr>
        <w:tab/>
      </w:r>
      <w:r w:rsidR="00B4011D" w:rsidRPr="00F66F1B">
        <w:rPr>
          <w:rFonts w:asciiTheme="minorHAnsi" w:hAnsiTheme="minorHAnsi"/>
          <w:szCs w:val="24"/>
        </w:rPr>
        <w:t>L</w:t>
      </w:r>
      <w:r w:rsidR="0018075A" w:rsidRPr="00F66F1B">
        <w:rPr>
          <w:rFonts w:asciiTheme="minorHAnsi" w:hAnsiTheme="minorHAnsi"/>
          <w:szCs w:val="24"/>
        </w:rPr>
        <w:t>a iniciativa "Unidos por las ciudades inteligentes y sostenibles (U4SSC)"</w:t>
      </w:r>
      <w:r w:rsidRPr="00F66F1B">
        <w:rPr>
          <w:rFonts w:asciiTheme="minorHAnsi" w:hAnsiTheme="minorHAnsi"/>
          <w:szCs w:val="24"/>
        </w:rPr>
        <w:t xml:space="preserve"> </w:t>
      </w:r>
      <w:r w:rsidR="00FF39CD" w:rsidRPr="00F66F1B">
        <w:rPr>
          <w:rFonts w:asciiTheme="minorHAnsi" w:hAnsiTheme="minorHAnsi"/>
          <w:szCs w:val="24"/>
        </w:rPr>
        <w:t>está preparando los siguientes productos</w:t>
      </w:r>
      <w:r w:rsidRPr="00F66F1B">
        <w:rPr>
          <w:rFonts w:asciiTheme="minorHAnsi" w:hAnsiTheme="minorHAnsi"/>
          <w:szCs w:val="24"/>
        </w:rPr>
        <w:t xml:space="preserve">: </w:t>
      </w:r>
      <w:r w:rsidR="00FF39CD" w:rsidRPr="00F66F1B">
        <w:rPr>
          <w:rFonts w:asciiTheme="minorHAnsi" w:hAnsiTheme="minorHAnsi"/>
          <w:szCs w:val="24"/>
        </w:rPr>
        <w:t xml:space="preserve">Directrices sobre instrumentos y mecanismos para financiar proyectos </w:t>
      </w:r>
      <w:r w:rsidRPr="00F66F1B">
        <w:rPr>
          <w:rFonts w:asciiTheme="minorHAnsi" w:hAnsiTheme="minorHAnsi"/>
          <w:szCs w:val="24"/>
        </w:rPr>
        <w:t xml:space="preserve">SSC; </w:t>
      </w:r>
      <w:r w:rsidR="00FF39CD" w:rsidRPr="00F66F1B">
        <w:rPr>
          <w:rFonts w:asciiTheme="minorHAnsi" w:hAnsiTheme="minorHAnsi"/>
          <w:szCs w:val="24"/>
        </w:rPr>
        <w:t xml:space="preserve">Directrices sobre estrategias para ciudades </w:t>
      </w:r>
      <w:r w:rsidRPr="00F66F1B">
        <w:rPr>
          <w:rFonts w:asciiTheme="minorHAnsi" w:hAnsiTheme="minorHAnsi"/>
          <w:szCs w:val="24"/>
        </w:rPr>
        <w:t>circular</w:t>
      </w:r>
      <w:r w:rsidR="00FF39CD" w:rsidRPr="00F66F1B">
        <w:rPr>
          <w:rFonts w:asciiTheme="minorHAnsi" w:hAnsiTheme="minorHAnsi"/>
          <w:szCs w:val="24"/>
        </w:rPr>
        <w:t>es</w:t>
      </w:r>
      <w:r w:rsidRPr="00F66F1B">
        <w:rPr>
          <w:rFonts w:asciiTheme="minorHAnsi" w:hAnsiTheme="minorHAnsi"/>
          <w:szCs w:val="24"/>
        </w:rPr>
        <w:t xml:space="preserve">; </w:t>
      </w:r>
      <w:r w:rsidR="00FF39CD" w:rsidRPr="00F66F1B">
        <w:rPr>
          <w:rFonts w:asciiTheme="minorHAnsi" w:hAnsiTheme="minorHAnsi"/>
          <w:szCs w:val="24"/>
        </w:rPr>
        <w:t>Marco de aplicación de la ciencia urbana</w:t>
      </w:r>
      <w:r w:rsidRPr="00F66F1B">
        <w:rPr>
          <w:rFonts w:asciiTheme="minorHAnsi" w:hAnsiTheme="minorHAnsi"/>
          <w:szCs w:val="24"/>
        </w:rPr>
        <w:t xml:space="preserve">; </w:t>
      </w:r>
      <w:r w:rsidR="00FF39CD" w:rsidRPr="00F66F1B">
        <w:rPr>
          <w:rFonts w:asciiTheme="minorHAnsi" w:hAnsiTheme="minorHAnsi"/>
          <w:szCs w:val="24"/>
        </w:rPr>
        <w:t xml:space="preserve">Principios rectores para la inteligencia artificial en las ciudades; </w:t>
      </w:r>
      <w:r w:rsidRPr="00F66F1B">
        <w:rPr>
          <w:rFonts w:asciiTheme="minorHAnsi" w:hAnsiTheme="minorHAnsi"/>
          <w:szCs w:val="24"/>
        </w:rPr>
        <w:t xml:space="preserve">4 </w:t>
      </w:r>
      <w:r w:rsidR="00FF39CD" w:rsidRPr="00F66F1B">
        <w:rPr>
          <w:rFonts w:asciiTheme="minorHAnsi" w:hAnsiTheme="minorHAnsi"/>
          <w:szCs w:val="24"/>
        </w:rPr>
        <w:t>ciudades de bloques articulados (</w:t>
      </w:r>
      <w:r w:rsidR="00FF39CD" w:rsidRPr="00F66F1B">
        <w:rPr>
          <w:rFonts w:asciiTheme="minorHAnsi" w:hAnsiTheme="minorHAnsi"/>
          <w:i/>
          <w:szCs w:val="24"/>
        </w:rPr>
        <w:t>blockchain</w:t>
      </w:r>
      <w:r w:rsidR="00FF39CD" w:rsidRPr="00F66F1B">
        <w:rPr>
          <w:rFonts w:asciiTheme="minorHAnsi" w:hAnsiTheme="minorHAnsi"/>
          <w:szCs w:val="24"/>
        </w:rPr>
        <w:t>) y Manual para ciudades inteligentes y sostenibles</w:t>
      </w:r>
      <w:r w:rsidR="00C36A34" w:rsidRPr="00F66F1B">
        <w:rPr>
          <w:rFonts w:asciiTheme="minorHAnsi" w:hAnsiTheme="minorHAnsi"/>
          <w:szCs w:val="24"/>
        </w:rPr>
        <w:t>.</w:t>
      </w:r>
    </w:p>
    <w:p w:rsidR="0018703C" w:rsidRPr="00F66F1B" w:rsidRDefault="0018703C" w:rsidP="00005A84">
      <w:pPr>
        <w:rPr>
          <w:rFonts w:asciiTheme="minorHAnsi" w:hAnsiTheme="minorHAnsi"/>
          <w:szCs w:val="24"/>
        </w:rPr>
      </w:pPr>
      <w:r w:rsidRPr="00F66F1B">
        <w:rPr>
          <w:rFonts w:asciiTheme="minorHAnsi" w:hAnsiTheme="minorHAnsi"/>
          <w:bCs/>
          <w:szCs w:val="24"/>
        </w:rPr>
        <w:t>2.9</w:t>
      </w:r>
      <w:r w:rsidRPr="00F66F1B">
        <w:rPr>
          <w:rFonts w:asciiTheme="minorHAnsi" w:hAnsiTheme="minorHAnsi"/>
          <w:bCs/>
          <w:szCs w:val="24"/>
        </w:rPr>
        <w:tab/>
      </w:r>
      <w:r w:rsidR="00FF39CD" w:rsidRPr="00F66F1B">
        <w:rPr>
          <w:rFonts w:asciiTheme="minorHAnsi" w:hAnsiTheme="minorHAnsi"/>
          <w:bCs/>
          <w:szCs w:val="24"/>
        </w:rPr>
        <w:t xml:space="preserve">Se llevó a cabo la coordinación entre </w:t>
      </w:r>
      <w:r w:rsidR="00FF39CD" w:rsidRPr="00F66F1B">
        <w:rPr>
          <w:rFonts w:asciiTheme="minorHAnsi" w:hAnsiTheme="minorHAnsi"/>
          <w:szCs w:val="24"/>
        </w:rPr>
        <w:t xml:space="preserve">el </w:t>
      </w:r>
      <w:r w:rsidRPr="00F66F1B">
        <w:rPr>
          <w:rFonts w:asciiTheme="minorHAnsi" w:hAnsiTheme="minorHAnsi"/>
          <w:szCs w:val="24"/>
        </w:rPr>
        <w:t xml:space="preserve">JTC 1/SC6 </w:t>
      </w:r>
      <w:r w:rsidR="00FF39CD" w:rsidRPr="00F66F1B">
        <w:rPr>
          <w:rFonts w:asciiTheme="minorHAnsi" w:hAnsiTheme="minorHAnsi"/>
          <w:szCs w:val="24"/>
        </w:rPr>
        <w:t>de la ISO/CEI y la CE</w:t>
      </w:r>
      <w:r w:rsidR="00216B2F">
        <w:rPr>
          <w:rFonts w:asciiTheme="minorHAnsi" w:hAnsiTheme="minorHAnsi"/>
          <w:szCs w:val="24"/>
        </w:rPr>
        <w:t> </w:t>
      </w:r>
      <w:r w:rsidR="00FF39CD" w:rsidRPr="00F66F1B">
        <w:rPr>
          <w:rFonts w:asciiTheme="minorHAnsi" w:hAnsiTheme="minorHAnsi"/>
          <w:szCs w:val="24"/>
        </w:rPr>
        <w:t>11 del U</w:t>
      </w:r>
      <w:r w:rsidRPr="00F66F1B">
        <w:rPr>
          <w:rFonts w:asciiTheme="minorHAnsi" w:hAnsiTheme="minorHAnsi"/>
          <w:szCs w:val="24"/>
        </w:rPr>
        <w:t xml:space="preserve">IT-T </w:t>
      </w:r>
      <w:r w:rsidR="00FF39CD" w:rsidRPr="00F66F1B">
        <w:rPr>
          <w:rFonts w:asciiTheme="minorHAnsi" w:hAnsiTheme="minorHAnsi"/>
          <w:szCs w:val="24"/>
        </w:rPr>
        <w:t xml:space="preserve">sobre computación limítrofe y comunicaciones </w:t>
      </w:r>
      <w:r w:rsidRPr="00F66F1B">
        <w:rPr>
          <w:rFonts w:asciiTheme="minorHAnsi" w:hAnsiTheme="minorHAnsi"/>
          <w:szCs w:val="24"/>
        </w:rPr>
        <w:t xml:space="preserve">P2P </w:t>
      </w:r>
      <w:r w:rsidR="00FF39CD" w:rsidRPr="00F66F1B">
        <w:rPr>
          <w:rFonts w:asciiTheme="minorHAnsi" w:hAnsiTheme="minorHAnsi"/>
          <w:szCs w:val="24"/>
        </w:rPr>
        <w:t>gestionadas</w:t>
      </w:r>
      <w:r w:rsidRPr="00F66F1B">
        <w:rPr>
          <w:rFonts w:asciiTheme="minorHAnsi" w:hAnsiTheme="minorHAnsi"/>
          <w:szCs w:val="24"/>
        </w:rPr>
        <w:t xml:space="preserve">, </w:t>
      </w:r>
      <w:r w:rsidR="00FF39CD" w:rsidRPr="00F66F1B">
        <w:rPr>
          <w:rFonts w:asciiTheme="minorHAnsi" w:hAnsiTheme="minorHAnsi"/>
          <w:szCs w:val="24"/>
        </w:rPr>
        <w:t xml:space="preserve">y entre </w:t>
      </w:r>
      <w:r w:rsidRPr="00F66F1B">
        <w:rPr>
          <w:rFonts w:asciiTheme="minorHAnsi" w:hAnsiTheme="minorHAnsi"/>
          <w:szCs w:val="24"/>
        </w:rPr>
        <w:t xml:space="preserve">oneM2M </w:t>
      </w:r>
      <w:r w:rsidR="00FF39CD" w:rsidRPr="00F66F1B">
        <w:rPr>
          <w:rFonts w:asciiTheme="minorHAnsi" w:hAnsiTheme="minorHAnsi"/>
          <w:szCs w:val="24"/>
        </w:rPr>
        <w:t>y la CE</w:t>
      </w:r>
      <w:r w:rsidR="00216B2F">
        <w:rPr>
          <w:rFonts w:asciiTheme="minorHAnsi" w:hAnsiTheme="minorHAnsi"/>
          <w:szCs w:val="24"/>
        </w:rPr>
        <w:t> </w:t>
      </w:r>
      <w:r w:rsidR="00FF39CD" w:rsidRPr="00F66F1B">
        <w:rPr>
          <w:rFonts w:asciiTheme="minorHAnsi" w:hAnsiTheme="minorHAnsi"/>
          <w:szCs w:val="24"/>
        </w:rPr>
        <w:t>20 del U</w:t>
      </w:r>
      <w:r w:rsidRPr="00F66F1B">
        <w:rPr>
          <w:rFonts w:asciiTheme="minorHAnsi" w:hAnsiTheme="minorHAnsi"/>
          <w:szCs w:val="24"/>
        </w:rPr>
        <w:t xml:space="preserve">IT-T SG20 </w:t>
      </w:r>
      <w:r w:rsidR="00FF39CD" w:rsidRPr="00F66F1B">
        <w:rPr>
          <w:rFonts w:asciiTheme="minorHAnsi" w:hAnsiTheme="minorHAnsi"/>
          <w:szCs w:val="24"/>
        </w:rPr>
        <w:t xml:space="preserve">sobre normas de </w:t>
      </w:r>
      <w:r w:rsidRPr="00F66F1B">
        <w:rPr>
          <w:rFonts w:asciiTheme="minorHAnsi" w:hAnsiTheme="minorHAnsi"/>
          <w:szCs w:val="24"/>
        </w:rPr>
        <w:t>IoT</w:t>
      </w:r>
      <w:r w:rsidR="00FF39CD" w:rsidRPr="00F66F1B">
        <w:rPr>
          <w:rFonts w:asciiTheme="minorHAnsi" w:hAnsiTheme="minorHAnsi"/>
          <w:szCs w:val="24"/>
        </w:rPr>
        <w:t xml:space="preserve"> y comunicaciones máquina a máquina (M2M)</w:t>
      </w:r>
      <w:r w:rsidRPr="00F66F1B">
        <w:rPr>
          <w:rFonts w:asciiTheme="minorHAnsi" w:hAnsiTheme="minorHAnsi"/>
          <w:szCs w:val="24"/>
        </w:rPr>
        <w:t>.</w:t>
      </w:r>
    </w:p>
    <w:p w:rsidR="0018703C" w:rsidRPr="00F66F1B" w:rsidRDefault="0018703C" w:rsidP="00171937">
      <w:pPr>
        <w:rPr>
          <w:rFonts w:asciiTheme="minorHAnsi" w:hAnsiTheme="minorHAnsi"/>
          <w:szCs w:val="24"/>
        </w:rPr>
      </w:pPr>
      <w:r w:rsidRPr="00F66F1B">
        <w:rPr>
          <w:rFonts w:asciiTheme="minorHAnsi" w:hAnsiTheme="minorHAnsi" w:cstheme="minorHAnsi"/>
          <w:szCs w:val="24"/>
        </w:rPr>
        <w:t>2.10</w:t>
      </w:r>
      <w:r w:rsidRPr="00F66F1B">
        <w:rPr>
          <w:rFonts w:asciiTheme="minorHAnsi" w:hAnsiTheme="minorHAnsi" w:cstheme="minorHAnsi"/>
          <w:szCs w:val="24"/>
        </w:rPr>
        <w:tab/>
      </w:r>
      <w:r w:rsidR="00FF39CD" w:rsidRPr="00F66F1B">
        <w:rPr>
          <w:rFonts w:asciiTheme="minorHAnsi" w:hAnsiTheme="minorHAnsi" w:cstheme="minorHAnsi"/>
          <w:szCs w:val="24"/>
        </w:rPr>
        <w:t xml:space="preserve">En la </w:t>
      </w:r>
      <w:hyperlink r:id="rId41" w:history="1">
        <w:r w:rsidRPr="00F66F1B">
          <w:rPr>
            <w:rStyle w:val="Hyperlink"/>
            <w:rFonts w:asciiTheme="minorHAnsi" w:hAnsiTheme="minorHAnsi" w:cstheme="minorHAnsi"/>
            <w:szCs w:val="24"/>
          </w:rPr>
          <w:t>7</w:t>
        </w:r>
        <w:r w:rsidR="00FF39CD" w:rsidRPr="00F66F1B">
          <w:rPr>
            <w:rStyle w:val="Hyperlink"/>
            <w:rFonts w:asciiTheme="minorHAnsi" w:hAnsiTheme="minorHAnsi" w:cstheme="minorHAnsi"/>
            <w:szCs w:val="24"/>
          </w:rPr>
          <w:t xml:space="preserve">ª Semana de </w:t>
        </w:r>
        <w:r w:rsidRPr="00F66F1B">
          <w:rPr>
            <w:rStyle w:val="Hyperlink"/>
            <w:rFonts w:asciiTheme="minorHAnsi" w:hAnsiTheme="minorHAnsi" w:cstheme="minorHAnsi"/>
            <w:szCs w:val="24"/>
          </w:rPr>
          <w:t>IoT</w:t>
        </w:r>
      </w:hyperlink>
      <w:r w:rsidRPr="00F66F1B">
        <w:rPr>
          <w:rFonts w:asciiTheme="minorHAnsi" w:hAnsiTheme="minorHAnsi" w:cstheme="minorHAnsi"/>
          <w:szCs w:val="24"/>
        </w:rPr>
        <w:t xml:space="preserve">, </w:t>
      </w:r>
      <w:r w:rsidR="00FF39CD" w:rsidRPr="00F66F1B">
        <w:rPr>
          <w:rFonts w:asciiTheme="minorHAnsi" w:hAnsiTheme="minorHAnsi" w:cstheme="minorHAnsi"/>
          <w:szCs w:val="24"/>
        </w:rPr>
        <w:t xml:space="preserve">organizada los días </w:t>
      </w:r>
      <w:r w:rsidRPr="00F66F1B">
        <w:rPr>
          <w:rFonts w:asciiTheme="minorHAnsi" w:hAnsiTheme="minorHAnsi" w:cstheme="minorHAnsi"/>
          <w:szCs w:val="24"/>
        </w:rPr>
        <w:t>6-</w:t>
      </w:r>
      <w:r w:rsidRPr="00F66F1B">
        <w:rPr>
          <w:rFonts w:asciiTheme="minorHAnsi" w:hAnsiTheme="minorHAnsi"/>
          <w:szCs w:val="24"/>
        </w:rPr>
        <w:t xml:space="preserve">9 </w:t>
      </w:r>
      <w:r w:rsidR="00FF39CD" w:rsidRPr="00F66F1B">
        <w:rPr>
          <w:rFonts w:asciiTheme="minorHAnsi" w:hAnsiTheme="minorHAnsi"/>
          <w:szCs w:val="24"/>
        </w:rPr>
        <w:t xml:space="preserve">de junio de </w:t>
      </w:r>
      <w:r w:rsidRPr="00F66F1B">
        <w:rPr>
          <w:rFonts w:asciiTheme="minorHAnsi" w:hAnsiTheme="minorHAnsi"/>
          <w:szCs w:val="24"/>
        </w:rPr>
        <w:t xml:space="preserve">2017 </w:t>
      </w:r>
      <w:r w:rsidR="00FF39CD" w:rsidRPr="00F66F1B">
        <w:rPr>
          <w:rFonts w:asciiTheme="minorHAnsi" w:hAnsiTheme="minorHAnsi"/>
          <w:szCs w:val="24"/>
        </w:rPr>
        <w:t>e</w:t>
      </w:r>
      <w:r w:rsidRPr="00F66F1B">
        <w:rPr>
          <w:rFonts w:asciiTheme="minorHAnsi" w:hAnsiTheme="minorHAnsi"/>
          <w:szCs w:val="24"/>
        </w:rPr>
        <w:t xml:space="preserve">n </w:t>
      </w:r>
      <w:r w:rsidR="00FF39CD" w:rsidRPr="00F66F1B">
        <w:rPr>
          <w:rFonts w:asciiTheme="minorHAnsi" w:hAnsiTheme="minorHAnsi"/>
          <w:szCs w:val="24"/>
        </w:rPr>
        <w:t>Ginebra (Suiza)</w:t>
      </w:r>
      <w:r w:rsidRPr="00F66F1B">
        <w:rPr>
          <w:rFonts w:asciiTheme="minorHAnsi" w:hAnsiTheme="minorHAnsi"/>
          <w:szCs w:val="24"/>
        </w:rPr>
        <w:t xml:space="preserve">, </w:t>
      </w:r>
      <w:r w:rsidR="00FF39CD" w:rsidRPr="00F66F1B">
        <w:rPr>
          <w:rFonts w:asciiTheme="minorHAnsi" w:hAnsiTheme="minorHAnsi"/>
          <w:szCs w:val="24"/>
        </w:rPr>
        <w:t xml:space="preserve">se presentaron los últimos adelantos en el campo de </w:t>
      </w:r>
      <w:r w:rsidRPr="00F66F1B">
        <w:rPr>
          <w:rFonts w:asciiTheme="minorHAnsi" w:hAnsiTheme="minorHAnsi"/>
          <w:szCs w:val="24"/>
        </w:rPr>
        <w:t>IoT</w:t>
      </w:r>
      <w:r w:rsidR="00FF39CD" w:rsidRPr="00F66F1B">
        <w:rPr>
          <w:rFonts w:asciiTheme="minorHAnsi" w:hAnsiTheme="minorHAnsi"/>
          <w:szCs w:val="24"/>
        </w:rPr>
        <w:t xml:space="preserve"> y concluyó con la adopción de la</w:t>
      </w:r>
      <w:r w:rsidRPr="00F66F1B">
        <w:rPr>
          <w:rFonts w:asciiTheme="minorHAnsi" w:hAnsiTheme="minorHAnsi"/>
          <w:szCs w:val="24"/>
        </w:rPr>
        <w:t xml:space="preserve"> </w:t>
      </w:r>
      <w:r w:rsidR="00171937">
        <w:rPr>
          <w:rFonts w:asciiTheme="minorHAnsi" w:hAnsiTheme="minorHAnsi"/>
          <w:szCs w:val="24"/>
        </w:rPr>
        <w:t>"</w:t>
      </w:r>
      <w:hyperlink r:id="rId42" w:history="1">
        <w:r w:rsidR="00FF39CD" w:rsidRPr="00F66F1B">
          <w:rPr>
            <w:rStyle w:val="Hyperlink"/>
            <w:rFonts w:asciiTheme="minorHAnsi" w:hAnsiTheme="minorHAnsi"/>
            <w:szCs w:val="24"/>
          </w:rPr>
          <w:t>Declaración de I</w:t>
        </w:r>
        <w:r w:rsidRPr="00F66F1B">
          <w:rPr>
            <w:rStyle w:val="Hyperlink"/>
            <w:rFonts w:asciiTheme="minorHAnsi" w:hAnsiTheme="minorHAnsi"/>
            <w:szCs w:val="24"/>
          </w:rPr>
          <w:t xml:space="preserve">nternet </w:t>
        </w:r>
        <w:r w:rsidR="00FF39CD" w:rsidRPr="00F66F1B">
          <w:rPr>
            <w:rStyle w:val="Hyperlink"/>
            <w:rFonts w:asciiTheme="minorHAnsi" w:hAnsiTheme="minorHAnsi"/>
            <w:szCs w:val="24"/>
          </w:rPr>
          <w:t>de las cosas para lograr los Objetivos de Desarrollo Sostenible</w:t>
        </w:r>
      </w:hyperlink>
      <w:r w:rsidR="00171937">
        <w:rPr>
          <w:rFonts w:asciiTheme="minorHAnsi" w:hAnsiTheme="minorHAnsi"/>
          <w:szCs w:val="24"/>
        </w:rPr>
        <w:t>"</w:t>
      </w:r>
      <w:r w:rsidRPr="00F66F1B">
        <w:rPr>
          <w:rFonts w:asciiTheme="minorHAnsi" w:hAnsiTheme="minorHAnsi"/>
          <w:szCs w:val="24"/>
        </w:rPr>
        <w:t>.</w:t>
      </w:r>
    </w:p>
    <w:p w:rsidR="0018703C" w:rsidRPr="00F66F1B" w:rsidRDefault="0018703C" w:rsidP="00E73CAF">
      <w:pPr>
        <w:rPr>
          <w:rFonts w:asciiTheme="minorHAnsi" w:hAnsiTheme="minorHAnsi" w:cstheme="minorHAnsi"/>
          <w:szCs w:val="24"/>
        </w:rPr>
      </w:pPr>
      <w:r w:rsidRPr="00F66F1B">
        <w:rPr>
          <w:rFonts w:asciiTheme="minorHAnsi" w:hAnsiTheme="minorHAnsi" w:cstheme="minorHAnsi"/>
          <w:bCs/>
          <w:szCs w:val="24"/>
        </w:rPr>
        <w:t>2.11</w:t>
      </w:r>
      <w:r w:rsidRPr="00F66F1B">
        <w:rPr>
          <w:rFonts w:asciiTheme="minorHAnsi" w:hAnsiTheme="minorHAnsi" w:cstheme="minorHAnsi"/>
          <w:b/>
          <w:szCs w:val="24"/>
        </w:rPr>
        <w:tab/>
      </w:r>
      <w:r w:rsidR="00FF39CD" w:rsidRPr="00F66F1B">
        <w:rPr>
          <w:rFonts w:asciiTheme="minorHAnsi" w:hAnsiTheme="minorHAnsi"/>
          <w:szCs w:val="24"/>
        </w:rPr>
        <w:t xml:space="preserve">En el </w:t>
      </w:r>
      <w:hyperlink r:id="rId43" w:history="1">
        <w:r w:rsidR="00FF39CD" w:rsidRPr="00F66F1B">
          <w:rPr>
            <w:rStyle w:val="Strong"/>
            <w:rFonts w:asciiTheme="minorHAnsi" w:hAnsiTheme="minorHAnsi"/>
            <w:color w:val="0000FF"/>
            <w:szCs w:val="24"/>
            <w:u w:val="single"/>
          </w:rPr>
          <w:t xml:space="preserve">Taller Regional de la UIT para los países de la CEI relativo a </w:t>
        </w:r>
        <w:r w:rsidR="00171937">
          <w:rPr>
            <w:rStyle w:val="Strong"/>
            <w:rFonts w:asciiTheme="minorHAnsi" w:hAnsiTheme="minorHAnsi"/>
            <w:color w:val="0000FF"/>
            <w:szCs w:val="24"/>
            <w:u w:val="single"/>
          </w:rPr>
          <w:t>"</w:t>
        </w:r>
        <w:r w:rsidRPr="00F66F1B" w:rsidDel="00CD1EE6">
          <w:rPr>
            <w:rStyle w:val="Strong"/>
            <w:rFonts w:asciiTheme="minorHAnsi" w:hAnsiTheme="minorHAnsi"/>
            <w:color w:val="0000FF"/>
            <w:szCs w:val="24"/>
            <w:u w:val="single"/>
          </w:rPr>
          <w:t xml:space="preserve">IoT </w:t>
        </w:r>
        <w:r w:rsidR="00FF39CD" w:rsidRPr="00F66F1B">
          <w:rPr>
            <w:rStyle w:val="Strong"/>
            <w:rFonts w:asciiTheme="minorHAnsi" w:hAnsiTheme="minorHAnsi"/>
            <w:color w:val="0000FF"/>
            <w:szCs w:val="24"/>
            <w:u w:val="single"/>
          </w:rPr>
          <w:t>y redes futuras</w:t>
        </w:r>
        <w:r w:rsidRPr="00F66F1B">
          <w:rPr>
            <w:rStyle w:val="Strong"/>
            <w:rFonts w:asciiTheme="minorHAnsi" w:hAnsiTheme="minorHAnsi"/>
            <w:color w:val="0000FF"/>
            <w:szCs w:val="24"/>
            <w:u w:val="single"/>
          </w:rPr>
          <w:t>”</w:t>
        </w:r>
      </w:hyperlink>
      <w:r w:rsidRPr="00F66F1B" w:rsidDel="00CD1EE6">
        <w:rPr>
          <w:rFonts w:asciiTheme="minorHAnsi" w:hAnsiTheme="minorHAnsi"/>
          <w:szCs w:val="24"/>
        </w:rPr>
        <w:t xml:space="preserve">, </w:t>
      </w:r>
      <w:r w:rsidR="00FF39CD" w:rsidRPr="00F66F1B">
        <w:rPr>
          <w:rFonts w:asciiTheme="minorHAnsi" w:hAnsiTheme="minorHAnsi"/>
          <w:szCs w:val="24"/>
        </w:rPr>
        <w:t>que tuvo lugar en San Petersburgo (</w:t>
      </w:r>
      <w:r w:rsidRPr="00F66F1B" w:rsidDel="00CD1EE6">
        <w:rPr>
          <w:rFonts w:asciiTheme="minorHAnsi" w:hAnsiTheme="minorHAnsi"/>
          <w:szCs w:val="24"/>
        </w:rPr>
        <w:t>Rusia</w:t>
      </w:r>
      <w:r w:rsidR="00FF39CD" w:rsidRPr="00F66F1B">
        <w:rPr>
          <w:rFonts w:asciiTheme="minorHAnsi" w:hAnsiTheme="minorHAnsi"/>
          <w:szCs w:val="24"/>
        </w:rPr>
        <w:t>)</w:t>
      </w:r>
      <w:r w:rsidRPr="00F66F1B" w:rsidDel="00CD1EE6">
        <w:rPr>
          <w:rFonts w:asciiTheme="minorHAnsi" w:hAnsiTheme="minorHAnsi"/>
          <w:szCs w:val="24"/>
        </w:rPr>
        <w:t xml:space="preserve"> </w:t>
      </w:r>
      <w:r w:rsidR="00FF39CD" w:rsidRPr="00F66F1B">
        <w:rPr>
          <w:rFonts w:asciiTheme="minorHAnsi" w:hAnsiTheme="minorHAnsi"/>
          <w:szCs w:val="24"/>
        </w:rPr>
        <w:t xml:space="preserve">los días </w:t>
      </w:r>
      <w:r w:rsidRPr="00F66F1B" w:rsidDel="00CD1EE6">
        <w:rPr>
          <w:rFonts w:asciiTheme="minorHAnsi" w:hAnsiTheme="minorHAnsi"/>
          <w:szCs w:val="24"/>
        </w:rPr>
        <w:t xml:space="preserve">19-20 </w:t>
      </w:r>
      <w:r w:rsidR="00FF39CD" w:rsidRPr="00F66F1B">
        <w:rPr>
          <w:rFonts w:asciiTheme="minorHAnsi" w:hAnsiTheme="minorHAnsi"/>
          <w:szCs w:val="24"/>
        </w:rPr>
        <w:t xml:space="preserve">de junio de </w:t>
      </w:r>
      <w:r w:rsidRPr="00F66F1B" w:rsidDel="00CD1EE6">
        <w:rPr>
          <w:rFonts w:asciiTheme="minorHAnsi" w:hAnsiTheme="minorHAnsi"/>
          <w:szCs w:val="24"/>
        </w:rPr>
        <w:t>2017</w:t>
      </w:r>
      <w:r w:rsidRPr="00F66F1B">
        <w:rPr>
          <w:rFonts w:asciiTheme="minorHAnsi" w:hAnsiTheme="minorHAnsi"/>
          <w:szCs w:val="24"/>
        </w:rPr>
        <w:t xml:space="preserve">, </w:t>
      </w:r>
      <w:r w:rsidR="00FF39CD" w:rsidRPr="00F66F1B">
        <w:rPr>
          <w:rFonts w:asciiTheme="minorHAnsi" w:hAnsiTheme="minorHAnsi"/>
          <w:szCs w:val="24"/>
        </w:rPr>
        <w:t xml:space="preserve">se compartieron experiencias </w:t>
      </w:r>
      <w:r w:rsidR="00E73CAF">
        <w:rPr>
          <w:rFonts w:asciiTheme="minorHAnsi" w:hAnsiTheme="minorHAnsi"/>
          <w:szCs w:val="24"/>
        </w:rPr>
        <w:t>so</w:t>
      </w:r>
      <w:r w:rsidR="00FF39CD" w:rsidRPr="00F66F1B">
        <w:rPr>
          <w:rFonts w:asciiTheme="minorHAnsi" w:hAnsiTheme="minorHAnsi"/>
          <w:szCs w:val="24"/>
        </w:rPr>
        <w:t xml:space="preserve">bre </w:t>
      </w:r>
      <w:r w:rsidRPr="00F66F1B">
        <w:rPr>
          <w:rFonts w:asciiTheme="minorHAnsi" w:hAnsiTheme="minorHAnsi" w:cstheme="minorHAnsi"/>
          <w:szCs w:val="24"/>
        </w:rPr>
        <w:t>IoT</w:t>
      </w:r>
      <w:r w:rsidRPr="00F66F1B" w:rsidDel="00CD1EE6">
        <w:rPr>
          <w:rFonts w:asciiTheme="minorHAnsi" w:hAnsiTheme="minorHAnsi" w:cstheme="minorHAnsi"/>
          <w:szCs w:val="24"/>
        </w:rPr>
        <w:t xml:space="preserve"> </w:t>
      </w:r>
      <w:r w:rsidR="00FF39CD" w:rsidRPr="00F66F1B">
        <w:rPr>
          <w:rFonts w:asciiTheme="minorHAnsi" w:hAnsiTheme="minorHAnsi" w:cstheme="minorHAnsi"/>
          <w:szCs w:val="24"/>
        </w:rPr>
        <w:t>y se analizó su futura evolución en la región de la CEI</w:t>
      </w:r>
      <w:r w:rsidRPr="00F66F1B" w:rsidDel="00CD1EE6">
        <w:rPr>
          <w:rFonts w:asciiTheme="minorHAnsi" w:hAnsiTheme="minorHAnsi" w:cstheme="minorHAnsi"/>
          <w:szCs w:val="24"/>
        </w:rPr>
        <w:t>.</w:t>
      </w:r>
    </w:p>
    <w:p w:rsidR="0018703C" w:rsidRPr="00F66F1B" w:rsidRDefault="0018703C" w:rsidP="00005A84">
      <w:pPr>
        <w:rPr>
          <w:rStyle w:val="Strong"/>
          <w:rFonts w:asciiTheme="minorHAnsi" w:hAnsiTheme="minorHAnsi"/>
          <w:b w:val="0"/>
          <w:bCs w:val="0"/>
          <w:szCs w:val="24"/>
        </w:rPr>
      </w:pPr>
      <w:r w:rsidRPr="00F66F1B">
        <w:rPr>
          <w:rFonts w:asciiTheme="minorHAnsi" w:hAnsiTheme="minorHAnsi"/>
          <w:szCs w:val="24"/>
        </w:rPr>
        <w:t>2.12</w:t>
      </w:r>
      <w:r w:rsidRPr="00F66F1B">
        <w:rPr>
          <w:rFonts w:asciiTheme="minorHAnsi" w:hAnsiTheme="minorHAnsi"/>
          <w:szCs w:val="24"/>
        </w:rPr>
        <w:tab/>
      </w:r>
      <w:r w:rsidR="00FF39CD" w:rsidRPr="00F66F1B">
        <w:rPr>
          <w:rFonts w:asciiTheme="minorHAnsi" w:hAnsiTheme="minorHAnsi"/>
          <w:szCs w:val="24"/>
        </w:rPr>
        <w:t xml:space="preserve">En el </w:t>
      </w:r>
      <w:hyperlink r:id="rId44" w:history="1">
        <w:r w:rsidR="00A52F26" w:rsidRPr="00F66F1B">
          <w:rPr>
            <w:rStyle w:val="Strong"/>
            <w:rFonts w:asciiTheme="minorHAnsi" w:hAnsiTheme="minorHAnsi"/>
            <w:color w:val="0000FF"/>
            <w:szCs w:val="24"/>
            <w:u w:val="single"/>
          </w:rPr>
          <w:t>Taller de la UIT sobre "Calidad de funcionamiento, calidad de servicio y calidad percibida para los servicios multimedios"</w:t>
        </w:r>
      </w:hyperlink>
      <w:r w:rsidRPr="00F66F1B">
        <w:rPr>
          <w:rFonts w:asciiTheme="minorHAnsi" w:hAnsiTheme="minorHAnsi"/>
          <w:szCs w:val="24"/>
        </w:rPr>
        <w:t xml:space="preserve">, </w:t>
      </w:r>
      <w:r w:rsidR="00FF39CD" w:rsidRPr="00F66F1B">
        <w:rPr>
          <w:rFonts w:asciiTheme="minorHAnsi" w:hAnsiTheme="minorHAnsi"/>
          <w:szCs w:val="24"/>
        </w:rPr>
        <w:t xml:space="preserve">organizado los días </w:t>
      </w:r>
      <w:r w:rsidRPr="00F66F1B">
        <w:rPr>
          <w:rFonts w:asciiTheme="minorHAnsi" w:hAnsiTheme="minorHAnsi"/>
          <w:szCs w:val="24"/>
        </w:rPr>
        <w:t>24-25 </w:t>
      </w:r>
      <w:r w:rsidR="00483C6F">
        <w:rPr>
          <w:rFonts w:asciiTheme="minorHAnsi" w:hAnsiTheme="minorHAnsi"/>
          <w:szCs w:val="24"/>
        </w:rPr>
        <w:t>de jul</w:t>
      </w:r>
      <w:r w:rsidR="00FF39CD" w:rsidRPr="00F66F1B">
        <w:rPr>
          <w:rFonts w:asciiTheme="minorHAnsi" w:hAnsiTheme="minorHAnsi"/>
          <w:szCs w:val="24"/>
        </w:rPr>
        <w:t xml:space="preserve">io de </w:t>
      </w:r>
      <w:r w:rsidRPr="00F66F1B">
        <w:rPr>
          <w:rFonts w:asciiTheme="minorHAnsi" w:hAnsiTheme="minorHAnsi"/>
          <w:szCs w:val="24"/>
        </w:rPr>
        <w:t xml:space="preserve">2017 </w:t>
      </w:r>
      <w:r w:rsidR="00FF39CD" w:rsidRPr="00F66F1B">
        <w:rPr>
          <w:rFonts w:asciiTheme="minorHAnsi" w:hAnsiTheme="minorHAnsi"/>
          <w:szCs w:val="24"/>
        </w:rPr>
        <w:t>e</w:t>
      </w:r>
      <w:r w:rsidRPr="00F66F1B">
        <w:rPr>
          <w:rFonts w:asciiTheme="minorHAnsi" w:hAnsiTheme="minorHAnsi"/>
          <w:szCs w:val="24"/>
        </w:rPr>
        <w:t>n Johannesburg</w:t>
      </w:r>
      <w:r w:rsidR="00FF39CD" w:rsidRPr="00F66F1B">
        <w:rPr>
          <w:rFonts w:asciiTheme="minorHAnsi" w:hAnsiTheme="minorHAnsi"/>
          <w:szCs w:val="24"/>
        </w:rPr>
        <w:t xml:space="preserve">o (Sudáfrica), se examinaron los KPI y los métodos de medir y evaluar la </w:t>
      </w:r>
      <w:r w:rsidRPr="00F66F1B">
        <w:rPr>
          <w:rStyle w:val="Strong"/>
          <w:rFonts w:asciiTheme="minorHAnsi" w:hAnsiTheme="minorHAnsi"/>
          <w:b w:val="0"/>
          <w:szCs w:val="24"/>
        </w:rPr>
        <w:t xml:space="preserve">QoS/QoE </w:t>
      </w:r>
      <w:r w:rsidR="00FF39CD" w:rsidRPr="00F66F1B">
        <w:rPr>
          <w:rStyle w:val="Strong"/>
          <w:rFonts w:asciiTheme="minorHAnsi" w:hAnsiTheme="minorHAnsi"/>
          <w:b w:val="0"/>
          <w:szCs w:val="24"/>
        </w:rPr>
        <w:t xml:space="preserve">en redes </w:t>
      </w:r>
      <w:r w:rsidRPr="00F66F1B">
        <w:rPr>
          <w:rStyle w:val="Strong"/>
          <w:rFonts w:asciiTheme="minorHAnsi" w:hAnsiTheme="minorHAnsi"/>
          <w:b w:val="0"/>
          <w:szCs w:val="24"/>
        </w:rPr>
        <w:t xml:space="preserve">LTE </w:t>
      </w:r>
      <w:r w:rsidR="00FF39CD" w:rsidRPr="00F66F1B">
        <w:rPr>
          <w:rStyle w:val="Strong"/>
          <w:rFonts w:asciiTheme="minorHAnsi" w:hAnsiTheme="minorHAnsi"/>
          <w:b w:val="0"/>
          <w:szCs w:val="24"/>
        </w:rPr>
        <w:t xml:space="preserve">y </w:t>
      </w:r>
      <w:r w:rsidR="00B94BDC" w:rsidRPr="00F66F1B">
        <w:rPr>
          <w:rStyle w:val="Strong"/>
          <w:rFonts w:asciiTheme="minorHAnsi" w:hAnsiTheme="minorHAnsi"/>
          <w:b w:val="0"/>
          <w:szCs w:val="24"/>
        </w:rPr>
        <w:t>LTE-A</w:t>
      </w:r>
      <w:r w:rsidRPr="00F66F1B">
        <w:rPr>
          <w:rStyle w:val="Strong"/>
          <w:rFonts w:asciiTheme="minorHAnsi" w:hAnsiTheme="minorHAnsi"/>
          <w:b w:val="0"/>
          <w:szCs w:val="24"/>
        </w:rPr>
        <w:t>van</w:t>
      </w:r>
      <w:r w:rsidR="00FF39CD" w:rsidRPr="00F66F1B">
        <w:rPr>
          <w:rStyle w:val="Strong"/>
          <w:rFonts w:asciiTheme="minorHAnsi" w:hAnsiTheme="minorHAnsi"/>
          <w:b w:val="0"/>
          <w:szCs w:val="24"/>
        </w:rPr>
        <w:t>zadas</w:t>
      </w:r>
      <w:r w:rsidRPr="00F66F1B">
        <w:rPr>
          <w:rStyle w:val="Strong"/>
          <w:rFonts w:asciiTheme="minorHAnsi" w:hAnsiTheme="minorHAnsi"/>
          <w:b w:val="0"/>
          <w:szCs w:val="24"/>
        </w:rPr>
        <w:t xml:space="preserve">, </w:t>
      </w:r>
      <w:r w:rsidR="00FF39CD" w:rsidRPr="00F66F1B">
        <w:rPr>
          <w:rStyle w:val="Strong"/>
          <w:rFonts w:asciiTheme="minorHAnsi" w:hAnsiTheme="minorHAnsi"/>
          <w:b w:val="0"/>
          <w:szCs w:val="24"/>
        </w:rPr>
        <w:t>los aspe</w:t>
      </w:r>
      <w:r w:rsidR="008821AD" w:rsidRPr="00F66F1B">
        <w:rPr>
          <w:rStyle w:val="Strong"/>
          <w:rFonts w:asciiTheme="minorHAnsi" w:hAnsiTheme="minorHAnsi"/>
          <w:b w:val="0"/>
          <w:szCs w:val="24"/>
        </w:rPr>
        <w:t>c</w:t>
      </w:r>
      <w:r w:rsidR="00FF39CD" w:rsidRPr="00F66F1B">
        <w:rPr>
          <w:rStyle w:val="Strong"/>
          <w:rFonts w:asciiTheme="minorHAnsi" w:hAnsiTheme="minorHAnsi"/>
          <w:b w:val="0"/>
          <w:szCs w:val="24"/>
        </w:rPr>
        <w:t>tos políti</w:t>
      </w:r>
      <w:r w:rsidR="008821AD" w:rsidRPr="00F66F1B">
        <w:rPr>
          <w:rStyle w:val="Strong"/>
          <w:rFonts w:asciiTheme="minorHAnsi" w:hAnsiTheme="minorHAnsi"/>
          <w:b w:val="0"/>
          <w:szCs w:val="24"/>
        </w:rPr>
        <w:t>c</w:t>
      </w:r>
      <w:r w:rsidR="00FF39CD" w:rsidRPr="00F66F1B">
        <w:rPr>
          <w:rStyle w:val="Strong"/>
          <w:rFonts w:asciiTheme="minorHAnsi" w:hAnsiTheme="minorHAnsi"/>
          <w:b w:val="0"/>
          <w:szCs w:val="24"/>
        </w:rPr>
        <w:t xml:space="preserve">os y normativos de la </w:t>
      </w:r>
      <w:r w:rsidRPr="00F66F1B">
        <w:rPr>
          <w:rStyle w:val="Strong"/>
          <w:rFonts w:asciiTheme="minorHAnsi" w:hAnsiTheme="minorHAnsi"/>
          <w:b w:val="0"/>
          <w:szCs w:val="24"/>
        </w:rPr>
        <w:t xml:space="preserve">QoS/QoE, </w:t>
      </w:r>
      <w:r w:rsidR="00FF39CD" w:rsidRPr="00F66F1B">
        <w:rPr>
          <w:rStyle w:val="Strong"/>
          <w:rFonts w:asciiTheme="minorHAnsi" w:hAnsiTheme="minorHAnsi"/>
          <w:b w:val="0"/>
          <w:szCs w:val="24"/>
        </w:rPr>
        <w:t xml:space="preserve">la calidad de funcionamiento de la red y los requisitos de </w:t>
      </w:r>
      <w:r w:rsidRPr="00F66F1B">
        <w:rPr>
          <w:rStyle w:val="Strong"/>
          <w:rFonts w:asciiTheme="minorHAnsi" w:hAnsiTheme="minorHAnsi"/>
          <w:b w:val="0"/>
          <w:szCs w:val="24"/>
        </w:rPr>
        <w:t xml:space="preserve">QoS </w:t>
      </w:r>
      <w:r w:rsidR="00FF39CD" w:rsidRPr="00F66F1B">
        <w:rPr>
          <w:rStyle w:val="Strong"/>
          <w:rFonts w:asciiTheme="minorHAnsi" w:hAnsiTheme="minorHAnsi"/>
          <w:b w:val="0"/>
          <w:szCs w:val="24"/>
        </w:rPr>
        <w:t xml:space="preserve">para las redes </w:t>
      </w:r>
      <w:r w:rsidRPr="00F66F1B">
        <w:rPr>
          <w:rStyle w:val="Strong"/>
          <w:rFonts w:asciiTheme="minorHAnsi" w:hAnsiTheme="minorHAnsi"/>
          <w:b w:val="0"/>
          <w:szCs w:val="24"/>
        </w:rPr>
        <w:t xml:space="preserve">5G, </w:t>
      </w:r>
      <w:r w:rsidR="00A615B7" w:rsidRPr="00F66F1B">
        <w:rPr>
          <w:rStyle w:val="Strong"/>
          <w:rFonts w:asciiTheme="minorHAnsi" w:hAnsiTheme="minorHAnsi"/>
          <w:b w:val="0"/>
          <w:szCs w:val="24"/>
        </w:rPr>
        <w:t>así como las actividades del </w:t>
      </w:r>
      <w:r w:rsidR="00FF39CD" w:rsidRPr="00F66F1B">
        <w:rPr>
          <w:rStyle w:val="Strong"/>
          <w:rFonts w:asciiTheme="minorHAnsi" w:hAnsiTheme="minorHAnsi"/>
          <w:b w:val="0"/>
          <w:szCs w:val="24"/>
        </w:rPr>
        <w:t>U</w:t>
      </w:r>
      <w:r w:rsidRPr="00F66F1B">
        <w:rPr>
          <w:rStyle w:val="Strong"/>
          <w:rFonts w:asciiTheme="minorHAnsi" w:hAnsiTheme="minorHAnsi"/>
          <w:b w:val="0"/>
          <w:szCs w:val="24"/>
        </w:rPr>
        <w:t xml:space="preserve">IT-T </w:t>
      </w:r>
      <w:r w:rsidR="00FF39CD" w:rsidRPr="00F66F1B">
        <w:rPr>
          <w:rStyle w:val="Strong"/>
          <w:rFonts w:asciiTheme="minorHAnsi" w:hAnsiTheme="minorHAnsi"/>
          <w:b w:val="0"/>
          <w:szCs w:val="24"/>
        </w:rPr>
        <w:t xml:space="preserve">sobre </w:t>
      </w:r>
      <w:r w:rsidRPr="00F66F1B">
        <w:rPr>
          <w:rStyle w:val="Strong"/>
          <w:rFonts w:asciiTheme="minorHAnsi" w:hAnsiTheme="minorHAnsi"/>
          <w:b w:val="0"/>
          <w:szCs w:val="24"/>
        </w:rPr>
        <w:t>QoS/QoE.</w:t>
      </w:r>
    </w:p>
    <w:p w:rsidR="003F147B" w:rsidRPr="00F66F1B" w:rsidRDefault="003F147B" w:rsidP="00005A84">
      <w:r w:rsidRPr="00F66F1B">
        <w:t>2.13</w:t>
      </w:r>
      <w:r w:rsidRPr="00F66F1B">
        <w:tab/>
        <w:t>La TSB no ha recibido información alguna sobre los incidentes comunicados</w:t>
      </w:r>
      <w:r w:rsidR="0046541B" w:rsidRPr="00F66F1B">
        <w:rPr>
          <w:rFonts w:asciiTheme="minorHAnsi" w:hAnsiTheme="minorHAnsi" w:cstheme="minorHAnsi"/>
          <w:szCs w:val="24"/>
        </w:rPr>
        <w:t xml:space="preserve"> </w:t>
      </w:r>
      <w:r w:rsidR="00B94BDC" w:rsidRPr="00F66F1B">
        <w:rPr>
          <w:rFonts w:asciiTheme="minorHAnsi" w:hAnsiTheme="minorHAnsi" w:cstheme="minorHAnsi"/>
          <w:szCs w:val="24"/>
        </w:rPr>
        <w:t xml:space="preserve">en lo relativo a la </w:t>
      </w:r>
      <w:hyperlink r:id="rId45" w:history="1">
        <w:r w:rsidR="00AA6EBA" w:rsidRPr="00F66F1B">
          <w:rPr>
            <w:rStyle w:val="Hyperlink"/>
            <w:rFonts w:asciiTheme="minorHAnsi" w:hAnsiTheme="minorHAnsi" w:cstheme="minorHAnsi"/>
            <w:szCs w:val="24"/>
          </w:rPr>
          <w:t>Resolución 69</w:t>
        </w:r>
      </w:hyperlink>
      <w:r w:rsidR="00AA6EBA" w:rsidRPr="00F66F1B">
        <w:rPr>
          <w:rFonts w:asciiTheme="minorHAnsi" w:hAnsiTheme="minorHAnsi" w:cstheme="minorHAnsi"/>
          <w:szCs w:val="24"/>
        </w:rPr>
        <w:t xml:space="preserve"> de la AMNT sobre </w:t>
      </w:r>
      <w:r w:rsidR="00B94BDC" w:rsidRPr="00F66F1B">
        <w:rPr>
          <w:rFonts w:asciiTheme="minorHAnsi" w:hAnsiTheme="minorHAnsi" w:cstheme="minorHAnsi"/>
          <w:szCs w:val="24"/>
        </w:rPr>
        <w:t>a</w:t>
      </w:r>
      <w:r w:rsidR="008E781C" w:rsidRPr="00F66F1B">
        <w:rPr>
          <w:rFonts w:asciiTheme="minorHAnsi" w:hAnsiTheme="minorHAnsi" w:cstheme="minorHAnsi"/>
          <w:szCs w:val="24"/>
        </w:rPr>
        <w:t>cceso y utilización no discriminatorios de los recursos de Internet</w:t>
      </w:r>
      <w:r w:rsidR="008E781C" w:rsidRPr="00F66F1B">
        <w:t xml:space="preserve"> </w:t>
      </w:r>
      <w:r w:rsidRPr="00F66F1B">
        <w:t>(hasta ahora ha habido 37</w:t>
      </w:r>
      <w:r w:rsidR="0046541B" w:rsidRPr="00F66F1B">
        <w:rPr>
          <w:rFonts w:asciiTheme="minorHAnsi" w:hAnsiTheme="minorHAnsi" w:cstheme="minorHAnsi"/>
          <w:szCs w:val="24"/>
        </w:rPr>
        <w:t xml:space="preserve"> incidentes</w:t>
      </w:r>
      <w:r w:rsidRPr="00F66F1B">
        <w:t xml:space="preserve"> desde 2009</w:t>
      </w:r>
      <w:r w:rsidR="0046541B" w:rsidRPr="00F66F1B">
        <w:rPr>
          <w:rFonts w:asciiTheme="minorHAnsi" w:hAnsiTheme="minorHAnsi" w:cstheme="minorHAnsi"/>
          <w:szCs w:val="24"/>
        </w:rPr>
        <w:t xml:space="preserve">, </w:t>
      </w:r>
      <w:r w:rsidR="00B94BDC" w:rsidRPr="00F66F1B">
        <w:rPr>
          <w:rFonts w:asciiTheme="minorHAnsi" w:hAnsiTheme="minorHAnsi" w:cstheme="minorHAnsi"/>
          <w:szCs w:val="24"/>
        </w:rPr>
        <w:t xml:space="preserve">véanse todos los </w:t>
      </w:r>
      <w:hyperlink r:id="rId46" w:history="1">
        <w:r w:rsidR="00B94BDC" w:rsidRPr="00F66F1B">
          <w:rPr>
            <w:rStyle w:val="Hyperlink"/>
            <w:rFonts w:asciiTheme="minorHAnsi" w:hAnsiTheme="minorHAnsi" w:cstheme="minorHAnsi"/>
            <w:szCs w:val="24"/>
          </w:rPr>
          <w:t>informes</w:t>
        </w:r>
      </w:hyperlink>
      <w:r w:rsidR="00B94BDC" w:rsidRPr="00F66F1B">
        <w:t xml:space="preserve"> conexos)</w:t>
      </w:r>
      <w:r w:rsidRPr="00F66F1B">
        <w:t>.</w:t>
      </w:r>
    </w:p>
    <w:p w:rsidR="007209AE" w:rsidRPr="00F66F1B" w:rsidRDefault="003F147B" w:rsidP="002A7B7F">
      <w:r w:rsidRPr="00F66F1B">
        <w:rPr>
          <w:rFonts w:asciiTheme="minorHAnsi" w:hAnsiTheme="minorHAnsi" w:cstheme="minorHAnsi"/>
          <w:szCs w:val="24"/>
        </w:rPr>
        <w:t>2.14</w:t>
      </w:r>
      <w:r w:rsidRPr="00F66F1B">
        <w:rPr>
          <w:rFonts w:asciiTheme="minorHAnsi" w:hAnsiTheme="minorHAnsi" w:cstheme="minorHAnsi"/>
          <w:szCs w:val="24"/>
        </w:rPr>
        <w:tab/>
      </w:r>
      <w:r w:rsidR="00B94BDC" w:rsidRPr="00F66F1B">
        <w:rPr>
          <w:rFonts w:asciiTheme="minorHAnsi" w:hAnsiTheme="minorHAnsi" w:cstheme="minorHAnsi"/>
          <w:szCs w:val="24"/>
        </w:rPr>
        <w:t>La CE</w:t>
      </w:r>
      <w:r w:rsidR="002A7B7F">
        <w:rPr>
          <w:rFonts w:asciiTheme="minorHAnsi" w:hAnsiTheme="minorHAnsi" w:cstheme="minorHAnsi"/>
          <w:szCs w:val="24"/>
        </w:rPr>
        <w:t> </w:t>
      </w:r>
      <w:r w:rsidR="00B94BDC" w:rsidRPr="00F66F1B">
        <w:rPr>
          <w:rFonts w:asciiTheme="minorHAnsi" w:hAnsiTheme="minorHAnsi" w:cstheme="minorHAnsi"/>
          <w:szCs w:val="24"/>
        </w:rPr>
        <w:t>1 y la CE</w:t>
      </w:r>
      <w:r w:rsidR="002A7B7F">
        <w:rPr>
          <w:rFonts w:asciiTheme="minorHAnsi" w:hAnsiTheme="minorHAnsi" w:cstheme="minorHAnsi"/>
          <w:szCs w:val="24"/>
        </w:rPr>
        <w:t> </w:t>
      </w:r>
      <w:r w:rsidR="00B94BDC" w:rsidRPr="00F66F1B">
        <w:rPr>
          <w:rFonts w:asciiTheme="minorHAnsi" w:hAnsiTheme="minorHAnsi" w:cstheme="minorHAnsi"/>
          <w:szCs w:val="24"/>
        </w:rPr>
        <w:t>2 del U</w:t>
      </w:r>
      <w:r w:rsidR="00BB1E1D" w:rsidRPr="00F66F1B">
        <w:rPr>
          <w:rFonts w:asciiTheme="minorHAnsi" w:hAnsiTheme="minorHAnsi" w:cstheme="minorHAnsi"/>
          <w:szCs w:val="24"/>
        </w:rPr>
        <w:t xml:space="preserve">IT-D </w:t>
      </w:r>
      <w:r w:rsidR="00B94BDC" w:rsidRPr="00F66F1B">
        <w:rPr>
          <w:rFonts w:asciiTheme="minorHAnsi" w:hAnsiTheme="minorHAnsi" w:cstheme="minorHAnsi"/>
          <w:szCs w:val="24"/>
        </w:rPr>
        <w:t xml:space="preserve">concluyó su </w:t>
      </w:r>
      <w:hyperlink r:id="rId47" w:history="1">
        <w:r w:rsidR="00B94BDC" w:rsidRPr="00F66F1B">
          <w:rPr>
            <w:rStyle w:val="Hyperlink"/>
            <w:rFonts w:asciiTheme="minorHAnsi" w:hAnsiTheme="minorHAnsi" w:cstheme="minorHAnsi"/>
            <w:szCs w:val="24"/>
          </w:rPr>
          <w:t>periodo de estudio</w:t>
        </w:r>
        <w:r w:rsidR="00B94BDC" w:rsidRPr="00F66F1B">
          <w:rPr>
            <w:rStyle w:val="Hyperlink"/>
            <w:rFonts w:asciiTheme="minorHAnsi" w:hAnsiTheme="minorHAnsi" w:cstheme="minorHAnsi"/>
            <w:szCs w:val="24"/>
          </w:rPr>
          <w:t>s</w:t>
        </w:r>
        <w:r w:rsidR="00B94BDC" w:rsidRPr="00F66F1B">
          <w:rPr>
            <w:rStyle w:val="Hyperlink"/>
            <w:rFonts w:asciiTheme="minorHAnsi" w:hAnsiTheme="minorHAnsi" w:cstheme="minorHAnsi"/>
            <w:szCs w:val="24"/>
          </w:rPr>
          <w:t xml:space="preserve"> 2</w:t>
        </w:r>
        <w:r w:rsidR="00BB1E1D" w:rsidRPr="00F66F1B">
          <w:rPr>
            <w:rStyle w:val="Hyperlink"/>
            <w:rFonts w:asciiTheme="minorHAnsi" w:hAnsiTheme="minorHAnsi" w:cstheme="minorHAnsi"/>
            <w:szCs w:val="24"/>
          </w:rPr>
          <w:t>014-2017</w:t>
        </w:r>
      </w:hyperlink>
      <w:r w:rsidR="00BB1E1D" w:rsidRPr="00F66F1B">
        <w:rPr>
          <w:rFonts w:asciiTheme="minorHAnsi" w:hAnsiTheme="minorHAnsi" w:cstheme="minorHAnsi"/>
          <w:szCs w:val="24"/>
        </w:rPr>
        <w:t xml:space="preserve"> </w:t>
      </w:r>
      <w:r w:rsidR="00B94BDC" w:rsidRPr="00F66F1B">
        <w:rPr>
          <w:rFonts w:asciiTheme="minorHAnsi" w:hAnsiTheme="minorHAnsi" w:cstheme="minorHAnsi"/>
          <w:szCs w:val="24"/>
        </w:rPr>
        <w:t xml:space="preserve">y publicó una serie de informes y directrices sobre </w:t>
      </w:r>
      <w:r w:rsidR="00BB1E1D" w:rsidRPr="00F66F1B">
        <w:rPr>
          <w:rFonts w:asciiTheme="minorHAnsi" w:hAnsiTheme="minorHAnsi" w:cstheme="minorHAnsi"/>
          <w:szCs w:val="24"/>
        </w:rPr>
        <w:t xml:space="preserve">Internet, </w:t>
      </w:r>
      <w:r w:rsidR="00B94BDC" w:rsidRPr="00F66F1B">
        <w:rPr>
          <w:rFonts w:asciiTheme="minorHAnsi" w:hAnsiTheme="minorHAnsi" w:cstheme="minorHAnsi"/>
          <w:szCs w:val="24"/>
        </w:rPr>
        <w:t xml:space="preserve">en particular sobre las Cuestiones </w:t>
      </w:r>
      <w:r w:rsidR="00BB1E1D" w:rsidRPr="00F66F1B">
        <w:rPr>
          <w:rFonts w:asciiTheme="minorHAnsi" w:hAnsiTheme="minorHAnsi" w:cstheme="minorHAnsi"/>
          <w:szCs w:val="24"/>
        </w:rPr>
        <w:t xml:space="preserve">1/1, 2/1, 3/1, 4/1, 5/1 </w:t>
      </w:r>
      <w:r w:rsidR="00284B4F">
        <w:rPr>
          <w:rFonts w:asciiTheme="minorHAnsi" w:hAnsiTheme="minorHAnsi" w:cstheme="minorHAnsi"/>
          <w:szCs w:val="24"/>
        </w:rPr>
        <w:t>y </w:t>
      </w:r>
      <w:r w:rsidR="00BB1E1D" w:rsidRPr="00F66F1B">
        <w:rPr>
          <w:rFonts w:asciiTheme="minorHAnsi" w:hAnsiTheme="minorHAnsi" w:cstheme="minorHAnsi"/>
          <w:szCs w:val="24"/>
        </w:rPr>
        <w:t>1/2 (</w:t>
      </w:r>
      <w:r w:rsidR="00B94BDC" w:rsidRPr="00F66F1B">
        <w:rPr>
          <w:rFonts w:asciiTheme="minorHAnsi" w:hAnsiTheme="minorHAnsi" w:cstheme="minorHAnsi"/>
          <w:szCs w:val="24"/>
        </w:rPr>
        <w:t xml:space="preserve">véanse los informes de la </w:t>
      </w:r>
      <w:hyperlink r:id="rId48" w:history="1">
        <w:r w:rsidR="00B94BDC" w:rsidRPr="00F66F1B">
          <w:rPr>
            <w:rStyle w:val="Hyperlink"/>
          </w:rPr>
          <w:t>CE</w:t>
        </w:r>
        <w:r w:rsidR="00AA05A7">
          <w:rPr>
            <w:rStyle w:val="Hyperlink"/>
          </w:rPr>
          <w:t xml:space="preserve"> </w:t>
        </w:r>
        <w:r w:rsidR="00B94BDC" w:rsidRPr="00F66F1B">
          <w:rPr>
            <w:rStyle w:val="Hyperlink"/>
          </w:rPr>
          <w:t>1 del</w:t>
        </w:r>
        <w:r w:rsidR="00B94BDC" w:rsidRPr="00F66F1B">
          <w:rPr>
            <w:rStyle w:val="Hyperlink"/>
          </w:rPr>
          <w:t xml:space="preserve"> </w:t>
        </w:r>
        <w:r w:rsidR="00B94BDC" w:rsidRPr="00F66F1B">
          <w:rPr>
            <w:rStyle w:val="Hyperlink"/>
          </w:rPr>
          <w:t>U</w:t>
        </w:r>
        <w:r w:rsidR="00B94BDC" w:rsidRPr="00F66F1B">
          <w:rPr>
            <w:rStyle w:val="Hyperlink"/>
          </w:rPr>
          <w:t>I</w:t>
        </w:r>
        <w:r w:rsidR="00BB1E1D" w:rsidRPr="00F66F1B">
          <w:rPr>
            <w:rStyle w:val="Hyperlink"/>
          </w:rPr>
          <w:t>T-D</w:t>
        </w:r>
      </w:hyperlink>
      <w:r w:rsidR="00BB1E1D" w:rsidRPr="00F66F1B">
        <w:rPr>
          <w:rFonts w:asciiTheme="minorHAnsi" w:hAnsiTheme="minorHAnsi" w:cstheme="minorHAnsi"/>
          <w:szCs w:val="24"/>
        </w:rPr>
        <w:t xml:space="preserve"> </w:t>
      </w:r>
      <w:r w:rsidR="00B94BDC" w:rsidRPr="00F66F1B">
        <w:rPr>
          <w:rFonts w:asciiTheme="minorHAnsi" w:hAnsiTheme="minorHAnsi" w:cstheme="minorHAnsi"/>
          <w:szCs w:val="24"/>
        </w:rPr>
        <w:t xml:space="preserve">y de la </w:t>
      </w:r>
      <w:hyperlink r:id="rId49" w:history="1">
        <w:r w:rsidR="00B94BDC" w:rsidRPr="00F66F1B">
          <w:rPr>
            <w:rStyle w:val="Hyperlink"/>
          </w:rPr>
          <w:t>CE</w:t>
        </w:r>
        <w:r w:rsidR="00AA05A7">
          <w:rPr>
            <w:rStyle w:val="Hyperlink"/>
          </w:rPr>
          <w:t xml:space="preserve"> </w:t>
        </w:r>
        <w:r w:rsidR="00B94BDC" w:rsidRPr="00F66F1B">
          <w:rPr>
            <w:rStyle w:val="Hyperlink"/>
          </w:rPr>
          <w:t>2 de</w:t>
        </w:r>
        <w:r w:rsidR="00B94BDC" w:rsidRPr="00F66F1B">
          <w:rPr>
            <w:rStyle w:val="Hyperlink"/>
          </w:rPr>
          <w:t>l</w:t>
        </w:r>
        <w:r w:rsidR="00B94BDC" w:rsidRPr="00F66F1B">
          <w:rPr>
            <w:rStyle w:val="Hyperlink"/>
          </w:rPr>
          <w:t xml:space="preserve"> UI</w:t>
        </w:r>
        <w:r w:rsidR="00BB1E1D" w:rsidRPr="00F66F1B">
          <w:rPr>
            <w:rStyle w:val="Hyperlink"/>
          </w:rPr>
          <w:t>T-D</w:t>
        </w:r>
      </w:hyperlink>
      <w:r w:rsidR="00BB1E1D" w:rsidRPr="00F66F1B">
        <w:t xml:space="preserve">). </w:t>
      </w:r>
      <w:r w:rsidR="00B94BDC" w:rsidRPr="00F66F1B">
        <w:rPr>
          <w:rFonts w:asciiTheme="minorHAnsi" w:hAnsiTheme="minorHAnsi" w:cstheme="minorHAnsi"/>
          <w:szCs w:val="24"/>
        </w:rPr>
        <w:t>Tras la CMDT</w:t>
      </w:r>
      <w:r w:rsidR="00BB1E1D" w:rsidRPr="00F66F1B">
        <w:rPr>
          <w:rFonts w:asciiTheme="minorHAnsi" w:hAnsiTheme="minorHAnsi" w:cstheme="minorHAnsi"/>
          <w:szCs w:val="24"/>
        </w:rPr>
        <w:t xml:space="preserve">-17, </w:t>
      </w:r>
      <w:r w:rsidR="00B94BDC" w:rsidRPr="00F66F1B">
        <w:rPr>
          <w:rFonts w:asciiTheme="minorHAnsi" w:hAnsiTheme="minorHAnsi" w:cstheme="minorHAnsi"/>
          <w:szCs w:val="24"/>
        </w:rPr>
        <w:t>continuaron los trabajos sobre cuestiones relativas a IP como la interconexión</w:t>
      </w:r>
      <w:r w:rsidR="00BB1E1D" w:rsidRPr="00F66F1B">
        <w:rPr>
          <w:rFonts w:asciiTheme="minorHAnsi" w:hAnsiTheme="minorHAnsi" w:cstheme="minorHAnsi"/>
          <w:szCs w:val="24"/>
        </w:rPr>
        <w:t xml:space="preserve"> NGN, VoIP, </w:t>
      </w:r>
      <w:r w:rsidR="00B94BDC" w:rsidRPr="00F66F1B">
        <w:rPr>
          <w:rFonts w:asciiTheme="minorHAnsi" w:hAnsiTheme="minorHAnsi" w:cstheme="minorHAnsi"/>
          <w:szCs w:val="24"/>
        </w:rPr>
        <w:t>servicios en la nube y estrategias, políticas y tecnologías para el despliegue de la banda ancha</w:t>
      </w:r>
      <w:r w:rsidR="00BB1E1D" w:rsidRPr="00F66F1B">
        <w:rPr>
          <w:rFonts w:asciiTheme="minorHAnsi" w:hAnsiTheme="minorHAnsi" w:cstheme="minorHAnsi"/>
          <w:szCs w:val="24"/>
        </w:rPr>
        <w:t xml:space="preserve">. </w:t>
      </w:r>
      <w:r w:rsidR="00B94BDC" w:rsidRPr="00F66F1B">
        <w:rPr>
          <w:rFonts w:asciiTheme="minorHAnsi" w:hAnsiTheme="minorHAnsi" w:cstheme="minorHAnsi"/>
          <w:szCs w:val="24"/>
        </w:rPr>
        <w:t xml:space="preserve">Los grupos investigarán las </w:t>
      </w:r>
      <w:r w:rsidR="000500FD" w:rsidRPr="00F66F1B">
        <w:rPr>
          <w:rFonts w:asciiTheme="minorHAnsi" w:hAnsiTheme="minorHAnsi" w:cstheme="minorHAnsi"/>
          <w:szCs w:val="24"/>
        </w:rPr>
        <w:t>directrices para la transición de las redes de banda estrecha a redes de banda ancha de gran calidad y alta velocidad (incluida la transición a las redes IMT-2020), habida cuenta de las características de interconexión e interoperabilidad.</w:t>
      </w:r>
      <w:r w:rsidR="000500FD" w:rsidRPr="00F66F1B">
        <w:rPr>
          <w:b/>
          <w:color w:val="800000"/>
          <w:sz w:val="22"/>
        </w:rPr>
        <w:t xml:space="preserve"> </w:t>
      </w:r>
      <w:r w:rsidR="00186B83" w:rsidRPr="00F66F1B">
        <w:t xml:space="preserve">La nueva Cuestión </w:t>
      </w:r>
      <w:r w:rsidR="00BB1E1D" w:rsidRPr="00F66F1B">
        <w:rPr>
          <w:rFonts w:asciiTheme="minorHAnsi" w:hAnsiTheme="minorHAnsi" w:cstheme="minorHAnsi"/>
        </w:rPr>
        <w:t xml:space="preserve">1/1 </w:t>
      </w:r>
      <w:r w:rsidR="00186B83" w:rsidRPr="00F66F1B">
        <w:rPr>
          <w:rFonts w:asciiTheme="minorHAnsi" w:hAnsiTheme="minorHAnsi" w:cstheme="minorHAnsi"/>
        </w:rPr>
        <w:t xml:space="preserve">estudiará las </w:t>
      </w:r>
      <w:r w:rsidR="008C26D4" w:rsidRPr="00F66F1B">
        <w:rPr>
          <w:rFonts w:asciiTheme="minorHAnsi" w:hAnsiTheme="minorHAnsi" w:cstheme="minorHAnsi"/>
        </w:rPr>
        <w:t>"</w:t>
      </w:r>
      <w:r w:rsidR="00186B83" w:rsidRPr="00F66F1B">
        <w:rPr>
          <w:rFonts w:asciiTheme="minorHAnsi" w:hAnsiTheme="minorHAnsi" w:cstheme="minorHAnsi"/>
        </w:rPr>
        <w:t>e</w:t>
      </w:r>
      <w:r w:rsidR="008C26D4" w:rsidRPr="00F66F1B">
        <w:rPr>
          <w:rFonts w:asciiTheme="minorHAnsi" w:hAnsiTheme="minorHAnsi" w:cstheme="minorHAnsi"/>
        </w:rPr>
        <w:t>strategias y políticas para el despliegue de la banda ancha en los países en desarrollo" (</w:t>
      </w:r>
      <w:r w:rsidR="00186B83" w:rsidRPr="00F66F1B">
        <w:rPr>
          <w:rFonts w:asciiTheme="minorHAnsi" w:hAnsiTheme="minorHAnsi" w:cstheme="minorHAnsi"/>
        </w:rPr>
        <w:t xml:space="preserve">fusión de las antiguas Cuestiones </w:t>
      </w:r>
      <w:r w:rsidR="008C26D4" w:rsidRPr="00F66F1B">
        <w:rPr>
          <w:rFonts w:asciiTheme="minorHAnsi" w:hAnsiTheme="minorHAnsi" w:cstheme="minorHAnsi"/>
        </w:rPr>
        <w:t xml:space="preserve">1/1 </w:t>
      </w:r>
      <w:r w:rsidR="00186B83" w:rsidRPr="00F66F1B">
        <w:rPr>
          <w:rFonts w:asciiTheme="minorHAnsi" w:hAnsiTheme="minorHAnsi" w:cstheme="minorHAnsi"/>
        </w:rPr>
        <w:t xml:space="preserve">y </w:t>
      </w:r>
      <w:r w:rsidR="008C26D4" w:rsidRPr="00F66F1B">
        <w:rPr>
          <w:rFonts w:asciiTheme="minorHAnsi" w:hAnsiTheme="minorHAnsi" w:cstheme="minorHAnsi"/>
        </w:rPr>
        <w:t xml:space="preserve">2/1). </w:t>
      </w:r>
      <w:r w:rsidR="00186B83" w:rsidRPr="00F66F1B">
        <w:rPr>
          <w:rFonts w:asciiTheme="minorHAnsi" w:hAnsiTheme="minorHAnsi" w:cstheme="minorHAnsi"/>
        </w:rPr>
        <w:t xml:space="preserve">La nueva Cuestión </w:t>
      </w:r>
      <w:r w:rsidR="008C26D4" w:rsidRPr="00F66F1B">
        <w:rPr>
          <w:rFonts w:asciiTheme="minorHAnsi" w:hAnsiTheme="minorHAnsi" w:cstheme="minorHAnsi"/>
        </w:rPr>
        <w:t xml:space="preserve">3/1 </w:t>
      </w:r>
      <w:r w:rsidR="00186B83" w:rsidRPr="00F66F1B">
        <w:rPr>
          <w:rFonts w:asciiTheme="minorHAnsi" w:hAnsiTheme="minorHAnsi" w:cstheme="minorHAnsi"/>
        </w:rPr>
        <w:t xml:space="preserve">estudiará las </w:t>
      </w:r>
      <w:r w:rsidR="008C26D4" w:rsidRPr="00F66F1B">
        <w:rPr>
          <w:rFonts w:asciiTheme="minorHAnsi" w:hAnsiTheme="minorHAnsi" w:cstheme="minorHAnsi"/>
        </w:rPr>
        <w:t>"</w:t>
      </w:r>
      <w:r w:rsidR="00186B83" w:rsidRPr="00F66F1B">
        <w:rPr>
          <w:rFonts w:asciiTheme="minorHAnsi" w:hAnsiTheme="minorHAnsi" w:cstheme="minorHAnsi"/>
        </w:rPr>
        <w:t>n</w:t>
      </w:r>
      <w:r w:rsidR="008C26D4" w:rsidRPr="00F66F1B">
        <w:t xml:space="preserve">uevas tecnologías, incluida la computación en la nube, los servicios móviles y los OTT: retos, oportunidades e impacto económico y político para los países en desarrollo" </w:t>
      </w:r>
      <w:r w:rsidR="00BB1E1D" w:rsidRPr="00F66F1B">
        <w:t>(</w:t>
      </w:r>
      <w:r w:rsidR="00186B83" w:rsidRPr="00F66F1B">
        <w:t xml:space="preserve">fusión de las antiguas Cuestiones </w:t>
      </w:r>
      <w:r w:rsidR="00BB1E1D" w:rsidRPr="00F66F1B">
        <w:t xml:space="preserve">1/1 </w:t>
      </w:r>
      <w:r w:rsidR="00186B83" w:rsidRPr="00F66F1B">
        <w:t xml:space="preserve">y </w:t>
      </w:r>
      <w:r w:rsidR="00BB1E1D" w:rsidRPr="00F66F1B">
        <w:t xml:space="preserve">3/1). </w:t>
      </w:r>
      <w:r w:rsidR="00186B83" w:rsidRPr="00F66F1B">
        <w:t xml:space="preserve">Las Cuestiones </w:t>
      </w:r>
      <w:r w:rsidR="00BB1E1D" w:rsidRPr="00F66F1B">
        <w:t xml:space="preserve">4/1, 5/1 </w:t>
      </w:r>
      <w:r w:rsidR="00186B83" w:rsidRPr="00F66F1B">
        <w:t xml:space="preserve">y </w:t>
      </w:r>
      <w:r w:rsidR="00BB1E1D" w:rsidRPr="00F66F1B">
        <w:t xml:space="preserve">1/2 </w:t>
      </w:r>
      <w:r w:rsidR="00186B83" w:rsidRPr="00F66F1B">
        <w:t>proseguirán sus trabajos de anteriores periodos de estudio, concentrándose en la necesidad de recurrir a las TIC para el desarrollo socioeconómico sostenible</w:t>
      </w:r>
      <w:r w:rsidR="00BB1E1D" w:rsidRPr="00F66F1B">
        <w:t>.</w:t>
      </w:r>
    </w:p>
    <w:p w:rsidR="000A18B2" w:rsidRPr="00F66F1B" w:rsidRDefault="000A18B2" w:rsidP="00005A84">
      <w:r w:rsidRPr="00F66F1B">
        <w:t>2.14.1</w:t>
      </w:r>
      <w:r w:rsidRPr="00F66F1B">
        <w:tab/>
      </w:r>
      <w:r w:rsidR="00186B83" w:rsidRPr="00F66F1B">
        <w:t xml:space="preserve">En el marco del </w:t>
      </w:r>
      <w:r w:rsidRPr="00F66F1B">
        <w:t xml:space="preserve">Objetivo 3 del Plan de Acción de Buenos Aires, </w:t>
      </w:r>
      <w:r w:rsidR="00186B83" w:rsidRPr="00F66F1B">
        <w:t>se adoptó el producto</w:t>
      </w:r>
      <w:r w:rsidR="00571670">
        <w:t> </w:t>
      </w:r>
      <w:r w:rsidRPr="00F66F1B">
        <w:t xml:space="preserve">3.3 </w:t>
      </w:r>
      <w:r w:rsidR="00186B83" w:rsidRPr="00F66F1B">
        <w:t xml:space="preserve">relativos a </w:t>
      </w:r>
      <w:r w:rsidRPr="00F66F1B">
        <w:t>"Productos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p w:rsidR="003F147B" w:rsidRPr="00F66F1B" w:rsidRDefault="007209AE" w:rsidP="001342C1">
      <w:pPr>
        <w:keepLines/>
      </w:pPr>
      <w:r w:rsidRPr="00F66F1B">
        <w:lastRenderedPageBreak/>
        <w:t>2.15</w:t>
      </w:r>
      <w:r w:rsidRPr="00F66F1B">
        <w:tab/>
      </w:r>
      <w:r w:rsidR="003F147B" w:rsidRPr="00F66F1B">
        <w:t>El UIT-D sigue desarrollando la conectividad inalámbrica a Internet en banda ancha y concibe aplicaciones TIC para dar acceso digital gratuito o a bajo costo a escuelas y hospitales, y a poblaciones insuficientemente atendidas de zonas rurales y aisladas en determinados países (Burundi, Burkina Faso, Djibouti, Lesotho, Malí</w:t>
      </w:r>
      <w:r w:rsidR="002F4308" w:rsidRPr="00F66F1B">
        <w:t>,</w:t>
      </w:r>
      <w:r w:rsidR="003F147B" w:rsidRPr="00F66F1B">
        <w:t xml:space="preserve"> </w:t>
      </w:r>
      <w:r w:rsidR="00E47306" w:rsidRPr="00F66F1B">
        <w:t>Suazilandia</w:t>
      </w:r>
      <w:r w:rsidR="002F4308" w:rsidRPr="00F66F1B">
        <w:t>,</w:t>
      </w:r>
      <w:r w:rsidR="008A5944" w:rsidRPr="00F66F1B">
        <w:t xml:space="preserve"> Antigua y Barbuda </w:t>
      </w:r>
      <w:r w:rsidR="00E60E88" w:rsidRPr="00F66F1B">
        <w:t xml:space="preserve">y </w:t>
      </w:r>
      <w:r w:rsidR="008A5944" w:rsidRPr="00F66F1B">
        <w:t>Saint Kitts y Nevis, etc</w:t>
      </w:r>
      <w:r w:rsidR="002F4308" w:rsidRPr="00F66F1B">
        <w:t>.</w:t>
      </w:r>
      <w:r w:rsidR="003F147B" w:rsidRPr="00F66F1B">
        <w:t>).</w:t>
      </w:r>
    </w:p>
    <w:p w:rsidR="003F147B" w:rsidRPr="00F66F1B" w:rsidRDefault="003F147B" w:rsidP="00171937">
      <w:pPr>
        <w:rPr>
          <w:rFonts w:asciiTheme="minorHAnsi" w:hAnsiTheme="minorHAnsi" w:cstheme="minorHAnsi"/>
          <w:szCs w:val="24"/>
        </w:rPr>
      </w:pPr>
      <w:r w:rsidRPr="00F66F1B">
        <w:rPr>
          <w:rFonts w:asciiTheme="minorHAnsi" w:hAnsiTheme="minorHAnsi" w:cstheme="minorHAnsi"/>
          <w:szCs w:val="24"/>
        </w:rPr>
        <w:t>2.1</w:t>
      </w:r>
      <w:r w:rsidR="00BB1E1D" w:rsidRPr="00F66F1B">
        <w:rPr>
          <w:rFonts w:asciiTheme="minorHAnsi" w:hAnsiTheme="minorHAnsi" w:cstheme="minorHAnsi"/>
          <w:szCs w:val="24"/>
        </w:rPr>
        <w:t>6</w:t>
      </w:r>
      <w:r w:rsidRPr="00F66F1B">
        <w:rPr>
          <w:rFonts w:asciiTheme="minorHAnsi" w:hAnsiTheme="minorHAnsi" w:cstheme="minorHAnsi"/>
          <w:szCs w:val="24"/>
        </w:rPr>
        <w:tab/>
      </w:r>
      <w:r w:rsidRPr="00F66F1B">
        <w:t xml:space="preserve">El UIT-R aprobó la Recomendación UIT-R M.2083 </w:t>
      </w:r>
      <w:r w:rsidR="00171937">
        <w:t>"</w:t>
      </w:r>
      <w:r w:rsidR="009179AD" w:rsidRPr="00F66F1B">
        <w:t xml:space="preserve">Concepción de las IMT - Marco y objetivos generales del futuro desarrollo de </w:t>
      </w:r>
      <w:r w:rsidR="00171937">
        <w:t>las IMT para 2020 y en adelante"</w:t>
      </w:r>
      <w:r w:rsidRPr="00F66F1B">
        <w:t xml:space="preserve"> y las Resoluciones UIT-R.65 "Principios para el futuro desarrollo de las IMT para 2020 y años posteriores" y UIT-R.66 "Estudios relativos a sistemas y aplicaciones inalámbricos para el desarrollo de la Internet de las cosas".</w:t>
      </w:r>
    </w:p>
    <w:p w:rsidR="003F147B" w:rsidRPr="00F66F1B" w:rsidRDefault="003F147B" w:rsidP="00005A84">
      <w:pPr>
        <w:rPr>
          <w:rFonts w:asciiTheme="minorHAnsi" w:hAnsiTheme="minorHAnsi"/>
          <w:szCs w:val="24"/>
        </w:rPr>
      </w:pPr>
      <w:r w:rsidRPr="00F66F1B">
        <w:rPr>
          <w:rFonts w:asciiTheme="minorHAnsi" w:hAnsiTheme="minorHAnsi" w:cstheme="minorHAnsi"/>
          <w:szCs w:val="24"/>
        </w:rPr>
        <w:t>2.1</w:t>
      </w:r>
      <w:r w:rsidR="00BB1E1D" w:rsidRPr="00F66F1B">
        <w:rPr>
          <w:rFonts w:asciiTheme="minorHAnsi" w:hAnsiTheme="minorHAnsi" w:cstheme="minorHAnsi"/>
          <w:szCs w:val="24"/>
        </w:rPr>
        <w:t>7</w:t>
      </w:r>
      <w:r w:rsidRPr="00F66F1B">
        <w:rPr>
          <w:rFonts w:asciiTheme="minorHAnsi" w:hAnsiTheme="minorHAnsi" w:cstheme="minorHAnsi"/>
          <w:szCs w:val="24"/>
        </w:rPr>
        <w:tab/>
      </w:r>
      <w:r w:rsidRPr="00F66F1B">
        <w:t>La UIT sigue trabajando en cooperación con la Corporation for National Rese</w:t>
      </w:r>
      <w:r w:rsidR="00900A35">
        <w:t>arch Initiatives </w:t>
      </w:r>
      <w:r w:rsidRPr="00F66F1B">
        <w:t>(CNRI) y la Fundación DONA sobre la utilización de la arquitectura de objeto digital (DOA) –una arquitectura avanzada para la gestión de la información– con el fin de utilizar sus características de gestión de objetos digitales avanzadas en la UIT y otros organismos de las Naciones Unidas interesados.</w:t>
      </w:r>
    </w:p>
    <w:p w:rsidR="00DE04B3" w:rsidRPr="00F66F1B" w:rsidRDefault="002E03D2" w:rsidP="00171937">
      <w:r w:rsidRPr="00F66F1B">
        <w:rPr>
          <w:rFonts w:asciiTheme="minorHAnsi" w:hAnsiTheme="minorHAnsi" w:cstheme="minorHAnsi"/>
          <w:szCs w:val="24"/>
        </w:rPr>
        <w:t>2.18</w:t>
      </w:r>
      <w:r w:rsidRPr="00F66F1B">
        <w:rPr>
          <w:rFonts w:asciiTheme="minorHAnsi" w:hAnsiTheme="minorHAnsi" w:cstheme="minorHAnsi"/>
          <w:szCs w:val="24"/>
        </w:rPr>
        <w:tab/>
      </w:r>
      <w:r w:rsidR="009179AD" w:rsidRPr="00F66F1B">
        <w:rPr>
          <w:rFonts w:asciiTheme="minorHAnsi" w:hAnsiTheme="minorHAnsi" w:cstheme="minorHAnsi"/>
          <w:szCs w:val="24"/>
        </w:rPr>
        <w:t xml:space="preserve">Se impartieron varios cursillos de formación a través de la </w:t>
      </w:r>
      <w:hyperlink r:id="rId50" w:history="1">
        <w:r w:rsidR="009179AD" w:rsidRPr="00F66F1B">
          <w:rPr>
            <w:rStyle w:val="Hyperlink"/>
            <w:rFonts w:asciiTheme="minorHAnsi" w:hAnsiTheme="minorHAnsi" w:cstheme="minorHAnsi"/>
            <w:szCs w:val="24"/>
          </w:rPr>
          <w:t>Academia de la UIT</w:t>
        </w:r>
      </w:hyperlink>
      <w:r w:rsidRPr="00F66F1B">
        <w:rPr>
          <w:rFonts w:asciiTheme="minorHAnsi" w:hAnsiTheme="minorHAnsi" w:cstheme="minorHAnsi"/>
          <w:szCs w:val="24"/>
        </w:rPr>
        <w:t xml:space="preserve"> </w:t>
      </w:r>
      <w:r w:rsidR="009179AD" w:rsidRPr="00F66F1B">
        <w:rPr>
          <w:rFonts w:asciiTheme="minorHAnsi" w:hAnsiTheme="minorHAnsi" w:cstheme="minorHAnsi"/>
          <w:szCs w:val="24"/>
        </w:rPr>
        <w:t xml:space="preserve">y de la red de </w:t>
      </w:r>
      <w:hyperlink r:id="rId51" w:history="1">
        <w:r w:rsidR="009179AD" w:rsidRPr="00F66F1B">
          <w:rPr>
            <w:rStyle w:val="Hyperlink"/>
            <w:rFonts w:asciiTheme="minorHAnsi" w:hAnsiTheme="minorHAnsi" w:cstheme="minorHAnsi"/>
            <w:szCs w:val="24"/>
          </w:rPr>
          <w:t>Centros de Excelencia de la UI</w:t>
        </w:r>
        <w:r w:rsidRPr="00F66F1B">
          <w:rPr>
            <w:rStyle w:val="Hyperlink"/>
            <w:rFonts w:asciiTheme="minorHAnsi" w:hAnsiTheme="minorHAnsi" w:cstheme="minorHAnsi"/>
            <w:szCs w:val="24"/>
          </w:rPr>
          <w:t>T</w:t>
        </w:r>
      </w:hyperlink>
      <w:r w:rsidRPr="00F66F1B">
        <w:rPr>
          <w:rFonts w:asciiTheme="minorHAnsi" w:hAnsiTheme="minorHAnsi" w:cstheme="minorHAnsi"/>
          <w:szCs w:val="24"/>
        </w:rPr>
        <w:t xml:space="preserve">, </w:t>
      </w:r>
      <w:r w:rsidR="009179AD" w:rsidRPr="00F66F1B">
        <w:rPr>
          <w:rFonts w:asciiTheme="minorHAnsi" w:hAnsiTheme="minorHAnsi" w:cstheme="minorHAnsi"/>
          <w:szCs w:val="24"/>
        </w:rPr>
        <w:t xml:space="preserve">sobre temas tales como </w:t>
      </w:r>
      <w:r w:rsidR="0087405F" w:rsidRPr="00F66F1B">
        <w:t>"</w:t>
      </w:r>
      <w:r w:rsidR="009179AD" w:rsidRPr="00F66F1B">
        <w:rPr>
          <w:rFonts w:asciiTheme="minorHAnsi" w:hAnsiTheme="minorHAnsi" w:cstheme="minorHAnsi"/>
          <w:szCs w:val="24"/>
        </w:rPr>
        <w:t xml:space="preserve">Despliegue de </w:t>
      </w:r>
      <w:r w:rsidRPr="00F66F1B">
        <w:rPr>
          <w:rFonts w:asciiTheme="minorHAnsi" w:hAnsiTheme="minorHAnsi" w:cstheme="minorHAnsi"/>
          <w:szCs w:val="24"/>
        </w:rPr>
        <w:t xml:space="preserve">IPv6 </w:t>
      </w:r>
      <w:r w:rsidR="0087405F" w:rsidRPr="00F66F1B">
        <w:t>"</w:t>
      </w:r>
      <w:r w:rsidRPr="00F66F1B">
        <w:rPr>
          <w:rFonts w:asciiTheme="minorHAnsi" w:hAnsiTheme="minorHAnsi" w:cstheme="minorHAnsi"/>
          <w:szCs w:val="24"/>
        </w:rPr>
        <w:t xml:space="preserve">, </w:t>
      </w:r>
      <w:r w:rsidR="0087405F" w:rsidRPr="00F66F1B">
        <w:t>"</w:t>
      </w:r>
      <w:r w:rsidR="009179AD" w:rsidRPr="00F66F1B">
        <w:t xml:space="preserve">Aspectos estratégicos de la gobernanza de </w:t>
      </w:r>
      <w:r w:rsidRPr="00F66F1B">
        <w:rPr>
          <w:rFonts w:asciiTheme="minorHAnsi" w:hAnsiTheme="minorHAnsi" w:cstheme="minorHAnsi"/>
          <w:szCs w:val="24"/>
        </w:rPr>
        <w:t xml:space="preserve">Internet </w:t>
      </w:r>
      <w:r w:rsidR="009179AD" w:rsidRPr="00F66F1B">
        <w:rPr>
          <w:rFonts w:asciiTheme="minorHAnsi" w:hAnsiTheme="minorHAnsi" w:cstheme="minorHAnsi"/>
          <w:szCs w:val="24"/>
        </w:rPr>
        <w:t>y las innovaciones</w:t>
      </w:r>
      <w:r w:rsidR="0087405F" w:rsidRPr="00F66F1B">
        <w:t>"</w:t>
      </w:r>
      <w:r w:rsidRPr="00F66F1B">
        <w:rPr>
          <w:rFonts w:asciiTheme="minorHAnsi" w:hAnsiTheme="minorHAnsi" w:cstheme="minorHAnsi"/>
          <w:szCs w:val="24"/>
        </w:rPr>
        <w:t xml:space="preserve">, </w:t>
      </w:r>
      <w:r w:rsidR="0087405F" w:rsidRPr="00F66F1B">
        <w:t>"</w:t>
      </w:r>
      <w:r w:rsidR="009179AD" w:rsidRPr="00F66F1B">
        <w:t>Infraestructura T</w:t>
      </w:r>
      <w:r w:rsidRPr="00F66F1B">
        <w:rPr>
          <w:rFonts w:asciiTheme="minorHAnsi" w:hAnsiTheme="minorHAnsi" w:cstheme="minorHAnsi"/>
          <w:szCs w:val="24"/>
        </w:rPr>
        <w:t xml:space="preserve">IC </w:t>
      </w:r>
      <w:r w:rsidR="009179AD" w:rsidRPr="00F66F1B">
        <w:rPr>
          <w:rFonts w:asciiTheme="minorHAnsi" w:hAnsiTheme="minorHAnsi" w:cstheme="minorHAnsi"/>
          <w:szCs w:val="24"/>
        </w:rPr>
        <w:t xml:space="preserve">e </w:t>
      </w:r>
      <w:r w:rsidRPr="00F66F1B">
        <w:rPr>
          <w:rFonts w:asciiTheme="minorHAnsi" w:hAnsiTheme="minorHAnsi" w:cstheme="minorHAnsi"/>
          <w:szCs w:val="24"/>
        </w:rPr>
        <w:t>IoT</w:t>
      </w:r>
      <w:r w:rsidR="0087405F" w:rsidRPr="00F66F1B">
        <w:t>"</w:t>
      </w:r>
      <w:r w:rsidRPr="00F66F1B">
        <w:rPr>
          <w:rFonts w:asciiTheme="minorHAnsi" w:hAnsiTheme="minorHAnsi" w:cstheme="minorHAnsi"/>
          <w:szCs w:val="24"/>
        </w:rPr>
        <w:t xml:space="preserve">, </w:t>
      </w:r>
      <w:r w:rsidR="0087405F" w:rsidRPr="00F66F1B">
        <w:t>"</w:t>
      </w:r>
      <w:r w:rsidR="009179AD" w:rsidRPr="00F66F1B">
        <w:rPr>
          <w:rFonts w:asciiTheme="minorHAnsi" w:hAnsiTheme="minorHAnsi" w:cstheme="minorHAnsi"/>
          <w:szCs w:val="24"/>
        </w:rPr>
        <w:t>Tecnologías de acceso por fibra óptica y redes de la próxima generación</w:t>
      </w:r>
      <w:r w:rsidR="0087405F" w:rsidRPr="00F66F1B">
        <w:t>"</w:t>
      </w:r>
      <w:r w:rsidRPr="00F66F1B">
        <w:rPr>
          <w:rFonts w:asciiTheme="minorHAnsi" w:hAnsiTheme="minorHAnsi" w:cstheme="minorHAnsi"/>
          <w:szCs w:val="24"/>
        </w:rPr>
        <w:t xml:space="preserve">, </w:t>
      </w:r>
      <w:r w:rsidR="0087405F" w:rsidRPr="00F66F1B">
        <w:t>"</w:t>
      </w:r>
      <w:r w:rsidR="009179AD" w:rsidRPr="00F66F1B">
        <w:rPr>
          <w:rFonts w:asciiTheme="minorHAnsi" w:hAnsiTheme="minorHAnsi" w:cstheme="minorHAnsi"/>
          <w:szCs w:val="24"/>
        </w:rPr>
        <w:t>Tecnologías de la cuarta generación</w:t>
      </w:r>
      <w:r w:rsidRPr="00F66F1B">
        <w:rPr>
          <w:rFonts w:asciiTheme="minorHAnsi" w:hAnsiTheme="minorHAnsi" w:cstheme="minorHAnsi"/>
          <w:szCs w:val="24"/>
        </w:rPr>
        <w:t xml:space="preserve">: LTE </w:t>
      </w:r>
      <w:r w:rsidR="009179AD" w:rsidRPr="00F66F1B">
        <w:rPr>
          <w:rFonts w:asciiTheme="minorHAnsi" w:hAnsiTheme="minorHAnsi" w:cstheme="minorHAnsi"/>
          <w:szCs w:val="24"/>
        </w:rPr>
        <w:t xml:space="preserve">y </w:t>
      </w:r>
      <w:r w:rsidRPr="00F66F1B">
        <w:rPr>
          <w:rFonts w:asciiTheme="minorHAnsi" w:hAnsiTheme="minorHAnsi" w:cstheme="minorHAnsi"/>
          <w:szCs w:val="24"/>
        </w:rPr>
        <w:t xml:space="preserve">LTE </w:t>
      </w:r>
      <w:r w:rsidR="009179AD" w:rsidRPr="00F66F1B">
        <w:rPr>
          <w:rFonts w:asciiTheme="minorHAnsi" w:hAnsiTheme="minorHAnsi" w:cstheme="minorHAnsi"/>
          <w:szCs w:val="24"/>
        </w:rPr>
        <w:t>Avanzadas</w:t>
      </w:r>
      <w:r w:rsidR="0087405F" w:rsidRPr="00F66F1B">
        <w:t>"</w:t>
      </w:r>
      <w:r w:rsidRPr="00F66F1B">
        <w:rPr>
          <w:rFonts w:asciiTheme="minorHAnsi" w:hAnsiTheme="minorHAnsi" w:cstheme="minorHAnsi"/>
          <w:szCs w:val="24"/>
        </w:rPr>
        <w:t xml:space="preserve">, </w:t>
      </w:r>
      <w:r w:rsidR="0087405F" w:rsidRPr="00F66F1B">
        <w:t>"</w:t>
      </w:r>
      <w:r w:rsidR="009179AD" w:rsidRPr="00F66F1B">
        <w:rPr>
          <w:rFonts w:asciiTheme="minorHAnsi" w:hAnsiTheme="minorHAnsi" w:cstheme="minorHAnsi"/>
          <w:szCs w:val="24"/>
        </w:rPr>
        <w:t xml:space="preserve">el futuro de la interfaz con </w:t>
      </w:r>
      <w:r w:rsidRPr="00F66F1B">
        <w:rPr>
          <w:rFonts w:asciiTheme="minorHAnsi" w:hAnsiTheme="minorHAnsi" w:cstheme="minorHAnsi"/>
          <w:szCs w:val="24"/>
        </w:rPr>
        <w:t>5G</w:t>
      </w:r>
      <w:r w:rsidR="0087405F" w:rsidRPr="00F66F1B">
        <w:t>"</w:t>
      </w:r>
      <w:r w:rsidRPr="00F66F1B">
        <w:rPr>
          <w:rFonts w:asciiTheme="minorHAnsi" w:hAnsiTheme="minorHAnsi" w:cstheme="minorHAnsi"/>
          <w:szCs w:val="24"/>
        </w:rPr>
        <w:t xml:space="preserve">, </w:t>
      </w:r>
      <w:r w:rsidR="0087405F" w:rsidRPr="00F66F1B">
        <w:t>"</w:t>
      </w:r>
      <w:r w:rsidR="009179AD" w:rsidRPr="00F66F1B">
        <w:rPr>
          <w:rFonts w:asciiTheme="minorHAnsi" w:hAnsiTheme="minorHAnsi" w:cstheme="minorHAnsi"/>
          <w:szCs w:val="24"/>
        </w:rPr>
        <w:t>el papel de las TIC en las ciudades sostenibles e inteligentes</w:t>
      </w:r>
      <w:r w:rsidR="0087405F" w:rsidRPr="00F66F1B">
        <w:t>"</w:t>
      </w:r>
      <w:r w:rsidRPr="00F66F1B">
        <w:rPr>
          <w:rFonts w:asciiTheme="minorHAnsi" w:hAnsiTheme="minorHAnsi" w:cstheme="minorHAnsi"/>
          <w:szCs w:val="24"/>
        </w:rPr>
        <w:t>, etc.</w:t>
      </w:r>
    </w:p>
    <w:p w:rsidR="00BC3720" w:rsidRPr="00F66F1B" w:rsidRDefault="00BC3720" w:rsidP="00005A84">
      <w:pPr>
        <w:rPr>
          <w:rFonts w:asciiTheme="minorHAnsi" w:hAnsiTheme="minorHAnsi" w:cstheme="minorHAnsi"/>
          <w:szCs w:val="24"/>
        </w:rPr>
      </w:pPr>
      <w:r w:rsidRPr="00F66F1B">
        <w:rPr>
          <w:rFonts w:asciiTheme="minorHAnsi" w:hAnsiTheme="minorHAnsi" w:cstheme="minorHAnsi"/>
          <w:bCs/>
          <w:szCs w:val="24"/>
        </w:rPr>
        <w:t>2.19</w:t>
      </w:r>
      <w:r w:rsidRPr="00F66F1B">
        <w:rPr>
          <w:rFonts w:asciiTheme="minorHAnsi" w:hAnsiTheme="minorHAnsi" w:cstheme="minorHAnsi"/>
          <w:szCs w:val="24"/>
        </w:rPr>
        <w:tab/>
      </w:r>
      <w:r w:rsidR="009179AD" w:rsidRPr="00F66F1B">
        <w:rPr>
          <w:rFonts w:asciiTheme="minorHAnsi" w:hAnsiTheme="minorHAnsi" w:cstheme="minorHAnsi"/>
          <w:szCs w:val="24"/>
        </w:rPr>
        <w:t xml:space="preserve">La UIT también prestó asistencia al </w:t>
      </w:r>
      <w:r w:rsidR="009232CF" w:rsidRPr="00F66F1B">
        <w:rPr>
          <w:rFonts w:asciiTheme="minorHAnsi" w:hAnsiTheme="minorHAnsi" w:cstheme="minorHAnsi"/>
          <w:szCs w:val="24"/>
        </w:rPr>
        <w:t xml:space="preserve">Instituto Costarricense de Electricidad </w:t>
      </w:r>
      <w:r w:rsidRPr="00F66F1B">
        <w:rPr>
          <w:rFonts w:asciiTheme="minorHAnsi" w:hAnsiTheme="minorHAnsi" w:cstheme="minorHAnsi"/>
          <w:szCs w:val="24"/>
        </w:rPr>
        <w:t xml:space="preserve">(ICE) </w:t>
      </w:r>
      <w:r w:rsidR="009179AD" w:rsidRPr="00F66F1B">
        <w:rPr>
          <w:rFonts w:asciiTheme="minorHAnsi" w:hAnsiTheme="minorHAnsi" w:cstheme="minorHAnsi"/>
          <w:szCs w:val="24"/>
        </w:rPr>
        <w:t>para reforzar su capacitación</w:t>
      </w:r>
      <w:r w:rsidRPr="00F66F1B">
        <w:rPr>
          <w:rFonts w:asciiTheme="minorHAnsi" w:hAnsiTheme="minorHAnsi" w:cstheme="minorHAnsi"/>
          <w:szCs w:val="24"/>
        </w:rPr>
        <w:t xml:space="preserve">, </w:t>
      </w:r>
      <w:r w:rsidR="009179AD" w:rsidRPr="00F66F1B">
        <w:rPr>
          <w:rFonts w:asciiTheme="minorHAnsi" w:hAnsiTheme="minorHAnsi" w:cstheme="minorHAnsi"/>
          <w:szCs w:val="24"/>
        </w:rPr>
        <w:t xml:space="preserve">en particular sobre las redes </w:t>
      </w:r>
      <w:r w:rsidRPr="00F66F1B">
        <w:rPr>
          <w:rFonts w:asciiTheme="minorHAnsi" w:hAnsiTheme="minorHAnsi" w:cstheme="minorHAnsi"/>
          <w:szCs w:val="24"/>
        </w:rPr>
        <w:t xml:space="preserve">NGN, </w:t>
      </w:r>
      <w:r w:rsidR="009179AD" w:rsidRPr="00F66F1B">
        <w:rPr>
          <w:rFonts w:asciiTheme="minorHAnsi" w:hAnsiTheme="minorHAnsi" w:cstheme="minorHAnsi"/>
          <w:szCs w:val="24"/>
        </w:rPr>
        <w:t xml:space="preserve">mediante el proyecto titulado </w:t>
      </w:r>
      <w:r w:rsidR="0087405F" w:rsidRPr="00F66F1B">
        <w:t>"</w:t>
      </w:r>
      <w:r w:rsidRPr="00F66F1B">
        <w:rPr>
          <w:rFonts w:asciiTheme="minorHAnsi" w:hAnsiTheme="minorHAnsi" w:cstheme="minorHAnsi"/>
          <w:szCs w:val="24"/>
        </w:rPr>
        <w:t>Desarrollo del conocimiento en tecnologías para especialistas del ICE</w:t>
      </w:r>
      <w:r w:rsidR="0087405F" w:rsidRPr="00F66F1B">
        <w:t>"</w:t>
      </w:r>
      <w:r w:rsidRPr="00F66F1B">
        <w:rPr>
          <w:rFonts w:asciiTheme="minorHAnsi" w:hAnsiTheme="minorHAnsi" w:cstheme="minorHAnsi"/>
          <w:szCs w:val="24"/>
        </w:rPr>
        <w:t>.</w:t>
      </w:r>
    </w:p>
    <w:p w:rsidR="00D344DA" w:rsidRPr="00F66F1B" w:rsidRDefault="00D344DA" w:rsidP="00005A84">
      <w:pPr>
        <w:rPr>
          <w:rFonts w:asciiTheme="minorHAnsi" w:hAnsiTheme="minorHAnsi" w:cstheme="minorHAnsi"/>
          <w:szCs w:val="24"/>
        </w:rPr>
      </w:pPr>
      <w:r w:rsidRPr="00F66F1B">
        <w:rPr>
          <w:rFonts w:asciiTheme="minorHAnsi" w:hAnsiTheme="minorHAnsi" w:cstheme="minorHAnsi"/>
          <w:szCs w:val="24"/>
        </w:rPr>
        <w:t>2.20</w:t>
      </w:r>
      <w:r w:rsidRPr="00F66F1B">
        <w:rPr>
          <w:rFonts w:asciiTheme="minorHAnsi" w:hAnsiTheme="minorHAnsi" w:cstheme="minorHAnsi"/>
          <w:szCs w:val="24"/>
        </w:rPr>
        <w:tab/>
        <w:t>El "</w:t>
      </w:r>
      <w:hyperlink r:id="rId52" w:history="1">
        <w:r w:rsidRPr="00F66F1B">
          <w:rPr>
            <w:rStyle w:val="Hyperlink"/>
          </w:rPr>
          <w:t>Foro so</w:t>
        </w:r>
        <w:r w:rsidR="00077064">
          <w:rPr>
            <w:rStyle w:val="Hyperlink"/>
          </w:rPr>
          <w:t>bre Internet de las Cosas (IoT)</w:t>
        </w:r>
        <w:r w:rsidRPr="00F66F1B">
          <w:rPr>
            <w:rStyle w:val="Hyperlink"/>
          </w:rPr>
          <w:t>: Vivir de manera más inteligente</w:t>
        </w:r>
      </w:hyperlink>
      <w:r w:rsidRPr="00F66F1B">
        <w:t>"</w:t>
      </w:r>
      <w:r w:rsidRPr="00F66F1B">
        <w:rPr>
          <w:rFonts w:asciiTheme="minorHAnsi" w:hAnsiTheme="minorHAnsi" w:cstheme="minorHAnsi"/>
          <w:szCs w:val="24"/>
        </w:rPr>
        <w:t xml:space="preserve"> se celebró del 24 al 26 de abril de 2017 en Puerto España </w:t>
      </w:r>
      <w:r w:rsidR="009179AD" w:rsidRPr="00F66F1B">
        <w:rPr>
          <w:rFonts w:asciiTheme="minorHAnsi" w:hAnsiTheme="minorHAnsi" w:cstheme="minorHAnsi"/>
          <w:szCs w:val="24"/>
        </w:rPr>
        <w:t>(</w:t>
      </w:r>
      <w:r w:rsidRPr="00F66F1B">
        <w:rPr>
          <w:rFonts w:asciiTheme="minorHAnsi" w:hAnsiTheme="minorHAnsi" w:cstheme="minorHAnsi"/>
          <w:szCs w:val="24"/>
        </w:rPr>
        <w:t>Trinidad y Tabago</w:t>
      </w:r>
      <w:r w:rsidR="009179AD" w:rsidRPr="00F66F1B">
        <w:rPr>
          <w:rFonts w:asciiTheme="minorHAnsi" w:hAnsiTheme="minorHAnsi" w:cstheme="minorHAnsi"/>
          <w:szCs w:val="24"/>
        </w:rPr>
        <w:t>)</w:t>
      </w:r>
      <w:r w:rsidRPr="00F66F1B">
        <w:rPr>
          <w:rFonts w:asciiTheme="minorHAnsi" w:hAnsiTheme="minorHAnsi" w:cstheme="minorHAnsi"/>
          <w:szCs w:val="24"/>
        </w:rPr>
        <w:t>.</w:t>
      </w:r>
    </w:p>
    <w:p w:rsidR="005D0C01" w:rsidRPr="00F66F1B" w:rsidRDefault="005D0C01" w:rsidP="00005A84">
      <w:pPr>
        <w:pStyle w:val="Heading1"/>
        <w:tabs>
          <w:tab w:val="clear" w:pos="2268"/>
          <w:tab w:val="clear" w:pos="2835"/>
          <w:tab w:val="center" w:pos="4819"/>
        </w:tabs>
      </w:pPr>
      <w:r w:rsidRPr="00F66F1B">
        <w:t>3</w:t>
      </w:r>
      <w:r w:rsidRPr="00F66F1B">
        <w:tab/>
        <w:t>IPv6</w:t>
      </w:r>
    </w:p>
    <w:p w:rsidR="003F147B" w:rsidRPr="00F66F1B" w:rsidRDefault="003F147B" w:rsidP="00005A84">
      <w:r w:rsidRPr="00F66F1B">
        <w:t>3.1</w:t>
      </w:r>
      <w:r w:rsidRPr="00F66F1B">
        <w:tab/>
        <w:t>La CE 2 y la CE 3 del UIT-T siguen estudiando la metodología y los temas de estudio necesarios para la aplicación de</w:t>
      </w:r>
      <w:r w:rsidR="00D148AA">
        <w:t xml:space="preserve"> las</w:t>
      </w:r>
      <w:r w:rsidRPr="00F66F1B">
        <w:t xml:space="preserve"> partes pertinentes de la Resolución 64 de la AMNT.</w:t>
      </w:r>
      <w:r w:rsidR="00E17A4F" w:rsidRPr="00F66F1B">
        <w:t xml:space="preserve"> </w:t>
      </w:r>
      <w:r w:rsidR="009179AD" w:rsidRPr="00F66F1B">
        <w:t>La CE</w:t>
      </w:r>
      <w:r w:rsidR="00077064">
        <w:t> </w:t>
      </w:r>
      <w:r w:rsidR="00A615B7" w:rsidRPr="00F66F1B">
        <w:t>20 del </w:t>
      </w:r>
      <w:r w:rsidR="009179AD" w:rsidRPr="00F66F1B">
        <w:t>U</w:t>
      </w:r>
      <w:r w:rsidR="00E17A4F" w:rsidRPr="00F66F1B">
        <w:rPr>
          <w:rFonts w:asciiTheme="minorHAnsi" w:hAnsiTheme="minorHAnsi" w:cstheme="minorHAnsi"/>
          <w:szCs w:val="24"/>
        </w:rPr>
        <w:t xml:space="preserve">IT-T </w:t>
      </w:r>
      <w:r w:rsidR="009179AD" w:rsidRPr="00F66F1B">
        <w:rPr>
          <w:rFonts w:asciiTheme="minorHAnsi" w:hAnsiTheme="minorHAnsi" w:cstheme="minorHAnsi"/>
          <w:szCs w:val="24"/>
        </w:rPr>
        <w:t>también está preparando un proyecto de Recomendación U</w:t>
      </w:r>
      <w:r w:rsidR="00E17A4F" w:rsidRPr="00F66F1B">
        <w:rPr>
          <w:rFonts w:asciiTheme="minorHAnsi" w:hAnsiTheme="minorHAnsi" w:cstheme="minorHAnsi"/>
          <w:szCs w:val="24"/>
        </w:rPr>
        <w:t xml:space="preserve">IT-T </w:t>
      </w:r>
      <w:r w:rsidR="009179AD" w:rsidRPr="00F66F1B">
        <w:rPr>
          <w:rFonts w:asciiTheme="minorHAnsi" w:hAnsiTheme="minorHAnsi" w:cstheme="minorHAnsi"/>
          <w:szCs w:val="24"/>
        </w:rPr>
        <w:t xml:space="preserve">sobre </w:t>
      </w:r>
      <w:r w:rsidR="00E17A4F" w:rsidRPr="00F66F1B">
        <w:rPr>
          <w:rFonts w:asciiTheme="minorHAnsi" w:hAnsiTheme="minorHAnsi" w:cstheme="minorHAnsi"/>
          <w:szCs w:val="24"/>
        </w:rPr>
        <w:t xml:space="preserve">IPv6 </w:t>
      </w:r>
      <w:r w:rsidR="009179AD" w:rsidRPr="00F66F1B">
        <w:rPr>
          <w:rFonts w:asciiTheme="minorHAnsi" w:hAnsiTheme="minorHAnsi" w:cstheme="minorHAnsi"/>
          <w:szCs w:val="24"/>
        </w:rPr>
        <w:t xml:space="preserve">e </w:t>
      </w:r>
      <w:r w:rsidR="00E17A4F" w:rsidRPr="00F66F1B">
        <w:rPr>
          <w:rFonts w:asciiTheme="minorHAnsi" w:hAnsiTheme="minorHAnsi" w:cstheme="minorHAnsi"/>
          <w:szCs w:val="24"/>
        </w:rPr>
        <w:t>IoT</w:t>
      </w:r>
      <w:r w:rsidR="00E17A4F" w:rsidRPr="00F66F1B">
        <w:rPr>
          <w:rFonts w:asciiTheme="minorHAnsi" w:hAnsiTheme="minorHAnsi"/>
        </w:rPr>
        <w:t>.</w:t>
      </w:r>
    </w:p>
    <w:p w:rsidR="00D833EF" w:rsidRPr="00F66F1B" w:rsidRDefault="003F147B" w:rsidP="00005A84">
      <w:r w:rsidRPr="00F66F1B">
        <w:t>3.2</w:t>
      </w:r>
      <w:r w:rsidRPr="00F66F1B">
        <w:tab/>
      </w:r>
      <w:r w:rsidR="009179AD" w:rsidRPr="00F66F1B">
        <w:t xml:space="preserve">La </w:t>
      </w:r>
      <w:r w:rsidR="00D833EF" w:rsidRPr="00F66F1B">
        <w:rPr>
          <w:rFonts w:asciiTheme="minorHAnsi" w:hAnsiTheme="minorHAnsi" w:cstheme="minorHAnsi"/>
          <w:szCs w:val="24"/>
        </w:rPr>
        <w:t xml:space="preserve">BDT </w:t>
      </w:r>
      <w:r w:rsidR="009179AD" w:rsidRPr="00F66F1B">
        <w:rPr>
          <w:rFonts w:asciiTheme="minorHAnsi" w:hAnsiTheme="minorHAnsi" w:cstheme="minorHAnsi"/>
          <w:szCs w:val="24"/>
        </w:rPr>
        <w:t>y</w:t>
      </w:r>
      <w:r w:rsidR="00D833EF" w:rsidRPr="00F66F1B">
        <w:rPr>
          <w:rFonts w:asciiTheme="minorHAnsi" w:hAnsiTheme="minorHAnsi" w:cstheme="minorHAnsi"/>
          <w:szCs w:val="24"/>
        </w:rPr>
        <w:t xml:space="preserve"> MUST (Malaysia University of Science and Technology) </w:t>
      </w:r>
      <w:r w:rsidR="009179AD" w:rsidRPr="00F66F1B">
        <w:rPr>
          <w:rFonts w:asciiTheme="minorHAnsi" w:hAnsiTheme="minorHAnsi" w:cstheme="minorHAnsi"/>
          <w:szCs w:val="24"/>
        </w:rPr>
        <w:t xml:space="preserve">siguen preparando la creación de un </w:t>
      </w:r>
      <w:r w:rsidR="00C8265C" w:rsidRPr="00F66F1B">
        <w:rPr>
          <w:rFonts w:asciiTheme="minorHAnsi" w:hAnsiTheme="minorHAnsi" w:cstheme="minorHAnsi"/>
          <w:szCs w:val="24"/>
        </w:rPr>
        <w:t>c</w:t>
      </w:r>
      <w:r w:rsidR="009179AD" w:rsidRPr="00F66F1B">
        <w:rPr>
          <w:rFonts w:asciiTheme="minorHAnsi" w:hAnsiTheme="minorHAnsi" w:cstheme="minorHAnsi"/>
          <w:szCs w:val="24"/>
        </w:rPr>
        <w:t xml:space="preserve">entro </w:t>
      </w:r>
      <w:r w:rsidR="00C8265C" w:rsidRPr="00F66F1B">
        <w:rPr>
          <w:rFonts w:asciiTheme="minorHAnsi" w:hAnsiTheme="minorHAnsi" w:cstheme="minorHAnsi"/>
          <w:szCs w:val="24"/>
        </w:rPr>
        <w:t xml:space="preserve">de la UIT </w:t>
      </w:r>
      <w:r w:rsidR="009179AD" w:rsidRPr="00F66F1B">
        <w:rPr>
          <w:rFonts w:asciiTheme="minorHAnsi" w:hAnsiTheme="minorHAnsi" w:cstheme="minorHAnsi"/>
          <w:szCs w:val="24"/>
        </w:rPr>
        <w:t xml:space="preserve">especializado </w:t>
      </w:r>
      <w:r w:rsidR="00C8265C" w:rsidRPr="00F66F1B">
        <w:rPr>
          <w:rFonts w:asciiTheme="minorHAnsi" w:hAnsiTheme="minorHAnsi" w:cstheme="minorHAnsi"/>
          <w:szCs w:val="24"/>
        </w:rPr>
        <w:t xml:space="preserve">en </w:t>
      </w:r>
      <w:r w:rsidR="00D833EF" w:rsidRPr="00F66F1B">
        <w:rPr>
          <w:rFonts w:asciiTheme="minorHAnsi" w:hAnsiTheme="minorHAnsi" w:cstheme="minorHAnsi"/>
          <w:szCs w:val="24"/>
        </w:rPr>
        <w:t xml:space="preserve">IPV6/IoT </w:t>
      </w:r>
      <w:r w:rsidR="00C8265C" w:rsidRPr="00F66F1B">
        <w:rPr>
          <w:rFonts w:asciiTheme="minorHAnsi" w:hAnsiTheme="minorHAnsi" w:cstheme="minorHAnsi"/>
          <w:szCs w:val="24"/>
        </w:rPr>
        <w:t xml:space="preserve">para ayudar a los Estados Miembros en su transición de </w:t>
      </w:r>
      <w:r w:rsidR="00D833EF" w:rsidRPr="00F66F1B">
        <w:rPr>
          <w:rFonts w:asciiTheme="minorHAnsi" w:hAnsiTheme="minorHAnsi" w:cstheme="minorHAnsi"/>
          <w:szCs w:val="24"/>
        </w:rPr>
        <w:t xml:space="preserve">IPv4 </w:t>
      </w:r>
      <w:r w:rsidR="00C8265C" w:rsidRPr="00F66F1B">
        <w:rPr>
          <w:rFonts w:asciiTheme="minorHAnsi" w:hAnsiTheme="minorHAnsi" w:cstheme="minorHAnsi"/>
          <w:szCs w:val="24"/>
        </w:rPr>
        <w:t>a</w:t>
      </w:r>
      <w:r w:rsidR="00D833EF" w:rsidRPr="00F66F1B">
        <w:rPr>
          <w:rFonts w:asciiTheme="minorHAnsi" w:hAnsiTheme="minorHAnsi" w:cstheme="minorHAnsi"/>
          <w:szCs w:val="24"/>
        </w:rPr>
        <w:t xml:space="preserve"> IPv6 </w:t>
      </w:r>
      <w:r w:rsidR="00C8265C" w:rsidRPr="00F66F1B">
        <w:rPr>
          <w:rFonts w:asciiTheme="minorHAnsi" w:hAnsiTheme="minorHAnsi" w:cstheme="minorHAnsi"/>
          <w:szCs w:val="24"/>
        </w:rPr>
        <w:t xml:space="preserve">para </w:t>
      </w:r>
      <w:r w:rsidR="00D833EF" w:rsidRPr="00F66F1B">
        <w:rPr>
          <w:rFonts w:asciiTheme="minorHAnsi" w:hAnsiTheme="minorHAnsi" w:cstheme="minorHAnsi"/>
          <w:szCs w:val="24"/>
        </w:rPr>
        <w:t>IoT.</w:t>
      </w:r>
    </w:p>
    <w:p w:rsidR="003F147B" w:rsidRPr="00F66F1B" w:rsidRDefault="00D833EF" w:rsidP="00005A84">
      <w:r w:rsidRPr="00F66F1B">
        <w:t>3.3</w:t>
      </w:r>
      <w:r w:rsidRPr="00F66F1B">
        <w:tab/>
      </w:r>
      <w:r w:rsidR="003F147B" w:rsidRPr="00F66F1B">
        <w:t>Continúan los trabajos sobre el proyecto de banco de pruebas internacional de TVIP IPv6 (</w:t>
      </w:r>
      <w:hyperlink r:id="rId53" w:history="1">
        <w:r w:rsidR="003F147B" w:rsidRPr="00F66F1B">
          <w:rPr>
            <w:rStyle w:val="Hyperlink"/>
            <w:rFonts w:asciiTheme="minorHAnsi" w:hAnsiTheme="minorHAnsi" w:cstheme="minorHAnsi"/>
            <w:szCs w:val="24"/>
          </w:rPr>
          <w:t>I3GT</w:t>
        </w:r>
      </w:hyperlink>
      <w:r w:rsidR="003F147B" w:rsidRPr="00F66F1B">
        <w:t>) entre los Miembros de la UIT, con el respaldo de la Secretaría de la UIT, para poner a prueba varios aspectos de las normas del UIT-T sobre TVIP, formar a instituciones académicas sobre tecnologías actualizadas de TVIP y presentar TVIP normalizada a partes interesadas, así como promover la implantación de capacidades IPv6 en los países en desarrollo.</w:t>
      </w:r>
      <w:r w:rsidRPr="00F66F1B">
        <w:rPr>
          <w:rFonts w:asciiTheme="minorHAnsi" w:hAnsiTheme="minorHAnsi"/>
        </w:rPr>
        <w:t xml:space="preserve"> </w:t>
      </w:r>
      <w:r w:rsidR="00C8265C" w:rsidRPr="00F66F1B">
        <w:rPr>
          <w:rFonts w:asciiTheme="minorHAnsi" w:hAnsiTheme="minorHAnsi"/>
        </w:rPr>
        <w:t>La CE</w:t>
      </w:r>
      <w:r w:rsidR="00DC4495">
        <w:rPr>
          <w:rFonts w:asciiTheme="minorHAnsi" w:hAnsiTheme="minorHAnsi"/>
        </w:rPr>
        <w:t> </w:t>
      </w:r>
      <w:r w:rsidR="00C8265C" w:rsidRPr="00F66F1B">
        <w:rPr>
          <w:rFonts w:asciiTheme="minorHAnsi" w:hAnsiTheme="minorHAnsi"/>
        </w:rPr>
        <w:t>16 del U</w:t>
      </w:r>
      <w:r w:rsidRPr="00F66F1B">
        <w:rPr>
          <w:rFonts w:asciiTheme="minorHAnsi" w:hAnsiTheme="minorHAnsi"/>
        </w:rPr>
        <w:t xml:space="preserve">IT-T </w:t>
      </w:r>
      <w:r w:rsidR="00C8265C" w:rsidRPr="00F66F1B">
        <w:rPr>
          <w:rFonts w:asciiTheme="minorHAnsi" w:hAnsiTheme="minorHAnsi"/>
        </w:rPr>
        <w:t>comenzó a preparar el proyecto de artículo técnico del U</w:t>
      </w:r>
      <w:r w:rsidRPr="00F66F1B">
        <w:rPr>
          <w:rFonts w:asciiTheme="minorHAnsi" w:hAnsiTheme="minorHAnsi"/>
        </w:rPr>
        <w:t xml:space="preserve">IT-T </w:t>
      </w:r>
      <w:hyperlink r:id="rId54" w:history="1">
        <w:r w:rsidRPr="00F66F1B">
          <w:rPr>
            <w:rStyle w:val="Hyperlink"/>
            <w:rFonts w:asciiTheme="minorHAnsi" w:hAnsiTheme="minorHAnsi"/>
          </w:rPr>
          <w:t>HSTP.IPTV-Guide.2</w:t>
        </w:r>
      </w:hyperlink>
      <w:r w:rsidRPr="00F66F1B">
        <w:rPr>
          <w:rFonts w:asciiTheme="minorHAnsi" w:hAnsiTheme="minorHAnsi"/>
        </w:rPr>
        <w:t xml:space="preserve"> </w:t>
      </w:r>
      <w:r w:rsidR="00C8265C" w:rsidRPr="00F66F1B">
        <w:rPr>
          <w:rFonts w:asciiTheme="minorHAnsi" w:hAnsiTheme="minorHAnsi"/>
        </w:rPr>
        <w:t xml:space="preserve">sobre </w:t>
      </w:r>
      <w:r w:rsidR="00F0743F" w:rsidRPr="00F66F1B">
        <w:t>"</w:t>
      </w:r>
      <w:r w:rsidR="00C8265C" w:rsidRPr="00F66F1B">
        <w:t>parámetros del servicio TV</w:t>
      </w:r>
      <w:r w:rsidRPr="00F66F1B">
        <w:rPr>
          <w:rFonts w:asciiTheme="minorHAnsi" w:hAnsiTheme="minorHAnsi"/>
        </w:rPr>
        <w:t xml:space="preserve">IP </w:t>
      </w:r>
      <w:r w:rsidR="00C8265C" w:rsidRPr="00F66F1B">
        <w:rPr>
          <w:rFonts w:asciiTheme="minorHAnsi" w:hAnsiTheme="minorHAnsi"/>
        </w:rPr>
        <w:t xml:space="preserve">para los nuevos proveedores de servicio de </w:t>
      </w:r>
      <w:r w:rsidR="002C65E4" w:rsidRPr="00F66F1B">
        <w:rPr>
          <w:rFonts w:asciiTheme="minorHAnsi" w:hAnsiTheme="minorHAnsi"/>
        </w:rPr>
        <w:t>TVIP</w:t>
      </w:r>
      <w:r w:rsidR="002C65E4" w:rsidRPr="00F66F1B">
        <w:t>"</w:t>
      </w:r>
      <w:r w:rsidRPr="00F66F1B">
        <w:rPr>
          <w:rFonts w:asciiTheme="minorHAnsi" w:hAnsiTheme="minorHAnsi"/>
        </w:rPr>
        <w:t>.</w:t>
      </w:r>
    </w:p>
    <w:p w:rsidR="003F147B" w:rsidRPr="00F66F1B" w:rsidRDefault="003F147B" w:rsidP="0061226F">
      <w:pPr>
        <w:keepLines/>
      </w:pPr>
      <w:r w:rsidRPr="00F66F1B">
        <w:t>3.</w:t>
      </w:r>
      <w:r w:rsidR="00A05091" w:rsidRPr="00F66F1B">
        <w:t>4</w:t>
      </w:r>
      <w:r w:rsidRPr="00F66F1B">
        <w:tab/>
        <w:t xml:space="preserve">La BDT sigue prestando asistencia a los países en relación con la aplicación de las políticas de IPv6 y el banco de pruebas IPv6, como solicitaron los Estados Miembros; por ejemplo, </w:t>
      </w:r>
      <w:r w:rsidR="0021019C" w:rsidRPr="00F66F1B">
        <w:t xml:space="preserve">se organizó </w:t>
      </w:r>
      <w:r w:rsidRPr="00F66F1B">
        <w:t xml:space="preserve">el taller de formación </w:t>
      </w:r>
      <w:r w:rsidR="0021019C" w:rsidRPr="00F66F1B">
        <w:t xml:space="preserve">sobre </w:t>
      </w:r>
      <w:r w:rsidRPr="00F66F1B">
        <w:t xml:space="preserve">IPv6 </w:t>
      </w:r>
      <w:r w:rsidR="0021019C" w:rsidRPr="00F66F1B">
        <w:rPr>
          <w:rFonts w:cs="Arial"/>
        </w:rPr>
        <w:t xml:space="preserve">en </w:t>
      </w:r>
      <w:r w:rsidR="00E47306" w:rsidRPr="00F66F1B">
        <w:rPr>
          <w:rFonts w:cs="Arial"/>
        </w:rPr>
        <w:t>Abiyán</w:t>
      </w:r>
      <w:r w:rsidR="00A05091" w:rsidRPr="00F66F1B">
        <w:rPr>
          <w:rFonts w:cs="Arial"/>
        </w:rPr>
        <w:t xml:space="preserve">, </w:t>
      </w:r>
      <w:r w:rsidR="00A05091" w:rsidRPr="00F66F1B">
        <w:t xml:space="preserve">Côte d’Ivoire </w:t>
      </w:r>
      <w:r w:rsidR="0021019C" w:rsidRPr="00F66F1B">
        <w:t xml:space="preserve">el mes de </w:t>
      </w:r>
      <w:r w:rsidRPr="00F66F1B">
        <w:t>septiembre de 201</w:t>
      </w:r>
      <w:r w:rsidR="00A05091" w:rsidRPr="00F66F1B">
        <w:t>7</w:t>
      </w:r>
      <w:r w:rsidR="00A05091" w:rsidRPr="00F66F1B">
        <w:rPr>
          <w:rFonts w:cs="Arial"/>
        </w:rPr>
        <w:t xml:space="preserve">, </w:t>
      </w:r>
      <w:r w:rsidR="0021019C" w:rsidRPr="00F66F1B">
        <w:rPr>
          <w:rFonts w:cs="Arial"/>
        </w:rPr>
        <w:t xml:space="preserve">basado </w:t>
      </w:r>
      <w:r w:rsidR="0021019C" w:rsidRPr="00F66F1B">
        <w:rPr>
          <w:rFonts w:cs="Arial"/>
        </w:rPr>
        <w:lastRenderedPageBreak/>
        <w:t xml:space="preserve">en el banco de pruebas </w:t>
      </w:r>
      <w:r w:rsidR="0094003A" w:rsidRPr="00F66F1B">
        <w:rPr>
          <w:rFonts w:cs="Arial"/>
        </w:rPr>
        <w:t>realizado por la UIT</w:t>
      </w:r>
      <w:r w:rsidR="00A05091" w:rsidRPr="00F66F1B">
        <w:rPr>
          <w:rFonts w:cs="Arial"/>
        </w:rPr>
        <w:t xml:space="preserve">; </w:t>
      </w:r>
      <w:r w:rsidR="0094003A" w:rsidRPr="00F66F1B">
        <w:rPr>
          <w:rFonts w:cs="Arial"/>
        </w:rPr>
        <w:t xml:space="preserve">se prestó asistencia de país a </w:t>
      </w:r>
      <w:r w:rsidR="00A05091" w:rsidRPr="00F66F1B">
        <w:rPr>
          <w:color w:val="000000"/>
        </w:rPr>
        <w:t>But</w:t>
      </w:r>
      <w:r w:rsidR="0094003A" w:rsidRPr="00F66F1B">
        <w:rPr>
          <w:color w:val="000000"/>
        </w:rPr>
        <w:t>á</w:t>
      </w:r>
      <w:r w:rsidR="00A05091" w:rsidRPr="00F66F1B">
        <w:rPr>
          <w:color w:val="000000"/>
        </w:rPr>
        <w:t xml:space="preserve">n </w:t>
      </w:r>
      <w:r w:rsidR="0094003A" w:rsidRPr="00F66F1B">
        <w:rPr>
          <w:color w:val="000000"/>
        </w:rPr>
        <w:t xml:space="preserve">sobre la implantación de </w:t>
      </w:r>
      <w:r w:rsidR="00A05091" w:rsidRPr="00F66F1B">
        <w:rPr>
          <w:color w:val="000000"/>
        </w:rPr>
        <w:t xml:space="preserve">IPv6 </w:t>
      </w:r>
      <w:r w:rsidR="0094003A" w:rsidRPr="00F66F1B">
        <w:rPr>
          <w:color w:val="000000"/>
        </w:rPr>
        <w:t xml:space="preserve">y seguridad </w:t>
      </w:r>
      <w:r w:rsidR="00A05091" w:rsidRPr="00F66F1B">
        <w:rPr>
          <w:color w:val="000000"/>
        </w:rPr>
        <w:t xml:space="preserve">IPv6; </w:t>
      </w:r>
      <w:r w:rsidR="0094003A" w:rsidRPr="00F66F1B">
        <w:rPr>
          <w:color w:val="000000"/>
        </w:rPr>
        <w:t xml:space="preserve">el banco de pruebas de </w:t>
      </w:r>
      <w:r w:rsidRPr="00F66F1B">
        <w:t>IPv6</w:t>
      </w:r>
      <w:r w:rsidR="00A05091" w:rsidRPr="00F66F1B">
        <w:t xml:space="preserve"> </w:t>
      </w:r>
      <w:r w:rsidR="0094003A" w:rsidRPr="00F66F1B">
        <w:rPr>
          <w:rFonts w:cs="Arial"/>
        </w:rPr>
        <w:t>se está implementando en Camerún y Zimbabue</w:t>
      </w:r>
      <w:r w:rsidR="00A05091" w:rsidRPr="00F66F1B">
        <w:rPr>
          <w:rFonts w:cs="Arial"/>
        </w:rPr>
        <w:t>.</w:t>
      </w:r>
    </w:p>
    <w:p w:rsidR="009D2BE5" w:rsidRPr="00F66F1B" w:rsidRDefault="009D2BE5" w:rsidP="00005A84">
      <w:pPr>
        <w:rPr>
          <w:rFonts w:cs="Arial"/>
        </w:rPr>
      </w:pPr>
      <w:r w:rsidRPr="00F66F1B">
        <w:rPr>
          <w:bCs/>
          <w:color w:val="000000"/>
        </w:rPr>
        <w:t>3.5</w:t>
      </w:r>
      <w:r w:rsidRPr="00F66F1B">
        <w:rPr>
          <w:color w:val="000000"/>
        </w:rPr>
        <w:tab/>
      </w:r>
      <w:r w:rsidR="0094003A" w:rsidRPr="00F66F1B">
        <w:rPr>
          <w:color w:val="000000"/>
        </w:rPr>
        <w:t>Los días</w:t>
      </w:r>
      <w:r w:rsidRPr="00F66F1B">
        <w:rPr>
          <w:color w:val="000000"/>
        </w:rPr>
        <w:t xml:space="preserve"> 4-8 </w:t>
      </w:r>
      <w:r w:rsidR="0094003A" w:rsidRPr="00F66F1B">
        <w:rPr>
          <w:color w:val="000000"/>
        </w:rPr>
        <w:t xml:space="preserve">de diciembre de </w:t>
      </w:r>
      <w:r w:rsidRPr="00F66F1B">
        <w:rPr>
          <w:color w:val="000000"/>
        </w:rPr>
        <w:t xml:space="preserve">2017 </w:t>
      </w:r>
      <w:r w:rsidR="0094003A" w:rsidRPr="00F66F1B">
        <w:rPr>
          <w:color w:val="000000"/>
        </w:rPr>
        <w:t xml:space="preserve">se organizó una formación sobre </w:t>
      </w:r>
      <w:r w:rsidR="002D6CD8" w:rsidRPr="00F66F1B">
        <w:t>"</w:t>
      </w:r>
      <w:r w:rsidR="0094003A" w:rsidRPr="00F66F1B">
        <w:t xml:space="preserve">Programa de seguridad de la infraestructura de </w:t>
      </w:r>
      <w:r w:rsidRPr="00F66F1B">
        <w:rPr>
          <w:color w:val="000000"/>
        </w:rPr>
        <w:t xml:space="preserve">Internet </w:t>
      </w:r>
      <w:r w:rsidR="0094003A" w:rsidRPr="00F66F1B">
        <w:rPr>
          <w:color w:val="000000"/>
        </w:rPr>
        <w:t xml:space="preserve">e </w:t>
      </w:r>
      <w:r w:rsidRPr="00F66F1B">
        <w:rPr>
          <w:color w:val="000000"/>
        </w:rPr>
        <w:t>IPv6</w:t>
      </w:r>
      <w:r w:rsidR="002D6CD8" w:rsidRPr="00F66F1B">
        <w:t>"</w:t>
      </w:r>
      <w:r w:rsidRPr="00F66F1B">
        <w:rPr>
          <w:color w:val="000000"/>
        </w:rPr>
        <w:t xml:space="preserve"> </w:t>
      </w:r>
      <w:r w:rsidR="0094003A" w:rsidRPr="00F66F1B">
        <w:rPr>
          <w:color w:val="000000"/>
        </w:rPr>
        <w:t xml:space="preserve">en </w:t>
      </w:r>
      <w:r w:rsidRPr="00F66F1B">
        <w:rPr>
          <w:color w:val="000000"/>
        </w:rPr>
        <w:t xml:space="preserve">Tonga </w:t>
      </w:r>
      <w:r w:rsidR="0094003A" w:rsidRPr="00F66F1B">
        <w:rPr>
          <w:color w:val="000000"/>
        </w:rPr>
        <w:t>para la región del Pacífico</w:t>
      </w:r>
      <w:r w:rsidRPr="00F66F1B">
        <w:rPr>
          <w:color w:val="000000"/>
        </w:rPr>
        <w:t xml:space="preserve">, </w:t>
      </w:r>
      <w:r w:rsidR="00A615B7" w:rsidRPr="00F66F1B">
        <w:rPr>
          <w:color w:val="000000"/>
        </w:rPr>
        <w:t>en asociación con </w:t>
      </w:r>
      <w:r w:rsidRPr="00F66F1B">
        <w:rPr>
          <w:color w:val="000000"/>
        </w:rPr>
        <w:t xml:space="preserve">APNIC </w:t>
      </w:r>
      <w:r w:rsidR="0094003A" w:rsidRPr="00F66F1B">
        <w:t xml:space="preserve">y </w:t>
      </w:r>
      <w:r w:rsidRPr="00F66F1B">
        <w:t>Australia.</w:t>
      </w:r>
    </w:p>
    <w:p w:rsidR="009D2BE5" w:rsidRPr="00F66F1B" w:rsidRDefault="009D2BE5" w:rsidP="00005A84">
      <w:pPr>
        <w:rPr>
          <w:rFonts w:asciiTheme="minorHAnsi" w:hAnsiTheme="minorHAnsi"/>
          <w:szCs w:val="24"/>
        </w:rPr>
      </w:pPr>
      <w:r w:rsidRPr="00F66F1B">
        <w:rPr>
          <w:rFonts w:asciiTheme="minorHAnsi" w:hAnsiTheme="minorHAnsi" w:cstheme="minorHAnsi"/>
          <w:bCs/>
          <w:szCs w:val="24"/>
        </w:rPr>
        <w:t>3.6</w:t>
      </w:r>
      <w:r w:rsidRPr="00F66F1B">
        <w:rPr>
          <w:rFonts w:asciiTheme="minorHAnsi" w:hAnsiTheme="minorHAnsi" w:cstheme="minorHAnsi"/>
          <w:szCs w:val="24"/>
        </w:rPr>
        <w:t xml:space="preserve"> </w:t>
      </w:r>
      <w:r w:rsidRPr="00F66F1B">
        <w:rPr>
          <w:rFonts w:asciiTheme="minorHAnsi" w:hAnsiTheme="minorHAnsi" w:cstheme="minorHAnsi"/>
          <w:szCs w:val="24"/>
        </w:rPr>
        <w:tab/>
      </w:r>
      <w:r w:rsidR="0094003A" w:rsidRPr="00F66F1B">
        <w:rPr>
          <w:color w:val="000000"/>
        </w:rPr>
        <w:t>A través de la Academia de la U</w:t>
      </w:r>
      <w:r w:rsidRPr="00F66F1B">
        <w:rPr>
          <w:rFonts w:asciiTheme="minorHAnsi" w:hAnsiTheme="minorHAnsi" w:cstheme="minorHAnsi"/>
          <w:szCs w:val="24"/>
        </w:rPr>
        <w:t xml:space="preserve">IT </w:t>
      </w:r>
      <w:r w:rsidR="0094003A" w:rsidRPr="00F66F1B">
        <w:rPr>
          <w:rFonts w:asciiTheme="minorHAnsi" w:hAnsiTheme="minorHAnsi" w:cstheme="minorHAnsi"/>
          <w:szCs w:val="24"/>
        </w:rPr>
        <w:t xml:space="preserve">se imparte un curso sobre </w:t>
      </w:r>
      <w:r w:rsidR="002D6CD8" w:rsidRPr="00F66F1B">
        <w:t>"</w:t>
      </w:r>
      <w:r w:rsidR="0094003A" w:rsidRPr="00F66F1B">
        <w:t xml:space="preserve">tecnologías </w:t>
      </w:r>
      <w:r w:rsidRPr="00F66F1B">
        <w:rPr>
          <w:rFonts w:asciiTheme="minorHAnsi" w:hAnsiTheme="minorHAnsi" w:cstheme="minorHAnsi"/>
          <w:szCs w:val="24"/>
        </w:rPr>
        <w:t>IPv6</w:t>
      </w:r>
      <w:r w:rsidR="0094003A" w:rsidRPr="00F66F1B">
        <w:rPr>
          <w:rFonts w:asciiTheme="minorHAnsi" w:hAnsiTheme="minorHAnsi" w:cstheme="minorHAnsi"/>
          <w:szCs w:val="24"/>
        </w:rPr>
        <w:t>: fundamentos, diseño e implantación</w:t>
      </w:r>
      <w:r w:rsidR="002D6CD8" w:rsidRPr="00F66F1B">
        <w:t>"</w:t>
      </w:r>
      <w:r w:rsidRPr="00F66F1B">
        <w:rPr>
          <w:rFonts w:asciiTheme="minorHAnsi" w:hAnsiTheme="minorHAnsi" w:cstheme="minorHAnsi"/>
          <w:szCs w:val="24"/>
        </w:rPr>
        <w:t xml:space="preserve">, </w:t>
      </w:r>
      <w:r w:rsidR="0094003A" w:rsidRPr="00F66F1B">
        <w:rPr>
          <w:rFonts w:asciiTheme="minorHAnsi" w:hAnsiTheme="minorHAnsi" w:cstheme="minorHAnsi"/>
          <w:szCs w:val="24"/>
        </w:rPr>
        <w:t xml:space="preserve">en cooperación con </w:t>
      </w:r>
      <w:r w:rsidRPr="00F66F1B">
        <w:rPr>
          <w:rFonts w:asciiTheme="minorHAnsi" w:hAnsiTheme="minorHAnsi" w:cstheme="minorHAnsi"/>
          <w:szCs w:val="24"/>
        </w:rPr>
        <w:t>INICTEL UNI (</w:t>
      </w:r>
      <w:r w:rsidR="0094003A" w:rsidRPr="00F66F1B">
        <w:rPr>
          <w:rFonts w:asciiTheme="minorHAnsi" w:hAnsiTheme="minorHAnsi" w:cstheme="minorHAnsi"/>
          <w:szCs w:val="24"/>
        </w:rPr>
        <w:t>Centro de Excelencia de la U</w:t>
      </w:r>
      <w:r w:rsidRPr="00F66F1B">
        <w:rPr>
          <w:rFonts w:asciiTheme="minorHAnsi" w:hAnsiTheme="minorHAnsi" w:cstheme="minorHAnsi"/>
          <w:szCs w:val="24"/>
        </w:rPr>
        <w:t>IT).</w:t>
      </w:r>
    </w:p>
    <w:p w:rsidR="009D2BE5" w:rsidRPr="00F66F1B" w:rsidRDefault="009D2BE5" w:rsidP="00005A84">
      <w:pPr>
        <w:rPr>
          <w:rFonts w:asciiTheme="minorHAnsi" w:hAnsiTheme="minorHAnsi"/>
          <w:b/>
          <w:color w:val="000000" w:themeColor="text1"/>
          <w:szCs w:val="24"/>
        </w:rPr>
      </w:pPr>
      <w:r w:rsidRPr="00F66F1B">
        <w:rPr>
          <w:rFonts w:asciiTheme="minorHAnsi" w:hAnsiTheme="minorHAnsi"/>
          <w:bCs/>
          <w:szCs w:val="24"/>
        </w:rPr>
        <w:t>3.7</w:t>
      </w:r>
      <w:r w:rsidRPr="00F66F1B">
        <w:rPr>
          <w:rFonts w:asciiTheme="minorHAnsi" w:hAnsiTheme="minorHAnsi"/>
          <w:szCs w:val="24"/>
        </w:rPr>
        <w:tab/>
      </w:r>
      <w:r w:rsidR="00F73668" w:rsidRPr="00F66F1B">
        <w:rPr>
          <w:rFonts w:asciiTheme="minorHAnsi" w:hAnsiTheme="minorHAnsi" w:cstheme="minorHAnsi"/>
          <w:szCs w:val="24"/>
        </w:rPr>
        <w:t>En el</w:t>
      </w:r>
      <w:r w:rsidRPr="00F66F1B">
        <w:rPr>
          <w:rFonts w:asciiTheme="minorHAnsi" w:hAnsiTheme="minorHAnsi" w:cstheme="minorHAnsi"/>
          <w:szCs w:val="24"/>
        </w:rPr>
        <w:t xml:space="preserve"> </w:t>
      </w:r>
      <w:hyperlink r:id="rId55" w:history="1">
        <w:r w:rsidRPr="00F66F1B">
          <w:rPr>
            <w:rStyle w:val="Hyperlink"/>
            <w:rFonts w:asciiTheme="minorHAnsi" w:hAnsiTheme="minorHAnsi" w:cstheme="minorHAnsi"/>
            <w:szCs w:val="24"/>
          </w:rPr>
          <w:t>in</w:t>
        </w:r>
        <w:r w:rsidR="00F73668" w:rsidRPr="00F66F1B">
          <w:rPr>
            <w:rStyle w:val="Hyperlink"/>
            <w:rFonts w:asciiTheme="minorHAnsi" w:hAnsiTheme="minorHAnsi" w:cstheme="minorHAnsi"/>
            <w:szCs w:val="24"/>
          </w:rPr>
          <w:t>forme final</w:t>
        </w:r>
      </w:hyperlink>
      <w:r w:rsidRPr="00F66F1B">
        <w:rPr>
          <w:rFonts w:asciiTheme="minorHAnsi" w:hAnsiTheme="minorHAnsi" w:cstheme="minorHAnsi"/>
          <w:szCs w:val="24"/>
        </w:rPr>
        <w:t xml:space="preserve"> </w:t>
      </w:r>
      <w:r w:rsidR="00F73668" w:rsidRPr="00F66F1B">
        <w:rPr>
          <w:rFonts w:asciiTheme="minorHAnsi" w:hAnsiTheme="minorHAnsi" w:cstheme="minorHAnsi"/>
          <w:szCs w:val="24"/>
        </w:rPr>
        <w:t xml:space="preserve">de la </w:t>
      </w:r>
      <w:hyperlink r:id="rId56" w:history="1">
        <w:r w:rsidR="00F73668" w:rsidRPr="00F66F1B">
          <w:rPr>
            <w:rStyle w:val="Hyperlink"/>
            <w:rFonts w:asciiTheme="minorHAnsi" w:hAnsiTheme="minorHAnsi" w:cstheme="minorHAnsi"/>
            <w:szCs w:val="24"/>
          </w:rPr>
          <w:t xml:space="preserve">Cuestión </w:t>
        </w:r>
        <w:r w:rsidRPr="00F66F1B">
          <w:rPr>
            <w:rStyle w:val="Hyperlink"/>
            <w:rFonts w:asciiTheme="minorHAnsi" w:hAnsiTheme="minorHAnsi" w:cstheme="minorHAnsi"/>
            <w:szCs w:val="24"/>
          </w:rPr>
          <w:t>1/1</w:t>
        </w:r>
      </w:hyperlink>
      <w:r w:rsidRPr="00F66F1B">
        <w:rPr>
          <w:rFonts w:asciiTheme="minorHAnsi" w:hAnsiTheme="minorHAnsi" w:cstheme="minorHAnsi"/>
          <w:szCs w:val="24"/>
        </w:rPr>
        <w:t xml:space="preserve"> </w:t>
      </w:r>
      <w:r w:rsidR="00F73668" w:rsidRPr="00F66F1B">
        <w:rPr>
          <w:rFonts w:asciiTheme="minorHAnsi" w:hAnsiTheme="minorHAnsi" w:cstheme="minorHAnsi"/>
          <w:szCs w:val="24"/>
        </w:rPr>
        <w:t>de la CE</w:t>
      </w:r>
      <w:r w:rsidR="006276AD">
        <w:rPr>
          <w:rFonts w:asciiTheme="minorHAnsi" w:hAnsiTheme="minorHAnsi" w:cstheme="minorHAnsi"/>
          <w:szCs w:val="24"/>
        </w:rPr>
        <w:t> </w:t>
      </w:r>
      <w:r w:rsidR="00F73668" w:rsidRPr="00F66F1B">
        <w:rPr>
          <w:rFonts w:asciiTheme="minorHAnsi" w:hAnsiTheme="minorHAnsi" w:cstheme="minorHAnsi"/>
          <w:szCs w:val="24"/>
        </w:rPr>
        <w:t xml:space="preserve">1 del UIT-D se analizan mediante estudios de caso las experiencias de países en la transición de </w:t>
      </w:r>
      <w:r w:rsidRPr="00F66F1B">
        <w:rPr>
          <w:rFonts w:asciiTheme="minorHAnsi" w:hAnsiTheme="minorHAnsi" w:cstheme="minorHAnsi"/>
          <w:szCs w:val="24"/>
        </w:rPr>
        <w:t xml:space="preserve">IPv4 </w:t>
      </w:r>
      <w:r w:rsidR="00F73668" w:rsidRPr="00F66F1B">
        <w:rPr>
          <w:rFonts w:asciiTheme="minorHAnsi" w:hAnsiTheme="minorHAnsi" w:cstheme="minorHAnsi"/>
          <w:szCs w:val="24"/>
        </w:rPr>
        <w:t>a</w:t>
      </w:r>
      <w:r w:rsidRPr="00F66F1B">
        <w:rPr>
          <w:rFonts w:asciiTheme="minorHAnsi" w:hAnsiTheme="minorHAnsi" w:cstheme="minorHAnsi"/>
          <w:szCs w:val="24"/>
        </w:rPr>
        <w:t xml:space="preserve"> IPv6 </w:t>
      </w:r>
      <w:r w:rsidR="00F73668" w:rsidRPr="00F66F1B">
        <w:rPr>
          <w:rFonts w:asciiTheme="minorHAnsi" w:hAnsiTheme="minorHAnsi" w:cstheme="minorHAnsi"/>
          <w:szCs w:val="24"/>
        </w:rPr>
        <w:t xml:space="preserve">en pro de </w:t>
      </w:r>
      <w:r w:rsidRPr="00F66F1B">
        <w:rPr>
          <w:rFonts w:asciiTheme="minorHAnsi" w:hAnsiTheme="minorHAnsi" w:cstheme="minorHAnsi"/>
          <w:szCs w:val="24"/>
        </w:rPr>
        <w:t xml:space="preserve">IoT, M2M, Internet </w:t>
      </w:r>
      <w:r w:rsidR="00F73668" w:rsidRPr="00F66F1B">
        <w:rPr>
          <w:rFonts w:asciiTheme="minorHAnsi" w:hAnsiTheme="minorHAnsi" w:cstheme="minorHAnsi"/>
          <w:szCs w:val="24"/>
        </w:rPr>
        <w:t>para todo (IoE) y otras futuras tecnologías</w:t>
      </w:r>
      <w:r w:rsidRPr="00F66F1B">
        <w:rPr>
          <w:rFonts w:asciiTheme="minorHAnsi" w:hAnsiTheme="minorHAnsi" w:cstheme="minorHAnsi"/>
          <w:szCs w:val="24"/>
        </w:rPr>
        <w:t>.</w:t>
      </w:r>
      <w:bookmarkStart w:id="10" w:name="_GoBack"/>
      <w:bookmarkEnd w:id="10"/>
    </w:p>
    <w:p w:rsidR="003F147B" w:rsidRPr="00F66F1B" w:rsidRDefault="003F147B" w:rsidP="00005A84">
      <w:pPr>
        <w:pStyle w:val="Heading1"/>
        <w:tabs>
          <w:tab w:val="clear" w:pos="2268"/>
          <w:tab w:val="clear" w:pos="2835"/>
          <w:tab w:val="center" w:pos="4819"/>
        </w:tabs>
      </w:pPr>
      <w:r w:rsidRPr="00F66F1B">
        <w:t>4</w:t>
      </w:r>
      <w:r w:rsidRPr="00F66F1B">
        <w:tab/>
        <w:t>Cuestiones de política pública relacionadas con Internet, incluida la gestión de n</w:t>
      </w:r>
      <w:r w:rsidR="00BF7004" w:rsidRPr="00F66F1B">
        <w:t>ombres de dominio y direcciones</w:t>
      </w:r>
    </w:p>
    <w:p w:rsidR="003F147B" w:rsidRPr="00F66F1B" w:rsidRDefault="003F147B" w:rsidP="00171937">
      <w:r w:rsidRPr="00F66F1B">
        <w:t>4.1</w:t>
      </w:r>
      <w:r w:rsidRPr="00F66F1B">
        <w:tab/>
        <w:t xml:space="preserve">El </w:t>
      </w:r>
      <w:hyperlink r:id="rId57" w:history="1">
        <w:r w:rsidRPr="00F66F1B">
          <w:rPr>
            <w:rStyle w:val="Hyperlink"/>
          </w:rPr>
          <w:t>Grupo de Trabajo del Consejo sobre cuestiones de política pública internacional relacionadas con Internet (GTC-Internet)</w:t>
        </w:r>
      </w:hyperlink>
      <w:r w:rsidRPr="00F66F1B">
        <w:t xml:space="preserve"> celebró dos reuniones los días </w:t>
      </w:r>
      <w:r w:rsidR="00846745" w:rsidRPr="00F66F1B">
        <w:t xml:space="preserve">20 </w:t>
      </w:r>
      <w:r w:rsidRPr="00F66F1B">
        <w:t xml:space="preserve">y </w:t>
      </w:r>
      <w:r w:rsidR="00846745" w:rsidRPr="00F66F1B">
        <w:t>22</w:t>
      </w:r>
      <w:r w:rsidRPr="00F66F1B">
        <w:t xml:space="preserve"> de </w:t>
      </w:r>
      <w:r w:rsidR="00846745" w:rsidRPr="00F66F1B">
        <w:t xml:space="preserve">septiembre </w:t>
      </w:r>
      <w:r w:rsidRPr="00F66F1B">
        <w:t>de 201</w:t>
      </w:r>
      <w:r w:rsidR="00846745" w:rsidRPr="00F66F1B">
        <w:t>7</w:t>
      </w:r>
      <w:r w:rsidRPr="00F66F1B">
        <w:t xml:space="preserve"> y </w:t>
      </w:r>
      <w:r w:rsidR="00846745" w:rsidRPr="00F66F1B">
        <w:t xml:space="preserve">25 </w:t>
      </w:r>
      <w:r w:rsidRPr="00F66F1B">
        <w:t xml:space="preserve">y </w:t>
      </w:r>
      <w:r w:rsidR="00846745" w:rsidRPr="00F66F1B">
        <w:t xml:space="preserve">26 </w:t>
      </w:r>
      <w:r w:rsidRPr="00F66F1B">
        <w:t xml:space="preserve">de </w:t>
      </w:r>
      <w:r w:rsidR="00846745" w:rsidRPr="00F66F1B">
        <w:t xml:space="preserve">enero </w:t>
      </w:r>
      <w:r w:rsidRPr="00F66F1B">
        <w:t xml:space="preserve">de </w:t>
      </w:r>
      <w:r w:rsidR="00846745" w:rsidRPr="00F66F1B">
        <w:t>2018</w:t>
      </w:r>
      <w:r w:rsidRPr="00F66F1B">
        <w:t xml:space="preserve">. </w:t>
      </w:r>
      <w:r w:rsidR="00F73668" w:rsidRPr="00F66F1B">
        <w:t xml:space="preserve">Posteriormente organizó </w:t>
      </w:r>
      <w:r w:rsidRPr="00F66F1B">
        <w:t>dos rondas de consultas en línea</w:t>
      </w:r>
      <w:r w:rsidR="00F73668" w:rsidRPr="00F66F1B">
        <w:t>: a) </w:t>
      </w:r>
      <w:r w:rsidRPr="00F66F1B">
        <w:t xml:space="preserve">entre </w:t>
      </w:r>
      <w:r w:rsidR="00846745" w:rsidRPr="00F66F1B">
        <w:t xml:space="preserve">junio </w:t>
      </w:r>
      <w:r w:rsidRPr="00F66F1B">
        <w:t xml:space="preserve">y septiembre de </w:t>
      </w:r>
      <w:r w:rsidR="008C7B9A" w:rsidRPr="00F66F1B">
        <w:t xml:space="preserve">2017 </w:t>
      </w:r>
      <w:r w:rsidRPr="00F66F1B">
        <w:t xml:space="preserve">sobre </w:t>
      </w:r>
      <w:hyperlink r:id="rId58" w:history="1">
        <w:r w:rsidR="00171937">
          <w:rPr>
            <w:rStyle w:val="Hyperlink"/>
            <w:rFonts w:cstheme="minorHAnsi"/>
          </w:rPr>
          <w:t>"</w:t>
        </w:r>
        <w:r w:rsidR="00F73668" w:rsidRPr="00F66F1B">
          <w:t xml:space="preserve"> </w:t>
        </w:r>
        <w:r w:rsidR="00F73668" w:rsidRPr="00F66F1B">
          <w:rPr>
            <w:rStyle w:val="Hyperlink"/>
            <w:rFonts w:cstheme="minorHAnsi"/>
          </w:rPr>
          <w:t>Consideraciones de política pública para los OTT</w:t>
        </w:r>
        <w:r w:rsidR="00171937">
          <w:rPr>
            <w:rStyle w:val="Hyperlink"/>
            <w:rFonts w:cstheme="minorHAnsi"/>
          </w:rPr>
          <w:t>"</w:t>
        </w:r>
      </w:hyperlink>
      <w:r w:rsidR="00F73668" w:rsidRPr="00F66F1B">
        <w:rPr>
          <w:rFonts w:cstheme="minorHAnsi"/>
        </w:rPr>
        <w:t xml:space="preserve">, </w:t>
      </w:r>
      <w:r w:rsidRPr="00F66F1B">
        <w:t>a la que siguió una reunión de consultas físicas el 1</w:t>
      </w:r>
      <w:r w:rsidR="00BF39F6" w:rsidRPr="00F66F1B">
        <w:t>8</w:t>
      </w:r>
      <w:r w:rsidRPr="00F66F1B">
        <w:t xml:space="preserve"> de </w:t>
      </w:r>
      <w:r w:rsidR="00BF39F6" w:rsidRPr="00F66F1B">
        <w:t xml:space="preserve">septiembre </w:t>
      </w:r>
      <w:r w:rsidRPr="00F66F1B">
        <w:t>de 201</w:t>
      </w:r>
      <w:r w:rsidR="00BF39F6" w:rsidRPr="00F66F1B">
        <w:t>7</w:t>
      </w:r>
      <w:r w:rsidR="00A615B7" w:rsidRPr="00F66F1B">
        <w:t>; y b) entre octubre de </w:t>
      </w:r>
      <w:r w:rsidR="00BF39F6" w:rsidRPr="00F66F1B">
        <w:t xml:space="preserve">2017 </w:t>
      </w:r>
      <w:r w:rsidRPr="00F66F1B">
        <w:t xml:space="preserve">y enero de </w:t>
      </w:r>
      <w:r w:rsidR="00BF39F6" w:rsidRPr="00F66F1B">
        <w:t xml:space="preserve">2018 </w:t>
      </w:r>
      <w:r w:rsidRPr="00F66F1B">
        <w:t xml:space="preserve">sobre </w:t>
      </w:r>
      <w:hyperlink r:id="rId59" w:history="1">
        <w:r w:rsidR="00171937">
          <w:rPr>
            <w:rStyle w:val="Hyperlink"/>
            <w:rFonts w:cstheme="minorHAnsi"/>
          </w:rPr>
          <w:t>"</w:t>
        </w:r>
        <w:r w:rsidR="00F73668" w:rsidRPr="00F66F1B">
          <w:rPr>
            <w:rStyle w:val="Hyperlink"/>
            <w:rFonts w:cstheme="minorHAnsi"/>
          </w:rPr>
          <w:t>Colmar la brecha de género digital</w:t>
        </w:r>
        <w:r w:rsidR="00171937">
          <w:rPr>
            <w:rStyle w:val="Hyperlink"/>
            <w:rFonts w:cstheme="minorHAnsi"/>
          </w:rPr>
          <w:t>"</w:t>
        </w:r>
      </w:hyperlink>
      <w:r w:rsidR="00F73668" w:rsidRPr="00F66F1B">
        <w:rPr>
          <w:rFonts w:cstheme="minorHAnsi"/>
        </w:rPr>
        <w:t>,</w:t>
      </w:r>
      <w:r w:rsidRPr="00F66F1B">
        <w:t xml:space="preserve"> a la que siguió una reunión de consultas </w:t>
      </w:r>
      <w:r w:rsidR="00F73668" w:rsidRPr="00F66F1B">
        <w:t xml:space="preserve">presencial </w:t>
      </w:r>
      <w:r w:rsidRPr="00F66F1B">
        <w:t xml:space="preserve">el </w:t>
      </w:r>
      <w:r w:rsidR="00063825" w:rsidRPr="00F66F1B">
        <w:t xml:space="preserve">22 </w:t>
      </w:r>
      <w:r w:rsidRPr="00F66F1B">
        <w:t xml:space="preserve">de </w:t>
      </w:r>
      <w:r w:rsidR="00063825" w:rsidRPr="00F66F1B">
        <w:t xml:space="preserve">enero </w:t>
      </w:r>
      <w:r w:rsidRPr="00F66F1B">
        <w:t>de 201</w:t>
      </w:r>
      <w:r w:rsidR="00063825" w:rsidRPr="00F66F1B">
        <w:t>8</w:t>
      </w:r>
      <w:r w:rsidRPr="00F66F1B">
        <w:t>.</w:t>
      </w:r>
      <w:r w:rsidR="00063825" w:rsidRPr="00F66F1B">
        <w:rPr>
          <w:rFonts w:cstheme="minorHAnsi"/>
        </w:rPr>
        <w:t xml:space="preserve"> </w:t>
      </w:r>
      <w:r w:rsidR="00F73668" w:rsidRPr="00F66F1B">
        <w:rPr>
          <w:rFonts w:cstheme="minorHAnsi"/>
        </w:rPr>
        <w:t>Para más inform</w:t>
      </w:r>
      <w:r w:rsidR="00A615B7" w:rsidRPr="00F66F1B">
        <w:rPr>
          <w:rFonts w:cstheme="minorHAnsi"/>
        </w:rPr>
        <w:t>ación sobre las actividades del </w:t>
      </w:r>
      <w:r w:rsidR="00F73668" w:rsidRPr="00F66F1B">
        <w:rPr>
          <w:rFonts w:cstheme="minorHAnsi"/>
        </w:rPr>
        <w:t>GTC</w:t>
      </w:r>
      <w:r w:rsidR="00063825" w:rsidRPr="00F66F1B">
        <w:rPr>
          <w:rFonts w:cstheme="minorHAnsi"/>
        </w:rPr>
        <w:t xml:space="preserve">-Internet </w:t>
      </w:r>
      <w:r w:rsidR="00F73668" w:rsidRPr="00F66F1B">
        <w:rPr>
          <w:rFonts w:cstheme="minorHAnsi"/>
        </w:rPr>
        <w:t xml:space="preserve">véase el </w:t>
      </w:r>
      <w:hyperlink r:id="rId60" w:history="1">
        <w:r w:rsidR="00063825" w:rsidRPr="00F66F1B">
          <w:rPr>
            <w:rStyle w:val="Hyperlink"/>
            <w:rFonts w:cstheme="minorHAnsi"/>
          </w:rPr>
          <w:t>Document</w:t>
        </w:r>
        <w:r w:rsidR="00F73668" w:rsidRPr="00F66F1B">
          <w:rPr>
            <w:rStyle w:val="Hyperlink"/>
            <w:rFonts w:cstheme="minorHAnsi"/>
          </w:rPr>
          <w:t>o</w:t>
        </w:r>
        <w:r w:rsidR="00063825" w:rsidRPr="00F66F1B">
          <w:rPr>
            <w:rStyle w:val="Hyperlink"/>
            <w:rFonts w:cstheme="minorHAnsi"/>
          </w:rPr>
          <w:t xml:space="preserve"> C18/51</w:t>
        </w:r>
      </w:hyperlink>
      <w:r w:rsidR="00063825" w:rsidRPr="00F66F1B">
        <w:rPr>
          <w:rFonts w:cstheme="minorHAnsi"/>
        </w:rPr>
        <w:t>.</w:t>
      </w:r>
    </w:p>
    <w:p w:rsidR="00211E31" w:rsidRPr="00F66F1B" w:rsidRDefault="003F147B" w:rsidP="00005A84">
      <w:pPr>
        <w:rPr>
          <w:rFonts w:asciiTheme="minorHAnsi" w:hAnsiTheme="minorHAnsi"/>
          <w:szCs w:val="24"/>
        </w:rPr>
      </w:pPr>
      <w:r w:rsidRPr="00F66F1B">
        <w:t>4.</w:t>
      </w:r>
      <w:r w:rsidR="00765C5E" w:rsidRPr="00F66F1B">
        <w:t>2</w:t>
      </w:r>
      <w:r w:rsidRPr="00F66F1B">
        <w:tab/>
      </w:r>
      <w:r w:rsidR="00F73668" w:rsidRPr="00F66F1B">
        <w:t>La UIT</w:t>
      </w:r>
      <w:r w:rsidR="00211E31" w:rsidRPr="00F66F1B">
        <w:rPr>
          <w:rFonts w:asciiTheme="minorHAnsi" w:hAnsiTheme="minorHAnsi" w:cstheme="minorHAnsi"/>
          <w:szCs w:val="24"/>
        </w:rPr>
        <w:t xml:space="preserve"> </w:t>
      </w:r>
      <w:r w:rsidR="00F73668" w:rsidRPr="00F66F1B">
        <w:rPr>
          <w:rFonts w:asciiTheme="minorHAnsi" w:hAnsiTheme="minorHAnsi" w:cstheme="minorHAnsi"/>
          <w:szCs w:val="24"/>
        </w:rPr>
        <w:t xml:space="preserve">participó en las tres reuniones del </w:t>
      </w:r>
      <w:hyperlink r:id="rId61" w:history="1">
        <w:r w:rsidR="008675E7" w:rsidRPr="00F66F1B">
          <w:rPr>
            <w:rStyle w:val="Hyperlink"/>
            <w:rFonts w:asciiTheme="minorHAnsi" w:hAnsiTheme="minorHAnsi" w:cstheme="minorHAnsi"/>
            <w:szCs w:val="24"/>
          </w:rPr>
          <w:t>Grupo de Trabajo de la CSTD sobre aumento de la cooperación (WGEC)</w:t>
        </w:r>
      </w:hyperlink>
      <w:r w:rsidR="008675E7" w:rsidRPr="00F66F1B">
        <w:rPr>
          <w:rFonts w:asciiTheme="minorHAnsi" w:hAnsiTheme="minorHAnsi" w:cstheme="minorHAnsi"/>
          <w:szCs w:val="24"/>
        </w:rPr>
        <w:t>,</w:t>
      </w:r>
      <w:r w:rsidR="00211E31" w:rsidRPr="00F66F1B">
        <w:t xml:space="preserve"> </w:t>
      </w:r>
      <w:r w:rsidR="008675E7" w:rsidRPr="00F66F1B">
        <w:t xml:space="preserve">celebradas entre mayo de </w:t>
      </w:r>
      <w:r w:rsidR="00211E31" w:rsidRPr="00F66F1B">
        <w:rPr>
          <w:rFonts w:asciiTheme="minorHAnsi" w:hAnsiTheme="minorHAnsi" w:cstheme="minorHAnsi"/>
          <w:szCs w:val="24"/>
        </w:rPr>
        <w:t xml:space="preserve">2017 </w:t>
      </w:r>
      <w:r w:rsidR="008675E7" w:rsidRPr="00F66F1B">
        <w:rPr>
          <w:rFonts w:asciiTheme="minorHAnsi" w:hAnsiTheme="minorHAnsi" w:cstheme="minorHAnsi"/>
          <w:szCs w:val="24"/>
        </w:rPr>
        <w:t xml:space="preserve">y enero de </w:t>
      </w:r>
      <w:r w:rsidR="00211E31" w:rsidRPr="00F66F1B">
        <w:rPr>
          <w:rFonts w:asciiTheme="minorHAnsi" w:hAnsiTheme="minorHAnsi" w:cstheme="minorHAnsi"/>
          <w:szCs w:val="24"/>
        </w:rPr>
        <w:t xml:space="preserve">2018. </w:t>
      </w:r>
      <w:r w:rsidR="008675E7" w:rsidRPr="00F66F1B">
        <w:rPr>
          <w:rFonts w:asciiTheme="minorHAnsi" w:hAnsiTheme="minorHAnsi" w:cstheme="minorHAnsi"/>
          <w:szCs w:val="24"/>
        </w:rPr>
        <w:t xml:space="preserve">El Grupo de Trabajo examinó las propuestas de recomendaciones presentadas por diversos Miembros de </w:t>
      </w:r>
      <w:r w:rsidR="00211E31" w:rsidRPr="00F66F1B">
        <w:rPr>
          <w:rFonts w:asciiTheme="minorHAnsi" w:hAnsiTheme="minorHAnsi"/>
          <w:szCs w:val="24"/>
        </w:rPr>
        <w:t xml:space="preserve">WGEC </w:t>
      </w:r>
      <w:r w:rsidR="008675E7" w:rsidRPr="00F66F1B">
        <w:rPr>
          <w:rFonts w:asciiTheme="minorHAnsi" w:hAnsiTheme="minorHAnsi"/>
          <w:szCs w:val="24"/>
        </w:rPr>
        <w:t>sobre cómo mejorar más la cooperación prevista en la Agenda de Túnez</w:t>
      </w:r>
      <w:r w:rsidR="00211E31" w:rsidRPr="00F66F1B">
        <w:rPr>
          <w:rFonts w:asciiTheme="minorHAnsi" w:hAnsiTheme="minorHAnsi"/>
          <w:szCs w:val="24"/>
        </w:rPr>
        <w:t xml:space="preserve">, </w:t>
      </w:r>
      <w:r w:rsidR="008675E7" w:rsidRPr="00F66F1B">
        <w:rPr>
          <w:rFonts w:asciiTheme="minorHAnsi" w:hAnsiTheme="minorHAnsi"/>
          <w:szCs w:val="24"/>
        </w:rPr>
        <w:t xml:space="preserve">con miras a su posible comunicación a la </w:t>
      </w:r>
      <w:r w:rsidR="00211E31" w:rsidRPr="00F66F1B">
        <w:rPr>
          <w:rFonts w:asciiTheme="minorHAnsi" w:hAnsiTheme="minorHAnsi"/>
          <w:szCs w:val="24"/>
        </w:rPr>
        <w:t xml:space="preserve">CSTD. </w:t>
      </w:r>
      <w:r w:rsidR="008675E7" w:rsidRPr="00F66F1B">
        <w:rPr>
          <w:rFonts w:asciiTheme="minorHAnsi" w:hAnsiTheme="minorHAnsi"/>
          <w:szCs w:val="24"/>
        </w:rPr>
        <w:t>La divergencia de opiniones durante las deliberaciones no p</w:t>
      </w:r>
      <w:r w:rsidR="00587A19">
        <w:rPr>
          <w:rFonts w:asciiTheme="minorHAnsi" w:hAnsiTheme="minorHAnsi"/>
          <w:szCs w:val="24"/>
        </w:rPr>
        <w:t>ermitió en última instancia lleg</w:t>
      </w:r>
      <w:r w:rsidR="008675E7" w:rsidRPr="00F66F1B">
        <w:rPr>
          <w:rFonts w:asciiTheme="minorHAnsi" w:hAnsiTheme="minorHAnsi"/>
          <w:szCs w:val="24"/>
        </w:rPr>
        <w:t>ar a un acuerdo sobre el conjunto de recomendaciones</w:t>
      </w:r>
      <w:r w:rsidR="00211E31" w:rsidRPr="00F66F1B">
        <w:rPr>
          <w:rFonts w:asciiTheme="minorHAnsi" w:hAnsiTheme="minorHAnsi"/>
          <w:szCs w:val="24"/>
        </w:rPr>
        <w:t>.</w:t>
      </w:r>
    </w:p>
    <w:p w:rsidR="006D03A0" w:rsidRPr="00F66F1B" w:rsidRDefault="006D03A0" w:rsidP="00587A19">
      <w:pPr>
        <w:rPr>
          <w:b/>
          <w:szCs w:val="24"/>
          <w:lang w:eastAsia="de-CH"/>
        </w:rPr>
      </w:pPr>
      <w:r w:rsidRPr="00F66F1B">
        <w:rPr>
          <w:bCs/>
          <w:szCs w:val="24"/>
        </w:rPr>
        <w:t>4.3</w:t>
      </w:r>
      <w:r w:rsidRPr="00F66F1B">
        <w:rPr>
          <w:b/>
          <w:szCs w:val="24"/>
        </w:rPr>
        <w:tab/>
      </w:r>
      <w:r w:rsidR="008675E7" w:rsidRPr="00F66F1B">
        <w:rPr>
          <w:szCs w:val="24"/>
        </w:rPr>
        <w:t>La UIT</w:t>
      </w:r>
      <w:r w:rsidR="008675E7" w:rsidRPr="00F66F1B">
        <w:rPr>
          <w:b/>
          <w:szCs w:val="24"/>
        </w:rPr>
        <w:t xml:space="preserve"> </w:t>
      </w:r>
      <w:r w:rsidR="005B1515" w:rsidRPr="00F66F1B">
        <w:rPr>
          <w:szCs w:val="24"/>
        </w:rPr>
        <w:t>participó</w:t>
      </w:r>
      <w:r w:rsidR="008675E7" w:rsidRPr="00F66F1B">
        <w:rPr>
          <w:szCs w:val="24"/>
        </w:rPr>
        <w:t xml:space="preserve"> en la 12ª reunión del </w:t>
      </w:r>
      <w:r w:rsidRPr="00F66F1B">
        <w:rPr>
          <w:szCs w:val="24"/>
        </w:rPr>
        <w:t xml:space="preserve">IGF, </w:t>
      </w:r>
      <w:r w:rsidR="008675E7" w:rsidRPr="00F66F1B">
        <w:rPr>
          <w:szCs w:val="24"/>
        </w:rPr>
        <w:t xml:space="preserve">organizada del </w:t>
      </w:r>
      <w:r w:rsidRPr="00F66F1B">
        <w:rPr>
          <w:szCs w:val="24"/>
        </w:rPr>
        <w:t xml:space="preserve">17 </w:t>
      </w:r>
      <w:r w:rsidR="008675E7" w:rsidRPr="00F66F1B">
        <w:rPr>
          <w:szCs w:val="24"/>
        </w:rPr>
        <w:t xml:space="preserve">al </w:t>
      </w:r>
      <w:r w:rsidRPr="00F66F1B">
        <w:rPr>
          <w:szCs w:val="24"/>
        </w:rPr>
        <w:t xml:space="preserve">21 </w:t>
      </w:r>
      <w:r w:rsidR="008675E7" w:rsidRPr="00F66F1B">
        <w:rPr>
          <w:szCs w:val="24"/>
        </w:rPr>
        <w:t xml:space="preserve">de diciembre de </w:t>
      </w:r>
      <w:r w:rsidRPr="00F66F1B">
        <w:rPr>
          <w:szCs w:val="24"/>
        </w:rPr>
        <w:t xml:space="preserve">2017 </w:t>
      </w:r>
      <w:r w:rsidR="008675E7" w:rsidRPr="00F66F1B">
        <w:rPr>
          <w:szCs w:val="24"/>
        </w:rPr>
        <w:t>en Ginebra (Suiza)</w:t>
      </w:r>
      <w:r w:rsidRPr="00F66F1B">
        <w:rPr>
          <w:szCs w:val="24"/>
        </w:rPr>
        <w:t xml:space="preserve">. </w:t>
      </w:r>
      <w:r w:rsidR="008675E7" w:rsidRPr="00F66F1B">
        <w:rPr>
          <w:szCs w:val="24"/>
        </w:rPr>
        <w:t xml:space="preserve">El Secretario General representó a la UIT </w:t>
      </w:r>
      <w:r w:rsidR="00A615B7" w:rsidRPr="00F66F1B">
        <w:rPr>
          <w:szCs w:val="24"/>
        </w:rPr>
        <w:t>en la ceremonia de apertura del IGF </w:t>
      </w:r>
      <w:r w:rsidRPr="00F66F1B">
        <w:rPr>
          <w:szCs w:val="24"/>
        </w:rPr>
        <w:t xml:space="preserve">2017 </w:t>
      </w:r>
      <w:r w:rsidR="008675E7" w:rsidRPr="00F66F1B">
        <w:rPr>
          <w:szCs w:val="24"/>
        </w:rPr>
        <w:t xml:space="preserve">y en la reunión temática de alto nivel sobre </w:t>
      </w:r>
      <w:hyperlink r:id="rId62" w:history="1">
        <w:r w:rsidRPr="00F66F1B">
          <w:t>"</w:t>
        </w:r>
        <w:r w:rsidR="008675E7" w:rsidRPr="00F66F1B">
          <w:rPr>
            <w:rStyle w:val="Hyperlink"/>
            <w:szCs w:val="24"/>
          </w:rPr>
          <w:t>Configura</w:t>
        </w:r>
        <w:r w:rsidR="008675E7" w:rsidRPr="00F66F1B">
          <w:rPr>
            <w:rStyle w:val="Hyperlink"/>
            <w:szCs w:val="24"/>
          </w:rPr>
          <w:t>c</w:t>
        </w:r>
        <w:r w:rsidR="008675E7" w:rsidRPr="00F66F1B">
          <w:rPr>
            <w:rStyle w:val="Hyperlink"/>
            <w:szCs w:val="24"/>
          </w:rPr>
          <w:t>ión de nuestro futura gobernanza mundial digital</w:t>
        </w:r>
        <w:r w:rsidRPr="00F66F1B">
          <w:t>"</w:t>
        </w:r>
      </w:hyperlink>
      <w:r w:rsidRPr="00F66F1B">
        <w:rPr>
          <w:szCs w:val="24"/>
        </w:rPr>
        <w:t xml:space="preserve">. </w:t>
      </w:r>
      <w:r w:rsidR="008675E7" w:rsidRPr="00F66F1B">
        <w:rPr>
          <w:szCs w:val="24"/>
        </w:rPr>
        <w:t xml:space="preserve">En el marco del </w:t>
      </w:r>
      <w:r w:rsidRPr="00F66F1B">
        <w:rPr>
          <w:szCs w:val="24"/>
        </w:rPr>
        <w:t xml:space="preserve">IGF 2017, </w:t>
      </w:r>
      <w:r w:rsidR="008675E7" w:rsidRPr="00F66F1B">
        <w:rPr>
          <w:szCs w:val="24"/>
        </w:rPr>
        <w:t>la U</w:t>
      </w:r>
      <w:r w:rsidRPr="00F66F1B">
        <w:rPr>
          <w:szCs w:val="24"/>
        </w:rPr>
        <w:t xml:space="preserve">IT </w:t>
      </w:r>
      <w:r w:rsidR="008675E7" w:rsidRPr="00F66F1B">
        <w:rPr>
          <w:szCs w:val="24"/>
        </w:rPr>
        <w:t xml:space="preserve">y ONU Mujeres organizaron de consuno, el </w:t>
      </w:r>
      <w:r w:rsidRPr="00F66F1B">
        <w:rPr>
          <w:szCs w:val="24"/>
        </w:rPr>
        <w:t xml:space="preserve">19 </w:t>
      </w:r>
      <w:r w:rsidR="008675E7" w:rsidRPr="00F66F1B">
        <w:rPr>
          <w:szCs w:val="24"/>
        </w:rPr>
        <w:t xml:space="preserve">de diciembre de </w:t>
      </w:r>
      <w:r w:rsidRPr="00F66F1B">
        <w:rPr>
          <w:szCs w:val="24"/>
        </w:rPr>
        <w:t xml:space="preserve">2017, </w:t>
      </w:r>
      <w:r w:rsidR="00587A19">
        <w:rPr>
          <w:szCs w:val="24"/>
        </w:rPr>
        <w:t>la</w:t>
      </w:r>
      <w:r w:rsidRPr="00F66F1B">
        <w:rPr>
          <w:szCs w:val="24"/>
        </w:rPr>
        <w:t xml:space="preserve"> </w:t>
      </w:r>
      <w:r w:rsidR="00BA6320" w:rsidRPr="00F66F1B">
        <w:t>cuarta edición anual de los Premios "</w:t>
      </w:r>
      <w:hyperlink r:id="rId63" w:history="1">
        <w:r w:rsidR="008675E7" w:rsidRPr="00F66F1B">
          <w:rPr>
            <w:rStyle w:val="Hyperlink"/>
          </w:rPr>
          <w:t>IGUA</w:t>
        </w:r>
        <w:r w:rsidR="008675E7" w:rsidRPr="00F66F1B">
          <w:rPr>
            <w:rStyle w:val="Hyperlink"/>
          </w:rPr>
          <w:t>L</w:t>
        </w:r>
        <w:r w:rsidR="008675E7" w:rsidRPr="00F66F1B">
          <w:rPr>
            <w:rStyle w:val="Hyperlink"/>
          </w:rPr>
          <w:t xml:space="preserve">ES </w:t>
        </w:r>
        <w:r w:rsidR="008675E7" w:rsidRPr="00F66F1B">
          <w:rPr>
            <w:rStyle w:val="Hyperlink"/>
          </w:rPr>
          <w:t>e</w:t>
        </w:r>
        <w:r w:rsidR="008675E7" w:rsidRPr="00F66F1B">
          <w:rPr>
            <w:rStyle w:val="Hyperlink"/>
          </w:rPr>
          <w:t>n la tecnología</w:t>
        </w:r>
      </w:hyperlink>
      <w:r w:rsidR="00BA6320" w:rsidRPr="00F66F1B">
        <w:t>" (anteriormente Premios "</w:t>
      </w:r>
      <w:hyperlink r:id="rId64" w:history="1">
        <w:r w:rsidR="00BA6320" w:rsidRPr="00F66F1B">
          <w:rPr>
            <w:rStyle w:val="Hyperlink"/>
          </w:rPr>
          <w:t>GEM-T</w:t>
        </w:r>
        <w:r w:rsidR="00BA6320" w:rsidRPr="00F66F1B">
          <w:rPr>
            <w:rStyle w:val="Hyperlink"/>
          </w:rPr>
          <w:t>E</w:t>
        </w:r>
        <w:r w:rsidR="00BA6320" w:rsidRPr="00F66F1B">
          <w:rPr>
            <w:rStyle w:val="Hyperlink"/>
          </w:rPr>
          <w:t>CH</w:t>
        </w:r>
      </w:hyperlink>
      <w:r w:rsidR="00BA6320" w:rsidRPr="00F66F1B">
        <w:t>")</w:t>
      </w:r>
      <w:r w:rsidR="00BA6320" w:rsidRPr="00F66F1B">
        <w:rPr>
          <w:b/>
          <w:color w:val="800000"/>
          <w:szCs w:val="24"/>
        </w:rPr>
        <w:t xml:space="preserve"> </w:t>
      </w:r>
      <w:r w:rsidR="008675E7" w:rsidRPr="00F66F1B">
        <w:rPr>
          <w:szCs w:val="24"/>
        </w:rPr>
        <w:t>para celebrar las iniciativas que ayudan a reducir la brecha digital de género</w:t>
      </w:r>
      <w:r w:rsidRPr="00F66F1B">
        <w:rPr>
          <w:szCs w:val="24"/>
        </w:rPr>
        <w:t xml:space="preserve">. </w:t>
      </w:r>
      <w:r w:rsidR="008675E7" w:rsidRPr="00F66F1B">
        <w:rPr>
          <w:szCs w:val="24"/>
        </w:rPr>
        <w:t>Al día siguiente, el 20 de diciembre de 2017, tuvo lugar un debate de IGUALES en la tecnología</w:t>
      </w:r>
      <w:r w:rsidRPr="00F66F1B">
        <w:rPr>
          <w:szCs w:val="24"/>
        </w:rPr>
        <w:t xml:space="preserve">. </w:t>
      </w:r>
      <w:r w:rsidR="008675E7" w:rsidRPr="00F66F1B">
        <w:rPr>
          <w:szCs w:val="24"/>
        </w:rPr>
        <w:t>La UIT también coor</w:t>
      </w:r>
      <w:r w:rsidR="005B1515">
        <w:rPr>
          <w:szCs w:val="24"/>
        </w:rPr>
        <w:t>ganizó dos Foros abiertos sobre</w:t>
      </w:r>
      <w:r w:rsidRPr="00F66F1B">
        <w:rPr>
          <w:szCs w:val="24"/>
        </w:rPr>
        <w:t xml:space="preserve">: a) </w:t>
      </w:r>
      <w:hyperlink r:id="rId65" w:history="1">
        <w:r w:rsidR="006E2C82" w:rsidRPr="00DE5B45">
          <w:rPr>
            <w:rStyle w:val="Hyperlink"/>
          </w:rPr>
          <w:t xml:space="preserve">"Líneas de Acción de la CMSI </w:t>
        </w:r>
        <w:r w:rsidR="008675E7" w:rsidRPr="00DE5B45">
          <w:rPr>
            <w:rStyle w:val="Hyperlink"/>
          </w:rPr>
          <w:t>qu</w:t>
        </w:r>
        <w:r w:rsidR="008675E7" w:rsidRPr="00DE5B45">
          <w:rPr>
            <w:rStyle w:val="Hyperlink"/>
          </w:rPr>
          <w:t>e</w:t>
        </w:r>
        <w:r w:rsidR="008675E7" w:rsidRPr="00DE5B45">
          <w:rPr>
            <w:rStyle w:val="Hyperlink"/>
          </w:rPr>
          <w:t xml:space="preserve"> </w:t>
        </w:r>
        <w:r w:rsidR="006E2C82" w:rsidRPr="00DE5B45">
          <w:rPr>
            <w:rStyle w:val="Hyperlink"/>
          </w:rPr>
          <w:t>ayuden a cumplir los ODS</w:t>
        </w:r>
        <w:r w:rsidRPr="00DE5B45">
          <w:rPr>
            <w:rStyle w:val="Hyperlink"/>
          </w:rPr>
          <w:t>"</w:t>
        </w:r>
      </w:hyperlink>
      <w:r w:rsidRPr="00F66F1B">
        <w:rPr>
          <w:szCs w:val="24"/>
        </w:rPr>
        <w:t xml:space="preserve"> co</w:t>
      </w:r>
      <w:r w:rsidR="008675E7" w:rsidRPr="00F66F1B">
        <w:rPr>
          <w:szCs w:val="24"/>
        </w:rPr>
        <w:t>organizado por los facilitadores de la líneas de acción de la CMSI</w:t>
      </w:r>
      <w:r w:rsidRPr="00F66F1B">
        <w:rPr>
          <w:szCs w:val="24"/>
        </w:rPr>
        <w:t xml:space="preserve">; </w:t>
      </w:r>
      <w:r w:rsidR="008675E7" w:rsidRPr="00F66F1B">
        <w:rPr>
          <w:szCs w:val="24"/>
        </w:rPr>
        <w:t xml:space="preserve">y </w:t>
      </w:r>
      <w:r w:rsidRPr="00F66F1B">
        <w:rPr>
          <w:szCs w:val="24"/>
        </w:rPr>
        <w:t xml:space="preserve">b) </w:t>
      </w:r>
      <w:hyperlink r:id="rId66" w:history="1">
        <w:r w:rsidRPr="00DE5B45">
          <w:rPr>
            <w:rStyle w:val="Hyperlink"/>
          </w:rPr>
          <w:t>"</w:t>
        </w:r>
        <w:r w:rsidR="00AD454F" w:rsidRPr="00DE5B45">
          <w:rPr>
            <w:rStyle w:val="Hyperlink"/>
            <w:rFonts w:eastAsia="PMingLiU-ExtB"/>
          </w:rPr>
          <w:t>Fortalecimiento de las c</w:t>
        </w:r>
        <w:r w:rsidR="00AD454F" w:rsidRPr="00DE5B45">
          <w:rPr>
            <w:rStyle w:val="Hyperlink"/>
            <w:rFonts w:eastAsia="PMingLiU-ExtB"/>
          </w:rPr>
          <w:t>a</w:t>
        </w:r>
        <w:r w:rsidR="00AD454F" w:rsidRPr="00DE5B45">
          <w:rPr>
            <w:rStyle w:val="Hyperlink"/>
            <w:rFonts w:eastAsia="PMingLiU-ExtB"/>
          </w:rPr>
          <w:t>pacidades en materia de gobernanza de Internet internacional</w:t>
        </w:r>
        <w:r w:rsidRPr="00DE5B45">
          <w:rPr>
            <w:rStyle w:val="Hyperlink"/>
          </w:rPr>
          <w:t>"</w:t>
        </w:r>
      </w:hyperlink>
      <w:r w:rsidR="00AD454F" w:rsidRPr="00F66F1B">
        <w:rPr>
          <w:rStyle w:val="Hyperlink"/>
          <w:szCs w:val="24"/>
        </w:rPr>
        <w:t xml:space="preserve"> </w:t>
      </w:r>
      <w:r w:rsidRPr="00F66F1B">
        <w:rPr>
          <w:szCs w:val="24"/>
        </w:rPr>
        <w:t>co</w:t>
      </w:r>
      <w:r w:rsidR="00EB2F92" w:rsidRPr="00F66F1B">
        <w:rPr>
          <w:szCs w:val="24"/>
        </w:rPr>
        <w:t>organizado por la UIT</w:t>
      </w:r>
      <w:r w:rsidRPr="00F66F1B">
        <w:rPr>
          <w:szCs w:val="24"/>
        </w:rPr>
        <w:t xml:space="preserve">, DiploFoundation </w:t>
      </w:r>
      <w:r w:rsidR="00EB2F92" w:rsidRPr="00F66F1B">
        <w:rPr>
          <w:szCs w:val="24"/>
        </w:rPr>
        <w:t xml:space="preserve">y </w:t>
      </w:r>
      <w:r w:rsidRPr="00F66F1B">
        <w:rPr>
          <w:szCs w:val="24"/>
        </w:rPr>
        <w:t xml:space="preserve">SSIG. </w:t>
      </w:r>
      <w:r w:rsidR="00EB2F92" w:rsidRPr="00F66F1B">
        <w:rPr>
          <w:szCs w:val="24"/>
        </w:rPr>
        <w:t xml:space="preserve">Este último se basaba en el informe mencionado en la sección </w:t>
      </w:r>
      <w:r w:rsidRPr="00F66F1B">
        <w:rPr>
          <w:szCs w:val="24"/>
        </w:rPr>
        <w:t>4.6</w:t>
      </w:r>
      <w:r w:rsidRPr="00F66F1B">
        <w:t xml:space="preserve"> </w:t>
      </w:r>
      <w:r w:rsidR="00EB2F92" w:rsidRPr="00F66F1B">
        <w:t>y ofreció una descripción general de las actividades de capacitación existentes que ofrecen los diferentes grupos de interesados</w:t>
      </w:r>
      <w:r w:rsidRPr="00F66F1B">
        <w:rPr>
          <w:szCs w:val="24"/>
        </w:rPr>
        <w:t>.</w:t>
      </w:r>
    </w:p>
    <w:p w:rsidR="003F147B" w:rsidRPr="00F66F1B" w:rsidRDefault="00D42D1E" w:rsidP="00005A84">
      <w:r w:rsidRPr="00F66F1B">
        <w:t>4.4</w:t>
      </w:r>
      <w:r w:rsidRPr="00F66F1B">
        <w:tab/>
      </w:r>
      <w:r w:rsidR="003F147B" w:rsidRPr="00F66F1B">
        <w:t>La UIT sigue estudiando el tema de la protección de los nombres y acrónimos de las organizaciones intergubernamentales (OIG) en los nuevos domi</w:t>
      </w:r>
      <w:r w:rsidR="00A615B7" w:rsidRPr="00F66F1B">
        <w:t xml:space="preserve">nios de nivel superior </w:t>
      </w:r>
      <w:r w:rsidR="00A615B7" w:rsidRPr="00F66F1B">
        <w:lastRenderedPageBreak/>
        <w:t>genérico </w:t>
      </w:r>
      <w:r w:rsidR="003F147B" w:rsidRPr="00F66F1B">
        <w:t>(gTLD), en el marco de la coalición de OIG integrada por unas 35 OIG inclu</w:t>
      </w:r>
      <w:r w:rsidR="00A615B7" w:rsidRPr="00F66F1B">
        <w:t>idas la OCDE, la </w:t>
      </w:r>
      <w:r w:rsidR="003F147B" w:rsidRPr="00F66F1B">
        <w:t>ONU, la UPU, la OMS, la OMPI y el Banco Mundial.</w:t>
      </w:r>
    </w:p>
    <w:p w:rsidR="003F147B" w:rsidRPr="00F66F1B" w:rsidRDefault="003F147B" w:rsidP="00005A84">
      <w:r w:rsidRPr="00F66F1B">
        <w:t>4.</w:t>
      </w:r>
      <w:r w:rsidR="0072700B" w:rsidRPr="00F66F1B">
        <w:t>5</w:t>
      </w:r>
      <w:r w:rsidRPr="00F66F1B">
        <w:tab/>
        <w:t>La CE 2 del UIT-T sigue manteniéndose al tanto de la posible confusión con los números del plan de numeración UIT-T E.164 en el sistema DNS, con respecto al suministro de nombres de dominio totalmente numéricos por TELNIC, el operador del registro de nombres de dominio del gTLD .tel. La CE 2 del UIT-T está a la espera de contribuciones de los Miembros del UIT-T tras haber formulado una petición de contribuciones sobre este asunto en su reunión de enero de 2016.</w:t>
      </w:r>
    </w:p>
    <w:p w:rsidR="0072700B" w:rsidRPr="00F66F1B" w:rsidRDefault="0072700B" w:rsidP="00171937">
      <w:pPr>
        <w:rPr>
          <w:rFonts w:cstheme="minorHAnsi"/>
          <w:b/>
        </w:rPr>
      </w:pPr>
      <w:r w:rsidRPr="00F66F1B">
        <w:rPr>
          <w:rFonts w:eastAsiaTheme="minorEastAsia" w:cstheme="minorHAnsi"/>
          <w:bCs/>
        </w:rPr>
        <w:t>4.6</w:t>
      </w:r>
      <w:r w:rsidRPr="00F66F1B">
        <w:rPr>
          <w:rFonts w:eastAsiaTheme="minorEastAsia" w:cstheme="minorHAnsi"/>
        </w:rPr>
        <w:tab/>
      </w:r>
      <w:r w:rsidR="00EB2F92" w:rsidRPr="00F66F1B">
        <w:rPr>
          <w:rFonts w:eastAsiaTheme="minorEastAsia" w:cstheme="minorHAnsi"/>
        </w:rPr>
        <w:t xml:space="preserve">La </w:t>
      </w:r>
      <w:r w:rsidRPr="00F66F1B">
        <w:rPr>
          <w:rFonts w:cstheme="minorHAnsi"/>
        </w:rPr>
        <w:t xml:space="preserve">BDT </w:t>
      </w:r>
      <w:r w:rsidR="00EB2F92" w:rsidRPr="00F66F1B">
        <w:rPr>
          <w:rFonts w:cstheme="minorHAnsi"/>
        </w:rPr>
        <w:t xml:space="preserve">sigue desarrollando sus actividades de capacitación en el campo de la gobernanza de </w:t>
      </w:r>
      <w:r w:rsidRPr="00F66F1B">
        <w:rPr>
          <w:rFonts w:cstheme="minorHAnsi"/>
        </w:rPr>
        <w:t xml:space="preserve">Internet. </w:t>
      </w:r>
      <w:r w:rsidR="00EB2F92" w:rsidRPr="00F66F1B">
        <w:rPr>
          <w:rFonts w:cstheme="minorHAnsi"/>
        </w:rPr>
        <w:t>E</w:t>
      </w:r>
      <w:r w:rsidRPr="00F66F1B">
        <w:rPr>
          <w:rFonts w:cstheme="minorHAnsi"/>
        </w:rPr>
        <w:t xml:space="preserve">n 2017, </w:t>
      </w:r>
      <w:r w:rsidR="00EB2F92" w:rsidRPr="00F66F1B">
        <w:rPr>
          <w:rFonts w:cstheme="minorHAnsi"/>
        </w:rPr>
        <w:t xml:space="preserve">publicó el </w:t>
      </w:r>
      <w:hyperlink r:id="rId67" w:history="1">
        <w:r w:rsidR="00171937">
          <w:rPr>
            <w:rStyle w:val="Hyperlink"/>
            <w:rFonts w:cstheme="minorHAnsi"/>
          </w:rPr>
          <w:t>"</w:t>
        </w:r>
        <w:r w:rsidR="00EB2F92" w:rsidRPr="00F66F1B">
          <w:rPr>
            <w:rStyle w:val="Hyperlink"/>
            <w:rFonts w:cstheme="minorHAnsi"/>
          </w:rPr>
          <w:t>Reviewing Global Internet Governance Capacity Development and Identifying Opportunities for Collaboration</w:t>
        </w:r>
        <w:r w:rsidR="00171937">
          <w:rPr>
            <w:rStyle w:val="Hyperlink"/>
            <w:rFonts w:cstheme="minorHAnsi"/>
          </w:rPr>
          <w:t>"</w:t>
        </w:r>
      </w:hyperlink>
      <w:r w:rsidRPr="00F66F1B">
        <w:rPr>
          <w:rFonts w:cstheme="minorHAnsi"/>
        </w:rPr>
        <w:t xml:space="preserve">, </w:t>
      </w:r>
      <w:r w:rsidR="00EB2F92" w:rsidRPr="00F66F1B">
        <w:rPr>
          <w:rFonts w:cstheme="minorHAnsi"/>
        </w:rPr>
        <w:t>en el que se describen los temas principales relacionados con la gobernan</w:t>
      </w:r>
      <w:r w:rsidR="00E47306" w:rsidRPr="00F66F1B">
        <w:rPr>
          <w:rFonts w:cstheme="minorHAnsi"/>
        </w:rPr>
        <w:t>z</w:t>
      </w:r>
      <w:r w:rsidR="00EB2F92" w:rsidRPr="00F66F1B">
        <w:rPr>
          <w:rFonts w:cstheme="minorHAnsi"/>
        </w:rPr>
        <w:t xml:space="preserve">a de </w:t>
      </w:r>
      <w:r w:rsidRPr="00F66F1B">
        <w:rPr>
          <w:rFonts w:cstheme="minorHAnsi"/>
        </w:rPr>
        <w:t>Internet</w:t>
      </w:r>
      <w:r w:rsidR="00EB2F92" w:rsidRPr="00F66F1B">
        <w:rPr>
          <w:rFonts w:cstheme="minorHAnsi"/>
        </w:rPr>
        <w:t>, se examinan los programas de capacitación existentes y se identifican las lagunas</w:t>
      </w:r>
      <w:r w:rsidRPr="00F66F1B">
        <w:rPr>
          <w:rFonts w:cstheme="minorHAnsi"/>
        </w:rPr>
        <w:t>.</w:t>
      </w:r>
    </w:p>
    <w:p w:rsidR="0072700B" w:rsidRPr="00F66F1B" w:rsidRDefault="0072700B" w:rsidP="00171937">
      <w:r w:rsidRPr="00F66F1B">
        <w:rPr>
          <w:rFonts w:cstheme="minorHAnsi"/>
          <w:bCs/>
        </w:rPr>
        <w:t>4.7</w:t>
      </w:r>
      <w:r w:rsidRPr="00F66F1B">
        <w:rPr>
          <w:rFonts w:cstheme="minorHAnsi"/>
        </w:rPr>
        <w:tab/>
      </w:r>
      <w:r w:rsidR="00EB2F92" w:rsidRPr="00F66F1B">
        <w:rPr>
          <w:rFonts w:cstheme="minorHAnsi"/>
        </w:rPr>
        <w:t xml:space="preserve">La </w:t>
      </w:r>
      <w:r w:rsidRPr="00F66F1B">
        <w:rPr>
          <w:rFonts w:cstheme="minorHAnsi"/>
        </w:rPr>
        <w:t xml:space="preserve">BDT </w:t>
      </w:r>
      <w:r w:rsidR="00EB2F92" w:rsidRPr="00F66F1B">
        <w:rPr>
          <w:rFonts w:cstheme="minorHAnsi"/>
        </w:rPr>
        <w:t xml:space="preserve">organizó un taller </w:t>
      </w:r>
      <w:r w:rsidRPr="00F66F1B">
        <w:t>regional</w:t>
      </w:r>
      <w:r w:rsidRPr="00F66F1B">
        <w:rPr>
          <w:rFonts w:cstheme="minorHAnsi"/>
        </w:rPr>
        <w:t xml:space="preserve"> </w:t>
      </w:r>
      <w:r w:rsidR="005B1515">
        <w:rPr>
          <w:rFonts w:cstheme="minorHAnsi"/>
        </w:rPr>
        <w:t>sobre</w:t>
      </w:r>
      <w:r w:rsidR="00EB2F92" w:rsidRPr="00F66F1B">
        <w:rPr>
          <w:rFonts w:cstheme="minorHAnsi"/>
        </w:rPr>
        <w:t xml:space="preserve"> </w:t>
      </w:r>
      <w:r w:rsidR="00171937">
        <w:rPr>
          <w:rFonts w:cstheme="minorHAnsi"/>
        </w:rPr>
        <w:t>"</w:t>
      </w:r>
      <w:hyperlink r:id="rId68" w:history="1">
        <w:r w:rsidR="00EB2F92" w:rsidRPr="00F66F1B">
          <w:rPr>
            <w:rStyle w:val="Hyperlink"/>
            <w:rFonts w:cstheme="minorHAnsi"/>
          </w:rPr>
          <w:t>Fortalecimiento de las capacidades en materia de gobernanza de Internet internacional”</w:t>
        </w:r>
      </w:hyperlink>
      <w:r w:rsidR="00EB2F92" w:rsidRPr="00F66F1B">
        <w:rPr>
          <w:rFonts w:cstheme="minorHAnsi"/>
        </w:rPr>
        <w:t xml:space="preserve"> e</w:t>
      </w:r>
      <w:r w:rsidRPr="00F66F1B">
        <w:rPr>
          <w:rFonts w:cstheme="minorHAnsi"/>
        </w:rPr>
        <w:t xml:space="preserve">n Brasilia </w:t>
      </w:r>
      <w:r w:rsidR="00EB2F92" w:rsidRPr="00F66F1B">
        <w:rPr>
          <w:rFonts w:cstheme="minorHAnsi"/>
        </w:rPr>
        <w:t>(</w:t>
      </w:r>
      <w:r w:rsidRPr="00F66F1B">
        <w:rPr>
          <w:rFonts w:cstheme="minorHAnsi"/>
        </w:rPr>
        <w:t>Bra</w:t>
      </w:r>
      <w:r w:rsidR="00EB2F92" w:rsidRPr="00F66F1B">
        <w:rPr>
          <w:rFonts w:cstheme="minorHAnsi"/>
        </w:rPr>
        <w:t>s</w:t>
      </w:r>
      <w:r w:rsidRPr="00F66F1B">
        <w:rPr>
          <w:rFonts w:cstheme="minorHAnsi"/>
        </w:rPr>
        <w:t>il</w:t>
      </w:r>
      <w:r w:rsidR="00EB2F92" w:rsidRPr="00F66F1B">
        <w:rPr>
          <w:rFonts w:cstheme="minorHAnsi"/>
        </w:rPr>
        <w:t xml:space="preserve">), del </w:t>
      </w:r>
      <w:r w:rsidRPr="00F66F1B">
        <w:rPr>
          <w:rFonts w:cstheme="minorHAnsi"/>
        </w:rPr>
        <w:t xml:space="preserve">14-16 </w:t>
      </w:r>
      <w:r w:rsidR="00EB2F92" w:rsidRPr="00F66F1B">
        <w:rPr>
          <w:rFonts w:cstheme="minorHAnsi"/>
        </w:rPr>
        <w:t xml:space="preserve">de agosto de </w:t>
      </w:r>
      <w:r w:rsidRPr="00F66F1B">
        <w:rPr>
          <w:rFonts w:cstheme="minorHAnsi"/>
        </w:rPr>
        <w:t xml:space="preserve">2017, </w:t>
      </w:r>
      <w:r w:rsidR="00EB2F92" w:rsidRPr="00F66F1B">
        <w:rPr>
          <w:rFonts w:cstheme="minorHAnsi"/>
        </w:rPr>
        <w:t>e</w:t>
      </w:r>
      <w:r w:rsidRPr="00F66F1B">
        <w:rPr>
          <w:rFonts w:cstheme="minorHAnsi"/>
        </w:rPr>
        <w:t xml:space="preserve">n </w:t>
      </w:r>
      <w:r w:rsidR="00EB2F92" w:rsidRPr="00F66F1B">
        <w:rPr>
          <w:rFonts w:cstheme="minorHAnsi"/>
        </w:rPr>
        <w:t xml:space="preserve">colaboración con </w:t>
      </w:r>
      <w:r w:rsidRPr="00F66F1B">
        <w:rPr>
          <w:rFonts w:cstheme="minorHAnsi"/>
        </w:rPr>
        <w:t>DiploFoundation.</w:t>
      </w:r>
    </w:p>
    <w:p w:rsidR="003F147B" w:rsidRPr="00F66F1B" w:rsidRDefault="003F147B" w:rsidP="00005A84">
      <w:pPr>
        <w:pStyle w:val="Heading1"/>
        <w:tabs>
          <w:tab w:val="clear" w:pos="2268"/>
          <w:tab w:val="clear" w:pos="2835"/>
          <w:tab w:val="center" w:pos="4819"/>
        </w:tabs>
      </w:pPr>
      <w:r w:rsidRPr="00F66F1B">
        <w:t>5</w:t>
      </w:r>
      <w:r w:rsidRPr="00F66F1B">
        <w:tab/>
        <w:t>ENUM</w:t>
      </w:r>
    </w:p>
    <w:p w:rsidR="003F147B" w:rsidRPr="00F66F1B" w:rsidRDefault="003F147B" w:rsidP="00005A84">
      <w:r w:rsidRPr="00F66F1B">
        <w:t xml:space="preserve">El UIT-T mantiene </w:t>
      </w:r>
      <w:hyperlink r:id="rId69" w:history="1">
        <w:r w:rsidRPr="00F66F1B">
          <w:rPr>
            <w:rStyle w:val="Hyperlink"/>
          </w:rPr>
          <w:t>informaciones actualizadas sobre el protocolo ENUM</w:t>
        </w:r>
      </w:hyperlink>
      <w:r w:rsidRPr="00F66F1B">
        <w:t>. Esas informaciones se refieren en especial a las delegaciones aprobadas del ENUM y a las pruebas relativas a dicho protocolo.</w:t>
      </w:r>
    </w:p>
    <w:p w:rsidR="003F147B" w:rsidRPr="00F66F1B" w:rsidRDefault="003F147B" w:rsidP="00005A84">
      <w:pPr>
        <w:pStyle w:val="Heading1"/>
        <w:tabs>
          <w:tab w:val="clear" w:pos="2268"/>
          <w:tab w:val="clear" w:pos="2835"/>
          <w:tab w:val="center" w:pos="4819"/>
        </w:tabs>
      </w:pPr>
      <w:r w:rsidRPr="00F66F1B">
        <w:t>6</w:t>
      </w:r>
      <w:r w:rsidRPr="00F66F1B">
        <w:tab/>
        <w:t>Conectividad internacional a Internet (IIC) y Puntos de intercambio Internet (IXP)</w:t>
      </w:r>
    </w:p>
    <w:p w:rsidR="003F147B" w:rsidRPr="00F66F1B" w:rsidRDefault="003F147B" w:rsidP="00005A84">
      <w:r w:rsidRPr="00F66F1B">
        <w:t>6.1</w:t>
      </w:r>
      <w:r w:rsidRPr="00F66F1B">
        <w:tab/>
        <w:t>La BDT sigue prestando asistencia a países para la creación de IXP nacionales y el logro de una conectividad regional a Internet eficaz y rentable mediante, por ejemplo, la elaboración de un modelo de interconexión que sirva de base para la creación de IXP nacionales y regionales</w:t>
      </w:r>
      <w:r w:rsidR="00923EB7" w:rsidRPr="00F66F1B">
        <w:rPr>
          <w:rFonts w:asciiTheme="minorHAnsi" w:hAnsiTheme="minorHAnsi" w:cstheme="minorHAnsi"/>
          <w:szCs w:val="24"/>
        </w:rPr>
        <w:t xml:space="preserve">, </w:t>
      </w:r>
      <w:r w:rsidR="00EB2F92" w:rsidRPr="00F66F1B">
        <w:rPr>
          <w:rFonts w:asciiTheme="minorHAnsi" w:hAnsiTheme="minorHAnsi" w:cstheme="minorHAnsi"/>
          <w:szCs w:val="24"/>
        </w:rPr>
        <w:t xml:space="preserve">como en el caso de </w:t>
      </w:r>
      <w:r w:rsidR="00923EB7" w:rsidRPr="00F66F1B">
        <w:rPr>
          <w:rFonts w:asciiTheme="minorHAnsi" w:hAnsiTheme="minorHAnsi" w:cstheme="minorHAnsi"/>
          <w:szCs w:val="24"/>
        </w:rPr>
        <w:t>Guatemala</w:t>
      </w:r>
      <w:r w:rsidR="00EB2F92" w:rsidRPr="00F66F1B">
        <w:rPr>
          <w:rFonts w:asciiTheme="minorHAnsi" w:hAnsiTheme="minorHAnsi" w:cstheme="minorHAnsi"/>
          <w:szCs w:val="24"/>
        </w:rPr>
        <w:t>, en el que se definió un modelo naci</w:t>
      </w:r>
      <w:r w:rsidR="001342C1" w:rsidRPr="00F66F1B">
        <w:rPr>
          <w:rFonts w:asciiTheme="minorHAnsi" w:hAnsiTheme="minorHAnsi" w:cstheme="minorHAnsi"/>
          <w:szCs w:val="24"/>
        </w:rPr>
        <w:t>onal entre mayo y septiembre de </w:t>
      </w:r>
      <w:r w:rsidR="00923EB7" w:rsidRPr="00F66F1B">
        <w:rPr>
          <w:rFonts w:asciiTheme="minorHAnsi" w:hAnsiTheme="minorHAnsi" w:cstheme="minorHAnsi"/>
          <w:szCs w:val="24"/>
        </w:rPr>
        <w:t>2017</w:t>
      </w:r>
      <w:r w:rsidRPr="00F66F1B">
        <w:t>; el apoyo al fortalecimiento de las capacidades de las IXP nacionales (Montenegro) y de la Central Internet Nacional de Timor Leste; la preparación de una nueva publicación sobre "Centrales Internet", incluidas las energías renovables para las comunicaciones rurales, etc.</w:t>
      </w:r>
      <w:r w:rsidR="00923EB7" w:rsidRPr="00F66F1B">
        <w:rPr>
          <w:rFonts w:asciiTheme="minorHAnsi" w:hAnsiTheme="minorHAnsi" w:cstheme="minorHAnsi"/>
          <w:szCs w:val="24"/>
        </w:rPr>
        <w:t xml:space="preserve"> </w:t>
      </w:r>
      <w:r w:rsidR="00EB2F92" w:rsidRPr="00F66F1B">
        <w:rPr>
          <w:rFonts w:asciiTheme="minorHAnsi" w:hAnsiTheme="minorHAnsi" w:cstheme="minorHAnsi"/>
          <w:szCs w:val="24"/>
        </w:rPr>
        <w:t xml:space="preserve">La </w:t>
      </w:r>
      <w:r w:rsidR="00923EB7" w:rsidRPr="00F66F1B">
        <w:rPr>
          <w:rFonts w:asciiTheme="minorHAnsi" w:hAnsiTheme="minorHAnsi" w:cstheme="minorHAnsi"/>
          <w:szCs w:val="24"/>
        </w:rPr>
        <w:t xml:space="preserve">IXP </w:t>
      </w:r>
      <w:r w:rsidR="00EB2F92" w:rsidRPr="00F66F1B">
        <w:rPr>
          <w:rFonts w:asciiTheme="minorHAnsi" w:hAnsiTheme="minorHAnsi" w:cstheme="minorHAnsi"/>
          <w:szCs w:val="24"/>
        </w:rPr>
        <w:t xml:space="preserve">nacional de </w:t>
      </w:r>
      <w:r w:rsidR="00923EB7" w:rsidRPr="00F66F1B">
        <w:rPr>
          <w:rFonts w:asciiTheme="minorHAnsi" w:hAnsiTheme="minorHAnsi" w:cstheme="minorHAnsi"/>
          <w:szCs w:val="24"/>
        </w:rPr>
        <w:t xml:space="preserve">Guatemala </w:t>
      </w:r>
      <w:r w:rsidR="00EB2F92" w:rsidRPr="00F66F1B">
        <w:rPr>
          <w:rFonts w:asciiTheme="minorHAnsi" w:hAnsiTheme="minorHAnsi" w:cstheme="minorHAnsi"/>
          <w:szCs w:val="24"/>
        </w:rPr>
        <w:t xml:space="preserve">se encuentra en fase de implementación y cabe esperar que </w:t>
      </w:r>
      <w:r w:rsidR="00E47306" w:rsidRPr="00F66F1B">
        <w:rPr>
          <w:rFonts w:asciiTheme="minorHAnsi" w:hAnsiTheme="minorHAnsi" w:cstheme="minorHAnsi"/>
          <w:szCs w:val="24"/>
        </w:rPr>
        <w:t xml:space="preserve">se </w:t>
      </w:r>
      <w:r w:rsidR="00EB2F92" w:rsidRPr="00F66F1B">
        <w:rPr>
          <w:rFonts w:asciiTheme="minorHAnsi" w:hAnsiTheme="minorHAnsi" w:cstheme="minorHAnsi"/>
          <w:szCs w:val="24"/>
        </w:rPr>
        <w:t xml:space="preserve">terminará en el tercer trimestre de </w:t>
      </w:r>
      <w:r w:rsidR="00923EB7" w:rsidRPr="00F66F1B">
        <w:rPr>
          <w:rFonts w:asciiTheme="minorHAnsi" w:hAnsiTheme="minorHAnsi" w:cstheme="minorHAnsi"/>
          <w:szCs w:val="24"/>
        </w:rPr>
        <w:t>2018.</w:t>
      </w:r>
    </w:p>
    <w:p w:rsidR="003F147B" w:rsidRPr="00F66F1B" w:rsidRDefault="003F147B" w:rsidP="00005A84">
      <w:r w:rsidRPr="00F66F1B">
        <w:t>6.</w:t>
      </w:r>
      <w:r w:rsidR="00441CD2" w:rsidRPr="00F66F1B">
        <w:t>2</w:t>
      </w:r>
      <w:r w:rsidRPr="00F66F1B">
        <w:tab/>
        <w:t>La CE 3 del UIT-T sigue trabajando en el tema de la IIC, incluidos el intercambio de tráfico IP entre homólogos, las centrales regionales de intercambio de tráfico, los modelos de costos y el costo de la prestación de servicios.</w:t>
      </w:r>
    </w:p>
    <w:p w:rsidR="003F147B" w:rsidRPr="00F66F1B" w:rsidRDefault="003F147B" w:rsidP="00005A84">
      <w:pPr>
        <w:pStyle w:val="Reasons"/>
      </w:pPr>
    </w:p>
    <w:p w:rsidR="003F147B" w:rsidRPr="00F66F1B" w:rsidRDefault="003F147B" w:rsidP="00005A84">
      <w:pPr>
        <w:jc w:val="center"/>
      </w:pPr>
      <w:r w:rsidRPr="00F66F1B">
        <w:t>______________</w:t>
      </w:r>
    </w:p>
    <w:sectPr w:rsidR="003F147B" w:rsidRPr="00F66F1B" w:rsidSect="006710F6">
      <w:headerReference w:type="default" r:id="rId70"/>
      <w:footerReference w:type="default" r:id="rId71"/>
      <w:footerReference w:type="first" r:id="rId7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0B8" w:rsidRDefault="00A450B8">
      <w:r>
        <w:separator/>
      </w:r>
    </w:p>
  </w:endnote>
  <w:endnote w:type="continuationSeparator" w:id="0">
    <w:p w:rsidR="00A450B8" w:rsidRDefault="00A4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68" w:rsidRPr="0008188D" w:rsidRDefault="00F73668" w:rsidP="009A7A2F">
    <w:pPr>
      <w:pStyle w:val="Footer"/>
      <w:rPr>
        <w:lang w:val="fr-CH"/>
      </w:rPr>
    </w:pPr>
    <w:r>
      <w:fldChar w:fldCharType="begin"/>
    </w:r>
    <w:r w:rsidRPr="0008188D">
      <w:rPr>
        <w:lang w:val="fr-CH"/>
      </w:rPr>
      <w:instrText xml:space="preserve"> FILENAME \p \* MERGEFORMAT </w:instrText>
    </w:r>
    <w:r>
      <w:fldChar w:fldCharType="separate"/>
    </w:r>
    <w:r w:rsidR="0008188D">
      <w:rPr>
        <w:lang w:val="fr-CH"/>
      </w:rPr>
      <w:t>P:\ESP\SG\CONSEIL\C18\000\033S.docx</w:t>
    </w:r>
    <w:r>
      <w:rPr>
        <w:lang w:val="en-US"/>
      </w:rPr>
      <w:fldChar w:fldCharType="end"/>
    </w:r>
    <w:r w:rsidRPr="0008188D">
      <w:rPr>
        <w:lang w:val="fr-CH"/>
      </w:rPr>
      <w:t xml:space="preserve"> (425107)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68" w:rsidRDefault="00F7366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0B8" w:rsidRDefault="00A450B8">
      <w:r>
        <w:t>____________________</w:t>
      </w:r>
    </w:p>
  </w:footnote>
  <w:footnote w:type="continuationSeparator" w:id="0">
    <w:p w:rsidR="00A450B8" w:rsidRDefault="00A450B8">
      <w:r>
        <w:continuationSeparator/>
      </w:r>
    </w:p>
  </w:footnote>
  <w:footnote w:id="1">
    <w:p w:rsidR="00F73668" w:rsidRPr="00E47306" w:rsidRDefault="00F73668" w:rsidP="008F5389">
      <w:pPr>
        <w:pStyle w:val="FootnoteText"/>
        <w:rPr>
          <w:lang w:val="es-ES"/>
        </w:rPr>
      </w:pPr>
      <w:r w:rsidRPr="00E47306">
        <w:rPr>
          <w:rStyle w:val="FootnoteReference"/>
          <w:lang w:val="es-ES"/>
        </w:rPr>
        <w:footnoteRef/>
      </w:r>
      <w:r w:rsidRPr="00E47306">
        <w:rPr>
          <w:lang w:val="es-ES"/>
        </w:rPr>
        <w:tab/>
        <w:t>Se han presentado informes periódicos detallados sobre las actividades de la UIT a anteriores reuniones del GTC</w:t>
      </w:r>
      <w:r w:rsidRPr="00E47306">
        <w:rPr>
          <w:sz w:val="22"/>
          <w:szCs w:val="18"/>
          <w:lang w:val="es-ES"/>
        </w:rPr>
        <w:t>-Internet.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68" w:rsidRDefault="00F73668" w:rsidP="007657F0">
    <w:pPr>
      <w:pStyle w:val="Header"/>
    </w:pPr>
    <w:r>
      <w:fldChar w:fldCharType="begin"/>
    </w:r>
    <w:r>
      <w:instrText>PAGE</w:instrText>
    </w:r>
    <w:r>
      <w:fldChar w:fldCharType="separate"/>
    </w:r>
    <w:r w:rsidR="006276AD">
      <w:rPr>
        <w:noProof/>
      </w:rPr>
      <w:t>6</w:t>
    </w:r>
    <w:r>
      <w:rPr>
        <w:noProof/>
      </w:rPr>
      <w:fldChar w:fldCharType="end"/>
    </w:r>
  </w:p>
  <w:p w:rsidR="00F73668" w:rsidRDefault="00F73668" w:rsidP="009A7A2F">
    <w:pPr>
      <w:pStyle w:val="Header"/>
    </w:pPr>
    <w:r>
      <w:t>C18/33-S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D6"/>
    <w:rsid w:val="00005A84"/>
    <w:rsid w:val="000500FD"/>
    <w:rsid w:val="00051ACE"/>
    <w:rsid w:val="00063825"/>
    <w:rsid w:val="00077064"/>
    <w:rsid w:val="0008188D"/>
    <w:rsid w:val="00093EEB"/>
    <w:rsid w:val="000A18B2"/>
    <w:rsid w:val="000B0D00"/>
    <w:rsid w:val="000B7C15"/>
    <w:rsid w:val="000D1D0F"/>
    <w:rsid w:val="000F5290"/>
    <w:rsid w:val="000F63F8"/>
    <w:rsid w:val="0010165C"/>
    <w:rsid w:val="00130441"/>
    <w:rsid w:val="001342C1"/>
    <w:rsid w:val="001457A4"/>
    <w:rsid w:val="00146BFB"/>
    <w:rsid w:val="00171937"/>
    <w:rsid w:val="0018075A"/>
    <w:rsid w:val="00186B83"/>
    <w:rsid w:val="0018703C"/>
    <w:rsid w:val="001B77FA"/>
    <w:rsid w:val="001F14A2"/>
    <w:rsid w:val="002053E0"/>
    <w:rsid w:val="0021019C"/>
    <w:rsid w:val="00211E31"/>
    <w:rsid w:val="00216B2F"/>
    <w:rsid w:val="0022044D"/>
    <w:rsid w:val="002801AA"/>
    <w:rsid w:val="00284B4F"/>
    <w:rsid w:val="002A7AAE"/>
    <w:rsid w:val="002A7B7F"/>
    <w:rsid w:val="002B00E0"/>
    <w:rsid w:val="002B7496"/>
    <w:rsid w:val="002C4676"/>
    <w:rsid w:val="002C65E4"/>
    <w:rsid w:val="002C70B0"/>
    <w:rsid w:val="002D6CD8"/>
    <w:rsid w:val="002E03D2"/>
    <w:rsid w:val="002F3CC4"/>
    <w:rsid w:val="002F4308"/>
    <w:rsid w:val="00352C14"/>
    <w:rsid w:val="00366310"/>
    <w:rsid w:val="003737E5"/>
    <w:rsid w:val="00397F9B"/>
    <w:rsid w:val="003C2DDA"/>
    <w:rsid w:val="003F147B"/>
    <w:rsid w:val="00401F98"/>
    <w:rsid w:val="00441CD2"/>
    <w:rsid w:val="0046541B"/>
    <w:rsid w:val="00483C6F"/>
    <w:rsid w:val="00484F9E"/>
    <w:rsid w:val="004C38DF"/>
    <w:rsid w:val="004D1E7E"/>
    <w:rsid w:val="004E2368"/>
    <w:rsid w:val="00511D52"/>
    <w:rsid w:val="00513630"/>
    <w:rsid w:val="00560125"/>
    <w:rsid w:val="005652EE"/>
    <w:rsid w:val="00565471"/>
    <w:rsid w:val="00571670"/>
    <w:rsid w:val="00576392"/>
    <w:rsid w:val="00585553"/>
    <w:rsid w:val="00587A19"/>
    <w:rsid w:val="0059424A"/>
    <w:rsid w:val="005A5DEA"/>
    <w:rsid w:val="005B1515"/>
    <w:rsid w:val="005B34D9"/>
    <w:rsid w:val="005D0C01"/>
    <w:rsid w:val="005D0CCF"/>
    <w:rsid w:val="005F3BCB"/>
    <w:rsid w:val="005F410F"/>
    <w:rsid w:val="0060149A"/>
    <w:rsid w:val="00601924"/>
    <w:rsid w:val="00605641"/>
    <w:rsid w:val="0061226F"/>
    <w:rsid w:val="00620FFD"/>
    <w:rsid w:val="006276AD"/>
    <w:rsid w:val="006447EA"/>
    <w:rsid w:val="0064731F"/>
    <w:rsid w:val="006529FB"/>
    <w:rsid w:val="00660559"/>
    <w:rsid w:val="006710F6"/>
    <w:rsid w:val="006850AD"/>
    <w:rsid w:val="006A0B25"/>
    <w:rsid w:val="006C1B56"/>
    <w:rsid w:val="006D03A0"/>
    <w:rsid w:val="006D4761"/>
    <w:rsid w:val="006E2C82"/>
    <w:rsid w:val="00700C3A"/>
    <w:rsid w:val="00703CA3"/>
    <w:rsid w:val="007209AE"/>
    <w:rsid w:val="007225F9"/>
    <w:rsid w:val="00726872"/>
    <w:rsid w:val="0072700B"/>
    <w:rsid w:val="00730697"/>
    <w:rsid w:val="00755D9E"/>
    <w:rsid w:val="00760F1C"/>
    <w:rsid w:val="007657F0"/>
    <w:rsid w:val="00765C5E"/>
    <w:rsid w:val="0077252D"/>
    <w:rsid w:val="00796DB8"/>
    <w:rsid w:val="007B6A55"/>
    <w:rsid w:val="007D0016"/>
    <w:rsid w:val="007E5DD3"/>
    <w:rsid w:val="007F350B"/>
    <w:rsid w:val="007F3A55"/>
    <w:rsid w:val="00820BE4"/>
    <w:rsid w:val="008451E8"/>
    <w:rsid w:val="00846745"/>
    <w:rsid w:val="008471A8"/>
    <w:rsid w:val="008675E7"/>
    <w:rsid w:val="0087405F"/>
    <w:rsid w:val="008821AD"/>
    <w:rsid w:val="00890BDC"/>
    <w:rsid w:val="008A5944"/>
    <w:rsid w:val="008A5DF6"/>
    <w:rsid w:val="008C26D4"/>
    <w:rsid w:val="008C7B9A"/>
    <w:rsid w:val="008E781C"/>
    <w:rsid w:val="008F5389"/>
    <w:rsid w:val="00900A35"/>
    <w:rsid w:val="00906EDC"/>
    <w:rsid w:val="00913B9C"/>
    <w:rsid w:val="00916170"/>
    <w:rsid w:val="009179AD"/>
    <w:rsid w:val="009232CF"/>
    <w:rsid w:val="00923EB7"/>
    <w:rsid w:val="009255F9"/>
    <w:rsid w:val="0094003A"/>
    <w:rsid w:val="00956E77"/>
    <w:rsid w:val="00963FC2"/>
    <w:rsid w:val="00987277"/>
    <w:rsid w:val="00992514"/>
    <w:rsid w:val="009A7A2F"/>
    <w:rsid w:val="009D2BE5"/>
    <w:rsid w:val="009F4811"/>
    <w:rsid w:val="00A03BD6"/>
    <w:rsid w:val="00A05091"/>
    <w:rsid w:val="00A450B8"/>
    <w:rsid w:val="00A46DD1"/>
    <w:rsid w:val="00A50118"/>
    <w:rsid w:val="00A52F26"/>
    <w:rsid w:val="00A615B7"/>
    <w:rsid w:val="00A6558A"/>
    <w:rsid w:val="00AA05A7"/>
    <w:rsid w:val="00AA08C7"/>
    <w:rsid w:val="00AA390C"/>
    <w:rsid w:val="00AA6EBA"/>
    <w:rsid w:val="00AA7CE8"/>
    <w:rsid w:val="00AD454F"/>
    <w:rsid w:val="00B0200A"/>
    <w:rsid w:val="00B234E7"/>
    <w:rsid w:val="00B4011D"/>
    <w:rsid w:val="00B574DB"/>
    <w:rsid w:val="00B62819"/>
    <w:rsid w:val="00B826C2"/>
    <w:rsid w:val="00B8298E"/>
    <w:rsid w:val="00B94BDC"/>
    <w:rsid w:val="00BA6320"/>
    <w:rsid w:val="00BB1A4F"/>
    <w:rsid w:val="00BB1E1D"/>
    <w:rsid w:val="00BC3720"/>
    <w:rsid w:val="00BC57AC"/>
    <w:rsid w:val="00BD0723"/>
    <w:rsid w:val="00BD1B3B"/>
    <w:rsid w:val="00BD2518"/>
    <w:rsid w:val="00BE4606"/>
    <w:rsid w:val="00BF1D1C"/>
    <w:rsid w:val="00BF39F6"/>
    <w:rsid w:val="00BF7004"/>
    <w:rsid w:val="00BF7FD7"/>
    <w:rsid w:val="00C112B9"/>
    <w:rsid w:val="00C1361F"/>
    <w:rsid w:val="00C20C59"/>
    <w:rsid w:val="00C227E5"/>
    <w:rsid w:val="00C252A3"/>
    <w:rsid w:val="00C36A34"/>
    <w:rsid w:val="00C55B1F"/>
    <w:rsid w:val="00C8265C"/>
    <w:rsid w:val="00CC1BAA"/>
    <w:rsid w:val="00CC475D"/>
    <w:rsid w:val="00CC5E58"/>
    <w:rsid w:val="00CF1A67"/>
    <w:rsid w:val="00CF73F9"/>
    <w:rsid w:val="00D148AA"/>
    <w:rsid w:val="00D2750E"/>
    <w:rsid w:val="00D33783"/>
    <w:rsid w:val="00D344DA"/>
    <w:rsid w:val="00D3698C"/>
    <w:rsid w:val="00D42D1E"/>
    <w:rsid w:val="00D56532"/>
    <w:rsid w:val="00D62446"/>
    <w:rsid w:val="00D833EF"/>
    <w:rsid w:val="00DA4EA2"/>
    <w:rsid w:val="00DA56D3"/>
    <w:rsid w:val="00DC3D3E"/>
    <w:rsid w:val="00DC4495"/>
    <w:rsid w:val="00DD0A96"/>
    <w:rsid w:val="00DE04B3"/>
    <w:rsid w:val="00DE119D"/>
    <w:rsid w:val="00DE2C90"/>
    <w:rsid w:val="00DE3B24"/>
    <w:rsid w:val="00DE5B45"/>
    <w:rsid w:val="00DF675D"/>
    <w:rsid w:val="00E06947"/>
    <w:rsid w:val="00E179A6"/>
    <w:rsid w:val="00E17A4F"/>
    <w:rsid w:val="00E216E5"/>
    <w:rsid w:val="00E3592D"/>
    <w:rsid w:val="00E46E08"/>
    <w:rsid w:val="00E47306"/>
    <w:rsid w:val="00E60E88"/>
    <w:rsid w:val="00E73CAF"/>
    <w:rsid w:val="00E92DE8"/>
    <w:rsid w:val="00EB1212"/>
    <w:rsid w:val="00EB2F92"/>
    <w:rsid w:val="00ED65AB"/>
    <w:rsid w:val="00F0743F"/>
    <w:rsid w:val="00F12850"/>
    <w:rsid w:val="00F33BF4"/>
    <w:rsid w:val="00F6454D"/>
    <w:rsid w:val="00F66F1B"/>
    <w:rsid w:val="00F7105E"/>
    <w:rsid w:val="00F73668"/>
    <w:rsid w:val="00F75F57"/>
    <w:rsid w:val="00F82FEE"/>
    <w:rsid w:val="00FB343C"/>
    <w:rsid w:val="00FD57D3"/>
    <w:rsid w:val="00FF11BD"/>
    <w:rsid w:val="00FF2CE3"/>
    <w:rsid w:val="00FF39CD"/>
    <w:rsid w:val="00FF49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6F6C69-6333-411B-BC39-CB5D04BF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3F147B"/>
    <w:rPr>
      <w:rFonts w:ascii="Calibri" w:hAnsi="Calibri"/>
      <w:b/>
      <w:sz w:val="28"/>
      <w:lang w:val="es-ES_tradnl" w:eastAsia="en-US"/>
    </w:rPr>
  </w:style>
  <w:style w:type="character" w:styleId="Strong">
    <w:name w:val="Strong"/>
    <w:basedOn w:val="DefaultParagraphFont"/>
    <w:uiPriority w:val="22"/>
    <w:qFormat/>
    <w:rsid w:val="00CF73F9"/>
    <w:rPr>
      <w:b/>
      <w:bCs/>
    </w:rPr>
  </w:style>
  <w:style w:type="paragraph" w:customStyle="1" w:styleId="Default">
    <w:name w:val="Default"/>
    <w:rsid w:val="00BB1E1D"/>
    <w:pPr>
      <w:autoSpaceDE w:val="0"/>
      <w:autoSpaceDN w:val="0"/>
      <w:adjustRightInd w:val="0"/>
    </w:pPr>
    <w:rPr>
      <w:rFonts w:ascii="Calibri" w:hAnsi="Calibri" w:cs="Calibri"/>
      <w:color w:val="000000"/>
      <w:sz w:val="24"/>
      <w:szCs w:val="24"/>
    </w:rPr>
  </w:style>
  <w:style w:type="paragraph" w:customStyle="1" w:styleId="normalWSIS">
    <w:name w:val="normal WSIS"/>
    <w:basedOn w:val="ListParagraph"/>
    <w:link w:val="normalWSISChar"/>
    <w:qFormat/>
    <w:rsid w:val="006D03A0"/>
    <w:pPr>
      <w:numPr>
        <w:numId w:val="1"/>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6D03A0"/>
    <w:rPr>
      <w:rFonts w:asciiTheme="minorHAnsi" w:eastAsia="SimSun" w:hAnsiTheme="minorHAnsi" w:cs="Arial"/>
      <w:sz w:val="22"/>
      <w:szCs w:val="22"/>
      <w:lang w:val="fr-CH"/>
    </w:rPr>
  </w:style>
  <w:style w:type="paragraph" w:styleId="ListParagraph">
    <w:name w:val="List Paragraph"/>
    <w:basedOn w:val="Normal"/>
    <w:uiPriority w:val="34"/>
    <w:qFormat/>
    <w:rsid w:val="006D03A0"/>
    <w:pPr>
      <w:ind w:left="720"/>
      <w:contextualSpacing/>
    </w:pPr>
  </w:style>
  <w:style w:type="paragraph" w:customStyle="1" w:styleId="Style2">
    <w:name w:val="Style2"/>
    <w:basedOn w:val="Normal"/>
    <w:uiPriority w:val="99"/>
    <w:rsid w:val="0072700B"/>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113/es" TargetMode="External"/><Relationship Id="rId18" Type="http://schemas.openxmlformats.org/officeDocument/2006/relationships/hyperlink" Target="https://www.itu.int/pub/T-RES-T.50-2016/es" TargetMode="External"/><Relationship Id="rId26" Type="http://schemas.openxmlformats.org/officeDocument/2006/relationships/hyperlink" Target="https://www.itu.int/md/D14-WTDC17-C-0115/en" TargetMode="External"/><Relationship Id="rId39" Type="http://schemas.openxmlformats.org/officeDocument/2006/relationships/hyperlink" Target="https://www.itu.int/en/ITU-T/Workshops-and-Seminars/201707/Pages/default.aspx" TargetMode="External"/><Relationship Id="rId21" Type="http://schemas.openxmlformats.org/officeDocument/2006/relationships/hyperlink" Target="https://www.itu.int/pub/T-RES-T.60-2016/es" TargetMode="External"/><Relationship Id="rId34" Type="http://schemas.openxmlformats.org/officeDocument/2006/relationships/hyperlink" Target="https://www.itu.int/md/S17-CL-C-0033/en" TargetMode="External"/><Relationship Id="rId42" Type="http://schemas.openxmlformats.org/officeDocument/2006/relationships/hyperlink" Target="http://iot-week.eu/internet-of-things-declaration-to-achieve-the-sustainable-development-goals/" TargetMode="External"/><Relationship Id="rId47" Type="http://schemas.openxmlformats.org/officeDocument/2006/relationships/hyperlink" Target="http://www.itu.int/itu-d/study-groups" TargetMode="External"/><Relationship Id="rId50" Type="http://schemas.openxmlformats.org/officeDocument/2006/relationships/hyperlink" Target="https://academy.itu.int/" TargetMode="External"/><Relationship Id="rId55" Type="http://schemas.openxmlformats.org/officeDocument/2006/relationships/hyperlink" Target="https://www.itu.int/pub/D-STG-SG01.01.1-2017" TargetMode="External"/><Relationship Id="rId63" Type="http://schemas.openxmlformats.org/officeDocument/2006/relationships/hyperlink" Target="https://www.equals.org/2017-equals-in-tech-awards" TargetMode="External"/><Relationship Id="rId68" Type="http://schemas.openxmlformats.org/officeDocument/2006/relationships/hyperlink" Target="https://www.itu.int/en/ITU-D/Capacity-Building/Pages/events/2017/Internet-Governance/AMS/internet-governance.aspx" TargetMode="External"/><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pub/T-RES-T.48-2016/es" TargetMode="External"/><Relationship Id="rId29" Type="http://schemas.openxmlformats.org/officeDocument/2006/relationships/hyperlink" Target="http://www.itu.int/en/action/internet/Documents/Resolution_63_wtdc14.pdf" TargetMode="External"/><Relationship Id="rId11" Type="http://schemas.openxmlformats.org/officeDocument/2006/relationships/hyperlink" Target="http://www.itu.int/en/action/internet/Documents/Resolution_180_pp14.pdf" TargetMode="External"/><Relationship Id="rId24" Type="http://schemas.openxmlformats.org/officeDocument/2006/relationships/hyperlink" Target="https://www.itu.int/pub/T-RES-T.75-2016/es" TargetMode="External"/><Relationship Id="rId32" Type="http://schemas.openxmlformats.org/officeDocument/2006/relationships/hyperlink" Target="https://www.itu.int/md/S15-CL-C-0033/es" TargetMode="External"/><Relationship Id="rId37" Type="http://schemas.openxmlformats.org/officeDocument/2006/relationships/hyperlink" Target="http://www.itu.int/en/ITU-T/focusgroups/ml5g/Pages/default.aspx" TargetMode="External"/><Relationship Id="rId40" Type="http://schemas.openxmlformats.org/officeDocument/2006/relationships/hyperlink" Target="https://www.itu.int/en/ITU-T/focusgroups/dpm/Pages/default.aspx" TargetMode="External"/><Relationship Id="rId45" Type="http://schemas.openxmlformats.org/officeDocument/2006/relationships/hyperlink" Target="https://www.itu.int/net/ITU-T/res69/Default.aspx" TargetMode="External"/><Relationship Id="rId53" Type="http://schemas.openxmlformats.org/officeDocument/2006/relationships/hyperlink" Target="http://www.itu.int/en/ITU-T/C-I/interop/I3GT/Pages/default.aspx" TargetMode="External"/><Relationship Id="rId58" Type="http://schemas.openxmlformats.org/officeDocument/2006/relationships/hyperlink" Target="http://www.itu.int/en/council/cwg-internet/Pages/consultation-june2017.aspx" TargetMode="External"/><Relationship Id="rId66" Type="http://schemas.openxmlformats.org/officeDocument/2006/relationships/hyperlink" Target="http://sched.co/CTt3"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pub/T-RES-T.47-2016/es" TargetMode="External"/><Relationship Id="rId23" Type="http://schemas.openxmlformats.org/officeDocument/2006/relationships/hyperlink" Target="https://www.itu.int/pub/T-RES-T.69-2016/es" TargetMode="External"/><Relationship Id="rId28" Type="http://schemas.openxmlformats.org/officeDocument/2006/relationships/hyperlink" Target="http://www.itu.int/en/action/internet/Documents/Resolution_30_wtdc14.pdf" TargetMode="External"/><Relationship Id="rId36" Type="http://schemas.openxmlformats.org/officeDocument/2006/relationships/hyperlink" Target="https://www.itu.int/dms_pub/itu-t/opb/tut/T-TUT-ECOPO-2017-PDF-E.pdf" TargetMode="External"/><Relationship Id="rId49" Type="http://schemas.openxmlformats.org/officeDocument/2006/relationships/hyperlink" Target="https://www.itu.int/pub/D-STG-SG02" TargetMode="External"/><Relationship Id="rId57" Type="http://schemas.openxmlformats.org/officeDocument/2006/relationships/hyperlink" Target="http://www.itu.int/council/groups/CWG-internet/index.html" TargetMode="External"/><Relationship Id="rId61" Type="http://schemas.openxmlformats.org/officeDocument/2006/relationships/hyperlink" Target="http://unctad.org/en/Pages/CSTD/WGEC-2016-to-2018.aspx" TargetMode="External"/><Relationship Id="rId10" Type="http://schemas.openxmlformats.org/officeDocument/2006/relationships/hyperlink" Target="http://www.itu.int/en/action/internet/Documents/Resolution_133_pp14.pdf" TargetMode="External"/><Relationship Id="rId19" Type="http://schemas.openxmlformats.org/officeDocument/2006/relationships/hyperlink" Target="https://www.itu.int/pub/T-RES-T.52-2016/es" TargetMode="External"/><Relationship Id="rId31" Type="http://schemas.openxmlformats.org/officeDocument/2006/relationships/hyperlink" Target="https://www.itu.int/md/S14-CL-C-0040/es" TargetMode="External"/><Relationship Id="rId44" Type="http://schemas.openxmlformats.org/officeDocument/2006/relationships/hyperlink" Target="https://www.itu.int/en/ITU-T/Workshops-and-Seminars/qos/201707/Pages/default.aspx" TargetMode="External"/><Relationship Id="rId52" Type="http://schemas.openxmlformats.org/officeDocument/2006/relationships/hyperlink" Target="http://www.itu.int/en/ITU-D/Regional-Presence/Americas/Pages/EVENTS/2017/16971b.aspx" TargetMode="External"/><Relationship Id="rId60" Type="http://schemas.openxmlformats.org/officeDocument/2006/relationships/hyperlink" Target="https://www.itu.int/md/S18-CL-C-0051/en" TargetMode="External"/><Relationship Id="rId65" Type="http://schemas.openxmlformats.org/officeDocument/2006/relationships/hyperlink" Target="http://sched.co/CTr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en/action/internet/Documents/Resolution_102_pp14.pdf" TargetMode="External"/><Relationship Id="rId14" Type="http://schemas.openxmlformats.org/officeDocument/2006/relationships/hyperlink" Target="https://www.itu.int/md/S15-CL-C-0112/es" TargetMode="External"/><Relationship Id="rId22" Type="http://schemas.openxmlformats.org/officeDocument/2006/relationships/hyperlink" Target="https://www.itu.int/pub/T-RES-T.64-2016/es" TargetMode="External"/><Relationship Id="rId27" Type="http://schemas.openxmlformats.org/officeDocument/2006/relationships/hyperlink" Target="http://www.itu.int/en/action/internet/Documents/Resolution_20_wtdc10.pdf" TargetMode="External"/><Relationship Id="rId30" Type="http://schemas.openxmlformats.org/officeDocument/2006/relationships/hyperlink" Target="http://www.itu.int/en/action/internet/Documents/Resolution_45_wtdc14.pdf" TargetMode="External"/><Relationship Id="rId35" Type="http://schemas.openxmlformats.org/officeDocument/2006/relationships/hyperlink" Target="https://www.itu.int/ITU-T/workprog/wp_search.aspx?isn_sp=3925&amp;isn_status=-1,2&amp;adf=2017-03-01&amp;adt=2018-01-31&amp;pg_size=100&amp;details=0&amp;field=acdefghijo" TargetMode="External"/><Relationship Id="rId43" Type="http://schemas.openxmlformats.org/officeDocument/2006/relationships/hyperlink" Target="https://www.itu.int/en/ITU-D/Regional-Presence/CIS/Pages/EVENTS/2017/06_Saint_Petersburg/06_Saint_Petersburg.aspx" TargetMode="External"/><Relationship Id="rId48" Type="http://schemas.openxmlformats.org/officeDocument/2006/relationships/hyperlink" Target="https://www.itu.int/pub/D-STG-SG01" TargetMode="External"/><Relationship Id="rId56" Type="http://schemas.openxmlformats.org/officeDocument/2006/relationships/hyperlink" Target="https://www.itu.int/net4/ITU-D/CDS/sg/rgqlist.asp?lg=1&amp;sp=2014&amp;rgq=D14-SG01-RGQ01.1&amp;stg=1" TargetMode="External"/><Relationship Id="rId64" Type="http://schemas.openxmlformats.org/officeDocument/2006/relationships/hyperlink" Target="http://www.itu.int/en/action/women/gem/Pages/award-2016.aspx" TargetMode="External"/><Relationship Id="rId69" Type="http://schemas.openxmlformats.org/officeDocument/2006/relationships/hyperlink" Target="http://www.itu.int/ITU-T/inr/enum/" TargetMode="External"/><Relationship Id="rId8" Type="http://schemas.openxmlformats.org/officeDocument/2006/relationships/hyperlink" Target="http://www.itu.int/en/action/internet/Documents/Resolution_101_pp14.pdf" TargetMode="External"/><Relationship Id="rId51" Type="http://schemas.openxmlformats.org/officeDocument/2006/relationships/hyperlink" Target="https://academy.itu.int/index.php?option=com_content&amp;view=article&amp;id=154&amp;Itemid=588&amp;lang=en"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itu.int/md/S09-CL-C-0105/es" TargetMode="External"/><Relationship Id="rId17" Type="http://schemas.openxmlformats.org/officeDocument/2006/relationships/hyperlink" Target="https://www.itu.int/pub/T-RES-T.49-2016/es" TargetMode="External"/><Relationship Id="rId25" Type="http://schemas.openxmlformats.org/officeDocument/2006/relationships/hyperlink" Target="https://www.itu.int/pub/T-RES-T.98-2016/es" TargetMode="External"/><Relationship Id="rId33" Type="http://schemas.openxmlformats.org/officeDocument/2006/relationships/hyperlink" Target="https://www.itu.int/md/S16-CL-C-0033/es" TargetMode="External"/><Relationship Id="rId38" Type="http://schemas.openxmlformats.org/officeDocument/2006/relationships/hyperlink" Target="http://www.itu.int/en/ITU-T/Workshops-and-Seminars/standardization/20170402/Pages/default.aspx" TargetMode="External"/><Relationship Id="rId46" Type="http://schemas.openxmlformats.org/officeDocument/2006/relationships/hyperlink" Target="https://www.itu.int/net/ITU-T/res69/secured/notifications.aspx" TargetMode="External"/><Relationship Id="rId59" Type="http://schemas.openxmlformats.org/officeDocument/2006/relationships/hyperlink" Target="http://www.itu.int/en/council/cwg-internet/Pages/consultation-oct2017.aspx" TargetMode="External"/><Relationship Id="rId67" Type="http://schemas.openxmlformats.org/officeDocument/2006/relationships/hyperlink" Target="https://academy.itu.int/index.php?option=com_content&amp;view=article&amp;id=216&amp;Itemid=686&amp;lang=en" TargetMode="External"/><Relationship Id="rId20" Type="http://schemas.openxmlformats.org/officeDocument/2006/relationships/hyperlink" Target="https://www.itu.int/pub/T-RES-T.58-2016/es" TargetMode="External"/><Relationship Id="rId41" Type="http://schemas.openxmlformats.org/officeDocument/2006/relationships/hyperlink" Target="http://iot-week.eu/" TargetMode="External"/><Relationship Id="rId54" Type="http://schemas.openxmlformats.org/officeDocument/2006/relationships/hyperlink" Target="http://www.itu.int/itu-t/workprog/wp_item.aspx?isn=14423" TargetMode="External"/><Relationship Id="rId62" Type="http://schemas.openxmlformats.org/officeDocument/2006/relationships/hyperlink" Target="https://igf2017.sched.com/event/CSCf"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52</TotalTime>
  <Pages>6</Pages>
  <Words>2979</Words>
  <Characters>19704</Characters>
  <Application>Microsoft Office Word</Application>
  <DocSecurity>0</DocSecurity>
  <Lines>164</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22638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46</cp:revision>
  <cp:lastPrinted>2018-03-16T13:58:00Z</cp:lastPrinted>
  <dcterms:created xsi:type="dcterms:W3CDTF">2018-03-16T12:40:00Z</dcterms:created>
  <dcterms:modified xsi:type="dcterms:W3CDTF">2018-03-16T15:40:00Z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