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401011">
        <w:trPr>
          <w:cantSplit/>
        </w:trPr>
        <w:tc>
          <w:tcPr>
            <w:tcW w:w="6911" w:type="dxa"/>
          </w:tcPr>
          <w:p w:rsidR="00700D1F" w:rsidRPr="00401011" w:rsidRDefault="00D94637" w:rsidP="00381B4E">
            <w:pPr>
              <w:spacing w:before="360" w:after="48"/>
              <w:rPr>
                <w:position w:val="6"/>
                <w:lang w:eastAsia="zh-CN"/>
              </w:rPr>
            </w:pPr>
            <w:r w:rsidRPr="00401011">
              <w:rPr>
                <w:b/>
                <w:bCs/>
                <w:sz w:val="26"/>
                <w:szCs w:val="26"/>
                <w:lang w:val="en-US" w:eastAsia="zh-CN"/>
              </w:rPr>
              <w:t>理事会</w:t>
            </w:r>
            <w:r w:rsidRPr="00401011">
              <w:rPr>
                <w:rFonts w:cs="Arial"/>
                <w:b/>
                <w:bCs/>
                <w:sz w:val="26"/>
                <w:szCs w:val="26"/>
                <w:lang w:val="en-US" w:eastAsia="zh-CN"/>
              </w:rPr>
              <w:t>20</w:t>
            </w:r>
            <w:r w:rsidR="00325C25" w:rsidRPr="00401011">
              <w:rPr>
                <w:rFonts w:cs="Arial"/>
                <w:b/>
                <w:bCs/>
                <w:sz w:val="26"/>
                <w:szCs w:val="26"/>
                <w:lang w:val="en-US" w:eastAsia="zh-CN"/>
              </w:rPr>
              <w:t>1</w:t>
            </w:r>
            <w:r w:rsidR="00A5354B" w:rsidRPr="00401011">
              <w:rPr>
                <w:rFonts w:cs="Arial"/>
                <w:b/>
                <w:bCs/>
                <w:sz w:val="26"/>
                <w:szCs w:val="26"/>
                <w:lang w:val="en-US" w:eastAsia="zh-CN"/>
              </w:rPr>
              <w:t>7</w:t>
            </w:r>
            <w:r w:rsidRPr="00401011">
              <w:rPr>
                <w:b/>
                <w:bCs/>
                <w:sz w:val="26"/>
                <w:szCs w:val="26"/>
                <w:lang w:val="en-US" w:eastAsia="zh-CN"/>
              </w:rPr>
              <w:t>年会议</w:t>
            </w:r>
            <w:r w:rsidRPr="00401011">
              <w:rPr>
                <w:rFonts w:cs="Arial"/>
                <w:b/>
                <w:bCs/>
                <w:szCs w:val="24"/>
                <w:lang w:val="en-US" w:eastAsia="zh-CN"/>
              </w:rPr>
              <w:br/>
            </w:r>
            <w:r w:rsidR="009625D8" w:rsidRPr="00401011">
              <w:rPr>
                <w:b/>
                <w:bCs/>
                <w:color w:val="000000"/>
                <w:lang w:eastAsia="zh-CN"/>
              </w:rPr>
              <w:t>201</w:t>
            </w:r>
            <w:r w:rsidR="00A5354B" w:rsidRPr="00401011">
              <w:rPr>
                <w:b/>
                <w:bCs/>
                <w:color w:val="000000"/>
                <w:lang w:eastAsia="zh-CN"/>
              </w:rPr>
              <w:t>7</w:t>
            </w:r>
            <w:r w:rsidR="009625D8" w:rsidRPr="00401011">
              <w:rPr>
                <w:b/>
                <w:bCs/>
                <w:color w:val="000000"/>
                <w:lang w:eastAsia="zh-CN"/>
              </w:rPr>
              <w:t>年</w:t>
            </w:r>
            <w:r w:rsidR="009625D8" w:rsidRPr="00401011">
              <w:rPr>
                <w:b/>
                <w:bCs/>
                <w:color w:val="000000"/>
                <w:lang w:eastAsia="zh-CN"/>
              </w:rPr>
              <w:t>5</w:t>
            </w:r>
            <w:r w:rsidR="009625D8" w:rsidRPr="00401011">
              <w:rPr>
                <w:b/>
                <w:bCs/>
                <w:color w:val="000000"/>
                <w:lang w:eastAsia="zh-CN"/>
              </w:rPr>
              <w:t>月</w:t>
            </w:r>
            <w:r w:rsidR="00A5354B" w:rsidRPr="00401011">
              <w:rPr>
                <w:b/>
                <w:bCs/>
                <w:color w:val="000000"/>
                <w:lang w:eastAsia="zh-CN"/>
              </w:rPr>
              <w:t>15-</w:t>
            </w:r>
            <w:r w:rsidR="009625D8" w:rsidRPr="00401011">
              <w:rPr>
                <w:b/>
                <w:bCs/>
                <w:color w:val="000000"/>
                <w:lang w:eastAsia="zh-CN"/>
              </w:rPr>
              <w:t>2</w:t>
            </w:r>
            <w:r w:rsidR="0098459B" w:rsidRPr="00401011">
              <w:rPr>
                <w:b/>
                <w:bCs/>
                <w:color w:val="000000"/>
                <w:lang w:eastAsia="zh-CN"/>
              </w:rPr>
              <w:t>5</w:t>
            </w:r>
            <w:r w:rsidR="009625D8" w:rsidRPr="00401011">
              <w:rPr>
                <w:b/>
                <w:bCs/>
                <w:color w:val="000000"/>
                <w:lang w:eastAsia="zh-CN"/>
              </w:rPr>
              <w:t>日</w:t>
            </w:r>
            <w:r w:rsidR="009625D8" w:rsidRPr="00401011">
              <w:rPr>
                <w:rFonts w:cs="SimSun"/>
                <w:b/>
                <w:bCs/>
                <w:smallCaps/>
                <w:szCs w:val="24"/>
                <w:lang w:val="en-US" w:eastAsia="zh-CN"/>
              </w:rPr>
              <w:t>，</w:t>
            </w:r>
            <w:r w:rsidR="009625D8" w:rsidRPr="00401011">
              <w:rPr>
                <w:b/>
                <w:bCs/>
                <w:szCs w:val="24"/>
                <w:lang w:eastAsia="zh-CN"/>
              </w:rPr>
              <w:t>日内瓦</w:t>
            </w:r>
          </w:p>
        </w:tc>
        <w:tc>
          <w:tcPr>
            <w:tcW w:w="3120" w:type="dxa"/>
          </w:tcPr>
          <w:p w:rsidR="00700D1F" w:rsidRPr="00401011" w:rsidRDefault="00AB42C1" w:rsidP="00381B4E">
            <w:pPr>
              <w:spacing w:before="0"/>
              <w:jc w:val="right"/>
            </w:pPr>
            <w:bookmarkStart w:id="0" w:name="ditulogo"/>
            <w:bookmarkEnd w:id="0"/>
            <w:r w:rsidRPr="00401011">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401011">
        <w:trPr>
          <w:cantSplit/>
        </w:trPr>
        <w:tc>
          <w:tcPr>
            <w:tcW w:w="6911" w:type="dxa"/>
            <w:tcBorders>
              <w:bottom w:val="single" w:sz="12" w:space="0" w:color="auto"/>
            </w:tcBorders>
          </w:tcPr>
          <w:p w:rsidR="00700D1F" w:rsidRPr="00401011" w:rsidRDefault="00700D1F" w:rsidP="00381B4E">
            <w:pPr>
              <w:spacing w:before="0" w:after="48"/>
              <w:rPr>
                <w:b/>
                <w:smallCaps/>
                <w:szCs w:val="24"/>
              </w:rPr>
            </w:pPr>
          </w:p>
        </w:tc>
        <w:tc>
          <w:tcPr>
            <w:tcW w:w="3120" w:type="dxa"/>
            <w:tcBorders>
              <w:bottom w:val="single" w:sz="12" w:space="0" w:color="auto"/>
            </w:tcBorders>
          </w:tcPr>
          <w:p w:rsidR="00700D1F" w:rsidRPr="00401011" w:rsidRDefault="00700D1F" w:rsidP="00381B4E">
            <w:pPr>
              <w:spacing w:before="0"/>
              <w:rPr>
                <w:szCs w:val="24"/>
              </w:rPr>
            </w:pPr>
          </w:p>
        </w:tc>
      </w:tr>
      <w:tr w:rsidR="00700D1F" w:rsidRPr="00401011">
        <w:trPr>
          <w:cantSplit/>
        </w:trPr>
        <w:tc>
          <w:tcPr>
            <w:tcW w:w="6911" w:type="dxa"/>
            <w:tcBorders>
              <w:top w:val="single" w:sz="12" w:space="0" w:color="auto"/>
            </w:tcBorders>
          </w:tcPr>
          <w:p w:rsidR="00700D1F" w:rsidRPr="00401011" w:rsidRDefault="00700D1F" w:rsidP="00381B4E">
            <w:pPr>
              <w:spacing w:before="0" w:after="48"/>
              <w:rPr>
                <w:b/>
                <w:smallCaps/>
                <w:szCs w:val="24"/>
              </w:rPr>
            </w:pPr>
          </w:p>
        </w:tc>
        <w:tc>
          <w:tcPr>
            <w:tcW w:w="3120" w:type="dxa"/>
            <w:tcBorders>
              <w:top w:val="single" w:sz="12" w:space="0" w:color="auto"/>
            </w:tcBorders>
          </w:tcPr>
          <w:p w:rsidR="00700D1F" w:rsidRPr="00401011" w:rsidRDefault="00700D1F" w:rsidP="00381B4E">
            <w:pPr>
              <w:spacing w:before="0"/>
              <w:rPr>
                <w:szCs w:val="24"/>
              </w:rPr>
            </w:pPr>
          </w:p>
        </w:tc>
      </w:tr>
      <w:tr w:rsidR="00700D1F" w:rsidRPr="00401011">
        <w:trPr>
          <w:cantSplit/>
          <w:trHeight w:val="23"/>
        </w:trPr>
        <w:tc>
          <w:tcPr>
            <w:tcW w:w="6911" w:type="dxa"/>
            <w:vMerge w:val="restart"/>
          </w:tcPr>
          <w:p w:rsidR="00700D1F" w:rsidRPr="00401011" w:rsidRDefault="00700D1F" w:rsidP="00381B4E">
            <w:pPr>
              <w:tabs>
                <w:tab w:val="left" w:pos="851"/>
              </w:tabs>
              <w:rPr>
                <w:b/>
                <w:szCs w:val="24"/>
                <w:lang w:eastAsia="zh-CN"/>
              </w:rPr>
            </w:pPr>
            <w:bookmarkStart w:id="1" w:name="dmeeting" w:colFirst="0" w:colLast="0"/>
            <w:r w:rsidRPr="00401011">
              <w:rPr>
                <w:b/>
                <w:szCs w:val="24"/>
                <w:lang w:eastAsia="zh-CN"/>
              </w:rPr>
              <w:t>议项：</w:t>
            </w:r>
            <w:r w:rsidR="004E3F23" w:rsidRPr="00401011">
              <w:rPr>
                <w:b/>
              </w:rPr>
              <w:t xml:space="preserve"> </w:t>
            </w:r>
            <w:r w:rsidR="00C222E2" w:rsidRPr="00401011">
              <w:rPr>
                <w:b/>
              </w:rPr>
              <w:t>ADM 3</w:t>
            </w:r>
          </w:p>
        </w:tc>
        <w:tc>
          <w:tcPr>
            <w:tcW w:w="3120" w:type="dxa"/>
          </w:tcPr>
          <w:p w:rsidR="00700D1F" w:rsidRPr="00401011" w:rsidRDefault="00700D1F" w:rsidP="00381B4E">
            <w:pPr>
              <w:tabs>
                <w:tab w:val="left" w:pos="851"/>
              </w:tabs>
              <w:spacing w:before="0"/>
              <w:rPr>
                <w:b/>
                <w:bCs/>
                <w:lang w:eastAsia="zh-CN"/>
              </w:rPr>
            </w:pPr>
            <w:r w:rsidRPr="00401011">
              <w:rPr>
                <w:b/>
                <w:bCs/>
                <w:szCs w:val="24"/>
                <w:lang w:val="fr-CH" w:eastAsia="zh-CN"/>
              </w:rPr>
              <w:t>文件</w:t>
            </w:r>
            <w:r w:rsidRPr="00401011">
              <w:rPr>
                <w:b/>
                <w:bCs/>
                <w:sz w:val="20"/>
                <w:lang w:eastAsia="zh-CN"/>
              </w:rPr>
              <w:t xml:space="preserve"> </w:t>
            </w:r>
            <w:r w:rsidRPr="00401011">
              <w:rPr>
                <w:b/>
                <w:bCs/>
                <w:szCs w:val="24"/>
                <w:lang w:eastAsia="zh-CN"/>
              </w:rPr>
              <w:t>C</w:t>
            </w:r>
            <w:r w:rsidR="00325C25" w:rsidRPr="00401011">
              <w:rPr>
                <w:b/>
                <w:bCs/>
                <w:szCs w:val="24"/>
                <w:lang w:eastAsia="zh-CN"/>
              </w:rPr>
              <w:t>1</w:t>
            </w:r>
            <w:r w:rsidR="00A5354B" w:rsidRPr="00401011">
              <w:rPr>
                <w:b/>
                <w:bCs/>
                <w:szCs w:val="24"/>
                <w:lang w:eastAsia="zh-CN"/>
              </w:rPr>
              <w:t>7</w:t>
            </w:r>
            <w:r w:rsidRPr="00401011">
              <w:rPr>
                <w:b/>
                <w:bCs/>
                <w:szCs w:val="24"/>
                <w:lang w:eastAsia="zh-CN"/>
              </w:rPr>
              <w:t>/</w:t>
            </w:r>
            <w:r w:rsidR="00C222E2" w:rsidRPr="00401011">
              <w:rPr>
                <w:b/>
                <w:bCs/>
                <w:szCs w:val="24"/>
                <w:lang w:eastAsia="zh-CN"/>
              </w:rPr>
              <w:t>100</w:t>
            </w:r>
            <w:r w:rsidRPr="00401011">
              <w:rPr>
                <w:b/>
                <w:bCs/>
                <w:szCs w:val="24"/>
                <w:lang w:eastAsia="zh-CN"/>
              </w:rPr>
              <w:t>-C</w:t>
            </w:r>
          </w:p>
        </w:tc>
      </w:tr>
      <w:bookmarkEnd w:id="1"/>
      <w:tr w:rsidR="00700D1F" w:rsidRPr="00401011">
        <w:trPr>
          <w:cantSplit/>
          <w:trHeight w:val="23"/>
        </w:trPr>
        <w:tc>
          <w:tcPr>
            <w:tcW w:w="6911" w:type="dxa"/>
            <w:vMerge/>
          </w:tcPr>
          <w:p w:rsidR="00700D1F" w:rsidRPr="00401011" w:rsidRDefault="00700D1F" w:rsidP="00381B4E">
            <w:pPr>
              <w:tabs>
                <w:tab w:val="left" w:pos="851"/>
              </w:tabs>
              <w:rPr>
                <w:b/>
                <w:lang w:eastAsia="zh-CN"/>
              </w:rPr>
            </w:pPr>
          </w:p>
        </w:tc>
        <w:tc>
          <w:tcPr>
            <w:tcW w:w="3120" w:type="dxa"/>
          </w:tcPr>
          <w:p w:rsidR="00700D1F" w:rsidRPr="00401011" w:rsidRDefault="00700D1F" w:rsidP="00C222E2">
            <w:pPr>
              <w:tabs>
                <w:tab w:val="left" w:pos="993"/>
              </w:tabs>
              <w:spacing w:before="0"/>
              <w:rPr>
                <w:b/>
                <w:bCs/>
                <w:szCs w:val="24"/>
                <w:lang w:eastAsia="zh-CN"/>
              </w:rPr>
            </w:pPr>
            <w:r w:rsidRPr="00401011">
              <w:rPr>
                <w:b/>
                <w:bCs/>
                <w:szCs w:val="24"/>
                <w:lang w:eastAsia="zh-CN"/>
              </w:rPr>
              <w:t>20</w:t>
            </w:r>
            <w:r w:rsidR="00325C25" w:rsidRPr="00401011">
              <w:rPr>
                <w:b/>
                <w:bCs/>
                <w:szCs w:val="24"/>
                <w:lang w:eastAsia="zh-CN"/>
              </w:rPr>
              <w:t>1</w:t>
            </w:r>
            <w:r w:rsidR="00A5354B" w:rsidRPr="00401011">
              <w:rPr>
                <w:b/>
                <w:bCs/>
                <w:szCs w:val="24"/>
                <w:lang w:eastAsia="zh-CN"/>
              </w:rPr>
              <w:t>7</w:t>
            </w:r>
            <w:r w:rsidRPr="00401011">
              <w:rPr>
                <w:b/>
                <w:bCs/>
                <w:szCs w:val="24"/>
                <w:lang w:eastAsia="zh-CN"/>
              </w:rPr>
              <w:t>年</w:t>
            </w:r>
            <w:r w:rsidR="00C222E2" w:rsidRPr="00401011">
              <w:rPr>
                <w:rFonts w:cstheme="minorHAnsi"/>
                <w:b/>
                <w:bCs/>
                <w:szCs w:val="24"/>
                <w:lang w:eastAsia="zh-CN"/>
              </w:rPr>
              <w:t>5</w:t>
            </w:r>
            <w:r w:rsidRPr="00401011">
              <w:rPr>
                <w:b/>
                <w:bCs/>
                <w:szCs w:val="24"/>
                <w:lang w:eastAsia="zh-CN"/>
              </w:rPr>
              <w:t>月</w:t>
            </w:r>
            <w:r w:rsidR="00C222E2" w:rsidRPr="00401011">
              <w:rPr>
                <w:rFonts w:cstheme="minorHAnsi"/>
                <w:b/>
                <w:bCs/>
                <w:szCs w:val="24"/>
                <w:lang w:eastAsia="zh-CN"/>
              </w:rPr>
              <w:t>1</w:t>
            </w:r>
            <w:r w:rsidRPr="00401011">
              <w:rPr>
                <w:b/>
                <w:bCs/>
                <w:szCs w:val="24"/>
                <w:lang w:eastAsia="zh-CN"/>
              </w:rPr>
              <w:t>日</w:t>
            </w:r>
          </w:p>
        </w:tc>
      </w:tr>
      <w:tr w:rsidR="00700D1F" w:rsidRPr="00401011">
        <w:trPr>
          <w:cantSplit/>
          <w:trHeight w:val="23"/>
        </w:trPr>
        <w:tc>
          <w:tcPr>
            <w:tcW w:w="6911" w:type="dxa"/>
            <w:vMerge/>
          </w:tcPr>
          <w:p w:rsidR="00700D1F" w:rsidRPr="00401011" w:rsidRDefault="00700D1F" w:rsidP="00381B4E">
            <w:pPr>
              <w:tabs>
                <w:tab w:val="left" w:pos="851"/>
              </w:tabs>
              <w:rPr>
                <w:b/>
                <w:lang w:eastAsia="zh-CN"/>
              </w:rPr>
            </w:pPr>
          </w:p>
        </w:tc>
        <w:tc>
          <w:tcPr>
            <w:tcW w:w="3120" w:type="dxa"/>
          </w:tcPr>
          <w:p w:rsidR="00700D1F" w:rsidRPr="00401011" w:rsidRDefault="00700D1F" w:rsidP="00C222E2">
            <w:pPr>
              <w:tabs>
                <w:tab w:val="left" w:pos="993"/>
              </w:tabs>
              <w:spacing w:before="0"/>
              <w:rPr>
                <w:b/>
                <w:bCs/>
                <w:szCs w:val="24"/>
                <w:lang w:eastAsia="zh-CN"/>
              </w:rPr>
            </w:pPr>
            <w:r w:rsidRPr="00401011">
              <w:rPr>
                <w:b/>
                <w:bCs/>
                <w:szCs w:val="24"/>
                <w:lang w:eastAsia="zh-CN"/>
              </w:rPr>
              <w:t>原文：</w:t>
            </w:r>
            <w:r w:rsidR="00C222E2" w:rsidRPr="00401011">
              <w:rPr>
                <w:b/>
                <w:bCs/>
                <w:szCs w:val="24"/>
                <w:lang w:eastAsia="zh-CN"/>
              </w:rPr>
              <w:t>西班牙文</w:t>
            </w:r>
          </w:p>
        </w:tc>
      </w:tr>
    </w:tbl>
    <w:tbl>
      <w:tblPr>
        <w:tblW w:w="10031" w:type="dxa"/>
        <w:tblLayout w:type="fixed"/>
        <w:tblLook w:val="0000" w:firstRow="0" w:lastRow="0" w:firstColumn="0" w:lastColumn="0" w:noHBand="0" w:noVBand="0"/>
      </w:tblPr>
      <w:tblGrid>
        <w:gridCol w:w="10031"/>
      </w:tblGrid>
      <w:tr w:rsidR="0093362E" w:rsidRPr="00401011">
        <w:trPr>
          <w:cantSplit/>
        </w:trPr>
        <w:tc>
          <w:tcPr>
            <w:tcW w:w="10031" w:type="dxa"/>
          </w:tcPr>
          <w:p w:rsidR="0093362E" w:rsidRPr="00401011" w:rsidRDefault="00E378D8" w:rsidP="00381B4E">
            <w:pPr>
              <w:pStyle w:val="Source"/>
              <w:rPr>
                <w:lang w:eastAsia="zh-CN"/>
              </w:rPr>
            </w:pPr>
            <w:r w:rsidRPr="00401011">
              <w:rPr>
                <w:lang w:val="fr-CH" w:eastAsia="zh-CN"/>
              </w:rPr>
              <w:t>秘书长的</w:t>
            </w:r>
            <w:r w:rsidR="00381B4E" w:rsidRPr="00401011">
              <w:rPr>
                <w:lang w:eastAsia="zh-CN"/>
              </w:rPr>
              <w:t>说明</w:t>
            </w:r>
          </w:p>
        </w:tc>
      </w:tr>
      <w:tr w:rsidR="00C222E2" w:rsidRPr="00401011">
        <w:trPr>
          <w:cantSplit/>
        </w:trPr>
        <w:tc>
          <w:tcPr>
            <w:tcW w:w="10031" w:type="dxa"/>
          </w:tcPr>
          <w:p w:rsidR="00C222E2" w:rsidRPr="00401011" w:rsidRDefault="00C222E2" w:rsidP="00381B4E">
            <w:pPr>
              <w:pStyle w:val="Title1"/>
              <w:rPr>
                <w:rFonts w:cstheme="minorHAnsi"/>
                <w:lang w:eastAsia="zh-CN"/>
              </w:rPr>
            </w:pPr>
            <w:r w:rsidRPr="00401011">
              <w:rPr>
                <w:rFonts w:cstheme="minorHAnsi"/>
                <w:lang w:eastAsia="zh-CN"/>
              </w:rPr>
              <w:t>阿根廷共和国提交的文稿</w:t>
            </w:r>
          </w:p>
        </w:tc>
      </w:tr>
      <w:tr w:rsidR="0093362E" w:rsidRPr="00401011">
        <w:trPr>
          <w:cantSplit/>
        </w:trPr>
        <w:tc>
          <w:tcPr>
            <w:tcW w:w="10031" w:type="dxa"/>
          </w:tcPr>
          <w:p w:rsidR="00381B4E" w:rsidRPr="00401011" w:rsidRDefault="00401011" w:rsidP="00401011">
            <w:pPr>
              <w:pStyle w:val="Title2"/>
              <w:rPr>
                <w:lang w:eastAsia="zh-CN"/>
              </w:rPr>
            </w:pPr>
            <w:r w:rsidRPr="00401011">
              <w:rPr>
                <w:rFonts w:cstheme="minorHAnsi"/>
                <w:szCs w:val="26"/>
                <w:lang w:val="en-US" w:eastAsia="zh-CN"/>
              </w:rPr>
              <w:t>促进中小企业参与国际电联的工作</w:t>
            </w:r>
          </w:p>
        </w:tc>
      </w:tr>
    </w:tbl>
    <w:p w:rsidR="00381B4E" w:rsidRPr="00401011" w:rsidRDefault="00C222E2" w:rsidP="002A1C84">
      <w:pPr>
        <w:pStyle w:val="Normalaftertitle"/>
        <w:spacing w:before="720"/>
        <w:ind w:firstLineChars="200" w:firstLine="480"/>
        <w:rPr>
          <w:b/>
          <w:bCs/>
          <w:lang w:eastAsia="zh-CN"/>
        </w:rPr>
      </w:pPr>
      <w:bookmarkStart w:id="2" w:name="lt_pId014"/>
      <w:r w:rsidRPr="00401011">
        <w:rPr>
          <w:rFonts w:eastAsiaTheme="minorEastAsia" w:cstheme="majorBidi"/>
          <w:color w:val="000000"/>
          <w:lang w:eastAsia="zh-CN"/>
        </w:rPr>
        <w:t>我荣幸地向各理事国转呈</w:t>
      </w:r>
      <w:r w:rsidRPr="00401011">
        <w:rPr>
          <w:rFonts w:eastAsiaTheme="minorEastAsia" w:cstheme="majorBidi"/>
          <w:b/>
          <w:bCs/>
          <w:color w:val="000000"/>
          <w:lang w:eastAsia="zh-CN"/>
        </w:rPr>
        <w:t>阿根廷共和国</w:t>
      </w:r>
      <w:r w:rsidRPr="00401011">
        <w:rPr>
          <w:rFonts w:eastAsiaTheme="minorEastAsia" w:cstheme="majorBidi"/>
          <w:color w:val="000000"/>
          <w:lang w:eastAsia="zh-CN"/>
        </w:rPr>
        <w:t>提交的一份文稿。</w:t>
      </w:r>
    </w:p>
    <w:p w:rsidR="00B40A53" w:rsidRPr="00401011" w:rsidRDefault="00381B4E" w:rsidP="00381B4E">
      <w:pPr>
        <w:spacing w:before="1080"/>
        <w:ind w:left="4819"/>
        <w:jc w:val="center"/>
        <w:rPr>
          <w:lang w:val="fr-FR" w:eastAsia="zh-CN"/>
        </w:rPr>
      </w:pPr>
      <w:r w:rsidRPr="00401011">
        <w:rPr>
          <w:lang w:val="en-US" w:eastAsia="zh-CN"/>
        </w:rPr>
        <w:t>秘书长</w:t>
      </w:r>
      <w:bookmarkEnd w:id="2"/>
      <w:r w:rsidRPr="00401011">
        <w:rPr>
          <w:lang w:val="en-US" w:eastAsia="zh-CN"/>
        </w:rPr>
        <w:br/>
      </w:r>
      <w:r w:rsidRPr="00401011">
        <w:rPr>
          <w:lang w:val="en-US" w:eastAsia="zh-CN"/>
        </w:rPr>
        <w:t>赵厚麟</w:t>
      </w:r>
    </w:p>
    <w:p w:rsidR="00E378D8" w:rsidRPr="00401011" w:rsidRDefault="00E378D8" w:rsidP="00381B4E">
      <w:pPr>
        <w:tabs>
          <w:tab w:val="clear" w:pos="794"/>
          <w:tab w:val="clear" w:pos="1191"/>
          <w:tab w:val="clear" w:pos="1588"/>
          <w:tab w:val="clear" w:pos="1985"/>
          <w:tab w:val="center" w:pos="8222"/>
        </w:tabs>
        <w:rPr>
          <w:szCs w:val="22"/>
          <w:lang w:val="fr-FR" w:eastAsia="zh-CN"/>
        </w:rPr>
      </w:pPr>
    </w:p>
    <w:p w:rsidR="00E378D8" w:rsidRPr="00401011" w:rsidRDefault="00E378D8" w:rsidP="00381B4E">
      <w:pPr>
        <w:tabs>
          <w:tab w:val="left" w:pos="720"/>
        </w:tabs>
        <w:overflowPunct/>
        <w:autoSpaceDE/>
        <w:adjustRightInd/>
        <w:spacing w:before="0"/>
        <w:rPr>
          <w:lang w:val="fr-FR" w:eastAsia="zh-CN"/>
        </w:rPr>
      </w:pPr>
      <w:r w:rsidRPr="00401011">
        <w:rPr>
          <w:lang w:val="fr-FR" w:eastAsia="zh-CN"/>
        </w:rPr>
        <w:br w:type="page"/>
      </w:r>
    </w:p>
    <w:p w:rsidR="00381B4E" w:rsidRPr="00401011" w:rsidRDefault="00C222E2" w:rsidP="00381B4E">
      <w:pPr>
        <w:pStyle w:val="Source"/>
        <w:rPr>
          <w:rFonts w:cstheme="majorBidi"/>
          <w:lang w:eastAsia="zh-CN"/>
        </w:rPr>
      </w:pPr>
      <w:r w:rsidRPr="00401011">
        <w:rPr>
          <w:rFonts w:cstheme="majorBidi"/>
          <w:lang w:val="en-US" w:eastAsia="zh-CN"/>
        </w:rPr>
        <w:lastRenderedPageBreak/>
        <w:t>阿根廷共和国</w:t>
      </w:r>
    </w:p>
    <w:p w:rsidR="00381B4E" w:rsidRPr="00401011" w:rsidRDefault="00401011" w:rsidP="00C222E2">
      <w:pPr>
        <w:pStyle w:val="Title1"/>
        <w:rPr>
          <w:rFonts w:cstheme="majorBidi"/>
          <w:lang w:eastAsia="zh-CN"/>
        </w:rPr>
      </w:pPr>
      <w:r w:rsidRPr="00401011">
        <w:rPr>
          <w:rFonts w:cstheme="majorBidi"/>
          <w:lang w:val="en-US" w:eastAsia="zh-CN"/>
        </w:rPr>
        <w:t>促进中小企业参与</w:t>
      </w:r>
      <w:r w:rsidR="00C222E2" w:rsidRPr="00401011">
        <w:rPr>
          <w:rFonts w:cstheme="majorBidi"/>
          <w:lang w:val="en-US" w:eastAsia="zh-CN"/>
        </w:rPr>
        <w:t>国际电联的工作</w:t>
      </w:r>
    </w:p>
    <w:p w:rsidR="00C222E2" w:rsidRPr="00401011" w:rsidRDefault="00C222E2" w:rsidP="00C222E2">
      <w:pPr>
        <w:pStyle w:val="Headingb"/>
        <w:rPr>
          <w:lang w:val="en-US" w:eastAsia="zh-CN"/>
        </w:rPr>
      </w:pPr>
      <w:r w:rsidRPr="00401011">
        <w:rPr>
          <w:lang w:val="en-US" w:eastAsia="zh-CN"/>
        </w:rPr>
        <w:t>引言</w:t>
      </w:r>
    </w:p>
    <w:p w:rsidR="00C222E2" w:rsidRPr="00401011" w:rsidRDefault="00C222E2" w:rsidP="00140861">
      <w:pPr>
        <w:snapToGrid w:val="0"/>
        <w:spacing w:after="120"/>
        <w:ind w:firstLineChars="200" w:firstLine="480"/>
        <w:rPr>
          <w:rFonts w:eastAsiaTheme="minorEastAsia" w:cstheme="majorBidi"/>
          <w:iCs/>
          <w:szCs w:val="24"/>
          <w:lang w:eastAsia="zh-CN"/>
        </w:rPr>
      </w:pPr>
      <w:r w:rsidRPr="00401011">
        <w:rPr>
          <w:rFonts w:eastAsiaTheme="minorEastAsia" w:cstheme="majorBidi"/>
          <w:bCs/>
          <w:lang w:val="en-US" w:eastAsia="zh-CN"/>
        </w:rPr>
        <w:t>自</w:t>
      </w:r>
      <w:r w:rsidRPr="00401011">
        <w:rPr>
          <w:rFonts w:eastAsiaTheme="minorEastAsia" w:cstheme="majorBidi"/>
          <w:bCs/>
          <w:lang w:val="en-US" w:eastAsia="zh-CN"/>
        </w:rPr>
        <w:t>2015</w:t>
      </w:r>
      <w:r w:rsidRPr="00401011">
        <w:rPr>
          <w:rFonts w:eastAsiaTheme="minorEastAsia" w:cstheme="majorBidi"/>
          <w:bCs/>
          <w:lang w:val="en-US" w:eastAsia="zh-CN"/>
        </w:rPr>
        <w:t>年</w:t>
      </w:r>
      <w:r w:rsidRPr="00401011">
        <w:rPr>
          <w:rFonts w:eastAsiaTheme="minorEastAsia" w:cstheme="majorBidi"/>
          <w:bCs/>
          <w:lang w:val="en-US" w:eastAsia="zh-CN"/>
        </w:rPr>
        <w:t>2</w:t>
      </w:r>
      <w:r w:rsidRPr="00401011">
        <w:rPr>
          <w:rFonts w:eastAsiaTheme="minorEastAsia" w:cstheme="majorBidi"/>
          <w:bCs/>
          <w:lang w:val="en-US" w:eastAsia="zh-CN"/>
        </w:rPr>
        <w:t>月的</w:t>
      </w:r>
      <w:hyperlink r:id="rId9" w:history="1">
        <w:r w:rsidR="00140861" w:rsidRPr="00FB3B1C">
          <w:rPr>
            <w:rStyle w:val="Hyperlink"/>
            <w:lang w:val="en-US" w:eastAsia="zh-CN"/>
          </w:rPr>
          <w:t>15/010</w:t>
        </w:r>
      </w:hyperlink>
      <w:r w:rsidR="00140861">
        <w:rPr>
          <w:rStyle w:val="Hyperlink"/>
          <w:rFonts w:hint="eastAsia"/>
          <w:lang w:val="en-US" w:eastAsia="zh-CN"/>
        </w:rPr>
        <w:t>号</w:t>
      </w:r>
      <w:r w:rsidR="00140861">
        <w:rPr>
          <w:rStyle w:val="Hyperlink"/>
          <w:lang w:val="en-US" w:eastAsia="zh-CN"/>
        </w:rPr>
        <w:t>通函</w:t>
      </w:r>
      <w:r w:rsidRPr="00401011">
        <w:rPr>
          <w:rFonts w:eastAsiaTheme="minorEastAsia" w:cstheme="majorBidi"/>
          <w:iCs/>
          <w:szCs w:val="24"/>
          <w:lang w:eastAsia="zh-CN"/>
        </w:rPr>
        <w:t>宣布推出全球</w:t>
      </w:r>
      <w:r w:rsidRPr="00401011">
        <w:rPr>
          <w:rFonts w:eastAsiaTheme="minorEastAsia" w:cstheme="majorBidi"/>
          <w:iCs/>
          <w:szCs w:val="24"/>
          <w:lang w:eastAsia="zh-CN"/>
        </w:rPr>
        <w:t>ICT</w:t>
      </w:r>
      <w:r w:rsidRPr="00401011">
        <w:rPr>
          <w:rFonts w:eastAsiaTheme="minorEastAsia" w:cstheme="majorBidi"/>
          <w:iCs/>
          <w:szCs w:val="24"/>
          <w:lang w:eastAsia="zh-CN"/>
        </w:rPr>
        <w:t>创业举措以来，阿根廷主管部门始终支持并推动中小企业（</w:t>
      </w:r>
      <w:r w:rsidRPr="00401011">
        <w:rPr>
          <w:rFonts w:eastAsiaTheme="minorEastAsia" w:cstheme="majorBidi"/>
          <w:iCs/>
          <w:szCs w:val="24"/>
          <w:lang w:eastAsia="zh-CN"/>
        </w:rPr>
        <w:t>SME</w:t>
      </w:r>
      <w:r w:rsidRPr="00401011">
        <w:rPr>
          <w:rFonts w:eastAsiaTheme="minorEastAsia" w:cstheme="majorBidi"/>
          <w:iCs/>
          <w:szCs w:val="24"/>
          <w:lang w:eastAsia="zh-CN"/>
        </w:rPr>
        <w:t>）参与国际电联的工作。</w:t>
      </w:r>
    </w:p>
    <w:p w:rsidR="00C222E2" w:rsidRPr="00401011" w:rsidRDefault="00C222E2" w:rsidP="00C222E2">
      <w:pPr>
        <w:snapToGrid w:val="0"/>
        <w:spacing w:after="120"/>
        <w:ind w:firstLineChars="200" w:firstLine="480"/>
        <w:rPr>
          <w:rFonts w:eastAsiaTheme="minorEastAsia" w:cstheme="majorBidi"/>
          <w:iCs/>
          <w:szCs w:val="24"/>
          <w:lang w:eastAsia="zh-CN"/>
        </w:rPr>
      </w:pPr>
      <w:r w:rsidRPr="00401011">
        <w:rPr>
          <w:rFonts w:eastAsiaTheme="minorEastAsia" w:cstheme="majorBidi"/>
          <w:bCs/>
          <w:lang w:val="en-US" w:eastAsia="zh-CN"/>
        </w:rPr>
        <w:t>我们坚信中小企业，特别是发展中国家的中小企业，是确保经济增长和促进发展，减少失业（尤其是青年</w:t>
      </w:r>
      <w:r w:rsidR="00401011">
        <w:rPr>
          <w:rFonts w:eastAsiaTheme="minorEastAsia" w:cstheme="majorBidi"/>
          <w:bCs/>
          <w:lang w:val="en-US" w:eastAsia="zh-CN"/>
        </w:rPr>
        <w:t>人失业）</w:t>
      </w:r>
      <w:r w:rsidR="00401011">
        <w:rPr>
          <w:rFonts w:eastAsiaTheme="minorEastAsia" w:cstheme="majorBidi" w:hint="eastAsia"/>
          <w:bCs/>
          <w:lang w:val="en-US" w:eastAsia="zh-CN"/>
        </w:rPr>
        <w:t>及</w:t>
      </w:r>
      <w:r w:rsidRPr="00401011">
        <w:rPr>
          <w:rFonts w:eastAsiaTheme="minorEastAsia" w:cstheme="majorBidi"/>
          <w:bCs/>
          <w:lang w:val="en-US" w:eastAsia="zh-CN"/>
        </w:rPr>
        <w:t>促进信息通信技术（</w:t>
      </w:r>
      <w:r w:rsidRPr="00401011">
        <w:rPr>
          <w:rFonts w:eastAsiaTheme="minorEastAsia" w:cstheme="majorBidi"/>
          <w:bCs/>
          <w:lang w:val="en-US" w:eastAsia="zh-CN"/>
        </w:rPr>
        <w:t>ICT</w:t>
      </w:r>
      <w:r w:rsidRPr="00401011">
        <w:rPr>
          <w:rFonts w:eastAsiaTheme="minorEastAsia" w:cstheme="majorBidi"/>
          <w:bCs/>
          <w:lang w:val="en-US" w:eastAsia="zh-CN"/>
        </w:rPr>
        <w:t>）行业</w:t>
      </w:r>
      <w:r w:rsidR="00401011">
        <w:rPr>
          <w:rFonts w:eastAsiaTheme="minorEastAsia" w:cstheme="majorBidi"/>
          <w:bCs/>
          <w:lang w:val="en-US" w:eastAsia="zh-CN"/>
        </w:rPr>
        <w:t>创新与进步的</w:t>
      </w:r>
      <w:r w:rsidR="00401011">
        <w:rPr>
          <w:rFonts w:eastAsiaTheme="minorEastAsia" w:cstheme="majorBidi" w:hint="eastAsia"/>
          <w:bCs/>
          <w:lang w:val="en-US" w:eastAsia="zh-CN"/>
        </w:rPr>
        <w:t>基础</w:t>
      </w:r>
      <w:r w:rsidRPr="00401011">
        <w:rPr>
          <w:rFonts w:eastAsiaTheme="minorEastAsia" w:cstheme="majorBidi"/>
          <w:bCs/>
          <w:lang w:val="en-US" w:eastAsia="zh-CN"/>
        </w:rPr>
        <w:t>。</w:t>
      </w:r>
    </w:p>
    <w:p w:rsidR="00C222E2" w:rsidRPr="00401011" w:rsidRDefault="00C222E2" w:rsidP="00C222E2">
      <w:pPr>
        <w:snapToGrid w:val="0"/>
        <w:spacing w:after="120"/>
        <w:ind w:firstLineChars="200" w:firstLine="480"/>
        <w:rPr>
          <w:rFonts w:eastAsiaTheme="minorEastAsia" w:cstheme="majorBidi"/>
          <w:lang w:eastAsia="zh-CN"/>
        </w:rPr>
      </w:pPr>
      <w:r w:rsidRPr="00401011">
        <w:rPr>
          <w:rFonts w:eastAsiaTheme="minorEastAsia" w:cstheme="majorBidi"/>
          <w:bCs/>
          <w:lang w:val="en-US" w:eastAsia="zh-CN"/>
        </w:rPr>
        <w:t>我们的各类数据为此提供了明证，阿根廷</w:t>
      </w:r>
      <w:r w:rsidRPr="00401011">
        <w:rPr>
          <w:rFonts w:eastAsiaTheme="minorEastAsia" w:cstheme="majorBidi"/>
          <w:bCs/>
          <w:lang w:val="en-US" w:eastAsia="zh-CN"/>
        </w:rPr>
        <w:t>99%</w:t>
      </w:r>
      <w:r w:rsidRPr="00401011">
        <w:rPr>
          <w:rFonts w:eastAsiaTheme="minorEastAsia" w:cstheme="majorBidi"/>
          <w:bCs/>
          <w:lang w:val="en-US" w:eastAsia="zh-CN"/>
        </w:rPr>
        <w:t>的公司为中小企业，创造了</w:t>
      </w:r>
      <w:r w:rsidRPr="00401011">
        <w:rPr>
          <w:rFonts w:eastAsiaTheme="minorEastAsia" w:cstheme="majorBidi"/>
          <w:bCs/>
          <w:lang w:val="en-US" w:eastAsia="zh-CN"/>
        </w:rPr>
        <w:t>410</w:t>
      </w:r>
      <w:r w:rsidRPr="00401011">
        <w:rPr>
          <w:rFonts w:eastAsiaTheme="minorEastAsia" w:cstheme="majorBidi"/>
          <w:bCs/>
          <w:lang w:val="en-US" w:eastAsia="zh-CN"/>
        </w:rPr>
        <w:t>万</w:t>
      </w:r>
      <w:r w:rsidR="00401011">
        <w:rPr>
          <w:rFonts w:eastAsiaTheme="minorEastAsia" w:cstheme="majorBidi" w:hint="eastAsia"/>
          <w:bCs/>
          <w:lang w:val="en-US" w:eastAsia="zh-CN"/>
        </w:rPr>
        <w:t>个</w:t>
      </w:r>
      <w:r w:rsidRPr="00401011">
        <w:rPr>
          <w:rFonts w:eastAsiaTheme="minorEastAsia" w:cstheme="majorBidi"/>
          <w:bCs/>
          <w:lang w:val="en-US" w:eastAsia="zh-CN"/>
        </w:rPr>
        <w:t>岗位，占全国</w:t>
      </w:r>
      <w:r w:rsidRPr="00401011">
        <w:rPr>
          <w:rStyle w:val="FootnoteReference"/>
          <w:rFonts w:eastAsiaTheme="minorEastAsia" w:cstheme="majorBidi"/>
        </w:rPr>
        <w:footnoteReference w:id="1"/>
      </w:r>
      <w:r w:rsidRPr="00401011">
        <w:rPr>
          <w:rFonts w:eastAsiaTheme="minorEastAsia" w:cstheme="majorBidi"/>
          <w:bCs/>
          <w:lang w:val="en-US" w:eastAsia="zh-CN"/>
        </w:rPr>
        <w:t>正规就业的</w:t>
      </w:r>
      <w:r w:rsidRPr="00401011">
        <w:rPr>
          <w:rFonts w:eastAsiaTheme="minorEastAsia" w:cstheme="majorBidi"/>
          <w:bCs/>
          <w:lang w:val="en-US" w:eastAsia="zh-CN"/>
        </w:rPr>
        <w:t>70%</w:t>
      </w:r>
      <w:r w:rsidRPr="00401011">
        <w:rPr>
          <w:rFonts w:eastAsiaTheme="minorEastAsia" w:cstheme="majorBidi"/>
          <w:bCs/>
          <w:lang w:val="en-US" w:eastAsia="zh-CN"/>
        </w:rPr>
        <w:t>。</w:t>
      </w:r>
      <w:bookmarkStart w:id="4" w:name="lt_pId023"/>
    </w:p>
    <w:p w:rsidR="00C222E2" w:rsidRPr="00401011" w:rsidRDefault="00C222E2" w:rsidP="00C222E2">
      <w:pPr>
        <w:snapToGrid w:val="0"/>
        <w:spacing w:after="120"/>
        <w:ind w:firstLineChars="200" w:firstLine="480"/>
        <w:rPr>
          <w:rFonts w:eastAsiaTheme="minorEastAsia" w:cstheme="majorBidi"/>
          <w:lang w:eastAsia="zh-CN"/>
        </w:rPr>
      </w:pPr>
      <w:r w:rsidRPr="00401011">
        <w:rPr>
          <w:rFonts w:eastAsiaTheme="minorEastAsia" w:cstheme="majorBidi"/>
          <w:bCs/>
          <w:lang w:val="en-US" w:eastAsia="zh-CN"/>
        </w:rPr>
        <w:t>这就</w:t>
      </w:r>
      <w:r w:rsidR="00401011">
        <w:rPr>
          <w:rFonts w:eastAsiaTheme="minorEastAsia" w:cstheme="majorBidi"/>
          <w:bCs/>
          <w:lang w:val="en-US" w:eastAsia="zh-CN"/>
        </w:rPr>
        <w:t>是我们决定支持</w:t>
      </w:r>
      <w:r w:rsidRPr="00401011">
        <w:rPr>
          <w:rFonts w:eastAsiaTheme="minorEastAsia" w:cstheme="majorBidi"/>
          <w:bCs/>
          <w:lang w:val="en-US" w:eastAsia="zh-CN"/>
        </w:rPr>
        <w:t>力求将中小企业的潜力带给国际电联的</w:t>
      </w:r>
      <w:r w:rsidR="00401011">
        <w:rPr>
          <w:rFonts w:eastAsiaTheme="minorEastAsia" w:cstheme="majorBidi" w:hint="eastAsia"/>
          <w:bCs/>
          <w:lang w:val="en-US" w:eastAsia="zh-CN"/>
        </w:rPr>
        <w:t>各项</w:t>
      </w:r>
      <w:r w:rsidRPr="00401011">
        <w:rPr>
          <w:rFonts w:eastAsiaTheme="minorEastAsia" w:cstheme="majorBidi"/>
          <w:bCs/>
          <w:lang w:val="en-US" w:eastAsia="zh-CN"/>
        </w:rPr>
        <w:t>举措的原因所在</w:t>
      </w:r>
      <w:r w:rsidRPr="00401011">
        <w:rPr>
          <w:rFonts w:eastAsiaTheme="minorEastAsia" w:cstheme="majorBidi"/>
          <w:lang w:eastAsia="zh-CN"/>
        </w:rPr>
        <w:t>；例如，国际电联世界电信展日渐成型的平台，每年为此类公司</w:t>
      </w:r>
      <w:r w:rsidR="00401011">
        <w:rPr>
          <w:rFonts w:eastAsiaTheme="minorEastAsia" w:cstheme="majorBidi" w:hint="eastAsia"/>
          <w:lang w:eastAsia="zh-CN"/>
        </w:rPr>
        <w:t>会面</w:t>
      </w:r>
      <w:r w:rsidRPr="00401011">
        <w:rPr>
          <w:rFonts w:eastAsiaTheme="minorEastAsia" w:cstheme="majorBidi"/>
          <w:lang w:eastAsia="zh-CN"/>
        </w:rPr>
        <w:t>并在</w:t>
      </w:r>
      <w:r w:rsidR="00401011">
        <w:rPr>
          <w:rFonts w:eastAsiaTheme="minorEastAsia" w:cstheme="majorBidi" w:hint="eastAsia"/>
          <w:lang w:eastAsia="zh-CN"/>
        </w:rPr>
        <w:t>彼此</w:t>
      </w:r>
      <w:r w:rsidRPr="00401011">
        <w:rPr>
          <w:rFonts w:eastAsiaTheme="minorEastAsia" w:cstheme="majorBidi"/>
          <w:lang w:eastAsia="zh-CN"/>
        </w:rPr>
        <w:t>之间</w:t>
      </w:r>
      <w:r w:rsidR="00401011">
        <w:rPr>
          <w:rFonts w:eastAsiaTheme="minorEastAsia" w:cstheme="majorBidi" w:hint="eastAsia"/>
          <w:lang w:eastAsia="zh-CN"/>
        </w:rPr>
        <w:t>以及</w:t>
      </w:r>
      <w:r w:rsidR="00401011">
        <w:rPr>
          <w:rFonts w:eastAsiaTheme="minorEastAsia" w:cstheme="majorBidi"/>
          <w:lang w:eastAsia="zh-CN"/>
        </w:rPr>
        <w:t>公司</w:t>
      </w:r>
      <w:r w:rsidRPr="00401011">
        <w:rPr>
          <w:rFonts w:eastAsiaTheme="minorEastAsia" w:cstheme="majorBidi"/>
          <w:lang w:eastAsia="zh-CN"/>
        </w:rPr>
        <w:t>与国际电联其它举措间形成互动提供了空间。</w:t>
      </w:r>
    </w:p>
    <w:p w:rsidR="00C222E2" w:rsidRPr="00401011" w:rsidRDefault="00C222E2" w:rsidP="00C222E2">
      <w:pPr>
        <w:snapToGrid w:val="0"/>
        <w:spacing w:after="120"/>
        <w:ind w:firstLineChars="200" w:firstLine="480"/>
        <w:rPr>
          <w:rFonts w:eastAsiaTheme="minorEastAsia" w:cstheme="majorBidi"/>
          <w:lang w:eastAsia="zh-CN"/>
        </w:rPr>
      </w:pPr>
      <w:r w:rsidRPr="00401011">
        <w:rPr>
          <w:rFonts w:eastAsiaTheme="minorEastAsia" w:cstheme="majorBidi"/>
          <w:bCs/>
          <w:lang w:val="en-US" w:eastAsia="zh-CN"/>
        </w:rPr>
        <w:t>与此类似</w:t>
      </w:r>
      <w:r w:rsidRPr="00401011">
        <w:rPr>
          <w:rFonts w:eastAsiaTheme="minorEastAsia" w:cstheme="majorBidi"/>
          <w:lang w:eastAsia="zh-CN"/>
        </w:rPr>
        <w:t>，自</w:t>
      </w:r>
      <w:r w:rsidRPr="00401011">
        <w:rPr>
          <w:rFonts w:eastAsiaTheme="minorEastAsia" w:cstheme="majorBidi"/>
          <w:lang w:eastAsia="zh-CN"/>
        </w:rPr>
        <w:t>2015</w:t>
      </w:r>
      <w:r w:rsidRPr="00401011">
        <w:rPr>
          <w:rFonts w:eastAsiaTheme="minorEastAsia" w:cstheme="majorBidi"/>
          <w:lang w:eastAsia="zh-CN"/>
        </w:rPr>
        <w:t>年以来，我们始终建议对中小企业有效参加国际电联工作的方法加以分析，并考虑到这些企业的具体特性。因此，最根本的是要考虑与中小企业规模（雇员人数）、收入、企业所在母国（发展中国家）有关的问题以及其它一些将中小企业与其它公司</w:t>
      </w:r>
      <w:r w:rsidR="00401011">
        <w:rPr>
          <w:rFonts w:eastAsiaTheme="minorEastAsia" w:cstheme="majorBidi"/>
          <w:lang w:eastAsia="zh-CN"/>
        </w:rPr>
        <w:t>区分开来的情况</w:t>
      </w:r>
      <w:r w:rsidR="00401011">
        <w:rPr>
          <w:rFonts w:eastAsiaTheme="minorEastAsia" w:cstheme="majorBidi" w:hint="eastAsia"/>
          <w:lang w:eastAsia="zh-CN"/>
        </w:rPr>
        <w:t>。</w:t>
      </w:r>
      <w:r w:rsidRPr="00401011">
        <w:rPr>
          <w:rFonts w:eastAsiaTheme="minorEastAsia" w:cstheme="majorBidi"/>
          <w:lang w:eastAsia="zh-CN"/>
        </w:rPr>
        <w:t>无论这些其它</w:t>
      </w:r>
      <w:r w:rsidR="00401011">
        <w:rPr>
          <w:rFonts w:eastAsiaTheme="minorEastAsia" w:cstheme="majorBidi"/>
          <w:lang w:eastAsia="zh-CN"/>
        </w:rPr>
        <w:t>公司是</w:t>
      </w:r>
      <w:r w:rsidR="00401011">
        <w:rPr>
          <w:rFonts w:eastAsiaTheme="minorEastAsia" w:cstheme="majorBidi" w:hint="eastAsia"/>
          <w:lang w:eastAsia="zh-CN"/>
        </w:rPr>
        <w:t>国际电联</w:t>
      </w:r>
      <w:r w:rsidR="00401011">
        <w:rPr>
          <w:rFonts w:eastAsiaTheme="minorEastAsia" w:cstheme="majorBidi"/>
          <w:lang w:eastAsia="zh-CN"/>
        </w:rPr>
        <w:t>的</w:t>
      </w:r>
      <w:r w:rsidRPr="00401011">
        <w:rPr>
          <w:rFonts w:eastAsiaTheme="minorEastAsia" w:cstheme="majorBidi"/>
          <w:lang w:eastAsia="zh-CN"/>
        </w:rPr>
        <w:t>部门成员还部门准成员，他们均是当前国际电联成员的组成部分。</w:t>
      </w:r>
    </w:p>
    <w:p w:rsidR="00C222E2" w:rsidRPr="00401011" w:rsidRDefault="00C222E2" w:rsidP="00C222E2">
      <w:pPr>
        <w:snapToGrid w:val="0"/>
        <w:spacing w:after="120"/>
        <w:ind w:firstLineChars="200" w:firstLine="480"/>
        <w:rPr>
          <w:rFonts w:eastAsiaTheme="minorEastAsia" w:cstheme="majorBidi"/>
          <w:lang w:eastAsia="zh-CN"/>
        </w:rPr>
      </w:pPr>
      <w:r w:rsidRPr="00401011">
        <w:rPr>
          <w:rFonts w:eastAsiaTheme="minorEastAsia" w:cstheme="majorBidi"/>
          <w:lang w:eastAsia="zh-CN"/>
        </w:rPr>
        <w:t>ITU-T</w:t>
      </w:r>
      <w:r w:rsidRPr="00401011">
        <w:rPr>
          <w:rFonts w:eastAsiaTheme="minorEastAsia" w:cstheme="majorBidi"/>
          <w:lang w:eastAsia="zh-CN"/>
        </w:rPr>
        <w:t>在哈马马特</w:t>
      </w:r>
      <w:r w:rsidRPr="00401011">
        <w:rPr>
          <w:rFonts w:eastAsiaTheme="minorEastAsia" w:cstheme="majorBidi"/>
          <w:lang w:eastAsia="zh-CN"/>
        </w:rPr>
        <w:t>-</w:t>
      </w:r>
      <w:r w:rsidRPr="00401011">
        <w:rPr>
          <w:rFonts w:eastAsiaTheme="minorEastAsia" w:cstheme="majorBidi"/>
          <w:lang w:eastAsia="zh-CN"/>
        </w:rPr>
        <w:t>亚斯敏召开的</w:t>
      </w:r>
      <w:r w:rsidRPr="00401011">
        <w:rPr>
          <w:rFonts w:eastAsiaTheme="minorEastAsia" w:cstheme="majorBidi"/>
          <w:lang w:eastAsia="zh-CN"/>
        </w:rPr>
        <w:t>2016</w:t>
      </w:r>
      <w:r w:rsidRPr="00401011">
        <w:rPr>
          <w:rFonts w:eastAsiaTheme="minorEastAsia" w:cstheme="majorBidi"/>
          <w:lang w:eastAsia="zh-CN"/>
        </w:rPr>
        <w:t>年世界电信标准化全会（</w:t>
      </w:r>
      <w:r w:rsidRPr="00401011">
        <w:rPr>
          <w:rFonts w:eastAsiaTheme="minorEastAsia" w:cstheme="majorBidi"/>
          <w:lang w:eastAsia="zh-CN"/>
        </w:rPr>
        <w:t>WTSA-16</w:t>
      </w:r>
      <w:r w:rsidRPr="00401011">
        <w:rPr>
          <w:rFonts w:eastAsiaTheme="minorEastAsia" w:cstheme="majorBidi"/>
          <w:lang w:eastAsia="zh-CN"/>
        </w:rPr>
        <w:t>）的报告中，请理事会尽快处理中小企业</w:t>
      </w:r>
      <w:r w:rsidR="00401011">
        <w:rPr>
          <w:rFonts w:eastAsiaTheme="minorEastAsia" w:cstheme="majorBidi"/>
          <w:lang w:eastAsia="zh-CN"/>
        </w:rPr>
        <w:t>参</w:t>
      </w:r>
      <w:r w:rsidR="00401011">
        <w:rPr>
          <w:rFonts w:eastAsiaTheme="minorEastAsia" w:cstheme="majorBidi" w:hint="eastAsia"/>
          <w:lang w:eastAsia="zh-CN"/>
        </w:rPr>
        <w:t>与</w:t>
      </w:r>
      <w:r w:rsidRPr="00401011">
        <w:rPr>
          <w:rFonts w:eastAsiaTheme="minorEastAsia" w:cstheme="majorBidi"/>
          <w:lang w:eastAsia="zh-CN"/>
        </w:rPr>
        <w:t>国际电联，尤其是</w:t>
      </w:r>
      <w:r w:rsidRPr="00401011">
        <w:rPr>
          <w:rFonts w:eastAsiaTheme="minorEastAsia" w:cstheme="majorBidi"/>
          <w:lang w:eastAsia="zh-CN"/>
        </w:rPr>
        <w:t>ITU-T</w:t>
      </w:r>
      <w:r w:rsidRPr="00401011">
        <w:rPr>
          <w:rFonts w:eastAsiaTheme="minorEastAsia" w:cstheme="majorBidi"/>
          <w:lang w:eastAsia="zh-CN"/>
        </w:rPr>
        <w:t>工作的问题。</w:t>
      </w:r>
      <w:bookmarkStart w:id="5" w:name="lt_pId027"/>
      <w:bookmarkEnd w:id="4"/>
    </w:p>
    <w:p w:rsidR="00C222E2" w:rsidRPr="00401011" w:rsidRDefault="00C222E2" w:rsidP="00C222E2">
      <w:pPr>
        <w:snapToGrid w:val="0"/>
        <w:spacing w:after="120"/>
        <w:ind w:firstLineChars="200" w:firstLine="480"/>
        <w:rPr>
          <w:rFonts w:eastAsiaTheme="minorEastAsia" w:cstheme="majorBidi"/>
          <w:lang w:eastAsia="zh-CN"/>
        </w:rPr>
      </w:pPr>
      <w:bookmarkStart w:id="6" w:name="lt_pId028"/>
      <w:bookmarkEnd w:id="5"/>
      <w:r w:rsidRPr="00401011">
        <w:rPr>
          <w:rFonts w:eastAsiaTheme="minorEastAsia" w:cstheme="majorBidi"/>
          <w:bCs/>
          <w:lang w:val="en-US" w:eastAsia="zh-CN"/>
        </w:rPr>
        <w:t>另外值得一提的是</w:t>
      </w:r>
      <w:r w:rsidRPr="00401011">
        <w:rPr>
          <w:rFonts w:eastAsiaTheme="minorEastAsia" w:cstheme="majorBidi"/>
          <w:lang w:eastAsia="zh-CN"/>
        </w:rPr>
        <w:t>，</w:t>
      </w:r>
      <w:r w:rsidRPr="00401011">
        <w:rPr>
          <w:rFonts w:eastAsiaTheme="minorEastAsia" w:cstheme="majorBidi"/>
          <w:lang w:eastAsia="zh-CN"/>
        </w:rPr>
        <w:t>ITU-T</w:t>
      </w:r>
      <w:r w:rsidRPr="00401011">
        <w:rPr>
          <w:rFonts w:eastAsiaTheme="minorEastAsia" w:cstheme="majorBidi"/>
          <w:lang w:eastAsia="zh-CN"/>
        </w:rPr>
        <w:t>第</w:t>
      </w:r>
      <w:r w:rsidRPr="00401011">
        <w:rPr>
          <w:rFonts w:eastAsiaTheme="minorEastAsia" w:cstheme="majorBidi"/>
          <w:lang w:eastAsia="zh-CN"/>
        </w:rPr>
        <w:t>20</w:t>
      </w:r>
      <w:r w:rsidRPr="00401011">
        <w:rPr>
          <w:rFonts w:eastAsiaTheme="minorEastAsia" w:cstheme="majorBidi"/>
          <w:lang w:eastAsia="zh-CN"/>
        </w:rPr>
        <w:t>研究组（物联网、智慧城市和社区）主席，在</w:t>
      </w:r>
      <w:r w:rsidRPr="00401011">
        <w:rPr>
          <w:rFonts w:eastAsiaTheme="minorEastAsia" w:cstheme="majorBidi"/>
          <w:lang w:eastAsia="zh-CN"/>
        </w:rPr>
        <w:t>2015</w:t>
      </w:r>
      <w:r w:rsidRPr="00401011">
        <w:rPr>
          <w:rFonts w:eastAsiaTheme="minorEastAsia" w:cstheme="majorBidi"/>
          <w:lang w:eastAsia="zh-CN"/>
        </w:rPr>
        <w:t>年提出的一份文件（</w:t>
      </w:r>
      <w:hyperlink r:id="rId10" w:history="1">
        <w:r w:rsidRPr="00401011">
          <w:rPr>
            <w:rStyle w:val="Hyperlink"/>
            <w:rFonts w:eastAsiaTheme="minorEastAsia" w:cstheme="majorBidi"/>
            <w:lang w:eastAsia="zh-CN"/>
          </w:rPr>
          <w:t>CWG-FHR 6/20</w:t>
        </w:r>
      </w:hyperlink>
      <w:r w:rsidRPr="00401011">
        <w:rPr>
          <w:rFonts w:eastAsiaTheme="minorEastAsia" w:cstheme="majorBidi"/>
          <w:lang w:eastAsia="zh-CN"/>
        </w:rPr>
        <w:t>号文件）中建议</w:t>
      </w:r>
      <w:r w:rsidR="00401011">
        <w:rPr>
          <w:rFonts w:eastAsiaTheme="minorEastAsia" w:cstheme="majorBidi" w:hint="eastAsia"/>
          <w:lang w:eastAsia="zh-CN"/>
        </w:rPr>
        <w:t>，</w:t>
      </w:r>
      <w:r w:rsidRPr="00401011">
        <w:rPr>
          <w:rFonts w:eastAsiaTheme="minorEastAsia" w:cstheme="majorBidi"/>
          <w:lang w:eastAsia="zh-CN"/>
        </w:rPr>
        <w:t>在第</w:t>
      </w:r>
      <w:r w:rsidRPr="00401011">
        <w:rPr>
          <w:rFonts w:eastAsiaTheme="minorEastAsia" w:cstheme="majorBidi"/>
          <w:lang w:eastAsia="zh-CN"/>
        </w:rPr>
        <w:t>20</w:t>
      </w:r>
      <w:r w:rsidRPr="00401011">
        <w:rPr>
          <w:rFonts w:eastAsiaTheme="minorEastAsia" w:cstheme="majorBidi"/>
          <w:lang w:eastAsia="zh-CN"/>
        </w:rPr>
        <w:t>研究组内开展试点，对中小企业的参与情况做出评估；阿根廷主管部门于</w:t>
      </w:r>
      <w:r w:rsidRPr="00401011">
        <w:rPr>
          <w:rFonts w:eastAsiaTheme="minorEastAsia" w:cstheme="majorBidi"/>
          <w:lang w:eastAsia="zh-CN"/>
        </w:rPr>
        <w:t>2016</w:t>
      </w:r>
      <w:r w:rsidRPr="00401011">
        <w:rPr>
          <w:rFonts w:eastAsiaTheme="minorEastAsia" w:cstheme="majorBidi"/>
          <w:lang w:eastAsia="zh-CN"/>
        </w:rPr>
        <w:t>年</w:t>
      </w:r>
      <w:r w:rsidRPr="00401011">
        <w:rPr>
          <w:rFonts w:eastAsiaTheme="minorEastAsia" w:cstheme="majorBidi"/>
          <w:lang w:eastAsia="zh-CN"/>
        </w:rPr>
        <w:t>3</w:t>
      </w:r>
      <w:r w:rsidRPr="00401011">
        <w:rPr>
          <w:rFonts w:eastAsiaTheme="minorEastAsia" w:cstheme="majorBidi"/>
          <w:lang w:eastAsia="zh-CN"/>
        </w:rPr>
        <w:t>月在</w:t>
      </w:r>
      <w:hyperlink r:id="rId11" w:history="1">
        <w:r w:rsidRPr="00401011">
          <w:rPr>
            <w:rStyle w:val="Hyperlink"/>
            <w:rFonts w:eastAsiaTheme="minorEastAsia" w:cstheme="majorBidi"/>
            <w:lang w:eastAsia="zh-CN"/>
          </w:rPr>
          <w:t>CWG-FHR 6/15</w:t>
        </w:r>
      </w:hyperlink>
      <w:r w:rsidRPr="00401011">
        <w:rPr>
          <w:rFonts w:eastAsiaTheme="minorEastAsia" w:cstheme="majorBidi"/>
          <w:lang w:eastAsia="zh-CN"/>
        </w:rPr>
        <w:t>号文件中就同一问题提交了文稿。</w:t>
      </w:r>
    </w:p>
    <w:p w:rsidR="00C222E2" w:rsidRPr="00401011" w:rsidRDefault="00401011" w:rsidP="00C222E2">
      <w:pPr>
        <w:snapToGrid w:val="0"/>
        <w:spacing w:after="120"/>
        <w:ind w:firstLineChars="200" w:firstLine="480"/>
        <w:rPr>
          <w:rFonts w:eastAsiaTheme="minorEastAsia" w:cstheme="majorBidi"/>
          <w:lang w:eastAsia="zh-CN"/>
        </w:rPr>
      </w:pPr>
      <w:r>
        <w:rPr>
          <w:rFonts w:eastAsiaTheme="minorEastAsia" w:cstheme="majorBidi" w:hint="eastAsia"/>
          <w:bCs/>
          <w:lang w:eastAsia="zh-CN"/>
        </w:rPr>
        <w:t>这</w:t>
      </w:r>
      <w:r w:rsidR="00C222E2" w:rsidRPr="00401011">
        <w:rPr>
          <w:rFonts w:eastAsiaTheme="minorEastAsia" w:cstheme="majorBidi"/>
          <w:bCs/>
          <w:lang w:val="en-US" w:eastAsia="zh-CN"/>
        </w:rPr>
        <w:t>方面</w:t>
      </w:r>
      <w:r w:rsidR="00C222E2" w:rsidRPr="00401011">
        <w:rPr>
          <w:rFonts w:eastAsiaTheme="minorEastAsia" w:cstheme="majorBidi"/>
          <w:lang w:eastAsia="zh-CN"/>
        </w:rPr>
        <w:t>，国际电联秘书处于</w:t>
      </w:r>
      <w:r w:rsidR="00C222E2" w:rsidRPr="00401011">
        <w:rPr>
          <w:rFonts w:eastAsiaTheme="minorEastAsia" w:cstheme="majorBidi"/>
          <w:lang w:eastAsia="zh-CN"/>
        </w:rPr>
        <w:t>2016</w:t>
      </w:r>
      <w:r w:rsidR="00C222E2" w:rsidRPr="00401011">
        <w:rPr>
          <w:rFonts w:eastAsiaTheme="minorEastAsia" w:cstheme="majorBidi"/>
          <w:lang w:eastAsia="zh-CN"/>
        </w:rPr>
        <w:t>年向理事会财务和人力资源工作组（</w:t>
      </w:r>
      <w:r w:rsidR="00C222E2" w:rsidRPr="00401011">
        <w:rPr>
          <w:rFonts w:eastAsiaTheme="minorEastAsia" w:cstheme="majorBidi"/>
          <w:lang w:eastAsia="zh-CN"/>
        </w:rPr>
        <w:t>CWG-FHR</w:t>
      </w:r>
      <w:r w:rsidR="00C222E2" w:rsidRPr="00401011">
        <w:rPr>
          <w:rFonts w:eastAsiaTheme="minorEastAsia" w:cstheme="majorBidi"/>
          <w:lang w:eastAsia="zh-CN"/>
        </w:rPr>
        <w:t>）提交了一份报告，对中小企业参与</w:t>
      </w:r>
      <w:r>
        <w:rPr>
          <w:rFonts w:eastAsiaTheme="minorEastAsia" w:cstheme="majorBidi"/>
          <w:lang w:eastAsia="zh-CN"/>
        </w:rPr>
        <w:t>国际电联工作的情况以及此类公司是否</w:t>
      </w:r>
      <w:r>
        <w:rPr>
          <w:rFonts w:eastAsiaTheme="minorEastAsia" w:cstheme="majorBidi" w:hint="eastAsia"/>
          <w:lang w:eastAsia="zh-CN"/>
        </w:rPr>
        <w:t>有</w:t>
      </w:r>
      <w:r>
        <w:rPr>
          <w:rFonts w:eastAsiaTheme="minorEastAsia" w:cstheme="majorBidi"/>
          <w:lang w:eastAsia="zh-CN"/>
        </w:rPr>
        <w:t>兴趣继续参</w:t>
      </w:r>
      <w:r>
        <w:rPr>
          <w:rFonts w:eastAsiaTheme="minorEastAsia" w:cstheme="majorBidi" w:hint="eastAsia"/>
          <w:lang w:eastAsia="zh-CN"/>
        </w:rPr>
        <w:t>与</w:t>
      </w:r>
      <w:r w:rsidR="00C222E2" w:rsidRPr="00401011">
        <w:rPr>
          <w:rFonts w:eastAsiaTheme="minorEastAsia" w:cstheme="majorBidi"/>
          <w:lang w:eastAsia="zh-CN"/>
        </w:rPr>
        <w:t>做出了分析（</w:t>
      </w:r>
      <w:hyperlink r:id="rId12" w:history="1">
        <w:r w:rsidR="00C222E2" w:rsidRPr="00401011">
          <w:rPr>
            <w:rStyle w:val="Hyperlink"/>
            <w:rFonts w:eastAsiaTheme="minorEastAsia" w:cstheme="majorBidi"/>
            <w:lang w:eastAsia="zh-CN"/>
          </w:rPr>
          <w:t>CWG-FHR-INF 7/2</w:t>
        </w:r>
      </w:hyperlink>
      <w:r w:rsidR="00C222E2" w:rsidRPr="00401011">
        <w:rPr>
          <w:rFonts w:eastAsiaTheme="minorEastAsia" w:cstheme="majorBidi"/>
          <w:lang w:eastAsia="zh-CN"/>
        </w:rPr>
        <w:t>号文件）。</w:t>
      </w:r>
    </w:p>
    <w:p w:rsidR="00C222E2" w:rsidRPr="00401011" w:rsidRDefault="00C222E2" w:rsidP="00C222E2">
      <w:pPr>
        <w:snapToGrid w:val="0"/>
        <w:spacing w:after="120"/>
        <w:ind w:firstLineChars="200" w:firstLine="480"/>
        <w:rPr>
          <w:rFonts w:eastAsiaTheme="minorEastAsia" w:cstheme="majorBidi"/>
          <w:lang w:eastAsia="zh-CN"/>
        </w:rPr>
      </w:pPr>
      <w:bookmarkStart w:id="7" w:name="lt_pId030"/>
      <w:bookmarkEnd w:id="6"/>
      <w:r w:rsidRPr="00401011">
        <w:rPr>
          <w:rFonts w:eastAsiaTheme="minorEastAsia" w:cstheme="majorBidi"/>
          <w:bCs/>
          <w:lang w:val="en-US" w:eastAsia="zh-CN"/>
        </w:rPr>
        <w:t>此文件是基于</w:t>
      </w:r>
      <w:r w:rsidRPr="00401011">
        <w:rPr>
          <w:rFonts w:eastAsiaTheme="minorEastAsia" w:cstheme="majorBidi"/>
          <w:lang w:eastAsia="zh-CN"/>
        </w:rPr>
        <w:t>2016</w:t>
      </w:r>
      <w:r w:rsidRPr="00401011">
        <w:rPr>
          <w:rFonts w:eastAsiaTheme="minorEastAsia" w:cstheme="majorBidi"/>
          <w:lang w:eastAsia="zh-CN"/>
        </w:rPr>
        <w:t>年</w:t>
      </w:r>
      <w:r w:rsidRPr="00401011">
        <w:rPr>
          <w:rFonts w:eastAsiaTheme="minorEastAsia" w:cstheme="majorBidi"/>
          <w:lang w:eastAsia="zh-CN"/>
        </w:rPr>
        <w:t>6</w:t>
      </w:r>
      <w:r w:rsidRPr="00401011">
        <w:rPr>
          <w:rFonts w:eastAsiaTheme="minorEastAsia" w:cstheme="majorBidi"/>
          <w:lang w:eastAsia="zh-CN"/>
        </w:rPr>
        <w:t>月面向目前</w:t>
      </w:r>
      <w:r w:rsidR="00401011">
        <w:rPr>
          <w:rFonts w:eastAsiaTheme="minorEastAsia" w:cstheme="majorBidi"/>
          <w:lang w:eastAsia="zh-CN"/>
        </w:rPr>
        <w:t>与国际电联</w:t>
      </w:r>
      <w:r w:rsidR="00401011">
        <w:rPr>
          <w:rFonts w:eastAsiaTheme="minorEastAsia" w:cstheme="majorBidi" w:hint="eastAsia"/>
          <w:lang w:eastAsia="zh-CN"/>
        </w:rPr>
        <w:t>有</w:t>
      </w:r>
      <w:r w:rsidR="00401011">
        <w:rPr>
          <w:rFonts w:eastAsiaTheme="minorEastAsia" w:cstheme="majorBidi"/>
          <w:lang w:eastAsia="zh-CN"/>
        </w:rPr>
        <w:t>关联</w:t>
      </w:r>
      <w:r w:rsidRPr="00401011">
        <w:rPr>
          <w:rFonts w:eastAsiaTheme="minorEastAsia" w:cstheme="majorBidi"/>
          <w:lang w:eastAsia="zh-CN"/>
        </w:rPr>
        <w:t>的中小企业开展的电话调查（调查之时，共有</w:t>
      </w:r>
      <w:r w:rsidRPr="00401011">
        <w:rPr>
          <w:rFonts w:eastAsiaTheme="minorEastAsia" w:cstheme="majorBidi"/>
          <w:lang w:eastAsia="zh-CN"/>
        </w:rPr>
        <w:t>41</w:t>
      </w:r>
      <w:r w:rsidRPr="00401011">
        <w:rPr>
          <w:rFonts w:eastAsiaTheme="minorEastAsia" w:cstheme="majorBidi"/>
          <w:lang w:eastAsia="zh-CN"/>
        </w:rPr>
        <w:t>家</w:t>
      </w:r>
      <w:r w:rsidR="00401011">
        <w:rPr>
          <w:rFonts w:eastAsiaTheme="minorEastAsia" w:cstheme="majorBidi"/>
          <w:lang w:eastAsia="zh-CN"/>
        </w:rPr>
        <w:t>与国际电联</w:t>
      </w:r>
      <w:r w:rsidR="00401011">
        <w:rPr>
          <w:rFonts w:eastAsiaTheme="minorEastAsia" w:cstheme="majorBidi" w:hint="eastAsia"/>
          <w:lang w:eastAsia="zh-CN"/>
        </w:rPr>
        <w:t>存在</w:t>
      </w:r>
      <w:r w:rsidR="00401011">
        <w:rPr>
          <w:rFonts w:eastAsiaTheme="minorEastAsia" w:cstheme="majorBidi"/>
          <w:lang w:eastAsia="zh-CN"/>
        </w:rPr>
        <w:t>关联</w:t>
      </w:r>
      <w:r w:rsidRPr="00401011">
        <w:rPr>
          <w:rFonts w:eastAsiaTheme="minorEastAsia" w:cstheme="majorBidi"/>
          <w:lang w:eastAsia="zh-CN"/>
        </w:rPr>
        <w:t>的中小企业</w:t>
      </w:r>
      <w:r w:rsidRPr="00401011">
        <w:rPr>
          <w:rFonts w:eastAsiaTheme="minorEastAsia" w:cstheme="majorBidi"/>
          <w:lang w:eastAsia="zh-CN"/>
        </w:rPr>
        <w:t xml:space="preserve"> – 32</w:t>
      </w:r>
      <w:r w:rsidRPr="00401011">
        <w:rPr>
          <w:rFonts w:eastAsiaTheme="minorEastAsia" w:cstheme="majorBidi"/>
          <w:lang w:eastAsia="zh-CN"/>
        </w:rPr>
        <w:t>个部门准成员和</w:t>
      </w:r>
      <w:r w:rsidRPr="00401011">
        <w:rPr>
          <w:rFonts w:eastAsiaTheme="minorEastAsia" w:cstheme="majorBidi"/>
          <w:lang w:eastAsia="zh-CN"/>
        </w:rPr>
        <w:t>9</w:t>
      </w:r>
      <w:r w:rsidRPr="00401011">
        <w:rPr>
          <w:rFonts w:eastAsiaTheme="minorEastAsia" w:cstheme="majorBidi"/>
          <w:lang w:eastAsia="zh-CN"/>
        </w:rPr>
        <w:t>个部门成员）。文件分享并重申了阿根廷</w:t>
      </w:r>
      <w:r w:rsidR="00401011">
        <w:rPr>
          <w:rFonts w:eastAsiaTheme="minorEastAsia" w:cstheme="majorBidi" w:hint="eastAsia"/>
          <w:lang w:eastAsia="zh-CN"/>
        </w:rPr>
        <w:t>在</w:t>
      </w:r>
      <w:r w:rsidRPr="00401011">
        <w:rPr>
          <w:rFonts w:eastAsiaTheme="minorEastAsia" w:cstheme="majorBidi"/>
          <w:lang w:eastAsia="zh-CN"/>
        </w:rPr>
        <w:t>向</w:t>
      </w:r>
      <w:r w:rsidRPr="00401011">
        <w:rPr>
          <w:rFonts w:eastAsiaTheme="minorEastAsia" w:cstheme="majorBidi"/>
          <w:lang w:eastAsia="zh-CN"/>
        </w:rPr>
        <w:t>2015</w:t>
      </w:r>
      <w:r w:rsidRPr="00401011">
        <w:rPr>
          <w:rFonts w:eastAsiaTheme="minorEastAsia" w:cstheme="majorBidi"/>
          <w:lang w:eastAsia="zh-CN"/>
        </w:rPr>
        <w:t>年</w:t>
      </w:r>
      <w:r w:rsidRPr="00401011">
        <w:rPr>
          <w:rFonts w:eastAsiaTheme="minorEastAsia" w:cstheme="majorBidi"/>
          <w:lang w:eastAsia="zh-CN"/>
        </w:rPr>
        <w:t>10</w:t>
      </w:r>
      <w:r w:rsidRPr="00401011">
        <w:rPr>
          <w:rFonts w:eastAsiaTheme="minorEastAsia" w:cstheme="majorBidi"/>
          <w:lang w:eastAsia="zh-CN"/>
        </w:rPr>
        <w:t>月</w:t>
      </w:r>
      <w:r w:rsidRPr="00401011">
        <w:rPr>
          <w:rFonts w:eastAsiaTheme="minorEastAsia" w:cstheme="majorBidi"/>
          <w:lang w:eastAsia="zh-CN"/>
        </w:rPr>
        <w:t>CWG-FHR</w:t>
      </w:r>
      <w:r w:rsidRPr="00401011">
        <w:rPr>
          <w:rFonts w:eastAsiaTheme="minorEastAsia" w:cstheme="majorBidi"/>
          <w:lang w:eastAsia="zh-CN"/>
        </w:rPr>
        <w:t>会议提交的</w:t>
      </w:r>
      <w:hyperlink r:id="rId13" w:history="1">
        <w:r w:rsidRPr="00401011">
          <w:rPr>
            <w:rStyle w:val="Hyperlink"/>
            <w:rFonts w:eastAsiaTheme="minorEastAsia" w:cstheme="majorBidi"/>
            <w:lang w:eastAsia="zh-CN"/>
          </w:rPr>
          <w:t>CWG-FHR5/12</w:t>
        </w:r>
        <w:r w:rsidRPr="00401011">
          <w:rPr>
            <w:rStyle w:val="Hyperlink"/>
            <w:rFonts w:eastAsiaTheme="minorEastAsia" w:cstheme="majorBidi"/>
            <w:lang w:eastAsia="zh-CN"/>
          </w:rPr>
          <w:t>（</w:t>
        </w:r>
        <w:r w:rsidRPr="00401011">
          <w:rPr>
            <w:rStyle w:val="Hyperlink"/>
            <w:rFonts w:eastAsiaTheme="minorEastAsia" w:cstheme="majorBidi"/>
            <w:lang w:eastAsia="zh-CN"/>
          </w:rPr>
          <w:t>Rev.1</w:t>
        </w:r>
        <w:r w:rsidRPr="00401011">
          <w:rPr>
            <w:rStyle w:val="Hyperlink"/>
            <w:rFonts w:eastAsiaTheme="minorEastAsia" w:cstheme="majorBidi"/>
            <w:lang w:eastAsia="zh-CN"/>
          </w:rPr>
          <w:t>）</w:t>
        </w:r>
      </w:hyperlink>
      <w:r w:rsidRPr="00401011">
        <w:rPr>
          <w:rFonts w:eastAsiaTheme="minorEastAsia" w:cstheme="majorBidi"/>
          <w:lang w:eastAsia="zh-CN"/>
        </w:rPr>
        <w:t>号文件</w:t>
      </w:r>
      <w:r w:rsidR="00401011">
        <w:rPr>
          <w:rFonts w:eastAsiaTheme="minorEastAsia" w:cstheme="majorBidi" w:hint="eastAsia"/>
          <w:lang w:eastAsia="zh-CN"/>
        </w:rPr>
        <w:t>中</w:t>
      </w:r>
      <w:r w:rsidRPr="00401011">
        <w:rPr>
          <w:rFonts w:eastAsiaTheme="minorEastAsia" w:cstheme="majorBidi"/>
          <w:lang w:eastAsia="zh-CN"/>
        </w:rPr>
        <w:t>反映的</w:t>
      </w:r>
      <w:r w:rsidR="00401011">
        <w:rPr>
          <w:rFonts w:eastAsiaTheme="minorEastAsia" w:cstheme="majorBidi" w:hint="eastAsia"/>
          <w:lang w:eastAsia="zh-CN"/>
        </w:rPr>
        <w:t>多项</w:t>
      </w:r>
      <w:r w:rsidRPr="00401011">
        <w:rPr>
          <w:rFonts w:eastAsiaTheme="minorEastAsia" w:cstheme="majorBidi"/>
          <w:lang w:eastAsia="zh-CN"/>
        </w:rPr>
        <w:t>关切，即：</w:t>
      </w:r>
      <w:bookmarkStart w:id="8" w:name="lt_pId032"/>
      <w:bookmarkEnd w:id="7"/>
    </w:p>
    <w:p w:rsidR="00C222E2" w:rsidRPr="00401011" w:rsidRDefault="00C222E2" w:rsidP="00C222E2">
      <w:pPr>
        <w:snapToGrid w:val="0"/>
        <w:spacing w:after="120"/>
        <w:ind w:firstLineChars="200" w:firstLine="480"/>
        <w:rPr>
          <w:rFonts w:eastAsiaTheme="minorEastAsia" w:cstheme="majorBidi"/>
        </w:rPr>
      </w:pPr>
      <w:r w:rsidRPr="00401011">
        <w:rPr>
          <w:rFonts w:eastAsiaTheme="minorEastAsia" w:cstheme="majorBidi"/>
          <w:bCs/>
          <w:lang w:val="en-US" w:eastAsia="zh-CN"/>
        </w:rPr>
        <w:t>一般性数据</w:t>
      </w:r>
      <w:r w:rsidRPr="00401011">
        <w:rPr>
          <w:rFonts w:eastAsiaTheme="minorEastAsia" w:cstheme="majorBidi"/>
          <w:lang w:eastAsia="zh-CN"/>
        </w:rPr>
        <w:t>：</w:t>
      </w:r>
      <w:bookmarkEnd w:id="8"/>
    </w:p>
    <w:p w:rsidR="00C222E2" w:rsidRPr="00401011" w:rsidRDefault="00401011" w:rsidP="00401011">
      <w:pPr>
        <w:pStyle w:val="enumlev1"/>
        <w:rPr>
          <w:lang w:eastAsia="zh-CN"/>
        </w:rPr>
      </w:pPr>
      <w:bookmarkStart w:id="9" w:name="lt_pId033"/>
      <w:r w:rsidRPr="00401011">
        <w:rPr>
          <w:lang w:eastAsia="zh-CN"/>
        </w:rPr>
        <w:t>•</w:t>
      </w:r>
      <w:r>
        <w:rPr>
          <w:lang w:eastAsia="zh-CN"/>
        </w:rPr>
        <w:tab/>
      </w:r>
      <w:r w:rsidR="00C222E2" w:rsidRPr="00401011">
        <w:rPr>
          <w:lang w:eastAsia="zh-CN"/>
        </w:rPr>
        <w:t>大多数目前与国际电联存在关联的中小企业参加了</w:t>
      </w:r>
      <w:r w:rsidR="00C222E2" w:rsidRPr="00401011">
        <w:rPr>
          <w:lang w:eastAsia="zh-CN"/>
        </w:rPr>
        <w:t>ITU-T</w:t>
      </w:r>
      <w:r w:rsidR="00C222E2" w:rsidRPr="00401011">
        <w:rPr>
          <w:lang w:eastAsia="zh-CN"/>
        </w:rPr>
        <w:t>的活动</w:t>
      </w:r>
      <w:r w:rsidR="00C222E2" w:rsidRPr="00401011">
        <w:rPr>
          <w:lang w:eastAsia="zh-CN"/>
        </w:rPr>
        <w:t xml:space="preserve"> </w:t>
      </w:r>
      <w:r w:rsidR="00C222E2" w:rsidRPr="00401011">
        <w:rPr>
          <w:lang w:eastAsia="zh-CN"/>
        </w:rPr>
        <w:t>（</w:t>
      </w:r>
      <w:r w:rsidR="00C222E2" w:rsidRPr="00401011">
        <w:rPr>
          <w:lang w:eastAsia="zh-CN"/>
        </w:rPr>
        <w:t>68%</w:t>
      </w:r>
      <w:r w:rsidR="00C222E2" w:rsidRPr="00401011">
        <w:rPr>
          <w:lang w:eastAsia="zh-CN"/>
        </w:rPr>
        <w:t>）；</w:t>
      </w:r>
      <w:bookmarkEnd w:id="9"/>
    </w:p>
    <w:p w:rsidR="00C222E2" w:rsidRPr="00401011" w:rsidRDefault="00401011" w:rsidP="00401011">
      <w:pPr>
        <w:pStyle w:val="enumlev1"/>
        <w:rPr>
          <w:lang w:eastAsia="zh-CN"/>
        </w:rPr>
      </w:pPr>
      <w:bookmarkStart w:id="10" w:name="lt_pId034"/>
      <w:r w:rsidRPr="00401011">
        <w:rPr>
          <w:lang w:eastAsia="zh-CN"/>
        </w:rPr>
        <w:t>•</w:t>
      </w:r>
      <w:r>
        <w:rPr>
          <w:lang w:eastAsia="zh-CN"/>
        </w:rPr>
        <w:tab/>
      </w:r>
      <w:r w:rsidR="00C222E2" w:rsidRPr="00401011">
        <w:rPr>
          <w:lang w:eastAsia="zh-CN"/>
        </w:rPr>
        <w:t>他们中有</w:t>
      </w:r>
      <w:r w:rsidR="00C222E2" w:rsidRPr="00401011">
        <w:rPr>
          <w:lang w:eastAsia="zh-CN"/>
        </w:rPr>
        <w:t>69%</w:t>
      </w:r>
      <w:r w:rsidR="00C222E2" w:rsidRPr="00401011">
        <w:rPr>
          <w:lang w:eastAsia="zh-CN"/>
        </w:rPr>
        <w:t>来自西欧，</w:t>
      </w:r>
      <w:r w:rsidR="00C222E2" w:rsidRPr="00401011">
        <w:rPr>
          <w:lang w:eastAsia="zh-CN"/>
        </w:rPr>
        <w:t>28%</w:t>
      </w:r>
      <w:r w:rsidR="00C222E2" w:rsidRPr="00401011">
        <w:rPr>
          <w:lang w:eastAsia="zh-CN"/>
        </w:rPr>
        <w:t>来自北美（美国或加拿大），仅有</w:t>
      </w:r>
      <w:r w:rsidR="00C222E2" w:rsidRPr="00401011">
        <w:rPr>
          <w:lang w:eastAsia="zh-CN"/>
        </w:rPr>
        <w:t>3%</w:t>
      </w:r>
      <w:r w:rsidR="00C222E2" w:rsidRPr="00401011">
        <w:rPr>
          <w:lang w:eastAsia="zh-CN"/>
        </w:rPr>
        <w:t>（</w:t>
      </w:r>
      <w:r w:rsidR="00C222E2" w:rsidRPr="00401011">
        <w:rPr>
          <w:lang w:eastAsia="zh-CN"/>
        </w:rPr>
        <w:t>1</w:t>
      </w:r>
      <w:r w:rsidR="00C222E2" w:rsidRPr="00401011">
        <w:rPr>
          <w:lang w:eastAsia="zh-CN"/>
        </w:rPr>
        <w:t>家中小企业）来自阿拉伯区域；</w:t>
      </w:r>
      <w:bookmarkEnd w:id="10"/>
    </w:p>
    <w:p w:rsidR="00C222E2" w:rsidRPr="00401011" w:rsidRDefault="00401011" w:rsidP="00401011">
      <w:pPr>
        <w:pStyle w:val="enumlev1"/>
        <w:rPr>
          <w:lang w:eastAsia="zh-CN"/>
        </w:rPr>
      </w:pPr>
      <w:bookmarkStart w:id="11" w:name="lt_pId035"/>
      <w:r w:rsidRPr="00401011">
        <w:rPr>
          <w:lang w:eastAsia="zh-CN"/>
        </w:rPr>
        <w:t>•</w:t>
      </w:r>
      <w:r>
        <w:rPr>
          <w:lang w:eastAsia="zh-CN"/>
        </w:rPr>
        <w:tab/>
      </w:r>
      <w:r w:rsidR="00C222E2" w:rsidRPr="00401011">
        <w:rPr>
          <w:lang w:eastAsia="zh-CN"/>
        </w:rPr>
        <w:t>目前实际没有与国际电联存在关联的发展中国家中小企业</w:t>
      </w:r>
      <w:bookmarkEnd w:id="11"/>
      <w:r w:rsidR="00C222E2" w:rsidRPr="00401011">
        <w:rPr>
          <w:lang w:eastAsia="zh-CN"/>
        </w:rPr>
        <w:t>。</w:t>
      </w:r>
    </w:p>
    <w:p w:rsidR="00C222E2" w:rsidRPr="00401011" w:rsidRDefault="00C222E2" w:rsidP="00C222E2">
      <w:pPr>
        <w:snapToGrid w:val="0"/>
        <w:spacing w:after="120"/>
        <w:ind w:firstLineChars="200" w:firstLine="480"/>
        <w:rPr>
          <w:rFonts w:eastAsiaTheme="minorEastAsia" w:cstheme="majorBidi"/>
          <w:lang w:eastAsia="zh-CN"/>
        </w:rPr>
      </w:pPr>
      <w:bookmarkStart w:id="12" w:name="lt_pId036"/>
      <w:r w:rsidRPr="00401011">
        <w:rPr>
          <w:rFonts w:eastAsiaTheme="minorEastAsia" w:cstheme="majorBidi"/>
          <w:bCs/>
          <w:lang w:val="en-US" w:eastAsia="zh-CN"/>
        </w:rPr>
        <w:lastRenderedPageBreak/>
        <w:t>参与的益处</w:t>
      </w:r>
      <w:r w:rsidRPr="00401011">
        <w:rPr>
          <w:rFonts w:eastAsiaTheme="minorEastAsia" w:cstheme="majorBidi"/>
          <w:lang w:eastAsia="zh-CN"/>
        </w:rPr>
        <w:t>（</w:t>
      </w:r>
      <w:r w:rsidR="00401011">
        <w:rPr>
          <w:rFonts w:eastAsiaTheme="minorEastAsia" w:cstheme="majorBidi" w:hint="eastAsia"/>
          <w:lang w:eastAsia="zh-CN"/>
        </w:rPr>
        <w:t>基于</w:t>
      </w:r>
      <w:r w:rsidRPr="00401011">
        <w:rPr>
          <w:rFonts w:eastAsiaTheme="minorEastAsia" w:cstheme="majorBidi"/>
          <w:lang w:eastAsia="zh-CN"/>
        </w:rPr>
        <w:t>中小企业自己的看法）</w:t>
      </w:r>
      <w:bookmarkEnd w:id="12"/>
      <w:r w:rsidRPr="00401011">
        <w:rPr>
          <w:rFonts w:eastAsiaTheme="minorEastAsia" w:cstheme="majorBidi"/>
          <w:lang w:eastAsia="zh-CN"/>
        </w:rPr>
        <w:t>：</w:t>
      </w:r>
    </w:p>
    <w:p w:rsidR="00C222E2" w:rsidRPr="00401011" w:rsidRDefault="00401011" w:rsidP="00401011">
      <w:pPr>
        <w:pStyle w:val="enumlev1"/>
        <w:rPr>
          <w:rFonts w:eastAsiaTheme="minorEastAsia" w:cstheme="majorBidi"/>
          <w:lang w:eastAsia="zh-CN"/>
        </w:rPr>
      </w:pPr>
      <w:bookmarkStart w:id="13" w:name="lt_pId037"/>
      <w:r w:rsidRPr="00401011">
        <w:rPr>
          <w:rFonts w:eastAsiaTheme="minorEastAsia" w:cstheme="majorBidi"/>
          <w:lang w:eastAsia="zh-CN"/>
        </w:rPr>
        <w:t>•</w:t>
      </w:r>
      <w:r>
        <w:rPr>
          <w:rFonts w:eastAsiaTheme="minorEastAsia" w:cstheme="majorBidi"/>
          <w:lang w:eastAsia="zh-CN"/>
        </w:rPr>
        <w:tab/>
      </w:r>
      <w:r w:rsidR="00C222E2" w:rsidRPr="00401011">
        <w:rPr>
          <w:rFonts w:eastAsiaTheme="minorEastAsia" w:cstheme="majorBidi"/>
          <w:lang w:eastAsia="zh-CN"/>
        </w:rPr>
        <w:t>获得国际电联的产品和出版物（建议书、邮件列表、出版物）；</w:t>
      </w:r>
      <w:bookmarkEnd w:id="13"/>
    </w:p>
    <w:p w:rsidR="00C222E2" w:rsidRPr="00401011" w:rsidRDefault="00401011" w:rsidP="00401011">
      <w:pPr>
        <w:pStyle w:val="enumlev1"/>
        <w:rPr>
          <w:rFonts w:eastAsiaTheme="minorEastAsia" w:cstheme="majorBidi"/>
          <w:lang w:eastAsia="zh-CN"/>
        </w:rPr>
      </w:pPr>
      <w:bookmarkStart w:id="14" w:name="lt_pId038"/>
      <w:r w:rsidRPr="00401011">
        <w:rPr>
          <w:rFonts w:eastAsiaTheme="minorEastAsia" w:cstheme="majorBidi"/>
          <w:lang w:eastAsia="zh-CN"/>
        </w:rPr>
        <w:t>•</w:t>
      </w:r>
      <w:r>
        <w:rPr>
          <w:rFonts w:eastAsiaTheme="minorEastAsia" w:cstheme="majorBidi"/>
          <w:lang w:eastAsia="zh-CN"/>
        </w:rPr>
        <w:tab/>
      </w:r>
      <w:r w:rsidR="00C222E2" w:rsidRPr="00401011">
        <w:rPr>
          <w:rFonts w:eastAsiaTheme="minorEastAsia" w:cstheme="majorBidi"/>
          <w:lang w:eastAsia="zh-CN"/>
        </w:rPr>
        <w:t>获取国际电联的各项服务（网页、</w:t>
      </w:r>
      <w:r w:rsidR="00C222E2" w:rsidRPr="00401011">
        <w:rPr>
          <w:rFonts w:eastAsiaTheme="minorEastAsia" w:cstheme="majorBidi"/>
          <w:lang w:eastAsia="zh-CN"/>
        </w:rPr>
        <w:t>TIES</w:t>
      </w:r>
      <w:r w:rsidR="00C222E2" w:rsidRPr="00401011">
        <w:rPr>
          <w:rFonts w:eastAsiaTheme="minorEastAsia" w:cstheme="majorBidi"/>
          <w:lang w:eastAsia="zh-CN"/>
        </w:rPr>
        <w:t>账户、数据库）；</w:t>
      </w:r>
      <w:bookmarkEnd w:id="14"/>
    </w:p>
    <w:p w:rsidR="00C222E2" w:rsidRPr="00401011" w:rsidRDefault="00401011" w:rsidP="00401011">
      <w:pPr>
        <w:pStyle w:val="enumlev1"/>
        <w:rPr>
          <w:rFonts w:eastAsiaTheme="minorEastAsia" w:cstheme="majorBidi"/>
          <w:lang w:eastAsia="zh-CN"/>
        </w:rPr>
      </w:pPr>
      <w:bookmarkStart w:id="15" w:name="lt_pId039"/>
      <w:r w:rsidRPr="00401011">
        <w:rPr>
          <w:rFonts w:eastAsiaTheme="minorEastAsia" w:cstheme="majorBidi"/>
          <w:lang w:eastAsia="zh-CN"/>
        </w:rPr>
        <w:t>•</w:t>
      </w:r>
      <w:r>
        <w:rPr>
          <w:rFonts w:eastAsiaTheme="minorEastAsia" w:cstheme="majorBidi"/>
          <w:lang w:eastAsia="zh-CN"/>
        </w:rPr>
        <w:tab/>
      </w:r>
      <w:r>
        <w:rPr>
          <w:rFonts w:eastAsiaTheme="minorEastAsia" w:cstheme="majorBidi" w:hint="eastAsia"/>
          <w:lang w:eastAsia="zh-CN"/>
        </w:rPr>
        <w:t>获得</w:t>
      </w:r>
      <w:r w:rsidR="00C222E2" w:rsidRPr="00401011">
        <w:rPr>
          <w:rFonts w:eastAsiaTheme="minorEastAsia" w:cstheme="majorBidi"/>
          <w:lang w:eastAsia="zh-CN"/>
        </w:rPr>
        <w:t>国际电联的成员身份，为成立协会、联盟和交往打开通道。</w:t>
      </w:r>
      <w:bookmarkEnd w:id="15"/>
    </w:p>
    <w:p w:rsidR="00C222E2" w:rsidRPr="00401011" w:rsidRDefault="00C222E2" w:rsidP="00C222E2">
      <w:pPr>
        <w:snapToGrid w:val="0"/>
        <w:spacing w:after="120"/>
        <w:ind w:firstLineChars="200" w:firstLine="480"/>
        <w:rPr>
          <w:rFonts w:eastAsiaTheme="minorEastAsia" w:cstheme="majorBidi"/>
          <w:lang w:eastAsia="zh-CN"/>
        </w:rPr>
      </w:pPr>
      <w:bookmarkStart w:id="16" w:name="lt_pId040"/>
      <w:r w:rsidRPr="00401011">
        <w:rPr>
          <w:rFonts w:eastAsiaTheme="minorEastAsia" w:cstheme="majorBidi"/>
          <w:bCs/>
          <w:lang w:val="en-US" w:eastAsia="zh-CN"/>
        </w:rPr>
        <w:t>参与的困难</w:t>
      </w:r>
      <w:r w:rsidRPr="00401011">
        <w:rPr>
          <w:rFonts w:eastAsiaTheme="minorEastAsia" w:cstheme="majorBidi"/>
          <w:lang w:eastAsia="zh-CN"/>
        </w:rPr>
        <w:t>（</w:t>
      </w:r>
      <w:r w:rsidR="00401011">
        <w:rPr>
          <w:rFonts w:eastAsiaTheme="minorEastAsia" w:cstheme="majorBidi" w:hint="eastAsia"/>
          <w:lang w:eastAsia="zh-CN"/>
        </w:rPr>
        <w:t>基于</w:t>
      </w:r>
      <w:r w:rsidRPr="00401011">
        <w:rPr>
          <w:rFonts w:eastAsiaTheme="minorEastAsia" w:cstheme="majorBidi"/>
          <w:lang w:eastAsia="zh-CN"/>
        </w:rPr>
        <w:t>中小企业自己的看法）</w:t>
      </w:r>
      <w:bookmarkEnd w:id="16"/>
      <w:r w:rsidRPr="00401011">
        <w:rPr>
          <w:rFonts w:eastAsiaTheme="minorEastAsia" w:cstheme="majorBidi"/>
          <w:lang w:eastAsia="zh-CN"/>
        </w:rPr>
        <w:t>：</w:t>
      </w:r>
    </w:p>
    <w:p w:rsidR="00C222E2" w:rsidRPr="00401011" w:rsidRDefault="00401011" w:rsidP="00401011">
      <w:pPr>
        <w:pStyle w:val="enumlev1"/>
        <w:rPr>
          <w:rFonts w:eastAsiaTheme="minorEastAsia" w:cstheme="majorBidi"/>
          <w:lang w:eastAsia="zh-CN"/>
        </w:rPr>
      </w:pPr>
      <w:bookmarkStart w:id="17" w:name="lt_pId041"/>
      <w:r w:rsidRPr="00401011">
        <w:rPr>
          <w:rFonts w:eastAsiaTheme="minorEastAsia" w:cstheme="majorBidi"/>
          <w:lang w:eastAsia="zh-CN"/>
        </w:rPr>
        <w:t>•</w:t>
      </w:r>
      <w:r>
        <w:rPr>
          <w:rFonts w:eastAsiaTheme="minorEastAsia" w:cstheme="majorBidi"/>
          <w:lang w:eastAsia="zh-CN"/>
        </w:rPr>
        <w:tab/>
      </w:r>
      <w:r w:rsidR="00C222E2" w:rsidRPr="00401011">
        <w:rPr>
          <w:rFonts w:eastAsiaTheme="minorEastAsia" w:cstheme="majorBidi"/>
          <w:lang w:eastAsia="zh-CN"/>
        </w:rPr>
        <w:t>参会的相关成本（差旅和住宿）；</w:t>
      </w:r>
      <w:bookmarkEnd w:id="17"/>
    </w:p>
    <w:p w:rsidR="00C222E2" w:rsidRPr="00401011" w:rsidRDefault="00401011" w:rsidP="00401011">
      <w:pPr>
        <w:pStyle w:val="enumlev1"/>
        <w:rPr>
          <w:rFonts w:eastAsiaTheme="minorEastAsia" w:cstheme="majorBidi"/>
          <w:lang w:eastAsia="zh-CN"/>
        </w:rPr>
      </w:pPr>
      <w:bookmarkStart w:id="18" w:name="lt_pId042"/>
      <w:r w:rsidRPr="00401011">
        <w:rPr>
          <w:rFonts w:eastAsiaTheme="minorEastAsia" w:cstheme="majorBidi"/>
          <w:lang w:eastAsia="zh-CN"/>
        </w:rPr>
        <w:t>•</w:t>
      </w:r>
      <w:r>
        <w:rPr>
          <w:rFonts w:eastAsiaTheme="minorEastAsia" w:cstheme="majorBidi"/>
          <w:lang w:eastAsia="zh-CN"/>
        </w:rPr>
        <w:tab/>
      </w:r>
      <w:r w:rsidR="00C222E2" w:rsidRPr="00401011">
        <w:rPr>
          <w:rFonts w:eastAsiaTheme="minorEastAsia" w:cstheme="majorBidi"/>
          <w:lang w:eastAsia="zh-CN"/>
        </w:rPr>
        <w:t>处理不同议题和每年参加会议的人力资源不足；</w:t>
      </w:r>
      <w:bookmarkEnd w:id="18"/>
    </w:p>
    <w:p w:rsidR="00C222E2" w:rsidRPr="00401011" w:rsidRDefault="00401011" w:rsidP="00401011">
      <w:pPr>
        <w:pStyle w:val="enumlev1"/>
        <w:rPr>
          <w:rFonts w:eastAsiaTheme="minorEastAsia" w:cstheme="majorBidi"/>
          <w:lang w:eastAsia="zh-CN"/>
        </w:rPr>
      </w:pPr>
      <w:bookmarkStart w:id="19" w:name="lt_pId043"/>
      <w:r w:rsidRPr="00401011">
        <w:rPr>
          <w:rFonts w:eastAsiaTheme="minorEastAsia" w:cstheme="majorBidi"/>
          <w:lang w:eastAsia="zh-CN"/>
        </w:rPr>
        <w:t>•</w:t>
      </w:r>
      <w:r>
        <w:rPr>
          <w:rFonts w:eastAsiaTheme="minorEastAsia" w:cstheme="majorBidi"/>
          <w:lang w:eastAsia="zh-CN"/>
        </w:rPr>
        <w:tab/>
      </w:r>
      <w:r w:rsidR="00C222E2" w:rsidRPr="00401011">
        <w:rPr>
          <w:rFonts w:eastAsiaTheme="minorEastAsia" w:cstheme="majorBidi"/>
          <w:lang w:eastAsia="zh-CN"/>
        </w:rPr>
        <w:t>参会的时间不足；</w:t>
      </w:r>
      <w:bookmarkEnd w:id="19"/>
    </w:p>
    <w:p w:rsidR="00C222E2" w:rsidRPr="00401011" w:rsidRDefault="00401011" w:rsidP="00401011">
      <w:pPr>
        <w:pStyle w:val="enumlev1"/>
        <w:rPr>
          <w:rFonts w:eastAsiaTheme="minorEastAsia" w:cstheme="majorBidi"/>
          <w:lang w:val="en-US" w:eastAsia="zh-CN"/>
        </w:rPr>
      </w:pPr>
      <w:bookmarkStart w:id="20" w:name="lt_pId044"/>
      <w:r w:rsidRPr="00401011">
        <w:rPr>
          <w:rFonts w:eastAsiaTheme="minorEastAsia" w:cstheme="majorBidi"/>
          <w:lang w:eastAsia="zh-CN"/>
        </w:rPr>
        <w:t>•</w:t>
      </w:r>
      <w:r>
        <w:rPr>
          <w:rFonts w:eastAsiaTheme="minorEastAsia" w:cstheme="majorBidi"/>
          <w:lang w:eastAsia="zh-CN"/>
        </w:rPr>
        <w:tab/>
      </w:r>
      <w:r w:rsidR="00C222E2" w:rsidRPr="00401011">
        <w:rPr>
          <w:rFonts w:eastAsiaTheme="minorEastAsia" w:cstheme="majorBidi"/>
          <w:lang w:val="en-US" w:eastAsia="zh-CN"/>
        </w:rPr>
        <w:t>加入的成本（获得成员身份）</w:t>
      </w:r>
      <w:bookmarkEnd w:id="20"/>
      <w:r w:rsidR="00C222E2" w:rsidRPr="00401011">
        <w:rPr>
          <w:rFonts w:eastAsiaTheme="minorEastAsia" w:cstheme="majorBidi"/>
          <w:lang w:val="en-US" w:eastAsia="zh-CN"/>
        </w:rPr>
        <w:t>。</w:t>
      </w:r>
    </w:p>
    <w:p w:rsidR="00C222E2" w:rsidRPr="00401011" w:rsidRDefault="00C222E2" w:rsidP="00C222E2">
      <w:pPr>
        <w:snapToGrid w:val="0"/>
        <w:spacing w:after="120"/>
        <w:ind w:firstLineChars="200" w:firstLine="480"/>
        <w:rPr>
          <w:rFonts w:eastAsiaTheme="minorEastAsia" w:cstheme="majorBidi"/>
          <w:lang w:eastAsia="zh-CN"/>
        </w:rPr>
      </w:pPr>
      <w:bookmarkStart w:id="21" w:name="lt_pId045"/>
      <w:r w:rsidRPr="00401011">
        <w:rPr>
          <w:rFonts w:eastAsiaTheme="minorEastAsia" w:cstheme="majorBidi"/>
          <w:bCs/>
          <w:lang w:val="en-US" w:eastAsia="zh-CN"/>
        </w:rPr>
        <w:t>部分建议</w:t>
      </w:r>
      <w:r w:rsidRPr="00401011">
        <w:rPr>
          <w:rFonts w:eastAsiaTheme="minorEastAsia" w:cstheme="majorBidi"/>
          <w:lang w:eastAsia="zh-CN"/>
        </w:rPr>
        <w:t>（</w:t>
      </w:r>
      <w:r w:rsidR="00401011">
        <w:rPr>
          <w:rFonts w:eastAsiaTheme="minorEastAsia" w:cstheme="majorBidi" w:hint="eastAsia"/>
          <w:lang w:eastAsia="zh-CN"/>
        </w:rPr>
        <w:t>由</w:t>
      </w:r>
      <w:r w:rsidRPr="00401011">
        <w:rPr>
          <w:rFonts w:eastAsiaTheme="minorEastAsia" w:cstheme="majorBidi"/>
          <w:lang w:eastAsia="zh-CN"/>
        </w:rPr>
        <w:t>中小企业</w:t>
      </w:r>
      <w:r w:rsidR="00401011">
        <w:rPr>
          <w:rFonts w:eastAsiaTheme="minorEastAsia" w:cstheme="majorBidi" w:hint="eastAsia"/>
          <w:lang w:eastAsia="zh-CN"/>
        </w:rPr>
        <w:t>自己</w:t>
      </w:r>
      <w:r w:rsidR="00401011">
        <w:rPr>
          <w:rFonts w:eastAsiaTheme="minorEastAsia" w:cstheme="majorBidi"/>
          <w:lang w:eastAsia="zh-CN"/>
        </w:rPr>
        <w:t>提出</w:t>
      </w:r>
      <w:r w:rsidRPr="00401011">
        <w:rPr>
          <w:rFonts w:eastAsiaTheme="minorEastAsia" w:cstheme="majorBidi"/>
          <w:lang w:eastAsia="zh-CN"/>
        </w:rPr>
        <w:t>）：</w:t>
      </w:r>
      <w:bookmarkEnd w:id="21"/>
    </w:p>
    <w:p w:rsidR="00C222E2" w:rsidRPr="00401011" w:rsidRDefault="00401011" w:rsidP="00401011">
      <w:pPr>
        <w:pStyle w:val="enumlev1"/>
        <w:rPr>
          <w:rFonts w:eastAsiaTheme="minorEastAsia" w:cstheme="majorBidi"/>
          <w:lang w:eastAsia="zh-CN"/>
        </w:rPr>
      </w:pPr>
      <w:bookmarkStart w:id="22" w:name="lt_pId046"/>
      <w:r w:rsidRPr="00401011">
        <w:rPr>
          <w:rFonts w:eastAsiaTheme="minorEastAsia" w:cstheme="majorBidi"/>
          <w:lang w:eastAsia="zh-CN"/>
        </w:rPr>
        <w:t>•</w:t>
      </w:r>
      <w:r>
        <w:rPr>
          <w:rFonts w:eastAsiaTheme="minorEastAsia" w:cstheme="majorBidi"/>
          <w:lang w:eastAsia="zh-CN"/>
        </w:rPr>
        <w:tab/>
      </w:r>
      <w:r w:rsidR="00C222E2" w:rsidRPr="00401011">
        <w:rPr>
          <w:rFonts w:eastAsiaTheme="minorEastAsia" w:cstheme="majorBidi"/>
          <w:lang w:eastAsia="zh-CN"/>
        </w:rPr>
        <w:t>组织仅针对中小企业</w:t>
      </w:r>
      <w:r>
        <w:rPr>
          <w:rFonts w:eastAsiaTheme="minorEastAsia" w:cstheme="majorBidi" w:hint="eastAsia"/>
          <w:lang w:eastAsia="zh-CN"/>
        </w:rPr>
        <w:t>的</w:t>
      </w:r>
      <w:r w:rsidR="00C222E2" w:rsidRPr="00401011">
        <w:rPr>
          <w:rFonts w:eastAsiaTheme="minorEastAsia" w:cstheme="majorBidi"/>
          <w:lang w:eastAsia="zh-CN"/>
        </w:rPr>
        <w:t>情况通报会；</w:t>
      </w:r>
      <w:bookmarkEnd w:id="22"/>
    </w:p>
    <w:p w:rsidR="00C222E2" w:rsidRPr="00401011" w:rsidRDefault="00401011" w:rsidP="00401011">
      <w:pPr>
        <w:pStyle w:val="enumlev1"/>
        <w:rPr>
          <w:rFonts w:eastAsiaTheme="minorEastAsia" w:cstheme="majorBidi"/>
          <w:lang w:eastAsia="zh-CN"/>
        </w:rPr>
      </w:pPr>
      <w:bookmarkStart w:id="23" w:name="lt_pId047"/>
      <w:r w:rsidRPr="00401011">
        <w:rPr>
          <w:rFonts w:eastAsiaTheme="minorEastAsia" w:cstheme="majorBidi"/>
          <w:lang w:eastAsia="zh-CN"/>
        </w:rPr>
        <w:t>•</w:t>
      </w:r>
      <w:r>
        <w:rPr>
          <w:rFonts w:eastAsiaTheme="minorEastAsia" w:cstheme="majorBidi"/>
          <w:lang w:eastAsia="zh-CN"/>
        </w:rPr>
        <w:tab/>
      </w:r>
      <w:r w:rsidR="00C222E2" w:rsidRPr="00401011">
        <w:rPr>
          <w:rFonts w:eastAsiaTheme="minorEastAsia" w:cstheme="majorBidi"/>
          <w:lang w:eastAsia="zh-CN"/>
        </w:rPr>
        <w:t>规划会议时将相同的活动放在同一周；</w:t>
      </w:r>
      <w:bookmarkEnd w:id="23"/>
    </w:p>
    <w:p w:rsidR="00C222E2" w:rsidRPr="00401011" w:rsidRDefault="00401011" w:rsidP="00401011">
      <w:pPr>
        <w:pStyle w:val="enumlev1"/>
        <w:rPr>
          <w:rFonts w:eastAsiaTheme="minorEastAsia" w:cstheme="majorBidi"/>
          <w:lang w:eastAsia="zh-CN"/>
        </w:rPr>
      </w:pPr>
      <w:bookmarkStart w:id="24" w:name="lt_pId048"/>
      <w:r w:rsidRPr="00401011">
        <w:rPr>
          <w:rFonts w:eastAsiaTheme="minorEastAsia" w:cstheme="majorBidi"/>
          <w:lang w:eastAsia="zh-CN"/>
        </w:rPr>
        <w:t>•</w:t>
      </w:r>
      <w:r>
        <w:rPr>
          <w:rFonts w:eastAsiaTheme="minorEastAsia" w:cstheme="majorBidi"/>
          <w:lang w:eastAsia="zh-CN"/>
        </w:rPr>
        <w:tab/>
      </w:r>
      <w:r w:rsidR="00C222E2" w:rsidRPr="00401011">
        <w:rPr>
          <w:rFonts w:eastAsiaTheme="minorEastAsia" w:cstheme="majorBidi"/>
          <w:lang w:eastAsia="zh-CN"/>
        </w:rPr>
        <w:t>降低成员会费；</w:t>
      </w:r>
      <w:bookmarkEnd w:id="24"/>
    </w:p>
    <w:p w:rsidR="00C222E2" w:rsidRPr="00401011" w:rsidRDefault="00401011" w:rsidP="00401011">
      <w:pPr>
        <w:pStyle w:val="enumlev1"/>
        <w:rPr>
          <w:rFonts w:eastAsiaTheme="minorEastAsia" w:cstheme="majorBidi"/>
          <w:lang w:eastAsia="zh-CN"/>
        </w:rPr>
      </w:pPr>
      <w:bookmarkStart w:id="25" w:name="lt_pId049"/>
      <w:r w:rsidRPr="00401011">
        <w:rPr>
          <w:rFonts w:eastAsiaTheme="minorEastAsia" w:cstheme="majorBidi"/>
          <w:lang w:eastAsia="zh-CN"/>
        </w:rPr>
        <w:t>•</w:t>
      </w:r>
      <w:r>
        <w:rPr>
          <w:rFonts w:eastAsiaTheme="minorEastAsia" w:cstheme="majorBidi"/>
          <w:lang w:eastAsia="zh-CN"/>
        </w:rPr>
        <w:tab/>
      </w:r>
      <w:r w:rsidR="00C222E2" w:rsidRPr="00401011">
        <w:rPr>
          <w:rFonts w:eastAsiaTheme="minorEastAsia" w:cstheme="majorBidi"/>
          <w:lang w:eastAsia="zh-CN"/>
        </w:rPr>
        <w:t>推动通过网页提供并获取信息。</w:t>
      </w:r>
      <w:bookmarkEnd w:id="25"/>
    </w:p>
    <w:p w:rsidR="00C222E2" w:rsidRPr="00401011" w:rsidRDefault="00C222E2" w:rsidP="00401011">
      <w:pPr>
        <w:snapToGrid w:val="0"/>
        <w:spacing w:after="120"/>
        <w:ind w:firstLineChars="200" w:firstLine="480"/>
        <w:rPr>
          <w:rFonts w:eastAsiaTheme="minorEastAsia" w:cstheme="majorBidi"/>
          <w:lang w:eastAsia="zh-CN"/>
        </w:rPr>
      </w:pPr>
      <w:bookmarkStart w:id="26" w:name="lt_pId050"/>
      <w:r w:rsidRPr="00401011">
        <w:rPr>
          <w:rFonts w:eastAsiaTheme="minorEastAsia" w:cstheme="majorBidi"/>
          <w:lang w:eastAsia="zh-CN"/>
        </w:rPr>
        <w:t>因此，</w:t>
      </w:r>
      <w:r w:rsidR="00401011" w:rsidRPr="00401011">
        <w:rPr>
          <w:rFonts w:eastAsiaTheme="minorEastAsia" w:cstheme="majorBidi"/>
          <w:lang w:eastAsia="zh-CN"/>
        </w:rPr>
        <w:t>CWG-FHR</w:t>
      </w:r>
      <w:r w:rsidR="00401011" w:rsidRPr="00401011">
        <w:rPr>
          <w:rFonts w:eastAsiaTheme="minorEastAsia" w:cstheme="majorBidi"/>
          <w:lang w:eastAsia="zh-CN"/>
        </w:rPr>
        <w:t>建议</w:t>
      </w:r>
      <w:r w:rsidRPr="00401011">
        <w:rPr>
          <w:rFonts w:eastAsiaTheme="minorEastAsia" w:cstheme="majorBidi"/>
          <w:lang w:eastAsia="zh-CN"/>
        </w:rPr>
        <w:t>本届理事会</w:t>
      </w:r>
      <w:r w:rsidRPr="00401011">
        <w:rPr>
          <w:rFonts w:eastAsiaTheme="minorEastAsia" w:cstheme="majorBidi"/>
          <w:lang w:eastAsia="zh-CN"/>
        </w:rPr>
        <w:t>2017</w:t>
      </w:r>
      <w:r w:rsidRPr="00401011">
        <w:rPr>
          <w:rFonts w:eastAsiaTheme="minorEastAsia" w:cstheme="majorBidi"/>
          <w:lang w:eastAsia="zh-CN"/>
        </w:rPr>
        <w:t>年</w:t>
      </w:r>
      <w:r w:rsidR="00401011">
        <w:rPr>
          <w:rFonts w:eastAsiaTheme="minorEastAsia" w:cstheme="majorBidi"/>
          <w:lang w:eastAsia="zh-CN"/>
        </w:rPr>
        <w:t>会议注意</w:t>
      </w:r>
      <w:r w:rsidRPr="00401011">
        <w:rPr>
          <w:rFonts w:eastAsiaTheme="minorEastAsia" w:cstheme="majorBidi"/>
          <w:lang w:eastAsia="zh-CN"/>
        </w:rPr>
        <w:t>相关信息并考虑就进一步研究此事宜提出建议。</w:t>
      </w:r>
    </w:p>
    <w:p w:rsidR="00C222E2" w:rsidRPr="00401011" w:rsidRDefault="00C222E2" w:rsidP="00C222E2">
      <w:pPr>
        <w:snapToGrid w:val="0"/>
        <w:spacing w:after="120"/>
        <w:ind w:firstLineChars="200" w:firstLine="480"/>
        <w:rPr>
          <w:rFonts w:eastAsiaTheme="minorEastAsia" w:cstheme="majorBidi"/>
          <w:lang w:eastAsia="zh-CN"/>
        </w:rPr>
      </w:pPr>
      <w:bookmarkStart w:id="27" w:name="lt_pId051"/>
      <w:bookmarkEnd w:id="26"/>
      <w:r w:rsidRPr="00401011">
        <w:rPr>
          <w:rFonts w:eastAsiaTheme="minorEastAsia" w:cstheme="majorBidi"/>
          <w:bCs/>
          <w:lang w:val="en-US" w:eastAsia="zh-CN"/>
        </w:rPr>
        <w:t>在这方面</w:t>
      </w:r>
      <w:r w:rsidRPr="00401011">
        <w:rPr>
          <w:rFonts w:eastAsiaTheme="minorEastAsia" w:cstheme="majorBidi"/>
          <w:lang w:eastAsia="zh-CN"/>
        </w:rPr>
        <w:t>，我们认为应当对国家和区域层面企业协会和</w:t>
      </w:r>
      <w:r w:rsidRPr="00401011">
        <w:rPr>
          <w:rFonts w:eastAsiaTheme="minorEastAsia" w:cstheme="majorBidi"/>
          <w:lang w:eastAsia="zh-CN"/>
        </w:rPr>
        <w:t>/</w:t>
      </w:r>
      <w:r w:rsidRPr="00401011">
        <w:rPr>
          <w:rFonts w:eastAsiaTheme="minorEastAsia" w:cstheme="majorBidi"/>
          <w:lang w:eastAsia="zh-CN"/>
        </w:rPr>
        <w:t>或商会为促进中小企业的成长与发展开展的各项活动加以分析，因为他们可为传播国际电联活动的信息和促进中小企业参加国际电联的工作做出贡献。</w:t>
      </w:r>
    </w:p>
    <w:p w:rsidR="00C222E2" w:rsidRPr="00401011" w:rsidRDefault="00C222E2" w:rsidP="00C222E2">
      <w:pPr>
        <w:snapToGrid w:val="0"/>
        <w:spacing w:after="120"/>
        <w:ind w:firstLineChars="200" w:firstLine="480"/>
        <w:rPr>
          <w:rFonts w:eastAsiaTheme="minorEastAsia" w:cstheme="majorBidi"/>
          <w:lang w:eastAsia="zh-CN"/>
        </w:rPr>
      </w:pPr>
      <w:r w:rsidRPr="00401011">
        <w:rPr>
          <w:rFonts w:eastAsiaTheme="minorEastAsia" w:cstheme="majorBidi"/>
          <w:bCs/>
          <w:lang w:val="en-US" w:eastAsia="zh-CN"/>
        </w:rPr>
        <w:t>原则上讲</w:t>
      </w:r>
      <w:r w:rsidRPr="00401011">
        <w:rPr>
          <w:rFonts w:eastAsiaTheme="minorEastAsia" w:cstheme="majorBidi"/>
          <w:lang w:eastAsia="zh-CN"/>
        </w:rPr>
        <w:t>，方法之一是</w:t>
      </w:r>
      <w:r w:rsidR="00401011">
        <w:rPr>
          <w:rFonts w:eastAsiaTheme="minorEastAsia" w:cstheme="majorBidi" w:hint="eastAsia"/>
          <w:lang w:eastAsia="zh-CN"/>
        </w:rPr>
        <w:t>通过</w:t>
      </w:r>
      <w:r w:rsidRPr="00401011">
        <w:rPr>
          <w:rFonts w:eastAsiaTheme="minorEastAsia" w:cstheme="majorBidi"/>
          <w:lang w:eastAsia="zh-CN"/>
        </w:rPr>
        <w:t>收集不同区域企业协会和</w:t>
      </w:r>
      <w:r w:rsidRPr="00401011">
        <w:rPr>
          <w:rFonts w:eastAsiaTheme="minorEastAsia" w:cstheme="majorBidi"/>
          <w:lang w:eastAsia="zh-CN"/>
        </w:rPr>
        <w:t>/</w:t>
      </w:r>
      <w:r w:rsidRPr="00401011">
        <w:rPr>
          <w:rFonts w:eastAsiaTheme="minorEastAsia" w:cstheme="majorBidi"/>
          <w:lang w:eastAsia="zh-CN"/>
        </w:rPr>
        <w:t>或商会的</w:t>
      </w:r>
      <w:r w:rsidR="00401011">
        <w:rPr>
          <w:rFonts w:eastAsiaTheme="minorEastAsia" w:cstheme="majorBidi"/>
          <w:lang w:eastAsia="zh-CN"/>
        </w:rPr>
        <w:t>信息，</w:t>
      </w:r>
      <w:r w:rsidRPr="00401011">
        <w:rPr>
          <w:rFonts w:eastAsiaTheme="minorEastAsia" w:cstheme="majorBidi"/>
          <w:lang w:eastAsia="zh-CN"/>
        </w:rPr>
        <w:t>分析是否有可能组织旨在将中小企业带入国际电联世界的联合活动，引发他们对国际电联工作的兴趣并确定可能的协作领域；此外还可组织侧重于与</w:t>
      </w:r>
      <w:r w:rsidRPr="00401011">
        <w:rPr>
          <w:rFonts w:eastAsiaTheme="minorEastAsia" w:cstheme="majorBidi"/>
          <w:lang w:eastAsia="zh-CN"/>
        </w:rPr>
        <w:t>ITU-T</w:t>
      </w:r>
      <w:r w:rsidRPr="00401011">
        <w:rPr>
          <w:rFonts w:eastAsiaTheme="minorEastAsia" w:cstheme="majorBidi"/>
          <w:lang w:eastAsia="zh-CN"/>
        </w:rPr>
        <w:t>研究组和</w:t>
      </w:r>
      <w:r w:rsidRPr="00401011">
        <w:rPr>
          <w:rFonts w:eastAsiaTheme="minorEastAsia" w:cstheme="majorBidi"/>
          <w:lang w:eastAsia="zh-CN"/>
        </w:rPr>
        <w:t>/</w:t>
      </w:r>
      <w:r w:rsidRPr="00401011">
        <w:rPr>
          <w:rFonts w:eastAsiaTheme="minorEastAsia" w:cstheme="majorBidi"/>
          <w:lang w:eastAsia="zh-CN"/>
        </w:rPr>
        <w:t>或其它国际电联举措有关的</w:t>
      </w:r>
      <w:r w:rsidR="00401011">
        <w:rPr>
          <w:rFonts w:eastAsiaTheme="minorEastAsia" w:cstheme="majorBidi" w:hint="eastAsia"/>
          <w:lang w:eastAsia="zh-CN"/>
        </w:rPr>
        <w:t>、</w:t>
      </w:r>
      <w:r w:rsidR="00401011">
        <w:rPr>
          <w:rFonts w:eastAsiaTheme="minorEastAsia" w:cstheme="majorBidi"/>
          <w:lang w:eastAsia="zh-CN"/>
        </w:rPr>
        <w:t>涉及更</w:t>
      </w:r>
      <w:r w:rsidRPr="00401011">
        <w:rPr>
          <w:rFonts w:eastAsiaTheme="minorEastAsia" w:cstheme="majorBidi"/>
          <w:lang w:eastAsia="zh-CN"/>
        </w:rPr>
        <w:t>具</w:t>
      </w:r>
      <w:r w:rsidR="00401011">
        <w:rPr>
          <w:rFonts w:eastAsiaTheme="minorEastAsia" w:cstheme="majorBidi"/>
          <w:lang w:eastAsia="zh-CN"/>
        </w:rPr>
        <w:t>体</w:t>
      </w:r>
      <w:r w:rsidRPr="00401011">
        <w:rPr>
          <w:rFonts w:eastAsiaTheme="minorEastAsia" w:cstheme="majorBidi"/>
          <w:lang w:eastAsia="zh-CN"/>
        </w:rPr>
        <w:t>事宜</w:t>
      </w:r>
      <w:r w:rsidR="00401011">
        <w:rPr>
          <w:rFonts w:eastAsiaTheme="minorEastAsia" w:cstheme="majorBidi" w:hint="eastAsia"/>
          <w:lang w:eastAsia="zh-CN"/>
        </w:rPr>
        <w:t>的</w:t>
      </w:r>
      <w:r w:rsidR="00401011">
        <w:rPr>
          <w:rFonts w:eastAsiaTheme="minorEastAsia" w:cstheme="majorBidi"/>
          <w:lang w:eastAsia="zh-CN"/>
        </w:rPr>
        <w:t>活动</w:t>
      </w:r>
      <w:r w:rsidRPr="00401011">
        <w:rPr>
          <w:rFonts w:eastAsiaTheme="minorEastAsia" w:cstheme="majorBidi"/>
          <w:lang w:eastAsia="zh-CN"/>
        </w:rPr>
        <w:t>，例如：国际电联世界电信展中小企业平台、智慧</w:t>
      </w:r>
      <w:r w:rsidRPr="00401011">
        <w:rPr>
          <w:rFonts w:eastAsiaTheme="minorEastAsia" w:cstheme="majorBidi"/>
          <w:lang w:eastAsia="zh-CN"/>
        </w:rPr>
        <w:t>ABC</w:t>
      </w:r>
      <w:r w:rsidRPr="00401011">
        <w:rPr>
          <w:rFonts w:eastAsiaTheme="minorEastAsia" w:cstheme="majorBidi"/>
          <w:lang w:eastAsia="zh-CN"/>
        </w:rPr>
        <w:t>举措等。</w:t>
      </w:r>
      <w:bookmarkEnd w:id="27"/>
    </w:p>
    <w:p w:rsidR="00C222E2" w:rsidRPr="00401011" w:rsidRDefault="00C222E2" w:rsidP="00C222E2">
      <w:pPr>
        <w:pStyle w:val="Headingb"/>
        <w:rPr>
          <w:lang w:eastAsia="zh-CN"/>
        </w:rPr>
      </w:pPr>
      <w:bookmarkStart w:id="28" w:name="lt_pId055"/>
      <w:r w:rsidRPr="00401011">
        <w:rPr>
          <w:lang w:eastAsia="zh-CN"/>
        </w:rPr>
        <w:t>建议</w:t>
      </w:r>
      <w:bookmarkEnd w:id="28"/>
    </w:p>
    <w:p w:rsidR="00C222E2" w:rsidRPr="00401011" w:rsidRDefault="00C222E2" w:rsidP="00C222E2">
      <w:pPr>
        <w:snapToGrid w:val="0"/>
        <w:spacing w:after="120"/>
        <w:ind w:firstLineChars="200" w:firstLine="480"/>
        <w:rPr>
          <w:rFonts w:eastAsiaTheme="minorEastAsia" w:cstheme="majorBidi"/>
          <w:lang w:eastAsia="zh-CN"/>
        </w:rPr>
      </w:pPr>
      <w:bookmarkStart w:id="29" w:name="lt_pId056"/>
      <w:r w:rsidRPr="00401011">
        <w:rPr>
          <w:rFonts w:eastAsiaTheme="minorEastAsia" w:cstheme="majorBidi"/>
          <w:bCs/>
          <w:lang w:val="en-US" w:eastAsia="zh-CN"/>
        </w:rPr>
        <w:t>基于上述信息</w:t>
      </w:r>
      <w:r w:rsidRPr="00401011">
        <w:rPr>
          <w:rFonts w:eastAsiaTheme="minorEastAsia" w:cstheme="majorBidi"/>
          <w:lang w:eastAsia="zh-CN"/>
        </w:rPr>
        <w:t>，建议按以下方式推进：</w:t>
      </w:r>
      <w:bookmarkEnd w:id="29"/>
    </w:p>
    <w:p w:rsidR="00C222E2" w:rsidRPr="00401011" w:rsidRDefault="00401011" w:rsidP="00401011">
      <w:pPr>
        <w:pStyle w:val="enumlev1"/>
        <w:rPr>
          <w:rFonts w:eastAsiaTheme="minorEastAsia" w:cstheme="majorBidi"/>
          <w:lang w:eastAsia="zh-CN"/>
        </w:rPr>
      </w:pPr>
      <w:bookmarkStart w:id="30" w:name="lt_pId057"/>
      <w:r w:rsidRPr="00401011">
        <w:rPr>
          <w:rFonts w:eastAsiaTheme="minorEastAsia" w:cstheme="majorBidi"/>
          <w:lang w:eastAsia="zh-CN"/>
        </w:rPr>
        <w:t>•</w:t>
      </w:r>
      <w:r>
        <w:rPr>
          <w:rFonts w:eastAsiaTheme="minorEastAsia" w:cstheme="majorBidi"/>
          <w:lang w:eastAsia="zh-CN"/>
        </w:rPr>
        <w:tab/>
      </w:r>
      <w:r w:rsidR="00C222E2" w:rsidRPr="00401011">
        <w:rPr>
          <w:rFonts w:eastAsiaTheme="minorEastAsia" w:cstheme="majorBidi"/>
          <w:lang w:eastAsia="zh-CN"/>
        </w:rPr>
        <w:t>确定中小企业有效参与国际电联工作的方法，其中包括对以下内容进行评估（并不完全）：</w:t>
      </w:r>
      <w:bookmarkEnd w:id="30"/>
    </w:p>
    <w:p w:rsidR="00C222E2" w:rsidRPr="00401011" w:rsidRDefault="00401011" w:rsidP="00140861">
      <w:pPr>
        <w:pStyle w:val="enumlev2"/>
        <w:rPr>
          <w:lang w:eastAsia="zh-CN"/>
        </w:rPr>
      </w:pPr>
      <w:bookmarkStart w:id="31" w:name="lt_pId058"/>
      <w:r w:rsidRPr="00401011">
        <w:rPr>
          <w:lang w:eastAsia="zh-CN"/>
        </w:rPr>
        <w:t>•</w:t>
      </w:r>
      <w:r w:rsidRPr="00401011">
        <w:rPr>
          <w:lang w:eastAsia="zh-CN"/>
        </w:rPr>
        <w:tab/>
      </w:r>
      <w:r w:rsidR="00C222E2" w:rsidRPr="00401011">
        <w:rPr>
          <w:lang w:eastAsia="zh-CN"/>
        </w:rPr>
        <w:t>待定</w:t>
      </w:r>
      <w:r w:rsidR="0059332D">
        <w:rPr>
          <w:rFonts w:hint="eastAsia"/>
          <w:lang w:eastAsia="zh-CN"/>
        </w:rPr>
        <w:t>的</w:t>
      </w:r>
      <w:r w:rsidR="00C222E2" w:rsidRPr="00401011">
        <w:rPr>
          <w:lang w:eastAsia="zh-CN"/>
        </w:rPr>
        <w:t>研究组试点项目的落实工作；</w:t>
      </w:r>
      <w:bookmarkEnd w:id="31"/>
    </w:p>
    <w:p w:rsidR="00C222E2" w:rsidRPr="00401011" w:rsidRDefault="00401011" w:rsidP="00140861">
      <w:pPr>
        <w:pStyle w:val="enumlev2"/>
        <w:rPr>
          <w:lang w:eastAsia="zh-CN"/>
        </w:rPr>
      </w:pPr>
      <w:bookmarkStart w:id="32" w:name="lt_pId059"/>
      <w:r w:rsidRPr="00401011">
        <w:rPr>
          <w:lang w:eastAsia="zh-CN"/>
        </w:rPr>
        <w:t>•</w:t>
      </w:r>
      <w:r>
        <w:rPr>
          <w:lang w:eastAsia="zh-CN"/>
        </w:rPr>
        <w:tab/>
      </w:r>
      <w:r w:rsidR="00C222E2" w:rsidRPr="00401011">
        <w:rPr>
          <w:lang w:eastAsia="zh-CN"/>
        </w:rPr>
        <w:t>通过国家和</w:t>
      </w:r>
      <w:r w:rsidR="0059332D">
        <w:rPr>
          <w:rFonts w:hint="eastAsia"/>
          <w:lang w:eastAsia="zh-CN"/>
        </w:rPr>
        <w:t>/</w:t>
      </w:r>
      <w:r w:rsidR="0059332D">
        <w:rPr>
          <w:rFonts w:hint="eastAsia"/>
          <w:lang w:eastAsia="zh-CN"/>
        </w:rPr>
        <w:t>或</w:t>
      </w:r>
      <w:r w:rsidR="00C222E2" w:rsidRPr="00401011">
        <w:rPr>
          <w:lang w:eastAsia="zh-CN"/>
        </w:rPr>
        <w:t>区域层面的企业协会和</w:t>
      </w:r>
      <w:r w:rsidR="00C222E2" w:rsidRPr="00401011">
        <w:rPr>
          <w:lang w:eastAsia="zh-CN"/>
        </w:rPr>
        <w:t>/</w:t>
      </w:r>
      <w:r w:rsidR="00C222E2" w:rsidRPr="00401011">
        <w:rPr>
          <w:lang w:eastAsia="zh-CN"/>
        </w:rPr>
        <w:t>或商会参与；</w:t>
      </w:r>
      <w:bookmarkEnd w:id="32"/>
    </w:p>
    <w:p w:rsidR="00C222E2" w:rsidRPr="00401011" w:rsidRDefault="00401011" w:rsidP="00140861">
      <w:pPr>
        <w:pStyle w:val="enumlev2"/>
        <w:rPr>
          <w:lang w:eastAsia="zh-CN"/>
        </w:rPr>
      </w:pPr>
      <w:bookmarkStart w:id="33" w:name="lt_pId060"/>
      <w:r w:rsidRPr="00401011">
        <w:rPr>
          <w:lang w:eastAsia="zh-CN"/>
        </w:rPr>
        <w:t>•</w:t>
      </w:r>
      <w:r>
        <w:rPr>
          <w:lang w:eastAsia="zh-CN"/>
        </w:rPr>
        <w:tab/>
      </w:r>
      <w:r w:rsidR="00C222E2" w:rsidRPr="00401011">
        <w:rPr>
          <w:lang w:eastAsia="zh-CN"/>
        </w:rPr>
        <w:t>确定定义中小企业的标准，以便其成为国际电联的部门准成员，且最重要的是如果他们来自发展中国家，还要考虑到他们的具体特点。</w:t>
      </w:r>
      <w:bookmarkEnd w:id="33"/>
    </w:p>
    <w:p w:rsidR="00BC060C" w:rsidRPr="00401011" w:rsidRDefault="0059332D" w:rsidP="00140861">
      <w:pPr>
        <w:pStyle w:val="enumlev1"/>
        <w:rPr>
          <w:rFonts w:cstheme="minorHAnsi"/>
          <w:szCs w:val="24"/>
          <w:lang w:eastAsia="zh-CN"/>
        </w:rPr>
      </w:pPr>
      <w:bookmarkStart w:id="34" w:name="lt_pId061"/>
      <w:r w:rsidRPr="00401011">
        <w:rPr>
          <w:rFonts w:eastAsiaTheme="minorEastAsia" w:cstheme="majorBidi"/>
          <w:lang w:eastAsia="zh-CN"/>
        </w:rPr>
        <w:t>•</w:t>
      </w:r>
      <w:r>
        <w:rPr>
          <w:rFonts w:eastAsiaTheme="minorEastAsia" w:cstheme="majorBidi"/>
          <w:lang w:eastAsia="zh-CN"/>
        </w:rPr>
        <w:tab/>
      </w:r>
      <w:r w:rsidR="00C222E2" w:rsidRPr="00401011">
        <w:rPr>
          <w:rFonts w:eastAsiaTheme="minorEastAsia" w:cstheme="majorBidi"/>
          <w:lang w:eastAsia="zh-CN"/>
        </w:rPr>
        <w:t>更广泛地铺开注重中小企业参与的国际电联活动，特别是针对发展中国家，使后者能够在企业协会和</w:t>
      </w:r>
      <w:r w:rsidR="00C222E2" w:rsidRPr="00401011">
        <w:rPr>
          <w:rFonts w:eastAsiaTheme="minorEastAsia" w:cstheme="majorBidi"/>
          <w:lang w:eastAsia="zh-CN"/>
        </w:rPr>
        <w:t>/</w:t>
      </w:r>
      <w:r w:rsidR="00C222E2" w:rsidRPr="00401011">
        <w:rPr>
          <w:rFonts w:eastAsiaTheme="minorEastAsia" w:cstheme="majorBidi"/>
          <w:lang w:eastAsia="zh-CN"/>
        </w:rPr>
        <w:t>或商会间传播相关活动的信息，从而对国际电联与中小企业协作的潜力做出评估。</w:t>
      </w:r>
      <w:bookmarkEnd w:id="34"/>
    </w:p>
    <w:p w:rsidR="002A1C84" w:rsidRPr="00401011" w:rsidRDefault="002A1C84" w:rsidP="0032202E">
      <w:pPr>
        <w:pStyle w:val="Reasons"/>
        <w:rPr>
          <w:lang w:eastAsia="zh-CN"/>
        </w:rPr>
      </w:pPr>
      <w:bookmarkStart w:id="35" w:name="_GoBack"/>
      <w:bookmarkEnd w:id="35"/>
    </w:p>
    <w:p w:rsidR="00195FED" w:rsidRPr="00401011" w:rsidRDefault="002A1C84" w:rsidP="002A1C84">
      <w:pPr>
        <w:jc w:val="center"/>
      </w:pPr>
      <w:r w:rsidRPr="00401011">
        <w:t>______________</w:t>
      </w:r>
    </w:p>
    <w:sectPr w:rsidR="00195FED" w:rsidRPr="00401011" w:rsidSect="006C36CD">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18D" w:rsidRDefault="003F718D">
      <w:r>
        <w:separator/>
      </w:r>
    </w:p>
  </w:endnote>
  <w:endnote w:type="continuationSeparator" w:id="0">
    <w:p w:rsidR="003F718D" w:rsidRDefault="003F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6D" w:rsidRDefault="00140861" w:rsidP="0073236D">
    <w:pPr>
      <w:pStyle w:val="Footer"/>
      <w:spacing w:before="240"/>
    </w:pPr>
    <w:r>
      <w:fldChar w:fldCharType="begin"/>
    </w:r>
    <w:r>
      <w:instrText xml:space="preserve"> FILENAME \p \* MERGEFORMAT </w:instrText>
    </w:r>
    <w:r>
      <w:fldChar w:fldCharType="separate"/>
    </w:r>
    <w:r w:rsidR="00401011">
      <w:t>P:\CHI\SG\CONSEIL\C17\100\100C.docx</w:t>
    </w:r>
    <w:r>
      <w:fldChar w:fldCharType="end"/>
    </w:r>
    <w:r w:rsidR="00401011">
      <w:t xml:space="preserve"> (417533</w:t>
    </w:r>
    <w:r w:rsidR="002A1C84">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23" w:rsidRDefault="00AC516F" w:rsidP="00381B4E">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401011" w:rsidRPr="00381B4E" w:rsidRDefault="00140861" w:rsidP="00140861">
    <w:pPr>
      <w:pStyle w:val="Footer"/>
    </w:pPr>
    <w:fldSimple w:instr=" FILENAME \p  \* MERGEFORMAT ">
      <w:r>
        <w:t>P:\CHI\SG\CONSEIL\C17\100\100C.docx</w:t>
      </w:r>
    </w:fldSimple>
    <w:r>
      <w:t xml:space="preserve"> (417533)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18D" w:rsidRDefault="003F718D">
      <w:r>
        <w:t>____________________</w:t>
      </w:r>
    </w:p>
  </w:footnote>
  <w:footnote w:type="continuationSeparator" w:id="0">
    <w:p w:rsidR="003F718D" w:rsidRDefault="003F718D">
      <w:r>
        <w:continuationSeparator/>
      </w:r>
    </w:p>
  </w:footnote>
  <w:footnote w:id="1">
    <w:p w:rsidR="00C222E2" w:rsidRPr="00160EE7" w:rsidRDefault="00C222E2" w:rsidP="00C222E2">
      <w:pPr>
        <w:pStyle w:val="FootnoteText"/>
        <w:rPr>
          <w:sz w:val="22"/>
          <w:szCs w:val="18"/>
        </w:rPr>
      </w:pPr>
      <w:r>
        <w:rPr>
          <w:rStyle w:val="FootnoteReference"/>
        </w:rPr>
        <w:footnoteRef/>
      </w:r>
      <w:r w:rsidRPr="00160EE7">
        <w:t xml:space="preserve"> </w:t>
      </w:r>
      <w:r w:rsidRPr="00160EE7">
        <w:tab/>
      </w:r>
      <w:r>
        <w:rPr>
          <w:rFonts w:eastAsiaTheme="minorEastAsia" w:hint="eastAsia"/>
          <w:sz w:val="22"/>
          <w:szCs w:val="18"/>
          <w:lang w:eastAsia="zh-CN"/>
        </w:rPr>
        <w:t>来源</w:t>
      </w:r>
      <w:r>
        <w:rPr>
          <w:rFonts w:eastAsiaTheme="minorEastAsia"/>
          <w:sz w:val="22"/>
          <w:szCs w:val="18"/>
          <w:lang w:eastAsia="zh-CN"/>
        </w:rPr>
        <w:t>：</w:t>
      </w:r>
      <w:bookmarkStart w:id="3" w:name="lt_pId063"/>
      <w:r>
        <w:rPr>
          <w:rFonts w:eastAsiaTheme="minorEastAsia" w:hint="eastAsia"/>
          <w:sz w:val="22"/>
          <w:szCs w:val="18"/>
          <w:lang w:eastAsia="zh-CN"/>
        </w:rPr>
        <w:t>阿根廷共</w:t>
      </w:r>
      <w:r>
        <w:rPr>
          <w:rFonts w:eastAsiaTheme="minorEastAsia"/>
          <w:sz w:val="22"/>
          <w:szCs w:val="18"/>
          <w:lang w:eastAsia="zh-CN"/>
        </w:rPr>
        <w:t>和国制造部</w:t>
      </w:r>
      <w:hyperlink r:id="rId1" w:history="1">
        <w:r w:rsidRPr="00160EE7">
          <w:rPr>
            <w:rStyle w:val="Hyperlink"/>
            <w:sz w:val="22"/>
            <w:szCs w:val="18"/>
          </w:rPr>
          <w:t>http://www.produccion.gob.ar/pymes/</w:t>
        </w:r>
      </w:hyperlin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140861">
      <w:rPr>
        <w:noProof/>
      </w:rPr>
      <w:t>3</w:t>
    </w:r>
    <w:r>
      <w:rPr>
        <w:noProof/>
      </w:rPr>
      <w:fldChar w:fldCharType="end"/>
    </w:r>
  </w:p>
  <w:p w:rsidR="00AC516F" w:rsidRDefault="0098459B" w:rsidP="0073236D">
    <w:pPr>
      <w:pStyle w:val="Header"/>
      <w:rPr>
        <w:lang w:eastAsia="zh-CN"/>
      </w:rPr>
    </w:pPr>
    <w:r>
      <w:t>C1</w:t>
    </w:r>
    <w:r w:rsidR="00A5354B">
      <w:rPr>
        <w:lang w:eastAsia="zh-CN"/>
      </w:rPr>
      <w:t>7</w:t>
    </w:r>
    <w:r w:rsidR="004672E6">
      <w:t>/</w:t>
    </w:r>
    <w:r w:rsidR="00401011">
      <w:rPr>
        <w:lang w:eastAsia="zh-CN"/>
      </w:rPr>
      <w:t>100</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8F6B93"/>
    <w:multiLevelType w:val="hybridMultilevel"/>
    <w:tmpl w:val="1F0EA820"/>
    <w:lvl w:ilvl="0" w:tplc="7486B0EA">
      <w:start w:val="1"/>
      <w:numFmt w:val="bullet"/>
      <w:lvlText w:val=""/>
      <w:lvlJc w:val="left"/>
      <w:pPr>
        <w:ind w:left="720" w:hanging="360"/>
      </w:pPr>
      <w:rPr>
        <w:rFonts w:ascii="Symbol" w:hAnsi="Symbol" w:hint="default"/>
      </w:rPr>
    </w:lvl>
    <w:lvl w:ilvl="1" w:tplc="7D243CBA">
      <w:start w:val="1"/>
      <w:numFmt w:val="bullet"/>
      <w:lvlText w:val=""/>
      <w:lvlJc w:val="left"/>
      <w:pPr>
        <w:ind w:left="1440" w:hanging="360"/>
      </w:pPr>
      <w:rPr>
        <w:rFonts w:ascii="Symbol" w:hAnsi="Symbol" w:hint="default"/>
      </w:rPr>
    </w:lvl>
    <w:lvl w:ilvl="2" w:tplc="FFE0C4F0" w:tentative="1">
      <w:start w:val="1"/>
      <w:numFmt w:val="bullet"/>
      <w:lvlText w:val=""/>
      <w:lvlJc w:val="left"/>
      <w:pPr>
        <w:ind w:left="2160" w:hanging="360"/>
      </w:pPr>
      <w:rPr>
        <w:rFonts w:ascii="Wingdings" w:hAnsi="Wingdings" w:hint="default"/>
      </w:rPr>
    </w:lvl>
    <w:lvl w:ilvl="3" w:tplc="D4BCD6E2" w:tentative="1">
      <w:start w:val="1"/>
      <w:numFmt w:val="bullet"/>
      <w:lvlText w:val=""/>
      <w:lvlJc w:val="left"/>
      <w:pPr>
        <w:ind w:left="2880" w:hanging="360"/>
      </w:pPr>
      <w:rPr>
        <w:rFonts w:ascii="Symbol" w:hAnsi="Symbol" w:hint="default"/>
      </w:rPr>
    </w:lvl>
    <w:lvl w:ilvl="4" w:tplc="35E85756" w:tentative="1">
      <w:start w:val="1"/>
      <w:numFmt w:val="bullet"/>
      <w:lvlText w:val="o"/>
      <w:lvlJc w:val="left"/>
      <w:pPr>
        <w:ind w:left="3600" w:hanging="360"/>
      </w:pPr>
      <w:rPr>
        <w:rFonts w:ascii="Courier New" w:hAnsi="Courier New" w:cs="Courier New" w:hint="default"/>
      </w:rPr>
    </w:lvl>
    <w:lvl w:ilvl="5" w:tplc="F42CC3D6" w:tentative="1">
      <w:start w:val="1"/>
      <w:numFmt w:val="bullet"/>
      <w:lvlText w:val=""/>
      <w:lvlJc w:val="left"/>
      <w:pPr>
        <w:ind w:left="4320" w:hanging="360"/>
      </w:pPr>
      <w:rPr>
        <w:rFonts w:ascii="Wingdings" w:hAnsi="Wingdings" w:hint="default"/>
      </w:rPr>
    </w:lvl>
    <w:lvl w:ilvl="6" w:tplc="93386F2A" w:tentative="1">
      <w:start w:val="1"/>
      <w:numFmt w:val="bullet"/>
      <w:lvlText w:val=""/>
      <w:lvlJc w:val="left"/>
      <w:pPr>
        <w:ind w:left="5040" w:hanging="360"/>
      </w:pPr>
      <w:rPr>
        <w:rFonts w:ascii="Symbol" w:hAnsi="Symbol" w:hint="default"/>
      </w:rPr>
    </w:lvl>
    <w:lvl w:ilvl="7" w:tplc="F84AC8D0" w:tentative="1">
      <w:start w:val="1"/>
      <w:numFmt w:val="bullet"/>
      <w:lvlText w:val="o"/>
      <w:lvlJc w:val="left"/>
      <w:pPr>
        <w:ind w:left="5760" w:hanging="360"/>
      </w:pPr>
      <w:rPr>
        <w:rFonts w:ascii="Courier New" w:hAnsi="Courier New" w:cs="Courier New" w:hint="default"/>
      </w:rPr>
    </w:lvl>
    <w:lvl w:ilvl="8" w:tplc="57805D24" w:tentative="1">
      <w:start w:val="1"/>
      <w:numFmt w:val="bullet"/>
      <w:lvlText w:val=""/>
      <w:lvlJc w:val="left"/>
      <w:pPr>
        <w:ind w:left="6480" w:hanging="360"/>
      </w:pPr>
      <w:rPr>
        <w:rFonts w:ascii="Wingdings" w:hAnsi="Wingdings" w:hint="default"/>
      </w:rPr>
    </w:lvl>
  </w:abstractNum>
  <w:abstractNum w:abstractNumId="2" w15:restartNumberingAfterBreak="0">
    <w:nsid w:val="1B610706"/>
    <w:multiLevelType w:val="hybridMultilevel"/>
    <w:tmpl w:val="EB327B60"/>
    <w:lvl w:ilvl="0" w:tplc="91306920">
      <w:start w:val="1"/>
      <w:numFmt w:val="bullet"/>
      <w:lvlText w:val=""/>
      <w:lvlJc w:val="left"/>
      <w:pPr>
        <w:ind w:left="720" w:hanging="360"/>
      </w:pPr>
      <w:rPr>
        <w:rFonts w:ascii="Symbol" w:hAnsi="Symbol" w:hint="default"/>
        <w:lang w:val="en-GB"/>
      </w:rPr>
    </w:lvl>
    <w:lvl w:ilvl="1" w:tplc="C018F24C" w:tentative="1">
      <w:start w:val="1"/>
      <w:numFmt w:val="bullet"/>
      <w:lvlText w:val="o"/>
      <w:lvlJc w:val="left"/>
      <w:pPr>
        <w:ind w:left="1440" w:hanging="360"/>
      </w:pPr>
      <w:rPr>
        <w:rFonts w:ascii="Courier New" w:hAnsi="Courier New" w:cs="Courier New" w:hint="default"/>
      </w:rPr>
    </w:lvl>
    <w:lvl w:ilvl="2" w:tplc="F2CE6998" w:tentative="1">
      <w:start w:val="1"/>
      <w:numFmt w:val="bullet"/>
      <w:lvlText w:val=""/>
      <w:lvlJc w:val="left"/>
      <w:pPr>
        <w:ind w:left="2160" w:hanging="360"/>
      </w:pPr>
      <w:rPr>
        <w:rFonts w:ascii="Wingdings" w:hAnsi="Wingdings" w:hint="default"/>
      </w:rPr>
    </w:lvl>
    <w:lvl w:ilvl="3" w:tplc="73ACE98E" w:tentative="1">
      <w:start w:val="1"/>
      <w:numFmt w:val="bullet"/>
      <w:lvlText w:val=""/>
      <w:lvlJc w:val="left"/>
      <w:pPr>
        <w:ind w:left="2880" w:hanging="360"/>
      </w:pPr>
      <w:rPr>
        <w:rFonts w:ascii="Symbol" w:hAnsi="Symbol" w:hint="default"/>
      </w:rPr>
    </w:lvl>
    <w:lvl w:ilvl="4" w:tplc="936AC1F2" w:tentative="1">
      <w:start w:val="1"/>
      <w:numFmt w:val="bullet"/>
      <w:lvlText w:val="o"/>
      <w:lvlJc w:val="left"/>
      <w:pPr>
        <w:ind w:left="3600" w:hanging="360"/>
      </w:pPr>
      <w:rPr>
        <w:rFonts w:ascii="Courier New" w:hAnsi="Courier New" w:cs="Courier New" w:hint="default"/>
      </w:rPr>
    </w:lvl>
    <w:lvl w:ilvl="5" w:tplc="E2881078" w:tentative="1">
      <w:start w:val="1"/>
      <w:numFmt w:val="bullet"/>
      <w:lvlText w:val=""/>
      <w:lvlJc w:val="left"/>
      <w:pPr>
        <w:ind w:left="4320" w:hanging="360"/>
      </w:pPr>
      <w:rPr>
        <w:rFonts w:ascii="Wingdings" w:hAnsi="Wingdings" w:hint="default"/>
      </w:rPr>
    </w:lvl>
    <w:lvl w:ilvl="6" w:tplc="1EEA7880" w:tentative="1">
      <w:start w:val="1"/>
      <w:numFmt w:val="bullet"/>
      <w:lvlText w:val=""/>
      <w:lvlJc w:val="left"/>
      <w:pPr>
        <w:ind w:left="5040" w:hanging="360"/>
      </w:pPr>
      <w:rPr>
        <w:rFonts w:ascii="Symbol" w:hAnsi="Symbol" w:hint="default"/>
      </w:rPr>
    </w:lvl>
    <w:lvl w:ilvl="7" w:tplc="31DEA2A2" w:tentative="1">
      <w:start w:val="1"/>
      <w:numFmt w:val="bullet"/>
      <w:lvlText w:val="o"/>
      <w:lvlJc w:val="left"/>
      <w:pPr>
        <w:ind w:left="5760" w:hanging="360"/>
      </w:pPr>
      <w:rPr>
        <w:rFonts w:ascii="Courier New" w:hAnsi="Courier New" w:cs="Courier New" w:hint="default"/>
      </w:rPr>
    </w:lvl>
    <w:lvl w:ilvl="8" w:tplc="C8AA9EEC" w:tentative="1">
      <w:start w:val="1"/>
      <w:numFmt w:val="bullet"/>
      <w:lvlText w:val=""/>
      <w:lvlJc w:val="left"/>
      <w:pPr>
        <w:ind w:left="6480" w:hanging="360"/>
      </w:pPr>
      <w:rPr>
        <w:rFonts w:ascii="Wingdings" w:hAnsi="Wingdings" w:hint="default"/>
      </w:rPr>
    </w:lvl>
  </w:abstractNum>
  <w:abstractNum w:abstractNumId="3"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1A5527"/>
    <w:multiLevelType w:val="hybridMultilevel"/>
    <w:tmpl w:val="8C10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02831"/>
    <w:multiLevelType w:val="hybridMultilevel"/>
    <w:tmpl w:val="150A76F2"/>
    <w:lvl w:ilvl="0" w:tplc="6024BD3E">
      <w:start w:val="1"/>
      <w:numFmt w:val="bullet"/>
      <w:lvlText w:val=""/>
      <w:lvlJc w:val="left"/>
      <w:pPr>
        <w:ind w:left="786" w:hanging="360"/>
      </w:pPr>
      <w:rPr>
        <w:rFonts w:ascii="Symbol" w:hAnsi="Symbol" w:hint="default"/>
      </w:rPr>
    </w:lvl>
    <w:lvl w:ilvl="1" w:tplc="920C45CC" w:tentative="1">
      <w:start w:val="1"/>
      <w:numFmt w:val="bullet"/>
      <w:lvlText w:val="o"/>
      <w:lvlJc w:val="left"/>
      <w:pPr>
        <w:ind w:left="1506" w:hanging="360"/>
      </w:pPr>
      <w:rPr>
        <w:rFonts w:ascii="Courier New" w:hAnsi="Courier New" w:cs="Courier New" w:hint="default"/>
      </w:rPr>
    </w:lvl>
    <w:lvl w:ilvl="2" w:tplc="162CEBAC" w:tentative="1">
      <w:start w:val="1"/>
      <w:numFmt w:val="bullet"/>
      <w:lvlText w:val=""/>
      <w:lvlJc w:val="left"/>
      <w:pPr>
        <w:ind w:left="2226" w:hanging="360"/>
      </w:pPr>
      <w:rPr>
        <w:rFonts w:ascii="Wingdings" w:hAnsi="Wingdings" w:hint="default"/>
      </w:rPr>
    </w:lvl>
    <w:lvl w:ilvl="3" w:tplc="E86AC02C" w:tentative="1">
      <w:start w:val="1"/>
      <w:numFmt w:val="bullet"/>
      <w:lvlText w:val=""/>
      <w:lvlJc w:val="left"/>
      <w:pPr>
        <w:ind w:left="2946" w:hanging="360"/>
      </w:pPr>
      <w:rPr>
        <w:rFonts w:ascii="Symbol" w:hAnsi="Symbol" w:hint="default"/>
      </w:rPr>
    </w:lvl>
    <w:lvl w:ilvl="4" w:tplc="F196B0AC" w:tentative="1">
      <w:start w:val="1"/>
      <w:numFmt w:val="bullet"/>
      <w:lvlText w:val="o"/>
      <w:lvlJc w:val="left"/>
      <w:pPr>
        <w:ind w:left="3666" w:hanging="360"/>
      </w:pPr>
      <w:rPr>
        <w:rFonts w:ascii="Courier New" w:hAnsi="Courier New" w:cs="Courier New" w:hint="default"/>
      </w:rPr>
    </w:lvl>
    <w:lvl w:ilvl="5" w:tplc="25F23A92" w:tentative="1">
      <w:start w:val="1"/>
      <w:numFmt w:val="bullet"/>
      <w:lvlText w:val=""/>
      <w:lvlJc w:val="left"/>
      <w:pPr>
        <w:ind w:left="4386" w:hanging="360"/>
      </w:pPr>
      <w:rPr>
        <w:rFonts w:ascii="Wingdings" w:hAnsi="Wingdings" w:hint="default"/>
      </w:rPr>
    </w:lvl>
    <w:lvl w:ilvl="6" w:tplc="7AE2B9B8" w:tentative="1">
      <w:start w:val="1"/>
      <w:numFmt w:val="bullet"/>
      <w:lvlText w:val=""/>
      <w:lvlJc w:val="left"/>
      <w:pPr>
        <w:ind w:left="5106" w:hanging="360"/>
      </w:pPr>
      <w:rPr>
        <w:rFonts w:ascii="Symbol" w:hAnsi="Symbol" w:hint="default"/>
      </w:rPr>
    </w:lvl>
    <w:lvl w:ilvl="7" w:tplc="429CE192" w:tentative="1">
      <w:start w:val="1"/>
      <w:numFmt w:val="bullet"/>
      <w:lvlText w:val="o"/>
      <w:lvlJc w:val="left"/>
      <w:pPr>
        <w:ind w:left="5826" w:hanging="360"/>
      </w:pPr>
      <w:rPr>
        <w:rFonts w:ascii="Courier New" w:hAnsi="Courier New" w:cs="Courier New" w:hint="default"/>
      </w:rPr>
    </w:lvl>
    <w:lvl w:ilvl="8" w:tplc="2294CF7E" w:tentative="1">
      <w:start w:val="1"/>
      <w:numFmt w:val="bullet"/>
      <w:lvlText w:val=""/>
      <w:lvlJc w:val="left"/>
      <w:pPr>
        <w:ind w:left="6546" w:hanging="360"/>
      </w:pPr>
      <w:rPr>
        <w:rFonts w:ascii="Wingdings" w:hAnsi="Wingdings" w:hint="default"/>
      </w:rPr>
    </w:lvl>
  </w:abstractNum>
  <w:abstractNum w:abstractNumId="6" w15:restartNumberingAfterBreak="0">
    <w:nsid w:val="2B483176"/>
    <w:multiLevelType w:val="hybridMultilevel"/>
    <w:tmpl w:val="6E2E7172"/>
    <w:lvl w:ilvl="0" w:tplc="331C0F90">
      <w:start w:val="1"/>
      <w:numFmt w:val="bullet"/>
      <w:lvlText w:val=""/>
      <w:lvlJc w:val="left"/>
      <w:pPr>
        <w:ind w:left="644" w:hanging="360"/>
      </w:pPr>
      <w:rPr>
        <w:rFonts w:ascii="Symbol" w:hAnsi="Symbol" w:hint="default"/>
      </w:rPr>
    </w:lvl>
    <w:lvl w:ilvl="1" w:tplc="62DAC6A0" w:tentative="1">
      <w:start w:val="1"/>
      <w:numFmt w:val="bullet"/>
      <w:lvlText w:val="o"/>
      <w:lvlJc w:val="left"/>
      <w:pPr>
        <w:ind w:left="1364" w:hanging="360"/>
      </w:pPr>
      <w:rPr>
        <w:rFonts w:ascii="Courier New" w:hAnsi="Courier New" w:cs="Courier New" w:hint="default"/>
      </w:rPr>
    </w:lvl>
    <w:lvl w:ilvl="2" w:tplc="83C6B4FE" w:tentative="1">
      <w:start w:val="1"/>
      <w:numFmt w:val="bullet"/>
      <w:lvlText w:val=""/>
      <w:lvlJc w:val="left"/>
      <w:pPr>
        <w:ind w:left="2084" w:hanging="360"/>
      </w:pPr>
      <w:rPr>
        <w:rFonts w:ascii="Wingdings" w:hAnsi="Wingdings" w:hint="default"/>
      </w:rPr>
    </w:lvl>
    <w:lvl w:ilvl="3" w:tplc="EF8EB3D6" w:tentative="1">
      <w:start w:val="1"/>
      <w:numFmt w:val="bullet"/>
      <w:lvlText w:val=""/>
      <w:lvlJc w:val="left"/>
      <w:pPr>
        <w:ind w:left="2804" w:hanging="360"/>
      </w:pPr>
      <w:rPr>
        <w:rFonts w:ascii="Symbol" w:hAnsi="Symbol" w:hint="default"/>
      </w:rPr>
    </w:lvl>
    <w:lvl w:ilvl="4" w:tplc="C73262EE" w:tentative="1">
      <w:start w:val="1"/>
      <w:numFmt w:val="bullet"/>
      <w:lvlText w:val="o"/>
      <w:lvlJc w:val="left"/>
      <w:pPr>
        <w:ind w:left="3524" w:hanging="360"/>
      </w:pPr>
      <w:rPr>
        <w:rFonts w:ascii="Courier New" w:hAnsi="Courier New" w:cs="Courier New" w:hint="default"/>
      </w:rPr>
    </w:lvl>
    <w:lvl w:ilvl="5" w:tplc="C0983B24" w:tentative="1">
      <w:start w:val="1"/>
      <w:numFmt w:val="bullet"/>
      <w:lvlText w:val=""/>
      <w:lvlJc w:val="left"/>
      <w:pPr>
        <w:ind w:left="4244" w:hanging="360"/>
      </w:pPr>
      <w:rPr>
        <w:rFonts w:ascii="Wingdings" w:hAnsi="Wingdings" w:hint="default"/>
      </w:rPr>
    </w:lvl>
    <w:lvl w:ilvl="6" w:tplc="6708337A" w:tentative="1">
      <w:start w:val="1"/>
      <w:numFmt w:val="bullet"/>
      <w:lvlText w:val=""/>
      <w:lvlJc w:val="left"/>
      <w:pPr>
        <w:ind w:left="4964" w:hanging="360"/>
      </w:pPr>
      <w:rPr>
        <w:rFonts w:ascii="Symbol" w:hAnsi="Symbol" w:hint="default"/>
      </w:rPr>
    </w:lvl>
    <w:lvl w:ilvl="7" w:tplc="52F869EA" w:tentative="1">
      <w:start w:val="1"/>
      <w:numFmt w:val="bullet"/>
      <w:lvlText w:val="o"/>
      <w:lvlJc w:val="left"/>
      <w:pPr>
        <w:ind w:left="5684" w:hanging="360"/>
      </w:pPr>
      <w:rPr>
        <w:rFonts w:ascii="Courier New" w:hAnsi="Courier New" w:cs="Courier New" w:hint="default"/>
      </w:rPr>
    </w:lvl>
    <w:lvl w:ilvl="8" w:tplc="A1CCBD0E" w:tentative="1">
      <w:start w:val="1"/>
      <w:numFmt w:val="bullet"/>
      <w:lvlText w:val=""/>
      <w:lvlJc w:val="left"/>
      <w:pPr>
        <w:ind w:left="6404" w:hanging="360"/>
      </w:pPr>
      <w:rPr>
        <w:rFonts w:ascii="Wingdings" w:hAnsi="Wingdings" w:hint="default"/>
      </w:rPr>
    </w:lvl>
  </w:abstractNum>
  <w:abstractNum w:abstractNumId="7"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08873FC"/>
    <w:multiLevelType w:val="multilevel"/>
    <w:tmpl w:val="074AF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5284BFA"/>
    <w:multiLevelType w:val="hybridMultilevel"/>
    <w:tmpl w:val="E452D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4520C"/>
    <w:multiLevelType w:val="hybridMultilevel"/>
    <w:tmpl w:val="DF9CEA3A"/>
    <w:lvl w:ilvl="0" w:tplc="4F7CCBC2">
      <w:start w:val="1"/>
      <w:numFmt w:val="bullet"/>
      <w:lvlText w:val=""/>
      <w:lvlJc w:val="left"/>
      <w:pPr>
        <w:ind w:left="720" w:hanging="360"/>
      </w:pPr>
      <w:rPr>
        <w:rFonts w:ascii="Symbol" w:hAnsi="Symbol" w:hint="default"/>
        <w:lang w:val="en-GB"/>
      </w:rPr>
    </w:lvl>
    <w:lvl w:ilvl="1" w:tplc="465EDD22" w:tentative="1">
      <w:start w:val="1"/>
      <w:numFmt w:val="bullet"/>
      <w:lvlText w:val="o"/>
      <w:lvlJc w:val="left"/>
      <w:pPr>
        <w:ind w:left="1440" w:hanging="360"/>
      </w:pPr>
      <w:rPr>
        <w:rFonts w:ascii="Courier New" w:hAnsi="Courier New" w:cs="Courier New" w:hint="default"/>
      </w:rPr>
    </w:lvl>
    <w:lvl w:ilvl="2" w:tplc="F75C1B48" w:tentative="1">
      <w:start w:val="1"/>
      <w:numFmt w:val="bullet"/>
      <w:lvlText w:val=""/>
      <w:lvlJc w:val="left"/>
      <w:pPr>
        <w:ind w:left="2160" w:hanging="360"/>
      </w:pPr>
      <w:rPr>
        <w:rFonts w:ascii="Wingdings" w:hAnsi="Wingdings" w:hint="default"/>
      </w:rPr>
    </w:lvl>
    <w:lvl w:ilvl="3" w:tplc="FEAA49D6" w:tentative="1">
      <w:start w:val="1"/>
      <w:numFmt w:val="bullet"/>
      <w:lvlText w:val=""/>
      <w:lvlJc w:val="left"/>
      <w:pPr>
        <w:ind w:left="2880" w:hanging="360"/>
      </w:pPr>
      <w:rPr>
        <w:rFonts w:ascii="Symbol" w:hAnsi="Symbol" w:hint="default"/>
      </w:rPr>
    </w:lvl>
    <w:lvl w:ilvl="4" w:tplc="10ACF216" w:tentative="1">
      <w:start w:val="1"/>
      <w:numFmt w:val="bullet"/>
      <w:lvlText w:val="o"/>
      <w:lvlJc w:val="left"/>
      <w:pPr>
        <w:ind w:left="3600" w:hanging="360"/>
      </w:pPr>
      <w:rPr>
        <w:rFonts w:ascii="Courier New" w:hAnsi="Courier New" w:cs="Courier New" w:hint="default"/>
      </w:rPr>
    </w:lvl>
    <w:lvl w:ilvl="5" w:tplc="ECCE48FC" w:tentative="1">
      <w:start w:val="1"/>
      <w:numFmt w:val="bullet"/>
      <w:lvlText w:val=""/>
      <w:lvlJc w:val="left"/>
      <w:pPr>
        <w:ind w:left="4320" w:hanging="360"/>
      </w:pPr>
      <w:rPr>
        <w:rFonts w:ascii="Wingdings" w:hAnsi="Wingdings" w:hint="default"/>
      </w:rPr>
    </w:lvl>
    <w:lvl w:ilvl="6" w:tplc="65E8DFD2" w:tentative="1">
      <w:start w:val="1"/>
      <w:numFmt w:val="bullet"/>
      <w:lvlText w:val=""/>
      <w:lvlJc w:val="left"/>
      <w:pPr>
        <w:ind w:left="5040" w:hanging="360"/>
      </w:pPr>
      <w:rPr>
        <w:rFonts w:ascii="Symbol" w:hAnsi="Symbol" w:hint="default"/>
      </w:rPr>
    </w:lvl>
    <w:lvl w:ilvl="7" w:tplc="0A8CDAC2" w:tentative="1">
      <w:start w:val="1"/>
      <w:numFmt w:val="bullet"/>
      <w:lvlText w:val="o"/>
      <w:lvlJc w:val="left"/>
      <w:pPr>
        <w:ind w:left="5760" w:hanging="360"/>
      </w:pPr>
      <w:rPr>
        <w:rFonts w:ascii="Courier New" w:hAnsi="Courier New" w:cs="Courier New" w:hint="default"/>
      </w:rPr>
    </w:lvl>
    <w:lvl w:ilvl="8" w:tplc="BE044CA6" w:tentative="1">
      <w:start w:val="1"/>
      <w:numFmt w:val="bullet"/>
      <w:lvlText w:val=""/>
      <w:lvlJc w:val="left"/>
      <w:pPr>
        <w:ind w:left="6480" w:hanging="360"/>
      </w:pPr>
      <w:rPr>
        <w:rFonts w:ascii="Wingdings" w:hAnsi="Wingdings" w:hint="default"/>
      </w:rPr>
    </w:lvl>
  </w:abstractNum>
  <w:abstractNum w:abstractNumId="12" w15:restartNumberingAfterBreak="0">
    <w:nsid w:val="5962587C"/>
    <w:multiLevelType w:val="hybridMultilevel"/>
    <w:tmpl w:val="8C10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10121F"/>
    <w:multiLevelType w:val="hybridMultilevel"/>
    <w:tmpl w:val="D45C48D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13"/>
  </w:num>
  <w:num w:numId="5">
    <w:abstractNumId w:val="15"/>
  </w:num>
  <w:num w:numId="6">
    <w:abstractNumId w:val="14"/>
  </w:num>
  <w:num w:numId="7">
    <w:abstractNumId w:val="3"/>
  </w:num>
  <w:num w:numId="8">
    <w:abstractNumId w:val="9"/>
  </w:num>
  <w:num w:numId="9">
    <w:abstractNumId w:val="10"/>
  </w:num>
  <w:num w:numId="10">
    <w:abstractNumId w:val="12"/>
  </w:num>
  <w:num w:numId="11">
    <w:abstractNumId w:val="4"/>
  </w:num>
  <w:num w:numId="12">
    <w:abstractNumId w:val="16"/>
  </w:num>
  <w:num w:numId="13">
    <w:abstractNumId w:val="2"/>
  </w:num>
  <w:num w:numId="14">
    <w:abstractNumId w:val="5"/>
  </w:num>
  <w:num w:numId="15">
    <w:abstractNumId w:val="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31E72"/>
    <w:rsid w:val="000404D2"/>
    <w:rsid w:val="000853C0"/>
    <w:rsid w:val="000A1C21"/>
    <w:rsid w:val="000D15EA"/>
    <w:rsid w:val="00100D84"/>
    <w:rsid w:val="00124C9D"/>
    <w:rsid w:val="00140861"/>
    <w:rsid w:val="00157773"/>
    <w:rsid w:val="0018251A"/>
    <w:rsid w:val="00190272"/>
    <w:rsid w:val="00193244"/>
    <w:rsid w:val="00195C6C"/>
    <w:rsid w:val="00195FED"/>
    <w:rsid w:val="001A4BD6"/>
    <w:rsid w:val="001D5A18"/>
    <w:rsid w:val="00280EB8"/>
    <w:rsid w:val="002A1C84"/>
    <w:rsid w:val="002A6670"/>
    <w:rsid w:val="00303502"/>
    <w:rsid w:val="00325C25"/>
    <w:rsid w:val="00372C8F"/>
    <w:rsid w:val="00380ECE"/>
    <w:rsid w:val="00381B4E"/>
    <w:rsid w:val="00393DDF"/>
    <w:rsid w:val="00397F55"/>
    <w:rsid w:val="003B4454"/>
    <w:rsid w:val="003C2E37"/>
    <w:rsid w:val="003F0A2B"/>
    <w:rsid w:val="003F1415"/>
    <w:rsid w:val="003F718D"/>
    <w:rsid w:val="00401011"/>
    <w:rsid w:val="0040144C"/>
    <w:rsid w:val="00403EB7"/>
    <w:rsid w:val="00430BF0"/>
    <w:rsid w:val="004672E6"/>
    <w:rsid w:val="00474ED1"/>
    <w:rsid w:val="00493085"/>
    <w:rsid w:val="004A36EC"/>
    <w:rsid w:val="004B2CE5"/>
    <w:rsid w:val="004D163F"/>
    <w:rsid w:val="004E3F23"/>
    <w:rsid w:val="004E4BFF"/>
    <w:rsid w:val="004F2598"/>
    <w:rsid w:val="005403F7"/>
    <w:rsid w:val="00540632"/>
    <w:rsid w:val="00541CF4"/>
    <w:rsid w:val="005451E8"/>
    <w:rsid w:val="005507F2"/>
    <w:rsid w:val="005759CC"/>
    <w:rsid w:val="0059332D"/>
    <w:rsid w:val="005A72E1"/>
    <w:rsid w:val="005C6632"/>
    <w:rsid w:val="005D1C9E"/>
    <w:rsid w:val="006211CF"/>
    <w:rsid w:val="00654257"/>
    <w:rsid w:val="0065435A"/>
    <w:rsid w:val="006A2DD3"/>
    <w:rsid w:val="006A5AF8"/>
    <w:rsid w:val="006C36CD"/>
    <w:rsid w:val="00700D1F"/>
    <w:rsid w:val="007205CB"/>
    <w:rsid w:val="00726073"/>
    <w:rsid w:val="0073236D"/>
    <w:rsid w:val="00734FE8"/>
    <w:rsid w:val="007360CE"/>
    <w:rsid w:val="00772315"/>
    <w:rsid w:val="00775157"/>
    <w:rsid w:val="007813AE"/>
    <w:rsid w:val="007A37DB"/>
    <w:rsid w:val="007E189D"/>
    <w:rsid w:val="007F347D"/>
    <w:rsid w:val="00811259"/>
    <w:rsid w:val="00813AA2"/>
    <w:rsid w:val="008173A3"/>
    <w:rsid w:val="0086059C"/>
    <w:rsid w:val="00864589"/>
    <w:rsid w:val="008901BE"/>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159D7"/>
    <w:rsid w:val="00A272FF"/>
    <w:rsid w:val="00A5354B"/>
    <w:rsid w:val="00AB42C1"/>
    <w:rsid w:val="00AC516F"/>
    <w:rsid w:val="00AE2926"/>
    <w:rsid w:val="00B0184B"/>
    <w:rsid w:val="00B035CD"/>
    <w:rsid w:val="00B0769D"/>
    <w:rsid w:val="00B217F8"/>
    <w:rsid w:val="00B332EA"/>
    <w:rsid w:val="00B40A53"/>
    <w:rsid w:val="00B45365"/>
    <w:rsid w:val="00B46A65"/>
    <w:rsid w:val="00B60184"/>
    <w:rsid w:val="00B62D20"/>
    <w:rsid w:val="00B76029"/>
    <w:rsid w:val="00B81E75"/>
    <w:rsid w:val="00BC060C"/>
    <w:rsid w:val="00BD1A5A"/>
    <w:rsid w:val="00BD7A9B"/>
    <w:rsid w:val="00BD7BE1"/>
    <w:rsid w:val="00BF416B"/>
    <w:rsid w:val="00C222E2"/>
    <w:rsid w:val="00C64E4E"/>
    <w:rsid w:val="00C66E64"/>
    <w:rsid w:val="00C761A0"/>
    <w:rsid w:val="00C85F7E"/>
    <w:rsid w:val="00CD47F0"/>
    <w:rsid w:val="00CD5566"/>
    <w:rsid w:val="00CD64D7"/>
    <w:rsid w:val="00CE6F22"/>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C2B52"/>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5-CLCWGFHRM5-C-0012/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CLCWGFHRM7-INF-0002/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WGFHRM6-C-0015/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S16-CLCWGFHRM6-C-0020/en" TargetMode="External"/><Relationship Id="rId4" Type="http://schemas.openxmlformats.org/officeDocument/2006/relationships/settings" Target="settings.xml"/><Relationship Id="rId9" Type="http://schemas.openxmlformats.org/officeDocument/2006/relationships/hyperlink" Target="https://www.itu.int/md/S15-SG-CIR-0010/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oduccion.gob.ar/py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23FC-05FF-4FEC-A600-3A92901C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38</TotalTime>
  <Pages>3</Pages>
  <Words>1801</Words>
  <Characters>624</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2421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Yuan, Tianxiang</dc:creator>
  <cp:keywords>C2004, C04</cp:keywords>
  <dc:description>C05/xx-C  For: _x000d_Document date: _x000d_Saved by CHI42772 at 09:12:08 on 10/02/2005</dc:description>
  <cp:lastModifiedBy>Liu, Sanping</cp:lastModifiedBy>
  <cp:revision>11</cp:revision>
  <cp:lastPrinted>2015-02-24T13:23:00Z</cp:lastPrinted>
  <dcterms:created xsi:type="dcterms:W3CDTF">2017-03-16T09:00:00Z</dcterms:created>
  <dcterms:modified xsi:type="dcterms:W3CDTF">2017-05-05T07:31:00Z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