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C118E0" w:rsidRDefault="000E4FF0" w:rsidP="00C5508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C118E0">
              <w:rPr>
                <w:rFonts w:eastAsiaTheme="minorEastAsia" w:hint="cs"/>
                <w:b/>
                <w:bCs/>
                <w:rtl/>
                <w:lang w:eastAsia="zh-CN" w:bidi="ar-EG"/>
              </w:rPr>
              <w:t xml:space="preserve">بند جدول الأعمال: </w:t>
            </w:r>
            <w:r w:rsidR="00C118E0" w:rsidRPr="00C118E0">
              <w:rPr>
                <w:rFonts w:eastAsiaTheme="minorEastAsia"/>
                <w:b/>
                <w:bCs/>
                <w:lang w:eastAsia="zh-CN" w:bidi="ar-EG"/>
              </w:rPr>
              <w:t>PL</w:t>
            </w:r>
            <w:r w:rsidR="007D1985">
              <w:rPr>
                <w:rFonts w:eastAsiaTheme="minorEastAsia"/>
                <w:b/>
                <w:bCs/>
                <w:lang w:eastAsia="zh-CN" w:bidi="ar-EG"/>
              </w:rPr>
              <w:t> </w:t>
            </w:r>
            <w:r w:rsidR="00C55088">
              <w:rPr>
                <w:rFonts w:eastAsiaTheme="minorEastAsia"/>
                <w:b/>
                <w:bCs/>
                <w:lang w:eastAsia="zh-CN" w:bidi="ar-EG"/>
              </w:rPr>
              <w:t>4.1</w:t>
            </w:r>
          </w:p>
        </w:tc>
        <w:tc>
          <w:tcPr>
            <w:tcW w:w="3052" w:type="dxa"/>
            <w:vAlign w:val="center"/>
          </w:tcPr>
          <w:p w:rsidR="000E4FF0" w:rsidRPr="000E4FF0" w:rsidRDefault="000E4FF0" w:rsidP="00C5508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C55088">
              <w:rPr>
                <w:rFonts w:eastAsiaTheme="minorEastAsia"/>
                <w:b/>
                <w:bCs/>
                <w:lang w:eastAsia="zh-CN" w:bidi="ar-SY"/>
              </w:rPr>
              <w:t>85</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C118E0" w:rsidP="00C118E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28</w:t>
            </w:r>
            <w:r w:rsidR="000E4FF0" w:rsidRPr="000E4FF0">
              <w:rPr>
                <w:rFonts w:eastAsiaTheme="minorEastAsia" w:hint="cs"/>
                <w:b/>
                <w:bCs/>
                <w:rtl/>
                <w:lang w:eastAsia="zh-CN" w:bidi="ar-EG"/>
              </w:rPr>
              <w:t xml:space="preserve"> </w:t>
            </w:r>
            <w:r>
              <w:rPr>
                <w:rFonts w:eastAsiaTheme="minorEastAsia" w:hint="cs"/>
                <w:b/>
                <w:bCs/>
                <w:rtl/>
                <w:lang w:eastAsia="zh-CN" w:bidi="ar-EG"/>
              </w:rPr>
              <w:t>أبريل</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C5508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C55088">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C118E0" w:rsidP="007D1985">
            <w:pPr>
              <w:pStyle w:val="Source"/>
              <w:spacing w:after="0"/>
              <w:rPr>
                <w:rFonts w:eastAsiaTheme="minorEastAsia"/>
                <w:rtl/>
                <w:lang w:eastAsia="zh-CN"/>
              </w:rPr>
            </w:pPr>
            <w:r w:rsidRPr="00C118E0">
              <w:rPr>
                <w:rFonts w:eastAsiaTheme="minorEastAsia" w:hint="cs"/>
                <w:rtl/>
                <w:lang w:eastAsia="zh-CN" w:bidi="ar-SA"/>
              </w:rPr>
              <w:t xml:space="preserve">مذكرة من </w:t>
            </w:r>
            <w:r w:rsidRPr="00F77E2D">
              <w:rPr>
                <w:rFonts w:eastAsiaTheme="minorEastAsia" w:hint="cs"/>
                <w:sz w:val="30"/>
                <w:szCs w:val="42"/>
                <w:rtl/>
                <w:lang w:eastAsia="zh-CN" w:bidi="ar-SA"/>
              </w:rPr>
              <w:t>الأمين</w:t>
            </w:r>
            <w:r w:rsidRPr="00C118E0">
              <w:rPr>
                <w:rFonts w:eastAsiaTheme="minorEastAsia" w:hint="cs"/>
                <w:rtl/>
                <w:lang w:eastAsia="zh-CN" w:bidi="ar-SA"/>
              </w:rPr>
              <w:t xml:space="preserve"> العام</w:t>
            </w:r>
          </w:p>
        </w:tc>
      </w:tr>
      <w:tr w:rsidR="000E4FF0" w:rsidRPr="000E4FF0" w:rsidTr="000E4FF0">
        <w:trPr>
          <w:cantSplit/>
          <w:jc w:val="center"/>
        </w:trPr>
        <w:tc>
          <w:tcPr>
            <w:tcW w:w="9672" w:type="dxa"/>
            <w:gridSpan w:val="2"/>
          </w:tcPr>
          <w:p w:rsidR="000E4FF0" w:rsidRPr="000E4FF0" w:rsidRDefault="00C118E0" w:rsidP="00C55088">
            <w:pPr>
              <w:pStyle w:val="Title1"/>
              <w:rPr>
                <w:rFonts w:eastAsiaTheme="minorEastAsia"/>
                <w:rtl/>
                <w:lang w:eastAsia="zh-CN"/>
              </w:rPr>
            </w:pPr>
            <w:r>
              <w:rPr>
                <w:rFonts w:eastAsiaTheme="minorEastAsia" w:hint="cs"/>
                <w:rtl/>
                <w:lang w:eastAsia="zh-CN"/>
              </w:rPr>
              <w:t xml:space="preserve">مساهمة من </w:t>
            </w:r>
            <w:r w:rsidR="00C55088">
              <w:rPr>
                <w:rFonts w:eastAsiaTheme="minorEastAsia" w:hint="cs"/>
                <w:rtl/>
                <w:lang w:eastAsia="zh-CN"/>
              </w:rPr>
              <w:t>جمهورية بولندا</w:t>
            </w:r>
          </w:p>
        </w:tc>
      </w:tr>
      <w:tr w:rsidR="000E4FF0" w:rsidRPr="000E4FF0" w:rsidTr="000E4FF0">
        <w:trPr>
          <w:cantSplit/>
          <w:jc w:val="center"/>
        </w:trPr>
        <w:tc>
          <w:tcPr>
            <w:tcW w:w="9672" w:type="dxa"/>
            <w:gridSpan w:val="2"/>
          </w:tcPr>
          <w:p w:rsidR="000E4FF0" w:rsidRPr="000E4FF0" w:rsidRDefault="00C55088" w:rsidP="00C55088">
            <w:pPr>
              <w:pStyle w:val="Title2"/>
              <w:rPr>
                <w:rFonts w:eastAsiaTheme="minorEastAsia"/>
                <w:w w:val="120"/>
                <w:rtl/>
                <w:lang w:eastAsia="zh-CN"/>
              </w:rPr>
            </w:pPr>
            <w:r w:rsidRPr="00C55088">
              <w:rPr>
                <w:rFonts w:eastAsiaTheme="minorEastAsia" w:hint="cs"/>
                <w:w w:val="120"/>
                <w:rtl/>
                <w:lang w:eastAsia="zh-CN" w:bidi="ar-SA"/>
              </w:rPr>
              <w:t>النفاذ الإلكتروني المجاني للدول الأعضاء إلى تقارير الاتحاد وإحصاءاته ومؤشراته</w:t>
            </w:r>
          </w:p>
        </w:tc>
      </w:tr>
    </w:tbl>
    <w:p w:rsidR="000E4FF0" w:rsidRPr="000E4FF0" w:rsidRDefault="00C118E0" w:rsidP="00C5508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lang w:eastAsia="zh-CN"/>
        </w:rPr>
      </w:pPr>
      <w:r>
        <w:rPr>
          <w:rFonts w:eastAsiaTheme="minorEastAsia" w:hint="cs"/>
          <w:rtl/>
          <w:lang w:eastAsia="zh-CN"/>
        </w:rPr>
        <w:t xml:space="preserve">يشرفني أن أحيل إلى الدول الأعضاء في المجلس مساهمة مقدمة من </w:t>
      </w:r>
      <w:r w:rsidR="007B46AB">
        <w:rPr>
          <w:rFonts w:eastAsiaTheme="minorEastAsia" w:hint="cs"/>
          <w:b/>
          <w:bCs/>
          <w:rtl/>
          <w:lang w:eastAsia="zh-CN"/>
        </w:rPr>
        <w:t xml:space="preserve">جمهورية </w:t>
      </w:r>
      <w:r w:rsidR="00C55088">
        <w:rPr>
          <w:rFonts w:eastAsiaTheme="minorEastAsia" w:hint="cs"/>
          <w:b/>
          <w:bCs/>
          <w:rtl/>
          <w:lang w:eastAsia="zh-CN"/>
        </w:rPr>
        <w:t>بولندا</w:t>
      </w:r>
      <w:r>
        <w:rPr>
          <w:rFonts w:eastAsiaTheme="minorEastAsia" w:hint="cs"/>
          <w:rtl/>
          <w:lang w:eastAsia="zh-CN"/>
        </w:rPr>
        <w:t>.</w:t>
      </w:r>
    </w:p>
    <w:p w:rsidR="000E4FF0" w:rsidRPr="000E4FF0" w:rsidRDefault="00F82C45" w:rsidP="007C0032">
      <w:pPr>
        <w:tabs>
          <w:tab w:val="clear" w:pos="1134"/>
          <w:tab w:val="left" w:pos="5670"/>
        </w:tabs>
        <w:spacing w:before="1440"/>
        <w:jc w:val="center"/>
        <w:rPr>
          <w:rFonts w:eastAsiaTheme="minorEastAsia"/>
          <w:rtl/>
          <w:lang w:eastAsia="zh-CN" w:bidi="ar-SY"/>
        </w:rPr>
      </w:pPr>
      <w:r>
        <w:rPr>
          <w:rFonts w:eastAsiaTheme="minorEastAsia"/>
          <w:rtl/>
          <w:lang w:eastAsia="zh-CN" w:bidi="ar-SY"/>
        </w:rPr>
        <w:tab/>
      </w:r>
      <w:r w:rsidR="00C118E0">
        <w:rPr>
          <w:rFonts w:eastAsiaTheme="minorEastAsia" w:hint="cs"/>
          <w:rtl/>
          <w:lang w:eastAsia="zh-CN" w:bidi="ar-SY"/>
        </w:rPr>
        <w:t>هولين جاو</w:t>
      </w:r>
      <w:r w:rsidR="00C118E0">
        <w:rPr>
          <w:rFonts w:eastAsiaTheme="minorEastAsia"/>
          <w:rtl/>
          <w:lang w:eastAsia="zh-CN" w:bidi="ar-SY"/>
        </w:rPr>
        <w:br/>
      </w:r>
      <w:r>
        <w:rPr>
          <w:rFonts w:eastAsiaTheme="minorEastAsia"/>
          <w:rtl/>
          <w:lang w:eastAsia="zh-CN" w:bidi="ar-SY"/>
        </w:rPr>
        <w:tab/>
      </w:r>
      <w:r w:rsidR="00C118E0">
        <w:rPr>
          <w:rFonts w:eastAsiaTheme="minorEastAsia" w:hint="cs"/>
          <w:rtl/>
          <w:lang w:eastAsia="zh-CN" w:bidi="ar-SY"/>
        </w:rPr>
        <w:t>الأمين العام</w:t>
      </w:r>
    </w:p>
    <w:p w:rsidR="00C55088" w:rsidRPr="00C55088" w:rsidRDefault="000E4FF0" w:rsidP="00C55088">
      <w:pPr>
        <w:pStyle w:val="Source"/>
        <w:rPr>
          <w:rtl/>
        </w:rPr>
      </w:pPr>
      <w:r>
        <w:rPr>
          <w:rtl/>
        </w:rPr>
        <w:br w:type="page"/>
      </w:r>
      <w:r w:rsidR="00C55088" w:rsidRPr="00C55088">
        <w:rPr>
          <w:rFonts w:hint="cs"/>
          <w:rtl/>
        </w:rPr>
        <w:lastRenderedPageBreak/>
        <w:t>بولندا</w:t>
      </w:r>
    </w:p>
    <w:p w:rsidR="00C55088" w:rsidRPr="00C55088" w:rsidRDefault="00C55088" w:rsidP="00C55088">
      <w:pPr>
        <w:pStyle w:val="Title1"/>
        <w:rPr>
          <w:rtl/>
        </w:rPr>
      </w:pPr>
      <w:r w:rsidRPr="00C55088">
        <w:rPr>
          <w:rFonts w:hint="eastAsia"/>
          <w:rtl/>
        </w:rPr>
        <w:t>النفاذ</w:t>
      </w:r>
      <w:r w:rsidRPr="00C55088">
        <w:rPr>
          <w:rtl/>
        </w:rPr>
        <w:t xml:space="preserve"> </w:t>
      </w:r>
      <w:r w:rsidRPr="00C55088">
        <w:rPr>
          <w:rFonts w:hint="eastAsia"/>
          <w:rtl/>
        </w:rPr>
        <w:t>الإلكتروني</w:t>
      </w:r>
      <w:r w:rsidRPr="00C55088">
        <w:rPr>
          <w:rtl/>
        </w:rPr>
        <w:t xml:space="preserve"> </w:t>
      </w:r>
      <w:r w:rsidRPr="00C55088">
        <w:rPr>
          <w:rFonts w:hint="eastAsia"/>
          <w:rtl/>
        </w:rPr>
        <w:t>المجاني</w:t>
      </w:r>
      <w:r w:rsidRPr="00C55088">
        <w:rPr>
          <w:rtl/>
        </w:rPr>
        <w:t xml:space="preserve"> </w:t>
      </w:r>
      <w:r w:rsidRPr="00C55088">
        <w:rPr>
          <w:rFonts w:hint="eastAsia"/>
          <w:rtl/>
        </w:rPr>
        <w:t>للدول</w:t>
      </w:r>
      <w:r w:rsidRPr="00C55088">
        <w:rPr>
          <w:rtl/>
        </w:rPr>
        <w:t xml:space="preserve"> </w:t>
      </w:r>
      <w:r w:rsidRPr="00C55088">
        <w:rPr>
          <w:rFonts w:hint="eastAsia"/>
          <w:rtl/>
        </w:rPr>
        <w:t>الأعضاء</w:t>
      </w:r>
      <w:r w:rsidRPr="00C55088">
        <w:rPr>
          <w:rtl/>
        </w:rPr>
        <w:t xml:space="preserve"> </w:t>
      </w:r>
      <w:r w:rsidRPr="00C55088">
        <w:rPr>
          <w:rFonts w:hint="eastAsia"/>
          <w:rtl/>
        </w:rPr>
        <w:t>إلى</w:t>
      </w:r>
      <w:r w:rsidRPr="00C55088">
        <w:rPr>
          <w:rtl/>
        </w:rPr>
        <w:t xml:space="preserve"> </w:t>
      </w:r>
      <w:r w:rsidRPr="00C55088">
        <w:rPr>
          <w:rFonts w:hint="eastAsia"/>
          <w:rtl/>
        </w:rPr>
        <w:t>تقارير</w:t>
      </w:r>
      <w:r w:rsidRPr="00C55088">
        <w:rPr>
          <w:rtl/>
        </w:rPr>
        <w:t xml:space="preserve"> </w:t>
      </w:r>
      <w:r w:rsidRPr="00C55088">
        <w:rPr>
          <w:rFonts w:hint="eastAsia"/>
          <w:rtl/>
        </w:rPr>
        <w:t>الاتحاد</w:t>
      </w:r>
      <w:r w:rsidRPr="00C55088">
        <w:rPr>
          <w:rtl/>
        </w:rPr>
        <w:t xml:space="preserve"> </w:t>
      </w:r>
      <w:r w:rsidRPr="00C55088">
        <w:rPr>
          <w:rFonts w:hint="eastAsia"/>
          <w:rtl/>
        </w:rPr>
        <w:t>وإحصاءاته</w:t>
      </w:r>
      <w:r w:rsidRPr="00C55088">
        <w:rPr>
          <w:rtl/>
        </w:rPr>
        <w:t xml:space="preserve"> </w:t>
      </w:r>
      <w:r w:rsidRPr="00C55088">
        <w:rPr>
          <w:rFonts w:hint="eastAsia"/>
          <w:rtl/>
        </w:rPr>
        <w:t>ومؤشراته</w:t>
      </w:r>
    </w:p>
    <w:p w:rsidR="00C55088" w:rsidRPr="00C55088" w:rsidRDefault="00C55088" w:rsidP="00C55088">
      <w:pPr>
        <w:pStyle w:val="Heading1"/>
        <w:rPr>
          <w:rtl/>
        </w:rPr>
      </w:pPr>
      <w:r w:rsidRPr="00C55088">
        <w:t>1</w:t>
      </w:r>
      <w:r w:rsidRPr="00C55088">
        <w:rPr>
          <w:rtl/>
        </w:rPr>
        <w:tab/>
      </w:r>
      <w:r w:rsidRPr="00C55088">
        <w:rPr>
          <w:rFonts w:hint="cs"/>
          <w:rtl/>
        </w:rPr>
        <w:t>مقدمة</w:t>
      </w:r>
    </w:p>
    <w:p w:rsidR="00C55088" w:rsidRPr="00C55088" w:rsidRDefault="00C55088" w:rsidP="006831DD">
      <w:pPr>
        <w:rPr>
          <w:rtl/>
          <w:lang w:bidi="ar-EG"/>
        </w:rPr>
      </w:pPr>
      <w:r w:rsidRPr="00C55088">
        <w:rPr>
          <w:rFonts w:hint="cs"/>
          <w:rtl/>
          <w:lang w:bidi="ar-EG"/>
        </w:rPr>
        <w:t xml:space="preserve">تتناول هذه المساهمة </w:t>
      </w:r>
      <w:r>
        <w:rPr>
          <w:rFonts w:hint="cs"/>
          <w:rtl/>
          <w:lang w:bidi="ar-EG"/>
        </w:rPr>
        <w:t>مسألة</w:t>
      </w:r>
      <w:r w:rsidRPr="00C55088">
        <w:rPr>
          <w:rFonts w:hint="cs"/>
          <w:rtl/>
          <w:lang w:bidi="ar-EG"/>
        </w:rPr>
        <w:t xml:space="preserve"> النفاذ الإلكتروني المجاني إلى </w:t>
      </w:r>
      <w:r>
        <w:rPr>
          <w:rFonts w:hint="cs"/>
          <w:rtl/>
          <w:lang w:bidi="ar-EG"/>
        </w:rPr>
        <w:t>منشورات</w:t>
      </w:r>
      <w:r w:rsidRPr="00C55088">
        <w:rPr>
          <w:rFonts w:hint="cs"/>
          <w:rtl/>
          <w:lang w:bidi="ar-EG"/>
        </w:rPr>
        <w:t xml:space="preserve"> الاتحاد بما فيها على سبيل المثال لا</w:t>
      </w:r>
      <w:r w:rsidR="006831DD">
        <w:rPr>
          <w:rFonts w:hint="eastAsia"/>
          <w:rtl/>
          <w:lang w:bidi="ar-EG"/>
        </w:rPr>
        <w:t> </w:t>
      </w:r>
      <w:r w:rsidRPr="00C55088">
        <w:rPr>
          <w:rFonts w:hint="cs"/>
          <w:rtl/>
          <w:lang w:bidi="ar-EG"/>
        </w:rPr>
        <w:t xml:space="preserve">الحصر التقارير، والإحصاءات، وقواعد البيانات المتعلقة بالمؤشرات، وجميع أنواع الوثائق الأخرى التي يعدها الاتحاد استناداً إلى البيانات المقدمة من الدول الأعضاء. وتعتقد بولندا أنه ينبغي لجميع الدول الأعضاء في الاتحاد التي تساهم في </w:t>
      </w:r>
      <w:r>
        <w:rPr>
          <w:rFonts w:hint="cs"/>
          <w:rtl/>
          <w:lang w:bidi="ar-EG"/>
        </w:rPr>
        <w:t>منشورات</w:t>
      </w:r>
      <w:r w:rsidRPr="00C55088">
        <w:rPr>
          <w:rFonts w:hint="cs"/>
          <w:rtl/>
          <w:lang w:bidi="ar-EG"/>
        </w:rPr>
        <w:t xml:space="preserve"> الاتحاد عن طريق تقديم البيانات اللازمة، ولا</w:t>
      </w:r>
      <w:r>
        <w:rPr>
          <w:rFonts w:hint="eastAsia"/>
          <w:rtl/>
          <w:lang w:bidi="ar-EG"/>
        </w:rPr>
        <w:t> </w:t>
      </w:r>
      <w:r w:rsidRPr="00C55088">
        <w:rPr>
          <w:rFonts w:hint="cs"/>
          <w:rtl/>
          <w:lang w:bidi="ar-EG"/>
        </w:rPr>
        <w:t>سيما تلك المتعلقة بسوق الاتصالات المحلي والمجمّعة بفضل استقصاءات واستمارات، أن يُكفل لها الحق في النفاذ الإلكتروني المجاني إلى هذه ال</w:t>
      </w:r>
      <w:r>
        <w:rPr>
          <w:rFonts w:hint="cs"/>
          <w:rtl/>
          <w:lang w:bidi="ar-EG"/>
        </w:rPr>
        <w:t>منشورات</w:t>
      </w:r>
      <w:r w:rsidR="003448AA">
        <w:rPr>
          <w:rFonts w:hint="cs"/>
          <w:rtl/>
          <w:lang w:bidi="ar-EG"/>
        </w:rPr>
        <w:t xml:space="preserve"> بوجه خاص.</w:t>
      </w:r>
    </w:p>
    <w:p w:rsidR="00C55088" w:rsidRPr="00C55088" w:rsidRDefault="00C55088" w:rsidP="00C55088">
      <w:pPr>
        <w:pStyle w:val="Heading1"/>
        <w:rPr>
          <w:rtl/>
        </w:rPr>
      </w:pPr>
      <w:r w:rsidRPr="00C55088">
        <w:t>2</w:t>
      </w:r>
      <w:r w:rsidRPr="00C55088">
        <w:rPr>
          <w:rtl/>
        </w:rPr>
        <w:tab/>
      </w:r>
      <w:r w:rsidRPr="00C55088">
        <w:rPr>
          <w:rFonts w:hint="cs"/>
          <w:rtl/>
        </w:rPr>
        <w:t>معلومات أساسية</w:t>
      </w:r>
    </w:p>
    <w:p w:rsidR="00C55088" w:rsidRPr="00C55088" w:rsidRDefault="00C55088" w:rsidP="00C55088">
      <w:pPr>
        <w:rPr>
          <w:rtl/>
        </w:rPr>
      </w:pPr>
      <w:r w:rsidRPr="00C55088">
        <w:rPr>
          <w:rFonts w:hint="cs"/>
          <w:rtl/>
        </w:rPr>
        <w:t>إقرارً بما يلي:</w:t>
      </w:r>
    </w:p>
    <w:p w:rsidR="00C55088" w:rsidRPr="00C55088" w:rsidRDefault="00C55088" w:rsidP="003448AA">
      <w:pPr>
        <w:rPr>
          <w:rtl/>
        </w:rPr>
      </w:pPr>
      <w:r w:rsidRPr="00C55088">
        <w:rPr>
          <w:lang w:bidi="ar-EG"/>
        </w:rPr>
        <w:t>1</w:t>
      </w:r>
      <w:r w:rsidRPr="00C55088">
        <w:rPr>
          <w:rtl/>
          <w:lang w:bidi="ar-EG"/>
        </w:rPr>
        <w:tab/>
      </w:r>
      <w:r w:rsidRPr="00C55088">
        <w:rPr>
          <w:rFonts w:hint="cs"/>
          <w:rtl/>
        </w:rPr>
        <w:t xml:space="preserve">يطلب المقرر </w:t>
      </w:r>
      <w:r w:rsidRPr="00C55088">
        <w:rPr>
          <w:lang w:bidi="ar-EG"/>
        </w:rPr>
        <w:t>563</w:t>
      </w:r>
      <w:r w:rsidRPr="00C55088">
        <w:rPr>
          <w:rFonts w:hint="cs"/>
          <w:rtl/>
        </w:rPr>
        <w:t xml:space="preserve"> الصادر عن المجلس من فريق </w:t>
      </w:r>
      <w:r w:rsidR="003448AA">
        <w:rPr>
          <w:rFonts w:hint="cs"/>
          <w:rtl/>
        </w:rPr>
        <w:t>العمل التابع</w:t>
      </w:r>
      <w:r w:rsidRPr="00C55088">
        <w:rPr>
          <w:rFonts w:hint="cs"/>
          <w:rtl/>
        </w:rPr>
        <w:t xml:space="preserve"> المجلس المعني بالموارد المالية والبشرية</w:t>
      </w:r>
      <w:r w:rsidRPr="00C55088">
        <w:rPr>
          <w:rFonts w:hint="eastAsia"/>
          <w:rtl/>
        </w:rPr>
        <w:t> </w:t>
      </w:r>
      <w:r w:rsidRPr="00C55088">
        <w:rPr>
          <w:lang w:bidi="ar-EG"/>
        </w:rPr>
        <w:t>(CWG-FHR)</w:t>
      </w:r>
      <w:r w:rsidRPr="00C55088">
        <w:rPr>
          <w:rFonts w:hint="cs"/>
          <w:rtl/>
        </w:rPr>
        <w:t xml:space="preserve"> </w:t>
      </w:r>
      <w:r w:rsidRPr="00C55088">
        <w:rPr>
          <w:rtl/>
        </w:rPr>
        <w:t>استعراض سياسة النفاذ إلى الوثائق في الاتحاد لتحديد إلى أي مدى ينبغي إتاحة النفاذ العام للجمهور إلى الوثائق</w:t>
      </w:r>
      <w:r w:rsidRPr="00C55088">
        <w:rPr>
          <w:rFonts w:hint="cs"/>
          <w:rtl/>
        </w:rPr>
        <w:t>.</w:t>
      </w:r>
    </w:p>
    <w:p w:rsidR="00C55088" w:rsidRPr="00C55088" w:rsidRDefault="00C55088" w:rsidP="00C55088">
      <w:pPr>
        <w:rPr>
          <w:rtl/>
        </w:rPr>
      </w:pPr>
      <w:r w:rsidRPr="00C55088">
        <w:rPr>
          <w:lang w:bidi="ar-EG"/>
        </w:rPr>
        <w:t>2</w:t>
      </w:r>
      <w:r w:rsidRPr="00C55088">
        <w:rPr>
          <w:rtl/>
          <w:lang w:bidi="ar-EG"/>
        </w:rPr>
        <w:tab/>
      </w:r>
      <w:r w:rsidRPr="00C55088">
        <w:rPr>
          <w:rtl/>
        </w:rPr>
        <w:t xml:space="preserve">يكلف مؤتمر المندوبين المفوضين </w:t>
      </w:r>
      <w:r w:rsidRPr="00C55088">
        <w:rPr>
          <w:rFonts w:hint="cs"/>
          <w:rtl/>
        </w:rPr>
        <w:t xml:space="preserve">لعام </w:t>
      </w:r>
      <w:r w:rsidRPr="00C55088">
        <w:rPr>
          <w:lang w:bidi="ar-EG"/>
        </w:rPr>
        <w:t>2014</w:t>
      </w:r>
      <w:r w:rsidRPr="00C55088">
        <w:rPr>
          <w:rFonts w:hint="cs"/>
          <w:rtl/>
        </w:rPr>
        <w:t xml:space="preserve"> فريق العمل التابع للمجلس المعني بالموارد المالية والبشرية، من خلال المجلس، بما</w:t>
      </w:r>
      <w:r w:rsidRPr="00C55088">
        <w:rPr>
          <w:rFonts w:hint="eastAsia"/>
          <w:rtl/>
        </w:rPr>
        <w:t> </w:t>
      </w:r>
      <w:r w:rsidRPr="00C55088">
        <w:rPr>
          <w:rFonts w:hint="cs"/>
          <w:rtl/>
        </w:rPr>
        <w:t>يلي:</w:t>
      </w:r>
    </w:p>
    <w:p w:rsidR="00C55088" w:rsidRPr="00C55088" w:rsidRDefault="00C55088" w:rsidP="00C55088">
      <w:pPr>
        <w:pStyle w:val="enumlev1"/>
        <w:rPr>
          <w:rtl/>
        </w:rPr>
      </w:pPr>
      <w:r w:rsidRPr="00C55088">
        <w:rPr>
          <w:rFonts w:hint="eastAsia"/>
          <w:rtl/>
        </w:rPr>
        <w:t> أ )</w:t>
      </w:r>
      <w:r w:rsidRPr="00C55088">
        <w:rPr>
          <w:rFonts w:hint="cs"/>
          <w:rtl/>
        </w:rPr>
        <w:tab/>
        <w:t xml:space="preserve">مواصلة </w:t>
      </w:r>
      <w:r w:rsidRPr="00C55088">
        <w:rPr>
          <w:rtl/>
        </w:rPr>
        <w:t xml:space="preserve">استعراض سياسة </w:t>
      </w:r>
      <w:r w:rsidRPr="00C55088">
        <w:rPr>
          <w:rFonts w:hint="cs"/>
          <w:rtl/>
        </w:rPr>
        <w:t>النفاذ إلى</w:t>
      </w:r>
      <w:r w:rsidRPr="00C55088">
        <w:rPr>
          <w:rtl/>
        </w:rPr>
        <w:t xml:space="preserve"> الوثائق في الاتحاد لتحديد إلى أي مدى ينبغي إتاحة </w:t>
      </w:r>
      <w:r w:rsidRPr="00C55088">
        <w:rPr>
          <w:rFonts w:hint="cs"/>
          <w:rtl/>
        </w:rPr>
        <w:t>الوثائق لكي يطلع عليها الجمهور وإعداد مشروع سياسة بخصوص النفاذ إلى الوثائق لتقديمها إلى المجلس؛</w:t>
      </w:r>
    </w:p>
    <w:p w:rsidR="00C55088" w:rsidRPr="00C55088" w:rsidRDefault="00C55088" w:rsidP="00C55088">
      <w:pPr>
        <w:pStyle w:val="enumlev1"/>
        <w:rPr>
          <w:rtl/>
        </w:rPr>
      </w:pPr>
      <w:r w:rsidRPr="00C55088">
        <w:rPr>
          <w:rFonts w:hint="cs"/>
          <w:rtl/>
        </w:rPr>
        <w:t>ب)</w:t>
      </w:r>
      <w:r w:rsidRPr="00C55088">
        <w:rPr>
          <w:rtl/>
        </w:rPr>
        <w:tab/>
      </w:r>
      <w:r w:rsidRPr="00C55088">
        <w:rPr>
          <w:rFonts w:hint="cs"/>
          <w:rtl/>
        </w:rPr>
        <w:t>النظر في الحاجة إلى إنشاء فريق مخصص لهذا الغرض</w:t>
      </w:r>
      <w:r>
        <w:rPr>
          <w:rFonts w:hint="cs"/>
          <w:rtl/>
        </w:rPr>
        <w:t>،</w:t>
      </w:r>
    </w:p>
    <w:p w:rsidR="00C55088" w:rsidRPr="00C55088" w:rsidRDefault="00C55088" w:rsidP="00C55088">
      <w:pPr>
        <w:rPr>
          <w:rtl/>
        </w:rPr>
      </w:pPr>
      <w:r w:rsidRPr="00C55088">
        <w:rPr>
          <w:rFonts w:hint="cs"/>
          <w:rtl/>
        </w:rPr>
        <w:t xml:space="preserve">وإقراراً أيضاً بأن مؤتمر المندوبين المفوضين لعام </w:t>
      </w:r>
      <w:r>
        <w:t>2014</w:t>
      </w:r>
      <w:r w:rsidRPr="00C55088">
        <w:rPr>
          <w:rFonts w:hint="cs"/>
          <w:rtl/>
        </w:rPr>
        <w:t xml:space="preserve"> قام بما يلي:</w:t>
      </w:r>
    </w:p>
    <w:p w:rsidR="00C55088" w:rsidRPr="00C55088" w:rsidRDefault="00C55088" w:rsidP="00C55088">
      <w:pPr>
        <w:pStyle w:val="enumlev1"/>
        <w:rPr>
          <w:rtl/>
        </w:rPr>
      </w:pPr>
      <w:r w:rsidRPr="00C55088">
        <w:rPr>
          <w:rFonts w:hint="eastAsia"/>
          <w:rtl/>
        </w:rPr>
        <w:t> أ )</w:t>
      </w:r>
      <w:r w:rsidRPr="00C55088">
        <w:rPr>
          <w:rFonts w:hint="eastAsia"/>
          <w:rtl/>
        </w:rPr>
        <w:tab/>
      </w:r>
      <w:r w:rsidRPr="00C55088">
        <w:rPr>
          <w:rFonts w:hint="cs"/>
          <w:rtl/>
        </w:rPr>
        <w:t>تكليف فريق العمل التابع للمجلس والمعني بالموارد المالية والبشرية، من خلال المجلس، بإحالة سياسة النفاذ</w:t>
      </w:r>
      <w:r w:rsidRPr="00C55088">
        <w:rPr>
          <w:rtl/>
        </w:rPr>
        <w:t xml:space="preserve"> </w:t>
      </w:r>
      <w:r w:rsidRPr="00C55088">
        <w:rPr>
          <w:rFonts w:hint="cs"/>
          <w:rtl/>
        </w:rPr>
        <w:t>المقترحة إلى المجلس للنظر فيها والموافقة عليها</w:t>
      </w:r>
      <w:r>
        <w:rPr>
          <w:rFonts w:hint="cs"/>
          <w:rtl/>
        </w:rPr>
        <w:t xml:space="preserve"> مؤقتاً وتنفيذها بحسب الاقتضاء؛</w:t>
      </w:r>
    </w:p>
    <w:p w:rsidR="00C55088" w:rsidRPr="00C55088" w:rsidRDefault="00C55088" w:rsidP="00C55088">
      <w:pPr>
        <w:pStyle w:val="enumlev1"/>
        <w:rPr>
          <w:rtl/>
        </w:rPr>
      </w:pPr>
      <w:r w:rsidRPr="00C55088">
        <w:rPr>
          <w:rFonts w:hint="cs"/>
          <w:rtl/>
        </w:rPr>
        <w:t>ب)</w:t>
      </w:r>
      <w:r w:rsidRPr="00C55088">
        <w:rPr>
          <w:rFonts w:hint="cs"/>
          <w:rtl/>
        </w:rPr>
        <w:tab/>
        <w:t>تكليف وتخويل المجلس النظر في تقرير فريق العمل التابع للمجلس والموافقة على السياسة وتنفيذها بصورة مؤقتة بحسب</w:t>
      </w:r>
      <w:r w:rsidRPr="00C55088">
        <w:rPr>
          <w:rFonts w:hint="eastAsia"/>
          <w:rtl/>
        </w:rPr>
        <w:t> </w:t>
      </w:r>
      <w:r>
        <w:rPr>
          <w:rFonts w:hint="cs"/>
          <w:rtl/>
        </w:rPr>
        <w:t>الاقتضاء؛</w:t>
      </w:r>
    </w:p>
    <w:p w:rsidR="00C55088" w:rsidRPr="00C55088" w:rsidRDefault="00C55088" w:rsidP="00C55088">
      <w:pPr>
        <w:pStyle w:val="enumlev1"/>
        <w:rPr>
          <w:rtl/>
        </w:rPr>
      </w:pPr>
      <w:r w:rsidRPr="00C55088">
        <w:rPr>
          <w:rFonts w:hint="cs"/>
          <w:rtl/>
        </w:rPr>
        <w:t>ج)</w:t>
      </w:r>
      <w:r w:rsidRPr="00C55088">
        <w:rPr>
          <w:rFonts w:hint="cs"/>
          <w:rtl/>
        </w:rPr>
        <w:tab/>
        <w:t>تكليف المجلس بتقديم السياسة إلى مؤتمر المندوبين المفوضين لعام</w:t>
      </w:r>
      <w:r w:rsidRPr="00C55088">
        <w:rPr>
          <w:rFonts w:hint="eastAsia"/>
          <w:rtl/>
        </w:rPr>
        <w:t> </w:t>
      </w:r>
      <w:r w:rsidRPr="00C55088">
        <w:rPr>
          <w:lang w:bidi="ar-EG"/>
        </w:rPr>
        <w:t>2018</w:t>
      </w:r>
      <w:r w:rsidRPr="00C55088">
        <w:rPr>
          <w:rFonts w:hint="cs"/>
          <w:rtl/>
        </w:rPr>
        <w:t xml:space="preserve"> لاتخاذ قرار نهائي بشأنها.</w:t>
      </w:r>
    </w:p>
    <w:p w:rsidR="00C55088" w:rsidRPr="00C55088" w:rsidRDefault="00C55088" w:rsidP="008523D8">
      <w:pPr>
        <w:rPr>
          <w:rtl/>
        </w:rPr>
      </w:pPr>
      <w:r w:rsidRPr="00C55088">
        <w:rPr>
          <w:lang w:bidi="ar-EG"/>
        </w:rPr>
        <w:t>3</w:t>
      </w:r>
      <w:r w:rsidRPr="00C55088">
        <w:rPr>
          <w:rtl/>
          <w:lang w:bidi="ar-EG"/>
        </w:rPr>
        <w:tab/>
      </w:r>
      <w:r w:rsidRPr="00C55088">
        <w:rPr>
          <w:rFonts w:hint="cs"/>
          <w:rtl/>
          <w:lang w:bidi="ar-EG"/>
        </w:rPr>
        <w:t xml:space="preserve">اعتمد </w:t>
      </w:r>
      <w:r w:rsidR="008523D8">
        <w:rPr>
          <w:rFonts w:hint="cs"/>
          <w:rtl/>
          <w:lang w:bidi="ar-EG"/>
        </w:rPr>
        <w:t>مجلس الاتحاد</w:t>
      </w:r>
      <w:r w:rsidRPr="00C55088">
        <w:rPr>
          <w:rFonts w:hint="cs"/>
          <w:rtl/>
          <w:lang w:bidi="ar-EG"/>
        </w:rPr>
        <w:t xml:space="preserve"> في دورته لعام </w:t>
      </w:r>
      <w:r w:rsidRPr="00C55088">
        <w:rPr>
          <w:lang w:bidi="ar-EG"/>
        </w:rPr>
        <w:t>2016</w:t>
      </w:r>
      <w:r w:rsidRPr="00C55088">
        <w:rPr>
          <w:rFonts w:hint="cs"/>
          <w:rtl/>
        </w:rPr>
        <w:t xml:space="preserve"> للمرة الأولى </w:t>
      </w:r>
      <w:r w:rsidRPr="00C55088">
        <w:rPr>
          <w:rFonts w:hint="cs"/>
          <w:rtl/>
          <w:lang w:bidi="ar-EG"/>
        </w:rPr>
        <w:t>سياسة النفاذ إلى معلومات/وثائق الاتحاد. وفي</w:t>
      </w:r>
      <w:r>
        <w:rPr>
          <w:rFonts w:hint="eastAsia"/>
          <w:rtl/>
        </w:rPr>
        <w:t> </w:t>
      </w:r>
      <w:r w:rsidRPr="00C55088">
        <w:rPr>
          <w:lang w:bidi="ar-EG"/>
        </w:rPr>
        <w:t>1</w:t>
      </w:r>
      <w:r>
        <w:rPr>
          <w:rFonts w:hint="eastAsia"/>
          <w:rtl/>
        </w:rPr>
        <w:t> </w:t>
      </w:r>
      <w:r w:rsidRPr="00C55088">
        <w:rPr>
          <w:rFonts w:hint="cs"/>
          <w:rtl/>
        </w:rPr>
        <w:t>يناير</w:t>
      </w:r>
      <w:r>
        <w:rPr>
          <w:rFonts w:hint="eastAsia"/>
          <w:rtl/>
        </w:rPr>
        <w:t> </w:t>
      </w:r>
      <w:r w:rsidRPr="00C55088">
        <w:rPr>
          <w:lang w:bidi="ar-EG"/>
        </w:rPr>
        <w:t>2017</w:t>
      </w:r>
      <w:r w:rsidRPr="00C55088">
        <w:rPr>
          <w:rFonts w:hint="cs"/>
          <w:rtl/>
        </w:rPr>
        <w:t xml:space="preserve">، دخلت السياسة حيز النفاذ </w:t>
      </w:r>
      <w:r w:rsidRPr="00C55088">
        <w:rPr>
          <w:rtl/>
        </w:rPr>
        <w:t>بصفة مؤقتة ريثما يوافق عليها مؤتمر المندوبين المفوضين</w:t>
      </w:r>
      <w:r w:rsidRPr="00C55088">
        <w:rPr>
          <w:rFonts w:hint="cs"/>
          <w:rtl/>
        </w:rPr>
        <w:t xml:space="preserve"> لعام </w:t>
      </w:r>
      <w:r w:rsidRPr="00C55088">
        <w:rPr>
          <w:lang w:bidi="ar-EG"/>
        </w:rPr>
        <w:t>2018</w:t>
      </w:r>
      <w:r w:rsidRPr="00C55088">
        <w:rPr>
          <w:rFonts w:hint="cs"/>
          <w:rtl/>
        </w:rPr>
        <w:t xml:space="preserve"> بشكل نهائي.</w:t>
      </w:r>
    </w:p>
    <w:p w:rsidR="00C55088" w:rsidRPr="00C55088" w:rsidRDefault="00C55088" w:rsidP="00C55088">
      <w:pPr>
        <w:rPr>
          <w:rtl/>
          <w:lang w:bidi="ar-EG"/>
        </w:rPr>
      </w:pPr>
      <w:r w:rsidRPr="00C55088">
        <w:rPr>
          <w:lang w:bidi="ar-EG"/>
        </w:rPr>
        <w:t>4</w:t>
      </w:r>
      <w:r w:rsidRPr="00C55088">
        <w:rPr>
          <w:rtl/>
          <w:lang w:bidi="ar-EG"/>
        </w:rPr>
        <w:tab/>
      </w:r>
      <w:r w:rsidRPr="00C55088">
        <w:rPr>
          <w:rFonts w:hint="cs"/>
          <w:rtl/>
          <w:lang w:bidi="ar-EG"/>
        </w:rPr>
        <w:t>إن ال</w:t>
      </w:r>
      <w:r>
        <w:rPr>
          <w:rFonts w:hint="cs"/>
          <w:rtl/>
          <w:lang w:bidi="ar-EG"/>
        </w:rPr>
        <w:t>منشورات</w:t>
      </w:r>
      <w:r w:rsidRPr="00C55088">
        <w:rPr>
          <w:rFonts w:hint="cs"/>
          <w:rtl/>
          <w:lang w:bidi="ar-EG"/>
        </w:rPr>
        <w:t xml:space="preserve"> المستثناة من ال</w:t>
      </w:r>
      <w:r>
        <w:rPr>
          <w:rFonts w:hint="cs"/>
          <w:rtl/>
          <w:lang w:bidi="ar-EG"/>
        </w:rPr>
        <w:t>منشورات</w:t>
      </w:r>
      <w:r w:rsidRPr="00C55088">
        <w:rPr>
          <w:rFonts w:hint="cs"/>
          <w:rtl/>
          <w:lang w:bidi="ar-EG"/>
        </w:rPr>
        <w:t xml:space="preserve"> التي يمكن النفاذ إليها مجاناً هي قاعدة</w:t>
      </w:r>
      <w:r w:rsidR="005D633B">
        <w:rPr>
          <w:rFonts w:hint="cs"/>
          <w:rtl/>
          <w:lang w:bidi="ar-EG"/>
        </w:rPr>
        <w:t xml:space="preserve"> البيانات المتعلقة بالمؤشرات في</w:t>
      </w:r>
      <w:r w:rsidR="005D633B">
        <w:rPr>
          <w:rFonts w:hint="eastAsia"/>
          <w:rtl/>
          <w:lang w:bidi="ar-EG"/>
        </w:rPr>
        <w:t> </w:t>
      </w:r>
      <w:r w:rsidRPr="00C55088">
        <w:rPr>
          <w:rFonts w:hint="cs"/>
          <w:rtl/>
          <w:lang w:bidi="ar-EG"/>
        </w:rPr>
        <w:t>قطاع تنمية الاتصالات، و</w:t>
      </w:r>
      <w:r w:rsidRPr="00C55088">
        <w:rPr>
          <w:rFonts w:hint="eastAsia"/>
          <w:rtl/>
          <w:lang w:bidi="ar-EG"/>
        </w:rPr>
        <w:t>الكتاب</w:t>
      </w:r>
      <w:r w:rsidRPr="00C55088">
        <w:rPr>
          <w:rtl/>
          <w:lang w:bidi="ar-EG"/>
        </w:rPr>
        <w:t xml:space="preserve"> </w:t>
      </w:r>
      <w:r w:rsidRPr="00C55088">
        <w:rPr>
          <w:rFonts w:hint="eastAsia"/>
          <w:rtl/>
          <w:lang w:bidi="ar-EG"/>
        </w:rPr>
        <w:t>السنوي</w:t>
      </w:r>
      <w:r w:rsidRPr="00C55088">
        <w:rPr>
          <w:rtl/>
          <w:lang w:bidi="ar-EG"/>
        </w:rPr>
        <w:t xml:space="preserve"> </w:t>
      </w:r>
      <w:r w:rsidRPr="00C55088">
        <w:rPr>
          <w:rFonts w:hint="eastAsia"/>
          <w:rtl/>
          <w:lang w:bidi="ar-EG"/>
        </w:rPr>
        <w:t>للإحصاءات</w:t>
      </w:r>
      <w:r w:rsidRPr="00C55088">
        <w:rPr>
          <w:rFonts w:hint="cs"/>
          <w:rtl/>
          <w:lang w:bidi="ar-EG"/>
        </w:rPr>
        <w:t>،</w:t>
      </w:r>
      <w:r w:rsidRPr="00C55088">
        <w:rPr>
          <w:rFonts w:hint="eastAsia"/>
          <w:rtl/>
        </w:rPr>
        <w:t xml:space="preserve"> </w:t>
      </w:r>
      <w:r w:rsidRPr="00C55088">
        <w:rPr>
          <w:rFonts w:hint="cs"/>
          <w:rtl/>
        </w:rPr>
        <w:t>و</w:t>
      </w:r>
      <w:r w:rsidRPr="00C55088">
        <w:rPr>
          <w:rFonts w:hint="eastAsia"/>
          <w:rtl/>
        </w:rPr>
        <w:t>اتجاهات</w:t>
      </w:r>
      <w:r w:rsidRPr="00C55088">
        <w:rPr>
          <w:rtl/>
        </w:rPr>
        <w:t xml:space="preserve"> </w:t>
      </w:r>
      <w:r w:rsidRPr="00C55088">
        <w:rPr>
          <w:rFonts w:hint="eastAsia"/>
          <w:rtl/>
        </w:rPr>
        <w:t>الإصلاح</w:t>
      </w:r>
      <w:r w:rsidRPr="00C55088">
        <w:rPr>
          <w:rtl/>
        </w:rPr>
        <w:t xml:space="preserve"> </w:t>
      </w:r>
      <w:r w:rsidRPr="00C55088">
        <w:rPr>
          <w:rFonts w:hint="eastAsia"/>
          <w:rtl/>
        </w:rPr>
        <w:t>في</w:t>
      </w:r>
      <w:r w:rsidRPr="00C55088">
        <w:rPr>
          <w:rtl/>
        </w:rPr>
        <w:t xml:space="preserve"> </w:t>
      </w:r>
      <w:r w:rsidRPr="00C55088">
        <w:rPr>
          <w:rFonts w:hint="eastAsia"/>
          <w:rtl/>
        </w:rPr>
        <w:t>الاتصالات</w:t>
      </w:r>
      <w:r w:rsidRPr="00C55088">
        <w:rPr>
          <w:rFonts w:hint="cs"/>
          <w:rtl/>
        </w:rPr>
        <w:t>، و</w:t>
      </w:r>
      <w:r w:rsidRPr="00C55088">
        <w:rPr>
          <w:rFonts w:hint="eastAsia"/>
          <w:rtl/>
        </w:rPr>
        <w:t>برمجية</w:t>
      </w:r>
      <w:r w:rsidRPr="00C55088">
        <w:rPr>
          <w:rtl/>
        </w:rPr>
        <w:t xml:space="preserve"> </w:t>
      </w:r>
      <w:r w:rsidRPr="00C55088">
        <w:rPr>
          <w:rFonts w:hint="eastAsia"/>
          <w:rtl/>
        </w:rPr>
        <w:t>نظام</w:t>
      </w:r>
      <w:r w:rsidRPr="00C55088">
        <w:rPr>
          <w:rtl/>
        </w:rPr>
        <w:t xml:space="preserve"> </w:t>
      </w:r>
      <w:r w:rsidRPr="00C55088">
        <w:rPr>
          <w:rFonts w:hint="eastAsia"/>
          <w:rtl/>
        </w:rPr>
        <w:t>إدارة</w:t>
      </w:r>
      <w:r w:rsidRPr="00C55088">
        <w:rPr>
          <w:rtl/>
        </w:rPr>
        <w:t xml:space="preserve"> </w:t>
      </w:r>
      <w:r w:rsidRPr="00C55088">
        <w:rPr>
          <w:rFonts w:hint="eastAsia"/>
          <w:rtl/>
        </w:rPr>
        <w:t>الطيف</w:t>
      </w:r>
      <w:r w:rsidRPr="00C55088">
        <w:rPr>
          <w:rtl/>
        </w:rPr>
        <w:t xml:space="preserve"> </w:t>
      </w:r>
      <w:r w:rsidRPr="00C55088">
        <w:rPr>
          <w:rFonts w:hint="eastAsia"/>
          <w:rtl/>
        </w:rPr>
        <w:t>لفائدة</w:t>
      </w:r>
      <w:r w:rsidRPr="00C55088">
        <w:rPr>
          <w:rtl/>
        </w:rPr>
        <w:t xml:space="preserve"> </w:t>
      </w:r>
      <w:r w:rsidRPr="00C55088">
        <w:rPr>
          <w:rFonts w:hint="eastAsia"/>
          <w:rtl/>
        </w:rPr>
        <w:t>البلدان</w:t>
      </w:r>
      <w:r w:rsidRPr="00C55088">
        <w:rPr>
          <w:rtl/>
        </w:rPr>
        <w:t xml:space="preserve"> </w:t>
      </w:r>
      <w:r w:rsidRPr="00C55088">
        <w:rPr>
          <w:rFonts w:hint="eastAsia"/>
          <w:rtl/>
        </w:rPr>
        <w:t>النامية</w:t>
      </w:r>
      <w:r>
        <w:rPr>
          <w:rFonts w:hint="eastAsia"/>
          <w:rtl/>
        </w:rPr>
        <w:t> </w:t>
      </w:r>
      <w:r>
        <w:t>(</w:t>
      </w:r>
      <w:r w:rsidRPr="00C55088">
        <w:rPr>
          <w:lang w:bidi="ar-EG"/>
        </w:rPr>
        <w:t>SMS4DC</w:t>
      </w:r>
      <w:r>
        <w:rPr>
          <w:lang w:bidi="ar-EG"/>
        </w:rPr>
        <w:t>)</w:t>
      </w:r>
      <w:r w:rsidRPr="00C55088">
        <w:rPr>
          <w:rFonts w:hint="cs"/>
          <w:rtl/>
        </w:rPr>
        <w:t xml:space="preserve">، وبعض </w:t>
      </w:r>
      <w:r w:rsidRPr="00C55088">
        <w:rPr>
          <w:rFonts w:hint="eastAsia"/>
          <w:rtl/>
        </w:rPr>
        <w:t>كتيبا</w:t>
      </w:r>
      <w:r w:rsidRPr="00C55088">
        <w:rPr>
          <w:rFonts w:hint="cs"/>
          <w:rtl/>
        </w:rPr>
        <w:t>ت</w:t>
      </w:r>
      <w:r w:rsidRPr="00C55088">
        <w:rPr>
          <w:rtl/>
        </w:rPr>
        <w:t xml:space="preserve"> </w:t>
      </w:r>
      <w:r w:rsidRPr="00C55088">
        <w:rPr>
          <w:rFonts w:hint="eastAsia"/>
          <w:rtl/>
        </w:rPr>
        <w:t>قطاع</w:t>
      </w:r>
      <w:r w:rsidRPr="00C55088">
        <w:rPr>
          <w:rtl/>
        </w:rPr>
        <w:t xml:space="preserve"> </w:t>
      </w:r>
      <w:r w:rsidRPr="00C55088">
        <w:rPr>
          <w:rFonts w:hint="eastAsia"/>
          <w:rtl/>
        </w:rPr>
        <w:t>الاتصالات</w:t>
      </w:r>
      <w:r w:rsidRPr="00C55088">
        <w:rPr>
          <w:rtl/>
        </w:rPr>
        <w:t xml:space="preserve"> </w:t>
      </w:r>
      <w:r w:rsidRPr="00C55088">
        <w:rPr>
          <w:rFonts w:hint="eastAsia"/>
          <w:rtl/>
        </w:rPr>
        <w:t>الراديوية</w:t>
      </w:r>
      <w:r w:rsidRPr="00C55088">
        <w:rPr>
          <w:rFonts w:hint="cs"/>
          <w:rtl/>
        </w:rPr>
        <w:t>.</w:t>
      </w:r>
    </w:p>
    <w:p w:rsidR="00C55088" w:rsidRPr="00C55088" w:rsidRDefault="00C55088" w:rsidP="007F547B">
      <w:pPr>
        <w:rPr>
          <w:rtl/>
          <w:lang w:bidi="ar-EG"/>
        </w:rPr>
      </w:pPr>
      <w:r w:rsidRPr="00C55088">
        <w:rPr>
          <w:rFonts w:hint="cs"/>
          <w:rtl/>
          <w:lang w:bidi="ar-EG"/>
        </w:rPr>
        <w:t xml:space="preserve">وتقدم بولندا في هذا الصدد اقتراحاً يقضي بتوسيع نطاق سياسة النفاذ الراهنة لتشمل </w:t>
      </w:r>
      <w:r>
        <w:rPr>
          <w:rFonts w:hint="cs"/>
          <w:rtl/>
          <w:lang w:bidi="ar-EG"/>
        </w:rPr>
        <w:t>منشورات</w:t>
      </w:r>
      <w:r w:rsidRPr="00C55088">
        <w:rPr>
          <w:rFonts w:hint="cs"/>
          <w:rtl/>
          <w:lang w:bidi="ar-EG"/>
        </w:rPr>
        <w:t xml:space="preserve"> الاتحاد التي تتضمن بيانات عن الاتصالات مقدمة من الدول الأعضاء، والتي تستثنى اليوم من النفاذ المجاني. ولا</w:t>
      </w:r>
      <w:r w:rsidR="007F547B">
        <w:rPr>
          <w:rFonts w:hint="eastAsia"/>
          <w:rtl/>
          <w:lang w:bidi="ar-EG"/>
        </w:rPr>
        <w:t> </w:t>
      </w:r>
      <w:r w:rsidRPr="00C55088">
        <w:rPr>
          <w:rFonts w:hint="cs"/>
          <w:rtl/>
          <w:lang w:bidi="ar-EG"/>
        </w:rPr>
        <w:t>تتعلق هذه المساهمة إلا بمنح النفاذ الإلكتروني المجاني للدول ال</w:t>
      </w:r>
      <w:r w:rsidR="005D633B">
        <w:rPr>
          <w:rFonts w:hint="cs"/>
          <w:rtl/>
          <w:lang w:bidi="ar-EG"/>
        </w:rPr>
        <w:t xml:space="preserve">أعضاء التي ساهمت في </w:t>
      </w:r>
      <w:r w:rsidR="007F547B">
        <w:rPr>
          <w:rFonts w:hint="cs"/>
          <w:rtl/>
          <w:lang w:bidi="ar-EG"/>
        </w:rPr>
        <w:t>منشور</w:t>
      </w:r>
      <w:r w:rsidR="005D633B">
        <w:rPr>
          <w:rFonts w:hint="cs"/>
          <w:rtl/>
          <w:lang w:bidi="ar-EG"/>
        </w:rPr>
        <w:t xml:space="preserve"> معين.</w:t>
      </w:r>
    </w:p>
    <w:p w:rsidR="00C55088" w:rsidRPr="00C55088" w:rsidRDefault="00C55088" w:rsidP="00F34F1B">
      <w:pPr>
        <w:rPr>
          <w:spacing w:val="-2"/>
          <w:rtl/>
          <w:lang w:bidi="ar-EG"/>
        </w:rPr>
      </w:pPr>
      <w:r w:rsidRPr="00C55088">
        <w:rPr>
          <w:rFonts w:hint="cs"/>
          <w:spacing w:val="-2"/>
          <w:rtl/>
          <w:lang w:bidi="ar-EG"/>
        </w:rPr>
        <w:lastRenderedPageBreak/>
        <w:t>أما الدافع وراء اقتراح إتاحة هذا النوع من النفاذ فهو أن الأعمال التي تجريها الدولة العضو لتوفير معلومات جيدة النوعية غالباً ما</w:t>
      </w:r>
      <w:r w:rsidRPr="00C55088">
        <w:rPr>
          <w:rFonts w:hint="eastAsia"/>
          <w:spacing w:val="-2"/>
          <w:rtl/>
          <w:lang w:bidi="ar-EG"/>
        </w:rPr>
        <w:t> </w:t>
      </w:r>
      <w:r w:rsidRPr="00C55088">
        <w:rPr>
          <w:rFonts w:hint="cs"/>
          <w:spacing w:val="-2"/>
          <w:rtl/>
          <w:lang w:bidi="ar-EG"/>
        </w:rPr>
        <w:t>تستغرق الكثير من الوقت والجهد من إدارة الدولة العضو المعنية. فينبغي أن تكون تكاليف الأعمال التي اضطلعت بها الدولة العضو مبرراً لإعفائها، من أجل الحصول على منشورات من قبيل "</w:t>
      </w:r>
      <w:r w:rsidRPr="00C55088">
        <w:rPr>
          <w:rFonts w:hint="eastAsia"/>
          <w:spacing w:val="-2"/>
          <w:rtl/>
          <w:lang w:bidi="ar-EG"/>
        </w:rPr>
        <w:t>قاعدة</w:t>
      </w:r>
      <w:r w:rsidRPr="00C55088">
        <w:rPr>
          <w:spacing w:val="-2"/>
          <w:rtl/>
          <w:lang w:bidi="ar-EG"/>
        </w:rPr>
        <w:t xml:space="preserve"> </w:t>
      </w:r>
      <w:r w:rsidRPr="00C55088">
        <w:rPr>
          <w:rFonts w:hint="eastAsia"/>
          <w:spacing w:val="-2"/>
          <w:rtl/>
          <w:lang w:bidi="ar-EG"/>
        </w:rPr>
        <w:t>البيانات</w:t>
      </w:r>
      <w:r w:rsidRPr="00C55088">
        <w:rPr>
          <w:spacing w:val="-2"/>
          <w:rtl/>
          <w:lang w:bidi="ar-EG"/>
        </w:rPr>
        <w:t xml:space="preserve"> </w:t>
      </w:r>
      <w:r w:rsidRPr="00C55088">
        <w:rPr>
          <w:rFonts w:hint="eastAsia"/>
          <w:spacing w:val="-2"/>
          <w:rtl/>
          <w:lang w:bidi="ar-EG"/>
        </w:rPr>
        <w:t>المتعلقة</w:t>
      </w:r>
      <w:r w:rsidRPr="00C55088">
        <w:rPr>
          <w:spacing w:val="-2"/>
          <w:rtl/>
          <w:lang w:bidi="ar-EG"/>
        </w:rPr>
        <w:t xml:space="preserve"> </w:t>
      </w:r>
      <w:r w:rsidRPr="00C55088">
        <w:rPr>
          <w:rFonts w:hint="eastAsia"/>
          <w:spacing w:val="-2"/>
          <w:rtl/>
          <w:lang w:bidi="ar-EG"/>
        </w:rPr>
        <w:t>بالمؤشرات</w:t>
      </w:r>
      <w:r w:rsidRPr="00C55088">
        <w:rPr>
          <w:spacing w:val="-2"/>
          <w:rtl/>
          <w:lang w:bidi="ar-EG"/>
        </w:rPr>
        <w:t xml:space="preserve"> </w:t>
      </w:r>
      <w:r w:rsidRPr="00C55088">
        <w:rPr>
          <w:rFonts w:hint="eastAsia"/>
          <w:spacing w:val="-2"/>
          <w:rtl/>
          <w:lang w:bidi="ar-EG"/>
        </w:rPr>
        <w:t>في</w:t>
      </w:r>
      <w:r w:rsidRPr="00C55088">
        <w:rPr>
          <w:spacing w:val="-2"/>
          <w:rtl/>
          <w:lang w:bidi="ar-EG"/>
        </w:rPr>
        <w:t xml:space="preserve"> </w:t>
      </w:r>
      <w:r w:rsidRPr="00C55088">
        <w:rPr>
          <w:rFonts w:hint="eastAsia"/>
          <w:spacing w:val="-2"/>
          <w:rtl/>
          <w:lang w:bidi="ar-EG"/>
        </w:rPr>
        <w:t>قطاع</w:t>
      </w:r>
      <w:r w:rsidRPr="00C55088">
        <w:rPr>
          <w:spacing w:val="-2"/>
          <w:rtl/>
          <w:lang w:bidi="ar-EG"/>
        </w:rPr>
        <w:t xml:space="preserve"> </w:t>
      </w:r>
      <w:r w:rsidRPr="00C55088">
        <w:rPr>
          <w:rFonts w:hint="eastAsia"/>
          <w:spacing w:val="-2"/>
          <w:rtl/>
          <w:lang w:bidi="ar-EG"/>
        </w:rPr>
        <w:t>تنمية</w:t>
      </w:r>
      <w:r w:rsidRPr="00C55088">
        <w:rPr>
          <w:spacing w:val="-2"/>
          <w:rtl/>
          <w:lang w:bidi="ar-EG"/>
        </w:rPr>
        <w:t xml:space="preserve"> </w:t>
      </w:r>
      <w:r w:rsidRPr="00C55088">
        <w:rPr>
          <w:rFonts w:hint="eastAsia"/>
          <w:spacing w:val="-2"/>
          <w:rtl/>
          <w:lang w:bidi="ar-EG"/>
        </w:rPr>
        <w:t>الاتصالات</w:t>
      </w:r>
      <w:r w:rsidRPr="00C55088">
        <w:rPr>
          <w:rFonts w:hint="cs"/>
          <w:spacing w:val="-2"/>
          <w:rtl/>
          <w:lang w:bidi="ar-EG"/>
        </w:rPr>
        <w:t>" و"</w:t>
      </w:r>
      <w:r w:rsidRPr="00C55088">
        <w:rPr>
          <w:rFonts w:hint="eastAsia"/>
          <w:spacing w:val="-2"/>
          <w:rtl/>
          <w:lang w:bidi="ar-EG"/>
        </w:rPr>
        <w:t>الكتاب</w:t>
      </w:r>
      <w:r w:rsidRPr="00C55088">
        <w:rPr>
          <w:spacing w:val="-2"/>
          <w:rtl/>
          <w:lang w:bidi="ar-EG"/>
        </w:rPr>
        <w:t xml:space="preserve"> </w:t>
      </w:r>
      <w:r w:rsidRPr="00C55088">
        <w:rPr>
          <w:rFonts w:hint="eastAsia"/>
          <w:spacing w:val="-2"/>
          <w:rtl/>
          <w:lang w:bidi="ar-EG"/>
        </w:rPr>
        <w:t>السنوي</w:t>
      </w:r>
      <w:r w:rsidRPr="00C55088">
        <w:rPr>
          <w:spacing w:val="-2"/>
          <w:rtl/>
          <w:lang w:bidi="ar-EG"/>
        </w:rPr>
        <w:t xml:space="preserve"> </w:t>
      </w:r>
      <w:r w:rsidRPr="00C55088">
        <w:rPr>
          <w:rFonts w:hint="eastAsia"/>
          <w:spacing w:val="-2"/>
          <w:rtl/>
          <w:lang w:bidi="ar-EG"/>
        </w:rPr>
        <w:t>للإحصاءات</w:t>
      </w:r>
      <w:r w:rsidRPr="00C55088">
        <w:rPr>
          <w:rFonts w:hint="cs"/>
          <w:spacing w:val="-2"/>
          <w:rtl/>
          <w:lang w:bidi="ar-EG"/>
        </w:rPr>
        <w:t xml:space="preserve">"، من دفع رسوم للنفاذ إليها. وقد يؤدي هذا الوضع إلى </w:t>
      </w:r>
      <w:r w:rsidR="00F34F1B">
        <w:rPr>
          <w:rFonts w:hint="cs"/>
          <w:spacing w:val="-2"/>
          <w:rtl/>
          <w:lang w:bidi="ar-EG"/>
        </w:rPr>
        <w:t>إحجام</w:t>
      </w:r>
      <w:bookmarkStart w:id="1" w:name="_GoBack"/>
      <w:bookmarkEnd w:id="1"/>
      <w:r w:rsidRPr="00C55088">
        <w:rPr>
          <w:rFonts w:hint="cs"/>
          <w:spacing w:val="-2"/>
          <w:rtl/>
          <w:lang w:bidi="ar-EG"/>
        </w:rPr>
        <w:t xml:space="preserve"> الدول عن تقديم البيانات العالية الجودة عند إجراء الاستقصاءات وملء الاستمارات المطلوبة. فإذا كانت الدولة العضو تدرك أنها ستجني ثماراً في نهاية المطاف من </w:t>
      </w:r>
      <w:r w:rsidR="008D28D4">
        <w:rPr>
          <w:rFonts w:hint="cs"/>
          <w:spacing w:val="-2"/>
          <w:rtl/>
          <w:lang w:bidi="ar-EG"/>
        </w:rPr>
        <w:t>المنشور</w:t>
      </w:r>
      <w:r w:rsidRPr="00C55088">
        <w:rPr>
          <w:rFonts w:hint="cs"/>
          <w:spacing w:val="-2"/>
          <w:rtl/>
          <w:lang w:bidi="ar-EG"/>
        </w:rPr>
        <w:t xml:space="preserve"> استناداً إلى البيانات المقدمة، قد يؤثر ذلك إيجاباً على ما يولى من عناية للمواد المقدمة. وبالتالي، سيكون لذلك قيمة مضافة لجميع الدول الأعضاء التي تبذل أقصى الجهود لإعداد المعلومات والتي تتلقى مقابل ذلك من الاتحاد </w:t>
      </w:r>
      <w:r w:rsidR="008D28D4">
        <w:rPr>
          <w:rFonts w:hint="cs"/>
          <w:spacing w:val="-2"/>
          <w:rtl/>
          <w:lang w:bidi="ar-EG"/>
        </w:rPr>
        <w:t>المنشور المستند إلى هذه البيانات.</w:t>
      </w:r>
    </w:p>
    <w:p w:rsidR="00C55088" w:rsidRPr="00C55088" w:rsidRDefault="00C55088" w:rsidP="00C55088">
      <w:pPr>
        <w:pStyle w:val="Heading1"/>
        <w:rPr>
          <w:rtl/>
        </w:rPr>
      </w:pPr>
      <w:r w:rsidRPr="00C55088">
        <w:t>3</w:t>
      </w:r>
      <w:r w:rsidRPr="00C55088">
        <w:rPr>
          <w:rtl/>
        </w:rPr>
        <w:tab/>
      </w:r>
      <w:r w:rsidRPr="00C55088">
        <w:rPr>
          <w:rFonts w:hint="cs"/>
          <w:rtl/>
        </w:rPr>
        <w:t>المقترح</w:t>
      </w:r>
    </w:p>
    <w:p w:rsidR="00C55088" w:rsidRPr="00C55088" w:rsidRDefault="00C55088" w:rsidP="00C55088">
      <w:pPr>
        <w:rPr>
          <w:rtl/>
          <w:lang w:bidi="ar-EG"/>
        </w:rPr>
      </w:pPr>
      <w:r w:rsidRPr="00C55088">
        <w:rPr>
          <w:rFonts w:hint="cs"/>
          <w:rtl/>
          <w:lang w:bidi="ar-EG"/>
        </w:rPr>
        <w:t xml:space="preserve">تقترح بولندا بالتالي أن يقرر المجلس بأن تكون جميع </w:t>
      </w:r>
      <w:r>
        <w:rPr>
          <w:rFonts w:hint="cs"/>
          <w:rtl/>
          <w:lang w:bidi="ar-EG"/>
        </w:rPr>
        <w:t>المنشورات</w:t>
      </w:r>
      <w:r w:rsidRPr="00C55088">
        <w:rPr>
          <w:rFonts w:hint="cs"/>
          <w:rtl/>
          <w:lang w:bidi="ar-EG"/>
        </w:rPr>
        <w:t xml:space="preserve"> التي </w:t>
      </w:r>
      <w:r>
        <w:rPr>
          <w:rFonts w:hint="cs"/>
          <w:rtl/>
          <w:lang w:bidi="ar-EG"/>
        </w:rPr>
        <w:t>ي</w:t>
      </w:r>
      <w:r w:rsidRPr="00C55088">
        <w:rPr>
          <w:rFonts w:hint="cs"/>
          <w:rtl/>
          <w:lang w:bidi="ar-EG"/>
        </w:rPr>
        <w:t xml:space="preserve">عدها الاتحاد استناداً إلى بيانات متعلقة بالاتصالات وفرتها الدول الأعضاء متاحة مجاناً للدول المساهمة. ولا تشير هذه المساهمة إلا إلى </w:t>
      </w:r>
      <w:r>
        <w:rPr>
          <w:rFonts w:hint="cs"/>
          <w:rtl/>
          <w:lang w:bidi="ar-EG"/>
        </w:rPr>
        <w:t>المنشورات</w:t>
      </w:r>
      <w:r w:rsidRPr="00C55088">
        <w:rPr>
          <w:rFonts w:hint="cs"/>
          <w:rtl/>
          <w:lang w:bidi="ar-EG"/>
        </w:rPr>
        <w:t xml:space="preserve"> التي يفرض الاتحاد </w:t>
      </w:r>
      <w:r>
        <w:rPr>
          <w:rFonts w:hint="cs"/>
          <w:rtl/>
          <w:lang w:bidi="ar-EG"/>
        </w:rPr>
        <w:t>حالياً</w:t>
      </w:r>
      <w:r w:rsidRPr="00C55088">
        <w:rPr>
          <w:rFonts w:hint="cs"/>
          <w:rtl/>
          <w:lang w:bidi="ar-EG"/>
        </w:rPr>
        <w:t xml:space="preserve"> رسوماً للنفاذ إليها والتي أعدت استناداً إلى بيانات قدمتها الدول الأعضاء.</w:t>
      </w:r>
    </w:p>
    <w:p w:rsidR="00C55088" w:rsidRPr="00C55088" w:rsidRDefault="00C55088" w:rsidP="00C55088">
      <w:pPr>
        <w:spacing w:before="600"/>
        <w:jc w:val="center"/>
        <w:rPr>
          <w:rtl/>
          <w:lang w:bidi="ar-EG"/>
        </w:rPr>
      </w:pPr>
      <w:r w:rsidRPr="00C55088">
        <w:rPr>
          <w:rFonts w:hint="cs"/>
          <w:rtl/>
          <w:lang w:bidi="ar-EG"/>
        </w:rPr>
        <w:t>___________</w:t>
      </w:r>
    </w:p>
    <w:sectPr w:rsidR="00C55088" w:rsidRPr="00C55088" w:rsidSect="008B5B5D">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67" w:rsidRDefault="00D64867" w:rsidP="00E07379">
      <w:pPr>
        <w:spacing w:before="0" w:line="240" w:lineRule="auto"/>
      </w:pPr>
      <w:r>
        <w:separator/>
      </w:r>
    </w:p>
  </w:endnote>
  <w:endnote w:type="continuationSeparator" w:id="0">
    <w:p w:rsidR="00D64867" w:rsidRDefault="00D6486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C118E0" w:rsidRDefault="000E4FF0" w:rsidP="00C55088">
    <w:pPr>
      <w:pStyle w:val="Footer"/>
      <w:tabs>
        <w:tab w:val="clear" w:pos="5812"/>
        <w:tab w:val="right" w:pos="5670"/>
      </w:tabs>
      <w:rPr>
        <w:lang w:val="fr-CH"/>
      </w:rPr>
    </w:pPr>
    <w:r>
      <w:fldChar w:fldCharType="begin"/>
    </w:r>
    <w:r w:rsidRPr="00C118E0">
      <w:rPr>
        <w:lang w:val="fr-CH"/>
      </w:rPr>
      <w:instrText xml:space="preserve"> FILENAME \p \* MERGEFORMAT </w:instrText>
    </w:r>
    <w:r>
      <w:fldChar w:fldCharType="separate"/>
    </w:r>
    <w:r w:rsidR="00C55088">
      <w:rPr>
        <w:noProof/>
        <w:lang w:val="fr-CH"/>
      </w:rPr>
      <w:t>P:\ARA\SG\CONSEIL\C17\000\085A.docx</w:t>
    </w:r>
    <w:r>
      <w:rPr>
        <w:noProof/>
      </w:rPr>
      <w:fldChar w:fldCharType="end"/>
    </w:r>
    <w:r w:rsidR="007D1985">
      <w:rPr>
        <w:lang w:val="fr-CH"/>
      </w:rPr>
      <w:t>   </w:t>
    </w:r>
    <w:r w:rsidR="00BD0C50" w:rsidRPr="00C118E0">
      <w:rPr>
        <w:lang w:val="fr-CH"/>
      </w:rPr>
      <w:t>(</w:t>
    </w:r>
    <w:r w:rsidR="00C55088">
      <w:rPr>
        <w:rFonts w:hint="cs"/>
        <w:rtl/>
        <w:lang w:val="fr-CH"/>
      </w:rPr>
      <w:t>417461</w:t>
    </w:r>
    <w:r w:rsidR="00BD0C50" w:rsidRPr="00C118E0">
      <w:rPr>
        <w:lang w:val="fr-CH"/>
      </w:rPr>
      <w:t>)</w:t>
    </w:r>
    <w:r w:rsidR="00BD0C50" w:rsidRPr="00C118E0">
      <w:rPr>
        <w:lang w:val="fr-CH"/>
      </w:rPr>
      <w:tab/>
    </w:r>
    <w:r w:rsidR="00BD0C50" w:rsidRPr="00665956">
      <w:fldChar w:fldCharType="begin"/>
    </w:r>
    <w:r w:rsidR="00BD0C50" w:rsidRPr="00665956">
      <w:instrText xml:space="preserve"> savedate \@ dd.MM.yy </w:instrText>
    </w:r>
    <w:r w:rsidR="00BD0C50" w:rsidRPr="00665956">
      <w:fldChar w:fldCharType="separate"/>
    </w:r>
    <w:r w:rsidR="006831DD">
      <w:rPr>
        <w:noProof/>
      </w:rPr>
      <w:t>11.05.17</w:t>
    </w:r>
    <w:r w:rsidR="00BD0C50" w:rsidRPr="00665956">
      <w:fldChar w:fldCharType="end"/>
    </w:r>
    <w:r w:rsidR="00BD0C50" w:rsidRPr="00C118E0">
      <w:rPr>
        <w:lang w:val="fr-CH"/>
      </w:rPr>
      <w:tab/>
    </w:r>
    <w:r w:rsidR="00BD0C50" w:rsidRPr="00665956">
      <w:fldChar w:fldCharType="begin"/>
    </w:r>
    <w:r w:rsidR="00BD0C50" w:rsidRPr="00665956">
      <w:instrText xml:space="preserve"> printdate \@ dd.MM.yy </w:instrText>
    </w:r>
    <w:r w:rsidR="00BD0C50" w:rsidRPr="00665956">
      <w:fldChar w:fldCharType="separate"/>
    </w:r>
    <w:r w:rsidR="00F77E2D">
      <w:rPr>
        <w:noProof/>
      </w:rPr>
      <w:t>11.05.17</w:t>
    </w:r>
    <w:r w:rsidR="00BD0C50" w:rsidRPr="006659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C55088">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C55088">
      <w:rPr>
        <w:rFonts w:cs="Calibri"/>
        <w:noProof/>
        <w:vanish/>
        <w:lang w:val="fr-FR"/>
      </w:rPr>
      <w:t>P:\ARA\SG\CONSEIL\C17\000\085A.docx</w:t>
    </w:r>
    <w:r w:rsidRPr="00C66157">
      <w:rPr>
        <w:rFonts w:cs="Calibri"/>
        <w:vanish/>
      </w:rPr>
      <w:fldChar w:fldCharType="end"/>
    </w:r>
    <w:r w:rsidR="007D1985">
      <w:rPr>
        <w:rFonts w:cs="Calibri"/>
        <w:vanish/>
        <w:lang w:val="fr-CH"/>
      </w:rPr>
      <w:t>   </w:t>
    </w:r>
    <w:r w:rsidRPr="00C66157">
      <w:rPr>
        <w:rFonts w:cs="Calibri"/>
        <w:vanish/>
        <w:lang w:val="fr-FR"/>
      </w:rPr>
      <w:t>(</w:t>
    </w:r>
    <w:r w:rsidR="00C55088">
      <w:rPr>
        <w:rFonts w:cs="Calibri" w:hint="cs"/>
        <w:vanish/>
        <w:rtl/>
        <w:lang w:val="fr-FR"/>
      </w:rPr>
      <w:t>417461</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6831DD">
      <w:rPr>
        <w:rFonts w:cs="Calibri"/>
        <w:noProof/>
        <w:vanish/>
        <w:lang w:val="fr-FR"/>
      </w:rPr>
      <w:t>11.05.17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F77E2D">
      <w:rPr>
        <w:rFonts w:cs="Calibri"/>
        <w:noProof/>
        <w:vanish/>
        <w:lang w:val="fr-FR"/>
      </w:rPr>
      <w:t>11.05.17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67" w:rsidRDefault="00D64867" w:rsidP="00E07379">
      <w:pPr>
        <w:spacing w:before="0" w:line="240" w:lineRule="auto"/>
      </w:pPr>
      <w:r>
        <w:separator/>
      </w:r>
    </w:p>
  </w:footnote>
  <w:footnote w:type="continuationSeparator" w:id="0">
    <w:p w:rsidR="00D64867" w:rsidRDefault="00D64867"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F34F1B" w:rsidP="00C55088">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3</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C55088">
          <w:rPr>
            <w:rFonts w:eastAsiaTheme="minorEastAsia" w:cs="Calibri" w:hint="cs"/>
            <w:noProof/>
            <w:sz w:val="20"/>
            <w:szCs w:val="20"/>
            <w:rtl/>
            <w:lang w:eastAsia="zh-CN"/>
          </w:rPr>
          <w:t>85</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67"/>
    <w:rsid w:val="000124CC"/>
    <w:rsid w:val="00041F8B"/>
    <w:rsid w:val="00046444"/>
    <w:rsid w:val="0006023B"/>
    <w:rsid w:val="0008638B"/>
    <w:rsid w:val="00090574"/>
    <w:rsid w:val="00092FC2"/>
    <w:rsid w:val="000A1677"/>
    <w:rsid w:val="000B407F"/>
    <w:rsid w:val="000C13C2"/>
    <w:rsid w:val="000D4C64"/>
    <w:rsid w:val="000E20AE"/>
    <w:rsid w:val="000E4FF0"/>
    <w:rsid w:val="000F0B1C"/>
    <w:rsid w:val="000F1D42"/>
    <w:rsid w:val="000F4D07"/>
    <w:rsid w:val="00102A03"/>
    <w:rsid w:val="001040A3"/>
    <w:rsid w:val="00173915"/>
    <w:rsid w:val="001D0C14"/>
    <w:rsid w:val="001F4662"/>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448AA"/>
    <w:rsid w:val="00357185"/>
    <w:rsid w:val="003C106D"/>
    <w:rsid w:val="003C475F"/>
    <w:rsid w:val="003E0A99"/>
    <w:rsid w:val="003E4132"/>
    <w:rsid w:val="003F678F"/>
    <w:rsid w:val="0042686F"/>
    <w:rsid w:val="004367CE"/>
    <w:rsid w:val="00443869"/>
    <w:rsid w:val="004712C6"/>
    <w:rsid w:val="00497703"/>
    <w:rsid w:val="004F0F06"/>
    <w:rsid w:val="00501E0E"/>
    <w:rsid w:val="005204D7"/>
    <w:rsid w:val="00530420"/>
    <w:rsid w:val="00552BC5"/>
    <w:rsid w:val="00552EED"/>
    <w:rsid w:val="0055516A"/>
    <w:rsid w:val="0056374C"/>
    <w:rsid w:val="0056614F"/>
    <w:rsid w:val="0057656F"/>
    <w:rsid w:val="00576731"/>
    <w:rsid w:val="0057741C"/>
    <w:rsid w:val="0059285F"/>
    <w:rsid w:val="005A24B1"/>
    <w:rsid w:val="005B0410"/>
    <w:rsid w:val="005B7B8A"/>
    <w:rsid w:val="005D633B"/>
    <w:rsid w:val="005D6476"/>
    <w:rsid w:val="005D6529"/>
    <w:rsid w:val="005D6C0D"/>
    <w:rsid w:val="005E5283"/>
    <w:rsid w:val="005E58F5"/>
    <w:rsid w:val="00606660"/>
    <w:rsid w:val="006157A3"/>
    <w:rsid w:val="00620E60"/>
    <w:rsid w:val="0063315A"/>
    <w:rsid w:val="0065591D"/>
    <w:rsid w:val="00662C5A"/>
    <w:rsid w:val="00670AF5"/>
    <w:rsid w:val="006831DD"/>
    <w:rsid w:val="006B5685"/>
    <w:rsid w:val="006C1556"/>
    <w:rsid w:val="006F267F"/>
    <w:rsid w:val="006F63F7"/>
    <w:rsid w:val="006F6F03"/>
    <w:rsid w:val="00706D7A"/>
    <w:rsid w:val="00726AEC"/>
    <w:rsid w:val="007530CA"/>
    <w:rsid w:val="0079553D"/>
    <w:rsid w:val="007B01CC"/>
    <w:rsid w:val="007B46AB"/>
    <w:rsid w:val="007C0032"/>
    <w:rsid w:val="007D1985"/>
    <w:rsid w:val="007D4F32"/>
    <w:rsid w:val="007E7C6C"/>
    <w:rsid w:val="007F547B"/>
    <w:rsid w:val="007F6238"/>
    <w:rsid w:val="007F646C"/>
    <w:rsid w:val="00801FCD"/>
    <w:rsid w:val="00803D7E"/>
    <w:rsid w:val="00803F08"/>
    <w:rsid w:val="008235CD"/>
    <w:rsid w:val="00823A07"/>
    <w:rsid w:val="00835FEC"/>
    <w:rsid w:val="008513CB"/>
    <w:rsid w:val="008523D8"/>
    <w:rsid w:val="00874D9C"/>
    <w:rsid w:val="00892E59"/>
    <w:rsid w:val="008A1810"/>
    <w:rsid w:val="008B5B5D"/>
    <w:rsid w:val="008D28D4"/>
    <w:rsid w:val="008E6983"/>
    <w:rsid w:val="00917694"/>
    <w:rsid w:val="009263CD"/>
    <w:rsid w:val="00930E6D"/>
    <w:rsid w:val="00944D26"/>
    <w:rsid w:val="00966243"/>
    <w:rsid w:val="00972CA2"/>
    <w:rsid w:val="00976311"/>
    <w:rsid w:val="00982B28"/>
    <w:rsid w:val="00984EA5"/>
    <w:rsid w:val="00992593"/>
    <w:rsid w:val="009C17E1"/>
    <w:rsid w:val="009C35ED"/>
    <w:rsid w:val="009E71B4"/>
    <w:rsid w:val="009F1C12"/>
    <w:rsid w:val="00A124CB"/>
    <w:rsid w:val="00A2167A"/>
    <w:rsid w:val="00A25A43"/>
    <w:rsid w:val="00A3295B"/>
    <w:rsid w:val="00A42AE5"/>
    <w:rsid w:val="00A52B61"/>
    <w:rsid w:val="00A64820"/>
    <w:rsid w:val="00A71DD6"/>
    <w:rsid w:val="00A723C7"/>
    <w:rsid w:val="00A80E11"/>
    <w:rsid w:val="00A934DC"/>
    <w:rsid w:val="00A97F94"/>
    <w:rsid w:val="00AB1309"/>
    <w:rsid w:val="00AC2C52"/>
    <w:rsid w:val="00AD1503"/>
    <w:rsid w:val="00AD357B"/>
    <w:rsid w:val="00AE7244"/>
    <w:rsid w:val="00AF3FEE"/>
    <w:rsid w:val="00B02F46"/>
    <w:rsid w:val="00B11891"/>
    <w:rsid w:val="00B2000C"/>
    <w:rsid w:val="00B20ADE"/>
    <w:rsid w:val="00B23C4B"/>
    <w:rsid w:val="00B66B9A"/>
    <w:rsid w:val="00B82089"/>
    <w:rsid w:val="00B970AE"/>
    <w:rsid w:val="00BA1427"/>
    <w:rsid w:val="00BD0C50"/>
    <w:rsid w:val="00BE49D0"/>
    <w:rsid w:val="00BF2C38"/>
    <w:rsid w:val="00C118E0"/>
    <w:rsid w:val="00C23331"/>
    <w:rsid w:val="00C265DA"/>
    <w:rsid w:val="00C442F2"/>
    <w:rsid w:val="00C55088"/>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37D76"/>
    <w:rsid w:val="00D45542"/>
    <w:rsid w:val="00D64867"/>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4F1B"/>
    <w:rsid w:val="00F36D8B"/>
    <w:rsid w:val="00F401D0"/>
    <w:rsid w:val="00F45F2B"/>
    <w:rsid w:val="00F57AE4"/>
    <w:rsid w:val="00F67150"/>
    <w:rsid w:val="00F77E2D"/>
    <w:rsid w:val="00F82C45"/>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50B2A5C-C11F-44C6-9468-E0D521EC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AFB3D217-0738-4B8D-ABEA-71761534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25</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11</cp:revision>
  <cp:lastPrinted>2017-05-11T19:00:00Z</cp:lastPrinted>
  <dcterms:created xsi:type="dcterms:W3CDTF">2017-05-11T19:04:00Z</dcterms:created>
  <dcterms:modified xsi:type="dcterms:W3CDTF">2017-05-12T16:17:00Z</dcterms:modified>
  <cp:category>Conference document</cp:category>
</cp:coreProperties>
</file>