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AA09AF" w:rsidRPr="003F5F67">
        <w:trPr>
          <w:cantSplit/>
        </w:trPr>
        <w:tc>
          <w:tcPr>
            <w:tcW w:w="6912" w:type="dxa"/>
          </w:tcPr>
          <w:p w:rsidR="00AA09AF" w:rsidRPr="003F5F67" w:rsidRDefault="00AA09AF" w:rsidP="00061F50">
            <w:bookmarkStart w:id="0" w:name="dc06"/>
            <w:bookmarkEnd w:id="0"/>
            <w:r w:rsidRPr="003F5F67">
              <w:rPr>
                <w:b/>
                <w:bCs/>
                <w:sz w:val="30"/>
                <w:szCs w:val="30"/>
              </w:rPr>
              <w:t>Conseil 2017</w:t>
            </w:r>
            <w:r w:rsidRPr="003F5F67">
              <w:rPr>
                <w:rFonts w:ascii="Verdana" w:hAnsi="Verdana"/>
                <w:b/>
                <w:bCs/>
                <w:sz w:val="26"/>
                <w:szCs w:val="26"/>
              </w:rPr>
              <w:br/>
            </w:r>
            <w:r w:rsidRPr="003F5F67">
              <w:rPr>
                <w:b/>
                <w:bCs/>
                <w:szCs w:val="24"/>
              </w:rPr>
              <w:t>Genève, 15-25 mai 2017</w:t>
            </w:r>
          </w:p>
        </w:tc>
        <w:tc>
          <w:tcPr>
            <w:tcW w:w="3261" w:type="dxa"/>
          </w:tcPr>
          <w:p w:rsidR="00AA09AF" w:rsidRPr="003F5F67" w:rsidRDefault="00AA09AF" w:rsidP="00061F50">
            <w:bookmarkStart w:id="1" w:name="ditulogo"/>
            <w:bookmarkEnd w:id="1"/>
            <w:r w:rsidRPr="003F5F67">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AA09AF" w:rsidRPr="003F5F67" w:rsidTr="0000253C">
        <w:trPr>
          <w:cantSplit/>
          <w:trHeight w:val="20"/>
        </w:trPr>
        <w:tc>
          <w:tcPr>
            <w:tcW w:w="6912" w:type="dxa"/>
            <w:tcBorders>
              <w:bottom w:val="single" w:sz="12" w:space="0" w:color="auto"/>
            </w:tcBorders>
            <w:vAlign w:val="center"/>
          </w:tcPr>
          <w:p w:rsidR="00AA09AF" w:rsidRPr="003F5F67" w:rsidRDefault="00AA09AF" w:rsidP="007C7A55">
            <w:pPr>
              <w:spacing w:before="0"/>
              <w:rPr>
                <w:b/>
                <w:bCs/>
                <w:sz w:val="26"/>
                <w:szCs w:val="26"/>
              </w:rPr>
            </w:pPr>
          </w:p>
        </w:tc>
        <w:tc>
          <w:tcPr>
            <w:tcW w:w="3261" w:type="dxa"/>
            <w:tcBorders>
              <w:bottom w:val="single" w:sz="12" w:space="0" w:color="auto"/>
            </w:tcBorders>
          </w:tcPr>
          <w:p w:rsidR="00AA09AF" w:rsidRPr="003F5F67" w:rsidRDefault="00AA09AF" w:rsidP="007C7A55">
            <w:pPr>
              <w:spacing w:before="0"/>
              <w:rPr>
                <w:b/>
                <w:bCs/>
              </w:rPr>
            </w:pPr>
          </w:p>
        </w:tc>
      </w:tr>
      <w:tr w:rsidR="00AA09AF" w:rsidRPr="003F5F67">
        <w:trPr>
          <w:cantSplit/>
          <w:trHeight w:val="20"/>
        </w:trPr>
        <w:tc>
          <w:tcPr>
            <w:tcW w:w="6912" w:type="dxa"/>
            <w:tcBorders>
              <w:top w:val="single" w:sz="12" w:space="0" w:color="auto"/>
            </w:tcBorders>
          </w:tcPr>
          <w:p w:rsidR="00AA09AF" w:rsidRPr="003F5F67" w:rsidRDefault="00AA09AF" w:rsidP="007C7A55">
            <w:pPr>
              <w:spacing w:before="0"/>
              <w:rPr>
                <w:smallCaps/>
                <w:sz w:val="22"/>
              </w:rPr>
            </w:pPr>
          </w:p>
        </w:tc>
        <w:tc>
          <w:tcPr>
            <w:tcW w:w="3261" w:type="dxa"/>
            <w:tcBorders>
              <w:top w:val="single" w:sz="12" w:space="0" w:color="auto"/>
            </w:tcBorders>
          </w:tcPr>
          <w:p w:rsidR="00AA09AF" w:rsidRPr="003F5F67" w:rsidRDefault="00AA09AF" w:rsidP="007C7A55">
            <w:pPr>
              <w:spacing w:before="0"/>
              <w:rPr>
                <w:b/>
                <w:bCs/>
              </w:rPr>
            </w:pPr>
          </w:p>
        </w:tc>
      </w:tr>
      <w:tr w:rsidR="00AA09AF" w:rsidRPr="003F5F67">
        <w:trPr>
          <w:cantSplit/>
          <w:trHeight w:val="20"/>
        </w:trPr>
        <w:tc>
          <w:tcPr>
            <w:tcW w:w="6912" w:type="dxa"/>
            <w:vMerge w:val="restart"/>
          </w:tcPr>
          <w:p w:rsidR="00AA09AF" w:rsidRPr="003F5F67" w:rsidRDefault="00720920" w:rsidP="007C7A55">
            <w:pPr>
              <w:spacing w:before="0"/>
              <w:rPr>
                <w:rFonts w:cs="Times"/>
                <w:b/>
                <w:bCs/>
                <w:szCs w:val="24"/>
              </w:rPr>
            </w:pPr>
            <w:bookmarkStart w:id="2" w:name="dnum" w:colFirst="1" w:colLast="1"/>
            <w:bookmarkStart w:id="3" w:name="dmeeting" w:colFirst="0" w:colLast="0"/>
            <w:r>
              <w:rPr>
                <w:rFonts w:cs="Times"/>
                <w:b/>
                <w:bCs/>
                <w:szCs w:val="24"/>
              </w:rPr>
              <w:t>Point de l'ordre du jour</w:t>
            </w:r>
            <w:r w:rsidR="000B7FB3" w:rsidRPr="003F5F67">
              <w:rPr>
                <w:rFonts w:cs="Times"/>
                <w:b/>
                <w:bCs/>
                <w:szCs w:val="24"/>
              </w:rPr>
              <w:t>: PL 2.4</w:t>
            </w:r>
          </w:p>
        </w:tc>
        <w:tc>
          <w:tcPr>
            <w:tcW w:w="3261" w:type="dxa"/>
          </w:tcPr>
          <w:p w:rsidR="00AA09AF" w:rsidRPr="003F5F67" w:rsidRDefault="00AA09AF" w:rsidP="007C7A55">
            <w:pPr>
              <w:spacing w:before="0"/>
              <w:rPr>
                <w:b/>
                <w:bCs/>
              </w:rPr>
            </w:pPr>
            <w:r w:rsidRPr="003F5F67">
              <w:rPr>
                <w:b/>
                <w:bCs/>
              </w:rPr>
              <w:t>Document C17/52-F</w:t>
            </w:r>
          </w:p>
        </w:tc>
      </w:tr>
      <w:tr w:rsidR="00AA09AF" w:rsidRPr="003F5F67">
        <w:trPr>
          <w:cantSplit/>
          <w:trHeight w:val="20"/>
        </w:trPr>
        <w:tc>
          <w:tcPr>
            <w:tcW w:w="6912" w:type="dxa"/>
            <w:vMerge/>
          </w:tcPr>
          <w:p w:rsidR="00AA09AF" w:rsidRPr="003F5F67" w:rsidRDefault="00AA09AF" w:rsidP="007C7A55">
            <w:pPr>
              <w:spacing w:before="0"/>
              <w:rPr>
                <w:smallCaps/>
              </w:rPr>
            </w:pPr>
            <w:bookmarkStart w:id="4" w:name="ddate" w:colFirst="1" w:colLast="1"/>
            <w:bookmarkEnd w:id="2"/>
            <w:bookmarkEnd w:id="3"/>
          </w:p>
        </w:tc>
        <w:tc>
          <w:tcPr>
            <w:tcW w:w="3261" w:type="dxa"/>
          </w:tcPr>
          <w:p w:rsidR="00AA09AF" w:rsidRPr="003F5F67" w:rsidRDefault="00AA09AF" w:rsidP="007C7A55">
            <w:pPr>
              <w:spacing w:before="0"/>
              <w:rPr>
                <w:b/>
                <w:bCs/>
              </w:rPr>
            </w:pPr>
            <w:r w:rsidRPr="003F5F67">
              <w:rPr>
                <w:b/>
                <w:bCs/>
              </w:rPr>
              <w:t>24 janvier 2017</w:t>
            </w:r>
          </w:p>
        </w:tc>
      </w:tr>
      <w:tr w:rsidR="00AA09AF" w:rsidRPr="003F5F67">
        <w:trPr>
          <w:cantSplit/>
          <w:trHeight w:val="20"/>
        </w:trPr>
        <w:tc>
          <w:tcPr>
            <w:tcW w:w="6912" w:type="dxa"/>
            <w:vMerge/>
          </w:tcPr>
          <w:p w:rsidR="00AA09AF" w:rsidRPr="003F5F67" w:rsidRDefault="00AA09AF" w:rsidP="007C7A55">
            <w:pPr>
              <w:spacing w:before="0"/>
              <w:rPr>
                <w:smallCaps/>
              </w:rPr>
            </w:pPr>
            <w:bookmarkStart w:id="5" w:name="dorlang" w:colFirst="1" w:colLast="1"/>
            <w:bookmarkEnd w:id="4"/>
          </w:p>
        </w:tc>
        <w:tc>
          <w:tcPr>
            <w:tcW w:w="3261" w:type="dxa"/>
          </w:tcPr>
          <w:p w:rsidR="00AA09AF" w:rsidRPr="003F5F67" w:rsidRDefault="00AA09AF" w:rsidP="007C7A55">
            <w:pPr>
              <w:spacing w:before="0"/>
              <w:rPr>
                <w:b/>
                <w:bCs/>
              </w:rPr>
            </w:pPr>
            <w:r w:rsidRPr="003F5F67">
              <w:rPr>
                <w:b/>
                <w:bCs/>
              </w:rPr>
              <w:t>Original: anglais</w:t>
            </w:r>
          </w:p>
        </w:tc>
      </w:tr>
      <w:tr w:rsidR="00AA09AF" w:rsidRPr="003F5F67">
        <w:trPr>
          <w:cantSplit/>
        </w:trPr>
        <w:tc>
          <w:tcPr>
            <w:tcW w:w="10173" w:type="dxa"/>
            <w:gridSpan w:val="2"/>
          </w:tcPr>
          <w:p w:rsidR="00AA09AF" w:rsidRPr="003F5F67" w:rsidRDefault="00AA09AF" w:rsidP="00061F50">
            <w:pPr>
              <w:pStyle w:val="Source"/>
            </w:pPr>
            <w:bookmarkStart w:id="6" w:name="dsource" w:colFirst="0" w:colLast="0"/>
            <w:bookmarkEnd w:id="5"/>
            <w:r w:rsidRPr="003F5F67">
              <w:t>Rapport du Secrétaire général</w:t>
            </w:r>
          </w:p>
        </w:tc>
      </w:tr>
      <w:tr w:rsidR="00AA09AF" w:rsidRPr="003F5F67">
        <w:trPr>
          <w:cantSplit/>
        </w:trPr>
        <w:tc>
          <w:tcPr>
            <w:tcW w:w="10173" w:type="dxa"/>
            <w:gridSpan w:val="2"/>
          </w:tcPr>
          <w:p w:rsidR="00AA09AF" w:rsidRPr="003F5F67" w:rsidRDefault="00061F50" w:rsidP="00061F50">
            <w:pPr>
              <w:pStyle w:val="Title1"/>
            </w:pPr>
            <w:bookmarkStart w:id="7" w:name="dtitle1" w:colFirst="0" w:colLast="0"/>
            <w:bookmarkEnd w:id="6"/>
            <w:r w:rsidRPr="003F5F67">
              <w:rPr>
                <w:rFonts w:cs="Calibri"/>
              </w:rPr>
              <w:t xml:space="preserve">RAPPORT SUR LE COLLOQUE MONDIAL SUR LA NORMALISATION (GSS-16) </w:t>
            </w:r>
            <w:r w:rsidRPr="003F5F67">
              <w:rPr>
                <w:rFonts w:cs="Calibri"/>
              </w:rPr>
              <w:br/>
              <w:t xml:space="preserve">ET SUR L'ASSEMBLÉE MONDIALE DE NORMALISATION </w:t>
            </w:r>
            <w:r w:rsidRPr="003F5F67">
              <w:rPr>
                <w:rFonts w:cs="Calibri"/>
              </w:rPr>
              <w:br/>
              <w:t>DES TÉLÉCOMMUNICATIONS (AMNT-16)</w:t>
            </w:r>
          </w:p>
        </w:tc>
      </w:tr>
      <w:bookmarkEnd w:id="7"/>
    </w:tbl>
    <w:p w:rsidR="00AA09AF" w:rsidRPr="003F5F67" w:rsidRDefault="00AA09AF"/>
    <w:tbl>
      <w:tblPr>
        <w:tblW w:w="8203"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3"/>
      </w:tblGrid>
      <w:tr w:rsidR="00AA09AF" w:rsidRPr="003F5F67" w:rsidTr="00094CE3">
        <w:trPr>
          <w:trHeight w:val="3372"/>
        </w:trPr>
        <w:tc>
          <w:tcPr>
            <w:tcW w:w="8203" w:type="dxa"/>
            <w:tcBorders>
              <w:top w:val="single" w:sz="12" w:space="0" w:color="auto"/>
              <w:left w:val="single" w:sz="12" w:space="0" w:color="auto"/>
              <w:bottom w:val="single" w:sz="12" w:space="0" w:color="auto"/>
              <w:right w:val="single" w:sz="12" w:space="0" w:color="auto"/>
            </w:tcBorders>
          </w:tcPr>
          <w:p w:rsidR="00AA09AF" w:rsidRPr="003F5F67" w:rsidRDefault="00AA09AF">
            <w:pPr>
              <w:pStyle w:val="Headingb"/>
            </w:pPr>
            <w:r w:rsidRPr="003F5F67">
              <w:t>Résumé</w:t>
            </w:r>
          </w:p>
          <w:p w:rsidR="00AA09AF" w:rsidRPr="003F5F67" w:rsidRDefault="00061F50" w:rsidP="00061F50">
            <w:r w:rsidRPr="003F5F67">
              <w:rPr>
                <w:rFonts w:cs="Calibri"/>
              </w:rPr>
              <w:t>Le présent document contient un compte rendu du GSS-16 et de l'AMNT-16</w:t>
            </w:r>
            <w:r w:rsidR="004912EB">
              <w:rPr>
                <w:rFonts w:cs="Calibri"/>
              </w:rPr>
              <w:t>.</w:t>
            </w:r>
          </w:p>
          <w:p w:rsidR="00AA09AF" w:rsidRPr="003F5F67" w:rsidRDefault="00AA09AF">
            <w:pPr>
              <w:pStyle w:val="Headingb"/>
            </w:pPr>
            <w:r w:rsidRPr="003F5F67">
              <w:t>Suite à donner</w:t>
            </w:r>
          </w:p>
          <w:p w:rsidR="00AA09AF" w:rsidRPr="003F5F67" w:rsidRDefault="006C3890" w:rsidP="00586E40">
            <w:r w:rsidRPr="003F5F67">
              <w:t xml:space="preserve">Le Conseil est prié de </w:t>
            </w:r>
            <w:r w:rsidRPr="003F5F67">
              <w:rPr>
                <w:b/>
                <w:bCs/>
              </w:rPr>
              <w:t>prendre note</w:t>
            </w:r>
            <w:r w:rsidRPr="003F5F67">
              <w:t xml:space="preserve"> du rapport. </w:t>
            </w:r>
            <w:r w:rsidR="000B7FB3" w:rsidRPr="003F5F67">
              <w:t>Les paragraphes</w:t>
            </w:r>
            <w:r w:rsidR="00586E40" w:rsidRPr="003F5F67">
              <w:t xml:space="preserve"> 2.5 et</w:t>
            </w:r>
            <w:r w:rsidR="00C51BFA" w:rsidRPr="003F5F67">
              <w:t xml:space="preserve"> 2.13 </w:t>
            </w:r>
            <w:r w:rsidR="00586E40" w:rsidRPr="003F5F67">
              <w:t>seront examinées au titre du point de l</w:t>
            </w:r>
            <w:r w:rsidR="000B7FB3" w:rsidRPr="003F5F67">
              <w:t>'</w:t>
            </w:r>
            <w:r w:rsidR="00586E40" w:rsidRPr="003F5F67">
              <w:t>ordre du jour consacré au budget</w:t>
            </w:r>
            <w:r w:rsidR="00C51BFA" w:rsidRPr="003F5F67">
              <w:t>.</w:t>
            </w:r>
          </w:p>
          <w:p w:rsidR="00AA09AF" w:rsidRPr="003F5F67" w:rsidRDefault="00AA09AF" w:rsidP="000B7FB3">
            <w:pPr>
              <w:pStyle w:val="Table"/>
              <w:spacing w:before="120"/>
              <w:rPr>
                <w:rFonts w:ascii="Calibri" w:hAnsi="Calibri"/>
                <w:caps w:val="0"/>
                <w:sz w:val="22"/>
                <w:lang w:val="fr-FR"/>
              </w:rPr>
            </w:pPr>
            <w:r w:rsidRPr="003F5F67">
              <w:rPr>
                <w:rFonts w:ascii="Calibri" w:hAnsi="Calibri"/>
                <w:caps w:val="0"/>
                <w:sz w:val="22"/>
                <w:lang w:val="fr-FR"/>
              </w:rPr>
              <w:t>____________</w:t>
            </w:r>
          </w:p>
          <w:p w:rsidR="00AA09AF" w:rsidRPr="003F5F67" w:rsidRDefault="00AA09AF">
            <w:pPr>
              <w:pStyle w:val="Headingb"/>
            </w:pPr>
            <w:r w:rsidRPr="003F5F67">
              <w:t>Références</w:t>
            </w:r>
          </w:p>
          <w:bookmarkStart w:id="8" w:name="lt_pId021"/>
          <w:p w:rsidR="00AA09AF" w:rsidRPr="003F5F67" w:rsidRDefault="00C51BFA" w:rsidP="00094CE3">
            <w:pPr>
              <w:spacing w:after="120"/>
              <w:rPr>
                <w:i/>
                <w:iCs/>
              </w:rPr>
            </w:pPr>
            <w:r w:rsidRPr="003F5F67">
              <w:rPr>
                <w:i/>
                <w:iCs/>
              </w:rPr>
              <w:fldChar w:fldCharType="begin"/>
            </w:r>
            <w:r w:rsidRPr="003F5F67">
              <w:rPr>
                <w:i/>
                <w:iCs/>
              </w:rPr>
              <w:instrText xml:space="preserve"> HYPERLINK "https://www.itu.int/en/ITU-T/wtsa16" </w:instrText>
            </w:r>
            <w:r w:rsidRPr="003F5F67">
              <w:rPr>
                <w:i/>
                <w:iCs/>
              </w:rPr>
              <w:fldChar w:fldCharType="separate"/>
            </w:r>
            <w:r w:rsidRPr="003F5F67">
              <w:rPr>
                <w:rStyle w:val="Hyperlink"/>
                <w:i/>
                <w:iCs/>
              </w:rPr>
              <w:t>https://www.itu.int/en/ITU-T/wtsa16</w:t>
            </w:r>
            <w:r w:rsidRPr="003F5F67">
              <w:rPr>
                <w:i/>
                <w:iCs/>
              </w:rPr>
              <w:fldChar w:fldCharType="end"/>
            </w:r>
            <w:r w:rsidRPr="003F5F67">
              <w:rPr>
                <w:i/>
                <w:iCs/>
              </w:rPr>
              <w:t>;</w:t>
            </w:r>
            <w:bookmarkEnd w:id="8"/>
            <w:r w:rsidRPr="003F5F67">
              <w:rPr>
                <w:i/>
                <w:iCs/>
              </w:rPr>
              <w:t xml:space="preserve"> </w:t>
            </w:r>
            <w:bookmarkStart w:id="9" w:name="lt_pId022"/>
            <w:r w:rsidRPr="003F5F67">
              <w:rPr>
                <w:i/>
                <w:iCs/>
              </w:rPr>
              <w:fldChar w:fldCharType="begin"/>
            </w:r>
            <w:r w:rsidRPr="003F5F67">
              <w:rPr>
                <w:i/>
                <w:iCs/>
              </w:rPr>
              <w:instrText xml:space="preserve"> HYPERLINK "https://www.itu.int/en/ITU-T/wtsa16/gss" </w:instrText>
            </w:r>
            <w:r w:rsidRPr="003F5F67">
              <w:rPr>
                <w:i/>
                <w:iCs/>
              </w:rPr>
              <w:fldChar w:fldCharType="separate"/>
            </w:r>
            <w:r w:rsidRPr="003F5F67">
              <w:rPr>
                <w:rStyle w:val="Hyperlink"/>
                <w:i/>
                <w:iCs/>
              </w:rPr>
              <w:t>https://www.itu.int/en/ITU-T/wtsa16/gss</w:t>
            </w:r>
            <w:r w:rsidRPr="003F5F67">
              <w:rPr>
                <w:i/>
                <w:iCs/>
              </w:rPr>
              <w:fldChar w:fldCharType="end"/>
            </w:r>
            <w:r w:rsidRPr="003F5F67">
              <w:rPr>
                <w:i/>
                <w:iCs/>
              </w:rPr>
              <w:t>;</w:t>
            </w:r>
            <w:bookmarkEnd w:id="9"/>
            <w:r w:rsidRPr="003F5F67">
              <w:rPr>
                <w:i/>
                <w:iCs/>
              </w:rPr>
              <w:t xml:space="preserve"> </w:t>
            </w:r>
            <w:hyperlink r:id="rId8" w:history="1">
              <w:bookmarkStart w:id="10" w:name="lt_pId023"/>
              <w:r w:rsidR="00586E40" w:rsidRPr="003F5F67">
                <w:rPr>
                  <w:rStyle w:val="Hyperlink"/>
                  <w:i/>
                  <w:iCs/>
                </w:rPr>
                <w:t xml:space="preserve">Rapport de la Commission </w:t>
              </w:r>
              <w:r w:rsidRPr="003F5F67">
                <w:rPr>
                  <w:rStyle w:val="Hyperlink"/>
                  <w:i/>
                  <w:iCs/>
                </w:rPr>
                <w:t>2 (</w:t>
              </w:r>
              <w:r w:rsidR="00586E40" w:rsidRPr="003F5F67">
                <w:rPr>
                  <w:rStyle w:val="Hyperlink"/>
                  <w:i/>
                  <w:iCs/>
                </w:rPr>
                <w:t>Contrôle budgétaire</w:t>
              </w:r>
              <w:r w:rsidRPr="003F5F67">
                <w:rPr>
                  <w:rStyle w:val="Hyperlink"/>
                  <w:i/>
                  <w:iCs/>
                </w:rPr>
                <w:t xml:space="preserve">) </w:t>
              </w:r>
              <w:bookmarkEnd w:id="10"/>
              <w:r w:rsidR="00586E40" w:rsidRPr="003F5F67">
                <w:rPr>
                  <w:rStyle w:val="Hyperlink"/>
                  <w:i/>
                  <w:iCs/>
                </w:rPr>
                <w:t>à la</w:t>
              </w:r>
            </w:hyperlink>
            <w:r w:rsidR="00586E40" w:rsidRPr="003F5F67">
              <w:rPr>
                <w:rStyle w:val="Hyperlink"/>
                <w:i/>
                <w:iCs/>
              </w:rPr>
              <w:t xml:space="preserve"> plénière</w:t>
            </w:r>
          </w:p>
        </w:tc>
      </w:tr>
    </w:tbl>
    <w:p w:rsidR="00C51BFA" w:rsidRPr="003F5F67" w:rsidRDefault="00061F50" w:rsidP="00061F50">
      <w:pPr>
        <w:pStyle w:val="Heading1"/>
        <w:rPr>
          <w:bCs/>
        </w:rPr>
      </w:pPr>
      <w:r w:rsidRPr="003F5F67">
        <w:t>1</w:t>
      </w:r>
      <w:r w:rsidRPr="003F5F67">
        <w:tab/>
        <w:t xml:space="preserve">Colloque mondial sur la normalisation </w:t>
      </w:r>
      <w:r w:rsidR="00C51BFA" w:rsidRPr="003F5F67">
        <w:rPr>
          <w:bCs/>
        </w:rPr>
        <w:t>(GSS-16)</w:t>
      </w:r>
    </w:p>
    <w:p w:rsidR="00C51BFA" w:rsidRPr="003F5F67" w:rsidRDefault="00731872" w:rsidP="007C7A55">
      <w:pPr>
        <w:jc w:val="both"/>
      </w:pPr>
      <w:r w:rsidRPr="003F5F67">
        <w:t>1.1</w:t>
      </w:r>
      <w:r w:rsidRPr="003F5F67">
        <w:tab/>
        <w:t xml:space="preserve">Le troisième Colloque mondial de la normalisation </w:t>
      </w:r>
      <w:r w:rsidR="00C51BFA" w:rsidRPr="003F5F67">
        <w:t xml:space="preserve">(GSS-16) </w:t>
      </w:r>
      <w:r w:rsidRPr="003F5F67">
        <w:rPr>
          <w:rFonts w:asciiTheme="minorHAnsi" w:hAnsiTheme="minorHAnsi"/>
        </w:rPr>
        <w:t>a eu lieu le 24 octobre 2016 à</w:t>
      </w:r>
      <w:r w:rsidR="000A546E">
        <w:rPr>
          <w:rFonts w:asciiTheme="minorHAnsi" w:hAnsiTheme="minorHAnsi"/>
        </w:rPr>
        <w:t> </w:t>
      </w:r>
      <w:r w:rsidR="00C51BFA" w:rsidRPr="003F5F67">
        <w:t>Hammamet</w:t>
      </w:r>
      <w:r w:rsidRPr="003F5F67">
        <w:t xml:space="preserve"> (T</w:t>
      </w:r>
      <w:r w:rsidR="00C51BFA" w:rsidRPr="003F5F67">
        <w:t>unisi</w:t>
      </w:r>
      <w:r w:rsidRPr="003F5F67">
        <w:t>e)</w:t>
      </w:r>
      <w:r w:rsidR="00C51BFA" w:rsidRPr="003F5F67">
        <w:t xml:space="preserve">, </w:t>
      </w:r>
      <w:r w:rsidRPr="003F5F67">
        <w:t xml:space="preserve">à l'aimable invitation du Gouvernement </w:t>
      </w:r>
      <w:r w:rsidR="004D3E1A" w:rsidRPr="003F5F67">
        <w:t>de la Tunisie.</w:t>
      </w:r>
    </w:p>
    <w:p w:rsidR="00C51BFA" w:rsidRPr="003F5F67" w:rsidRDefault="00731872" w:rsidP="007C7A55">
      <w:pPr>
        <w:jc w:val="both"/>
      </w:pPr>
      <w:r w:rsidRPr="003F5F67">
        <w:t>1.2</w:t>
      </w:r>
      <w:r w:rsidRPr="003F5F67">
        <w:tab/>
        <w:t xml:space="preserve">Le </w:t>
      </w:r>
      <w:r w:rsidR="00C51BFA" w:rsidRPr="003F5F67">
        <w:t>GSS-16</w:t>
      </w:r>
      <w:r w:rsidRPr="003F5F67">
        <w:t xml:space="preserve"> a rassemblé des responsables de renom des milieux de la normalisation pour discuter de la manière d'intégrer au mieux les questions liées à la sécurité, à la vie privée et à la confiance dans les activités de normalisation.</w:t>
      </w:r>
      <w:r w:rsidR="0000511E" w:rsidRPr="003F5F67">
        <w:t xml:space="preserve"> </w:t>
      </w:r>
      <w:r w:rsidR="00586E40" w:rsidRPr="003F5F67">
        <w:t>Il a permis d</w:t>
      </w:r>
      <w:r w:rsidR="000B7FB3" w:rsidRPr="003F5F67">
        <w:t>'</w:t>
      </w:r>
      <w:r w:rsidR="00586E40" w:rsidRPr="003F5F67">
        <w:t>examiner divers points: les principes</w:t>
      </w:r>
      <w:r w:rsidR="0000511E" w:rsidRPr="003F5F67">
        <w:t xml:space="preserve"> réglementaires </w:t>
      </w:r>
      <w:r w:rsidR="00586E40" w:rsidRPr="003F5F67">
        <w:t>applicables à</w:t>
      </w:r>
      <w:r w:rsidR="0000511E" w:rsidRPr="003F5F67">
        <w:t xml:space="preserve"> la sécurité, la vie privée et la confiance; comment le secteur privé répond aux attentes des utilisateurs finals en matière de sécurité, de vie privée et de confiance; et l'approche des organismes de normalisation concernant la sécurité, la vie privée et la confiance.</w:t>
      </w:r>
    </w:p>
    <w:p w:rsidR="00C51BFA" w:rsidRPr="003F5F67" w:rsidRDefault="00731872" w:rsidP="007C7A55">
      <w:pPr>
        <w:jc w:val="both"/>
      </w:pPr>
      <w:r w:rsidRPr="003F5F67">
        <w:t>1.3</w:t>
      </w:r>
      <w:r w:rsidRPr="003F5F67">
        <w:tab/>
      </w:r>
      <w:r w:rsidR="00586E40" w:rsidRPr="003F5F67">
        <w:t>Rappelant que la vie privée et la protection des données sont au c</w:t>
      </w:r>
      <w:r w:rsidR="008923BD" w:rsidRPr="003F5F67">
        <w:t>oe</w:t>
      </w:r>
      <w:r w:rsidR="00586E40" w:rsidRPr="003F5F67">
        <w:t>ur des valeurs des individus et des sociétés et que la Déclaration universelle des droits de l</w:t>
      </w:r>
      <w:r w:rsidR="000B7FB3" w:rsidRPr="003F5F67">
        <w:t>'</w:t>
      </w:r>
      <w:r w:rsidR="00586E40" w:rsidRPr="003F5F67">
        <w:t xml:space="preserve">homme consacre le respect de la vie privée comme droit fondamental, le </w:t>
      </w:r>
      <w:r w:rsidR="00C51BFA" w:rsidRPr="003F5F67">
        <w:t xml:space="preserve">GSS-16 </w:t>
      </w:r>
      <w:r w:rsidR="00586E40" w:rsidRPr="003F5F67">
        <w:t>a encouragé les décideurs, les régulateurs et les représentants du secteur (fournisseur de solutions et opérateurs)</w:t>
      </w:r>
      <w:r w:rsidR="00295B57" w:rsidRPr="003F5F67">
        <w:t xml:space="preserve"> à promouvoir l</w:t>
      </w:r>
      <w:r w:rsidR="000B7FB3" w:rsidRPr="003F5F67">
        <w:t>'</w:t>
      </w:r>
      <w:r w:rsidR="00295B57" w:rsidRPr="003F5F67">
        <w:t>adhésion aux principes de protection de la vie privée dès la conception, l</w:t>
      </w:r>
      <w:r w:rsidR="000B7FB3" w:rsidRPr="003F5F67">
        <w:t>'</w:t>
      </w:r>
      <w:r w:rsidR="00295B57" w:rsidRPr="003F5F67">
        <w:t xml:space="preserve">évaluation des </w:t>
      </w:r>
      <w:r w:rsidR="00295B57" w:rsidRPr="003F5F67">
        <w:lastRenderedPageBreak/>
        <w:t>incidences sur l</w:t>
      </w:r>
      <w:r w:rsidR="000B7FB3" w:rsidRPr="003F5F67">
        <w:t>a protection de la vie privée e</w:t>
      </w:r>
      <w:r w:rsidR="00295B57" w:rsidRPr="003F5F67">
        <w:t>t l</w:t>
      </w:r>
      <w:r w:rsidR="000B7FB3" w:rsidRPr="003F5F67">
        <w:t>'</w:t>
      </w:r>
      <w:r w:rsidR="00295B57" w:rsidRPr="003F5F67">
        <w:t>élaboration de technologies renforçant la protection de la vie privée</w:t>
      </w:r>
      <w:r w:rsidR="00C51BFA" w:rsidRPr="003F5F67">
        <w:t xml:space="preserve">. </w:t>
      </w:r>
      <w:r w:rsidR="002B3C0B" w:rsidRPr="003F5F67">
        <w:t xml:space="preserve">La mise en commun de renseignements concernant les cybermenaces entre les organismes publics et les acteurs du secteur privé a été présentée comme une approche particulièrement intéressante pour développer les capacités de cybersécurité, point de vue que les professionnels de la sécurité du secteur privé ont soutenu énergiquement tout au long des débats du </w:t>
      </w:r>
      <w:r w:rsidR="00C51BFA" w:rsidRPr="003F5F67">
        <w:t>GSS-16.</w:t>
      </w:r>
    </w:p>
    <w:p w:rsidR="00C51BFA" w:rsidRPr="003F5F67" w:rsidRDefault="00C51BFA" w:rsidP="007C7A55">
      <w:pPr>
        <w:jc w:val="both"/>
      </w:pPr>
      <w:r w:rsidRPr="003F5F67">
        <w:t>1.4</w:t>
      </w:r>
      <w:r w:rsidRPr="003F5F67">
        <w:tab/>
      </w:r>
      <w:r w:rsidR="002B3C0B" w:rsidRPr="003F5F67">
        <w:t>Les participants ont souligné que la transparence et l'intégrité technologique étaient essentielles au succès des efforts déployés par les acteurs de l'industrie pour protéger les consommateurs et gagner leur confiance. L'informatique quantique se profile comme une menace potentielle qui, de l'avis général des professionnels de la sécurité, rendra inefficaces les méthodes de chiffrement classiques, et plusieurs intervenants lors du Colloque ont exhorté les participants à faire une priorité de la mise au point de technologies capables de résister à des attaques quantiques</w:t>
      </w:r>
      <w:r w:rsidRPr="003F5F67">
        <w:t>.</w:t>
      </w:r>
    </w:p>
    <w:p w:rsidR="00C51BFA" w:rsidRPr="003F5F67" w:rsidRDefault="00C51BFA" w:rsidP="007C7A55">
      <w:pPr>
        <w:jc w:val="both"/>
      </w:pPr>
      <w:r w:rsidRPr="003F5F67">
        <w:t>1.5</w:t>
      </w:r>
      <w:r w:rsidRPr="003F5F67">
        <w:tab/>
      </w:r>
      <w:r w:rsidR="002B3C0B" w:rsidRPr="003F5F67">
        <w:t>Les spécialistes de la normalisation ont été encouragés à intégrer le respect de la vie privée dès la conception dans leurs activités, en tenant dûment compte des considérations relatives à ce respect du début à la fin du processus de normalisation</w:t>
      </w:r>
      <w:r w:rsidRPr="003F5F67">
        <w:t xml:space="preserve">. </w:t>
      </w:r>
      <w:r w:rsidR="002B3C0B" w:rsidRPr="003F5F67">
        <w:t>Les participants ont mis l'accent sur l'intérêt des logiciels à code source ouvert pour traiter les problèmes liés à la sécurité, au respect de la vie privée et à la confiance, et ont appelé à des efforts soutenus en faveur de la collaboration entre les communautés open source et les spécialistes de la normalisation, afin de garantir un haut niveau de qualité et de sécurité pour les implémentations logicielles.</w:t>
      </w:r>
    </w:p>
    <w:p w:rsidR="00C51BFA" w:rsidRPr="003F5F67" w:rsidRDefault="00C51BFA" w:rsidP="007C7A55">
      <w:pPr>
        <w:jc w:val="both"/>
      </w:pPr>
      <w:r w:rsidRPr="003F5F67">
        <w:t>1.6</w:t>
      </w:r>
      <w:r w:rsidRPr="003F5F67">
        <w:tab/>
      </w:r>
      <w:r w:rsidR="0000253C" w:rsidRPr="003F5F67">
        <w:t>L'UIT s'appuiera sur les débats menés lors du Colloque pour mener à bien sa mission consistant à "instaurer la confiance et la sécurité dans l'utilisation des TIC", et notamment pour favoriser la mise en place d'un environnement des TIC digne de confiance, condition nécessaire pour tirer pleinement parti des immenses possibilités offertes par les systèmes IMT</w:t>
      </w:r>
      <w:r w:rsidR="0000253C" w:rsidRPr="003F5F67">
        <w:noBreakHyphen/>
        <w:t>2020 (5G), l'Internet des objets et les villes intelligentes et durables.</w:t>
      </w:r>
    </w:p>
    <w:p w:rsidR="00C51BFA" w:rsidRPr="003F5F67" w:rsidRDefault="0000253C" w:rsidP="007C7A55">
      <w:pPr>
        <w:pStyle w:val="Heading1"/>
        <w:jc w:val="both"/>
      </w:pPr>
      <w:r w:rsidRPr="003F5F67">
        <w:t>2</w:t>
      </w:r>
      <w:r w:rsidRPr="003F5F67">
        <w:tab/>
      </w:r>
      <w:r w:rsidR="00C51BFA" w:rsidRPr="003F5F67">
        <w:t>A</w:t>
      </w:r>
      <w:r w:rsidRPr="003F5F67">
        <w:t>MNT</w:t>
      </w:r>
      <w:r w:rsidR="00C51BFA" w:rsidRPr="003F5F67">
        <w:t>-16</w:t>
      </w:r>
    </w:p>
    <w:p w:rsidR="00C51BFA" w:rsidRPr="003F5F67" w:rsidRDefault="0000253C" w:rsidP="007C7A55">
      <w:pPr>
        <w:jc w:val="both"/>
      </w:pPr>
      <w:r w:rsidRPr="003F5F67">
        <w:t>2.1</w:t>
      </w:r>
      <w:r w:rsidRPr="003F5F67">
        <w:tab/>
      </w:r>
      <w:r w:rsidR="004D3E1A" w:rsidRPr="003F5F67">
        <w:t>L'AMNT</w:t>
      </w:r>
      <w:r w:rsidR="00C51BFA" w:rsidRPr="003F5F67">
        <w:t xml:space="preserve">-16 </w:t>
      </w:r>
      <w:r w:rsidR="004D3E1A" w:rsidRPr="003F5F67">
        <w:t xml:space="preserve">s'est tenue </w:t>
      </w:r>
      <w:r w:rsidR="004D3E1A" w:rsidRPr="003F5F67">
        <w:rPr>
          <w:rFonts w:asciiTheme="minorHAnsi" w:hAnsiTheme="minorHAnsi"/>
        </w:rPr>
        <w:t>du 25 octobre au 3 novembre 2016 à</w:t>
      </w:r>
      <w:r w:rsidR="00C51BFA" w:rsidRPr="003F5F67">
        <w:t xml:space="preserve"> Hammamet</w:t>
      </w:r>
      <w:r w:rsidR="004D3E1A" w:rsidRPr="003F5F67">
        <w:t xml:space="preserve"> (Tunisie)</w:t>
      </w:r>
      <w:r w:rsidR="00C51BFA" w:rsidRPr="003F5F67">
        <w:t xml:space="preserve">, </w:t>
      </w:r>
      <w:r w:rsidR="004D3E1A" w:rsidRPr="003F5F67">
        <w:t>à l'aimable invitation du Gouvernement de la Tunisie</w:t>
      </w:r>
      <w:r w:rsidR="00C51BFA" w:rsidRPr="003F5F67">
        <w:t>.</w:t>
      </w:r>
    </w:p>
    <w:p w:rsidR="00C51BFA" w:rsidRPr="003F5F67" w:rsidRDefault="0000253C" w:rsidP="007C7A55">
      <w:pPr>
        <w:jc w:val="both"/>
      </w:pPr>
      <w:r w:rsidRPr="003F5F67">
        <w:t>2.2</w:t>
      </w:r>
      <w:r w:rsidRPr="003F5F67">
        <w:tab/>
      </w:r>
      <w:r w:rsidR="00C51BFA" w:rsidRPr="003F5F67">
        <w:t xml:space="preserve">92 </w:t>
      </w:r>
      <w:r w:rsidRPr="003F5F67">
        <w:t>Etats Membres</w:t>
      </w:r>
      <w:r w:rsidR="00C51BFA" w:rsidRPr="003F5F67">
        <w:t>, 45</w:t>
      </w:r>
      <w:r w:rsidR="00295B57" w:rsidRPr="003F5F67">
        <w:t xml:space="preserve"> autres entités </w:t>
      </w:r>
      <w:r w:rsidRPr="003F5F67">
        <w:t xml:space="preserve">et </w:t>
      </w:r>
      <w:r w:rsidR="00C51BFA" w:rsidRPr="003F5F67">
        <w:t xml:space="preserve">704 </w:t>
      </w:r>
      <w:r w:rsidRPr="003F5F67">
        <w:t>délégués ont participé à l'AMNT</w:t>
      </w:r>
      <w:r w:rsidRPr="003F5F67">
        <w:noBreakHyphen/>
      </w:r>
      <w:r w:rsidR="00C51BFA" w:rsidRPr="003F5F67">
        <w:t>16.</w:t>
      </w:r>
    </w:p>
    <w:p w:rsidR="00C51BFA" w:rsidRPr="003F5F67" w:rsidRDefault="0000253C" w:rsidP="007C7A55">
      <w:pPr>
        <w:jc w:val="both"/>
      </w:pPr>
      <w:r w:rsidRPr="003F5F67">
        <w:t>2.3</w:t>
      </w:r>
      <w:r w:rsidRPr="003F5F67">
        <w:tab/>
      </w:r>
      <w:r w:rsidR="0091741B" w:rsidRPr="003F5F67">
        <w:t>L'AMNT-16 a approuvé les mandats des onze commissions d'études de l'UIT-T et nommé les présidents et vice-présidents du GCNT, des commissions d'études de l'</w:t>
      </w:r>
      <w:r w:rsidR="00295B57" w:rsidRPr="003F5F67">
        <w:t>UIT-T et du</w:t>
      </w:r>
      <w:r w:rsidR="0091741B" w:rsidRPr="003F5F67">
        <w:t xml:space="preserve"> Comité de normalisation pour le Vocabulaire</w:t>
      </w:r>
      <w:r w:rsidR="00C51BFA" w:rsidRPr="003F5F67">
        <w:t xml:space="preserve">. </w:t>
      </w:r>
      <w:r w:rsidR="0091741B" w:rsidRPr="003F5F67">
        <w:t>Elle a désigné cinq nouveaux présidents de commission d'études et plus de 110 nouveaux vice-présidents venant de 34 pays, dont 24 pays en développement.</w:t>
      </w:r>
    </w:p>
    <w:p w:rsidR="00C51BFA" w:rsidRPr="003F5F67" w:rsidRDefault="0000253C" w:rsidP="007C7A55">
      <w:pPr>
        <w:jc w:val="both"/>
      </w:pPr>
      <w:r w:rsidRPr="003F5F67">
        <w:t>2.4</w:t>
      </w:r>
      <w:r w:rsidRPr="003F5F67">
        <w:tab/>
      </w:r>
      <w:r w:rsidR="00295B57" w:rsidRPr="003F5F67">
        <w:t>L</w:t>
      </w:r>
      <w:r w:rsidR="000B7FB3" w:rsidRPr="003F5F67">
        <w:t>'</w:t>
      </w:r>
      <w:r w:rsidR="00295B57" w:rsidRPr="003F5F67">
        <w:t>AMNT</w:t>
      </w:r>
      <w:r w:rsidR="00C51BFA" w:rsidRPr="003F5F67">
        <w:t xml:space="preserve">-16 </w:t>
      </w:r>
      <w:r w:rsidR="00720920">
        <w:t xml:space="preserve">a </w:t>
      </w:r>
      <w:r w:rsidR="00295B57" w:rsidRPr="003F5F67">
        <w:t>révisé</w:t>
      </w:r>
      <w:r w:rsidR="00C51BFA" w:rsidRPr="003F5F67">
        <w:t xml:space="preserve"> 31 </w:t>
      </w:r>
      <w:r w:rsidR="00BD5FA2" w:rsidRPr="003F5F67">
        <w:t>Résolution</w:t>
      </w:r>
      <w:r w:rsidR="00295B57" w:rsidRPr="003F5F67">
        <w:t>s, adopté</w:t>
      </w:r>
      <w:r w:rsidR="00C51BFA" w:rsidRPr="003F5F67">
        <w:t xml:space="preserve"> 16 </w:t>
      </w:r>
      <w:r w:rsidR="00295B57" w:rsidRPr="003F5F67">
        <w:t>nouvelles</w:t>
      </w:r>
      <w:r w:rsidR="00C51BFA" w:rsidRPr="003F5F67">
        <w:t xml:space="preserve"> </w:t>
      </w:r>
      <w:r w:rsidR="00BD5FA2" w:rsidRPr="003F5F67">
        <w:t>Résolution</w:t>
      </w:r>
      <w:r w:rsidR="00C51BFA" w:rsidRPr="003F5F67">
        <w:t xml:space="preserve">s </w:t>
      </w:r>
      <w:r w:rsidR="009F5463" w:rsidRPr="003F5F67">
        <w:t>et supprimé</w:t>
      </w:r>
      <w:r w:rsidR="00C51BFA" w:rsidRPr="003F5F67">
        <w:t xml:space="preserve"> six</w:t>
      </w:r>
      <w:r w:rsidR="004912EB">
        <w:t> </w:t>
      </w:r>
      <w:r w:rsidR="00BD5FA2" w:rsidRPr="003F5F67">
        <w:t>Résolution</w:t>
      </w:r>
      <w:r w:rsidR="00C51BFA" w:rsidRPr="003F5F67">
        <w:t xml:space="preserve">s. </w:t>
      </w:r>
      <w:r w:rsidR="009F5463" w:rsidRPr="003F5F67">
        <w:t xml:space="preserve">Elle a également mis à jour deux Recommandations </w:t>
      </w:r>
      <w:r w:rsidR="000B7FB3" w:rsidRPr="003F5F67">
        <w:t>UIT-T</w:t>
      </w:r>
      <w:r w:rsidR="009F5463" w:rsidRPr="003F5F67">
        <w:t xml:space="preserve"> de la série A</w:t>
      </w:r>
      <w:r w:rsidR="00C51BFA" w:rsidRPr="003F5F67">
        <w:t xml:space="preserve"> </w:t>
      </w:r>
      <w:r w:rsidR="009F5463" w:rsidRPr="003F5F67">
        <w:t>qui régissent les travaux de l</w:t>
      </w:r>
      <w:r w:rsidR="000B7FB3" w:rsidRPr="003F5F67">
        <w:t>'UIT-T</w:t>
      </w:r>
      <w:r w:rsidR="009F5463" w:rsidRPr="003F5F67">
        <w:t xml:space="preserve"> et a approuvé cinq Recommandations </w:t>
      </w:r>
      <w:r w:rsidR="000B7FB3" w:rsidRPr="003F5F67">
        <w:t>UIT-T</w:t>
      </w:r>
      <w:r w:rsidR="009F5463" w:rsidRPr="003F5F67">
        <w:t xml:space="preserve"> </w:t>
      </w:r>
      <w:r w:rsidR="008923BD" w:rsidRPr="003F5F67">
        <w:t xml:space="preserve">nouvelles ou révisées </w:t>
      </w:r>
      <w:r w:rsidR="009F5463" w:rsidRPr="003F5F67">
        <w:t>de la CE 3 de l</w:t>
      </w:r>
      <w:r w:rsidR="000B7FB3" w:rsidRPr="003F5F67">
        <w:t>'UIT-T</w:t>
      </w:r>
      <w:r w:rsidR="008923BD" w:rsidRPr="003F5F67">
        <w:t>.</w:t>
      </w:r>
      <w:r w:rsidR="009F5463" w:rsidRPr="003F5F67">
        <w:t xml:space="preserve"> On trouvera en annexe la liste des Recommandations </w:t>
      </w:r>
      <w:r w:rsidR="000B7FB3" w:rsidRPr="003F5F67">
        <w:t>UIT-T</w:t>
      </w:r>
      <w:r w:rsidR="009F5463" w:rsidRPr="003F5F67">
        <w:t xml:space="preserve"> approuvées pendant l</w:t>
      </w:r>
      <w:r w:rsidR="000B7FB3" w:rsidRPr="003F5F67">
        <w:t>'</w:t>
      </w:r>
      <w:r w:rsidR="009F5463" w:rsidRPr="003F5F67">
        <w:t>AMNT-16 ainsi que toutes les</w:t>
      </w:r>
      <w:r w:rsidR="00C51BFA" w:rsidRPr="003F5F67">
        <w:t xml:space="preserve"> </w:t>
      </w:r>
      <w:r w:rsidR="00BD5FA2" w:rsidRPr="003F5F67">
        <w:t>Résol</w:t>
      </w:r>
      <w:bookmarkStart w:id="11" w:name="_GoBack"/>
      <w:bookmarkEnd w:id="11"/>
      <w:r w:rsidR="00BD5FA2" w:rsidRPr="003F5F67">
        <w:t>ution</w:t>
      </w:r>
      <w:r w:rsidR="00C51BFA" w:rsidRPr="003F5F67">
        <w:t xml:space="preserve">s </w:t>
      </w:r>
      <w:r w:rsidR="009F5463" w:rsidRPr="003F5F67">
        <w:t>et un V</w:t>
      </w:r>
      <w:r w:rsidR="008923BD" w:rsidRPr="003F5F67">
        <w:t>oeu.</w:t>
      </w:r>
    </w:p>
    <w:p w:rsidR="00C51BFA" w:rsidRPr="003F5F67" w:rsidRDefault="009F5463" w:rsidP="007C7A55">
      <w:pPr>
        <w:pStyle w:val="Headingb"/>
        <w:jc w:val="both"/>
      </w:pPr>
      <w:r w:rsidRPr="003F5F67">
        <w:lastRenderedPageBreak/>
        <w:t xml:space="preserve">Incidences budgétaires </w:t>
      </w:r>
    </w:p>
    <w:p w:rsidR="00C51BFA" w:rsidRPr="003F5F67" w:rsidRDefault="0091741B" w:rsidP="007C7A55">
      <w:pPr>
        <w:keepNext/>
        <w:keepLines/>
        <w:jc w:val="both"/>
      </w:pPr>
      <w:r w:rsidRPr="003F5F67">
        <w:t>2.5</w:t>
      </w:r>
      <w:r w:rsidRPr="003F5F67">
        <w:tab/>
        <w:t xml:space="preserve">Il sera essentiel d'accroître les financements pour que l'UIT-T puisse mettre en </w:t>
      </w:r>
      <w:r w:rsidR="008923BD" w:rsidRPr="003F5F67">
        <w:t>oe</w:t>
      </w:r>
      <w:r w:rsidR="009F5463" w:rsidRPr="003F5F67">
        <w:t>uvre</w:t>
      </w:r>
      <w:r w:rsidRPr="003F5F67">
        <w:t xml:space="preserve"> toutes les décisions prises à l'AMNT</w:t>
      </w:r>
      <w:r w:rsidR="00C51BFA" w:rsidRPr="003F5F67">
        <w:t xml:space="preserve">. </w:t>
      </w:r>
      <w:r w:rsidR="009F5463" w:rsidRPr="003F5F67">
        <w:t>La Commission 2 (Contrôle budgétaire) de l</w:t>
      </w:r>
      <w:r w:rsidR="000B7FB3" w:rsidRPr="003F5F67">
        <w:t>'</w:t>
      </w:r>
      <w:r w:rsidR="009F5463" w:rsidRPr="003F5F67">
        <w:t>AMNT a estimé que les incidences financières supplémentaires des Résolutions de l</w:t>
      </w:r>
      <w:r w:rsidR="000B7FB3" w:rsidRPr="003F5F67">
        <w:t>'</w:t>
      </w:r>
      <w:r w:rsidR="009F5463" w:rsidRPr="003F5F67">
        <w:t>AMNT-16 non encore prises en compte dans le projet de budget de l</w:t>
      </w:r>
      <w:r w:rsidR="000B7FB3" w:rsidRPr="003F5F67">
        <w:t>'UIT-T</w:t>
      </w:r>
      <w:r w:rsidR="009F5463" w:rsidRPr="003F5F67">
        <w:t xml:space="preserve"> pour la période </w:t>
      </w:r>
      <w:r w:rsidR="00C51BFA" w:rsidRPr="003F5F67">
        <w:t xml:space="preserve">2018-2019 </w:t>
      </w:r>
      <w:r w:rsidR="00D92272" w:rsidRPr="003F5F67">
        <w:t>se chiffraient entre</w:t>
      </w:r>
      <w:r w:rsidR="009F5463" w:rsidRPr="003F5F67">
        <w:t xml:space="preserve"> 2,</w:t>
      </w:r>
      <w:r w:rsidR="00C51BFA" w:rsidRPr="003F5F67">
        <w:t>6</w:t>
      </w:r>
      <w:r w:rsidR="00D92272" w:rsidRPr="003F5F67">
        <w:t> </w:t>
      </w:r>
      <w:r w:rsidR="00C51BFA" w:rsidRPr="003F5F67">
        <w:t>million</w:t>
      </w:r>
      <w:r w:rsidR="009F5463" w:rsidRPr="003F5F67">
        <w:t xml:space="preserve">s </w:t>
      </w:r>
      <w:r w:rsidR="00D92272" w:rsidRPr="003F5F67">
        <w:t xml:space="preserve">CHF </w:t>
      </w:r>
      <w:r w:rsidR="009F5463" w:rsidRPr="003F5F67">
        <w:t>et</w:t>
      </w:r>
      <w:r w:rsidR="00C51BFA" w:rsidRPr="003F5F67">
        <w:t xml:space="preserve"> 3</w:t>
      </w:r>
      <w:r w:rsidR="009F5463" w:rsidRPr="003F5F67">
        <w:t>,</w:t>
      </w:r>
      <w:r w:rsidR="00C51BFA" w:rsidRPr="003F5F67">
        <w:t>8 million</w:t>
      </w:r>
      <w:r w:rsidR="009F5463" w:rsidRPr="003F5F67">
        <w:t>s</w:t>
      </w:r>
      <w:r w:rsidR="00D92272" w:rsidRPr="003F5F67">
        <w:t xml:space="preserve"> CHF</w:t>
      </w:r>
      <w:r w:rsidR="00C51BFA" w:rsidRPr="003F5F67">
        <w:t xml:space="preserve">. </w:t>
      </w:r>
      <w:r w:rsidR="00C6169D" w:rsidRPr="003F5F67">
        <w:t>Les principaux éléments dans le rapport de la Commission 2 sont les suivants</w:t>
      </w:r>
      <w:r w:rsidR="00C51BFA" w:rsidRPr="003F5F67">
        <w:t>:</w:t>
      </w:r>
    </w:p>
    <w:p w:rsidR="00C51BFA" w:rsidRPr="003F5F67" w:rsidRDefault="00C51BFA" w:rsidP="007C7A55">
      <w:pPr>
        <w:jc w:val="both"/>
        <w:rPr>
          <w:rFonts w:cs="Arial"/>
        </w:rPr>
      </w:pPr>
      <w:r w:rsidRPr="003F5F67">
        <w:t>2.5.1</w:t>
      </w:r>
      <w:r w:rsidRPr="003F5F67">
        <w:tab/>
      </w:r>
      <w:r w:rsidR="008D6B53" w:rsidRPr="003F5F67">
        <w:t xml:space="preserve">La </w:t>
      </w:r>
      <w:r w:rsidR="00D92272" w:rsidRPr="003F5F67">
        <w:rPr>
          <w:rFonts w:cs="Arial"/>
        </w:rPr>
        <w:t xml:space="preserve">Résolution 44 </w:t>
      </w:r>
      <w:r w:rsidR="008D6B53" w:rsidRPr="003F5F67">
        <w:rPr>
          <w:rFonts w:cs="Arial"/>
        </w:rPr>
        <w:t>"</w:t>
      </w:r>
      <w:r w:rsidRPr="003F5F67">
        <w:rPr>
          <w:rFonts w:cs="Arial"/>
          <w:i/>
          <w:iCs/>
        </w:rPr>
        <w:t>invite</w:t>
      </w:r>
      <w:r w:rsidR="008D6B53" w:rsidRPr="003F5F67">
        <w:rPr>
          <w:rFonts w:cs="Arial"/>
          <w:i/>
          <w:iCs/>
        </w:rPr>
        <w:t xml:space="preserve"> le Conseil</w:t>
      </w:r>
      <w:r w:rsidR="008D6B53" w:rsidRPr="003F5F67">
        <w:rPr>
          <w:rFonts w:cs="Arial"/>
        </w:rPr>
        <w:t xml:space="preserve"> </w:t>
      </w:r>
      <w:r w:rsidRPr="003F5F67">
        <w:rPr>
          <w:rFonts w:cs="Arial"/>
        </w:rPr>
        <w:t>[…]</w:t>
      </w:r>
      <w:r w:rsidR="008D6B53" w:rsidRPr="003F5F67">
        <w:rPr>
          <w:rFonts w:cs="Arial"/>
        </w:rPr>
        <w:t xml:space="preserve"> à </w:t>
      </w:r>
      <w:r w:rsidR="008D6B53" w:rsidRPr="003F5F67">
        <w:t xml:space="preserve">accroître les crédits budgétaires affectés par l'UIT-T aux bourses, à l'interprétation et à la traduction des documents pour les réunions du GCNT, des commissions d'études et des groupes régionaux </w:t>
      </w:r>
      <w:r w:rsidR="008D6B53" w:rsidRPr="003F5F67">
        <w:rPr>
          <w:rFonts w:cs="Arial"/>
        </w:rPr>
        <w:t>des commissions d'études de l'UIT-T"</w:t>
      </w:r>
      <w:r w:rsidRPr="003F5F67">
        <w:rPr>
          <w:rFonts w:cs="Arial"/>
        </w:rPr>
        <w:t xml:space="preserve">. </w:t>
      </w:r>
      <w:r w:rsidR="008D6B53" w:rsidRPr="003F5F67">
        <w:rPr>
          <w:rFonts w:cs="Arial"/>
        </w:rPr>
        <w:t>(La Ré</w:t>
      </w:r>
      <w:r w:rsidRPr="003F5F67">
        <w:rPr>
          <w:rFonts w:cs="Arial"/>
        </w:rPr>
        <w:t xml:space="preserve">solution 67 </w:t>
      </w:r>
      <w:r w:rsidR="008D6B53" w:rsidRPr="003F5F67">
        <w:rPr>
          <w:rFonts w:cs="Arial"/>
        </w:rPr>
        <w:t>sur l'utilisation des langues de l'Union</w:t>
      </w:r>
      <w:r w:rsidRPr="003F5F67">
        <w:rPr>
          <w:rFonts w:cs="Arial"/>
        </w:rPr>
        <w:t xml:space="preserve"> </w:t>
      </w:r>
      <w:r w:rsidR="008D6B53" w:rsidRPr="003F5F67">
        <w:rPr>
          <w:rFonts w:cs="Arial"/>
        </w:rPr>
        <w:t>charge le Directeur du TSB</w:t>
      </w:r>
      <w:r w:rsidRPr="003F5F67">
        <w:rPr>
          <w:rFonts w:cs="Arial"/>
        </w:rPr>
        <w:t xml:space="preserve"> </w:t>
      </w:r>
      <w:r w:rsidR="008D6B53" w:rsidRPr="003F5F67">
        <w:rPr>
          <w:rFonts w:cs="Arial"/>
        </w:rPr>
        <w:t>"de continuer de faire traduire toutes les Recommandations approuvées au titre de la procédure d'approbation traditionnelle (TAP) dans toutes les langues de l'Union"</w:t>
      </w:r>
      <w:r w:rsidRPr="003F5F67">
        <w:rPr>
          <w:rFonts w:cs="Arial"/>
        </w:rPr>
        <w:t xml:space="preserve">, </w:t>
      </w:r>
      <w:r w:rsidR="008D6B53" w:rsidRPr="003F5F67">
        <w:rPr>
          <w:rFonts w:cs="Arial"/>
        </w:rPr>
        <w:t>"de fair</w:t>
      </w:r>
      <w:r w:rsidR="00720920">
        <w:rPr>
          <w:rFonts w:cs="Arial"/>
        </w:rPr>
        <w:t>e traduire tous les rapports du </w:t>
      </w:r>
      <w:r w:rsidR="008D6B53" w:rsidRPr="003F5F67">
        <w:rPr>
          <w:rFonts w:cs="Arial"/>
        </w:rPr>
        <w:t>GCNT dans toutes les langues de l'Union"</w:t>
      </w:r>
      <w:r w:rsidRPr="003F5F67">
        <w:rPr>
          <w:rFonts w:cs="Arial"/>
        </w:rPr>
        <w:t xml:space="preserve">, </w:t>
      </w:r>
      <w:r w:rsidR="00D92272" w:rsidRPr="003F5F67">
        <w:rPr>
          <w:rFonts w:cs="Arial"/>
        </w:rPr>
        <w:t>"</w:t>
      </w:r>
      <w:r w:rsidR="008D6B53" w:rsidRPr="003F5F67">
        <w:rPr>
          <w:rFonts w:cs="Arial"/>
        </w:rPr>
        <w:t xml:space="preserve">de maintenir la pratique consistant à faire traduire les Recommandations UIT-T approuvées selon la variante de la procédure d'approbation (AAP), avec la possibilité de multiplier par deux le nombre de pages traduites pour ces Recommandations, dans les limites des ressources financières de l'Union" et </w:t>
      </w:r>
      <w:r w:rsidR="00D92272" w:rsidRPr="003F5F67">
        <w:rPr>
          <w:rFonts w:cs="Arial"/>
        </w:rPr>
        <w:t>"</w:t>
      </w:r>
      <w:r w:rsidR="008D6B53" w:rsidRPr="003F5F67">
        <w:rPr>
          <w:rFonts w:cs="Arial"/>
        </w:rPr>
        <w:t>de prendre les mesures appropriées pour veiller à ce que les informations soient publiées sur les sites web de l'UIT dans les six langues officielles de l'Union sur un pied d'égalité, dans les limites du budget, conformément à la Résolution 1372 du Conseil"</w:t>
      </w:r>
      <w:r w:rsidR="00D92272" w:rsidRPr="003F5F67">
        <w:rPr>
          <w:rFonts w:cs="Arial"/>
        </w:rPr>
        <w:t>.</w:t>
      </w:r>
      <w:r w:rsidRPr="003F5F67">
        <w:rPr>
          <w:rFonts w:cs="Arial"/>
        </w:rPr>
        <w:t>)</w:t>
      </w:r>
    </w:p>
    <w:p w:rsidR="00C51BFA" w:rsidRPr="003F5F67" w:rsidRDefault="00F518BF" w:rsidP="007C7A55">
      <w:pPr>
        <w:jc w:val="both"/>
      </w:pPr>
      <w:r w:rsidRPr="003F5F67">
        <w:t>2.5.2</w:t>
      </w:r>
      <w:r w:rsidRPr="003F5F67">
        <w:tab/>
      </w:r>
      <w:r w:rsidR="00C6169D" w:rsidRPr="003F5F67">
        <w:t xml:space="preserve">La </w:t>
      </w:r>
      <w:r w:rsidRPr="003F5F67">
        <w:t>Ré</w:t>
      </w:r>
      <w:r w:rsidR="00C51BFA" w:rsidRPr="003F5F67">
        <w:t>solution 77</w:t>
      </w:r>
      <w:r w:rsidR="00D92272" w:rsidRPr="003F5F67">
        <w:t xml:space="preserve"> </w:t>
      </w:r>
      <w:r w:rsidRPr="003F5F67">
        <w:t xml:space="preserve">charge le Directeur du TSB </w:t>
      </w:r>
      <w:r w:rsidR="008D6B53" w:rsidRPr="003F5F67">
        <w:t>"d'organiser des a</w:t>
      </w:r>
      <w:r w:rsidR="00720920">
        <w:t>teliers, conjointement avec les </w:t>
      </w:r>
      <w:r w:rsidR="008D6B53" w:rsidRPr="003F5F67">
        <w:t>autres organisations concernées, en vue</w:t>
      </w:r>
      <w:r w:rsidRPr="003F5F67">
        <w:t xml:space="preserve"> </w:t>
      </w:r>
      <w:r w:rsidR="008D6B53" w:rsidRPr="003F5F67">
        <w:t>de renforcer les capacités dans le domaine des réseaux SDN</w:t>
      </w:r>
      <w:r w:rsidR="00C51BFA" w:rsidRPr="003F5F67">
        <w:t xml:space="preserve"> […]</w:t>
      </w:r>
      <w:r w:rsidR="008D6B53" w:rsidRPr="003F5F67">
        <w:t>"</w:t>
      </w:r>
      <w:r w:rsidRPr="003F5F67">
        <w:t>.</w:t>
      </w:r>
    </w:p>
    <w:p w:rsidR="00C51BFA" w:rsidRPr="003F5F67" w:rsidRDefault="00C51BFA" w:rsidP="007C7A55">
      <w:pPr>
        <w:jc w:val="both"/>
        <w:rPr>
          <w:rFonts w:cs="Arial"/>
        </w:rPr>
      </w:pPr>
      <w:r w:rsidRPr="003F5F67">
        <w:rPr>
          <w:rFonts w:cs="Arial"/>
        </w:rPr>
        <w:t>2.5.3</w:t>
      </w:r>
      <w:r w:rsidRPr="003F5F67">
        <w:rPr>
          <w:rFonts w:cs="Arial"/>
        </w:rPr>
        <w:tab/>
      </w:r>
      <w:r w:rsidR="003F4FD5" w:rsidRPr="003F5F67">
        <w:rPr>
          <w:rFonts w:cs="Arial"/>
        </w:rPr>
        <w:t xml:space="preserve">La </w:t>
      </w:r>
      <w:r w:rsidRPr="003F5F67">
        <w:rPr>
          <w:rFonts w:cs="Arial"/>
        </w:rPr>
        <w:t>R</w:t>
      </w:r>
      <w:r w:rsidR="003F4FD5" w:rsidRPr="003F5F67">
        <w:rPr>
          <w:rFonts w:cs="Arial"/>
        </w:rPr>
        <w:t>é</w:t>
      </w:r>
      <w:r w:rsidRPr="003F5F67">
        <w:rPr>
          <w:rFonts w:cs="Arial"/>
        </w:rPr>
        <w:t xml:space="preserve">solution 89 </w:t>
      </w:r>
      <w:r w:rsidR="00D92272" w:rsidRPr="003F5F67">
        <w:rPr>
          <w:rFonts w:cs="Arial"/>
        </w:rPr>
        <w:t xml:space="preserve">intitulée </w:t>
      </w:r>
      <w:r w:rsidR="003F4FD5" w:rsidRPr="003F5F67">
        <w:rPr>
          <w:rFonts w:cs="Arial"/>
        </w:rPr>
        <w:t>"</w:t>
      </w:r>
      <w:r w:rsidR="00F518BF" w:rsidRPr="003F5F67">
        <w:t>Promouvoir l'utilisation des technologies de l'information et de la communication pour réduire les disparités en matière d'inclusion financière" charge le Directeur du TSB</w:t>
      </w:r>
      <w:r w:rsidRPr="003F5F67">
        <w:rPr>
          <w:rFonts w:cs="Arial"/>
        </w:rPr>
        <w:t xml:space="preserve">, </w:t>
      </w:r>
      <w:r w:rsidR="00F518BF" w:rsidRPr="003F5F67">
        <w:rPr>
          <w:rFonts w:cs="Arial"/>
        </w:rPr>
        <w:t>e</w:t>
      </w:r>
      <w:r w:rsidRPr="003F5F67">
        <w:rPr>
          <w:rFonts w:cs="Arial"/>
        </w:rPr>
        <w:t xml:space="preserve">n collaboration </w:t>
      </w:r>
      <w:r w:rsidR="00F518BF" w:rsidRPr="003F5F67">
        <w:rPr>
          <w:rFonts w:cs="Arial"/>
        </w:rPr>
        <w:t xml:space="preserve">avec les Directeurs des autres </w:t>
      </w:r>
      <w:r w:rsidRPr="003F5F67">
        <w:rPr>
          <w:rFonts w:cs="Arial"/>
        </w:rPr>
        <w:t xml:space="preserve">Bureaux, </w:t>
      </w:r>
      <w:r w:rsidR="008D6B53" w:rsidRPr="003F5F67">
        <w:rPr>
          <w:rFonts w:cs="Arial"/>
        </w:rPr>
        <w:t>"</w:t>
      </w:r>
      <w:r w:rsidR="001A5017" w:rsidRPr="003F5F67">
        <w:rPr>
          <w:rFonts w:cs="Arial"/>
        </w:rPr>
        <w:t>d'appuyer l'élaboration de rapports et de bonnes pratiques sur l'inclusion financière numérique</w:t>
      </w:r>
      <w:r w:rsidRPr="003F5F67">
        <w:rPr>
          <w:rFonts w:cs="Arial"/>
        </w:rPr>
        <w:t xml:space="preserve"> […]</w:t>
      </w:r>
      <w:r w:rsidR="008D6B53" w:rsidRPr="003F5F67">
        <w:rPr>
          <w:rFonts w:cs="Arial"/>
        </w:rPr>
        <w:t>"</w:t>
      </w:r>
      <w:r w:rsidRPr="003F5F67">
        <w:rPr>
          <w:rFonts w:cs="Arial"/>
        </w:rPr>
        <w:t xml:space="preserve">, </w:t>
      </w:r>
      <w:r w:rsidR="008D6B53" w:rsidRPr="003F5F67">
        <w:rPr>
          <w:rFonts w:cs="Arial"/>
        </w:rPr>
        <w:t>"</w:t>
      </w:r>
      <w:r w:rsidR="00E953E0" w:rsidRPr="003F5F67">
        <w:rPr>
          <w:rFonts w:cs="Arial"/>
        </w:rPr>
        <w:t xml:space="preserve">de mettre en place une plate-forme ou, lorsque cela est possible, d'accéder à celles qui existent déjà, pour l'apprentissage par les pairs, le dialogue et l'échange de données d'expérience </w:t>
      </w:r>
      <w:r w:rsidRPr="003F5F67">
        <w:rPr>
          <w:rFonts w:cs="Arial"/>
        </w:rPr>
        <w:t>[…]</w:t>
      </w:r>
      <w:r w:rsidR="008D6B53" w:rsidRPr="003F5F67">
        <w:rPr>
          <w:rFonts w:cs="Arial"/>
        </w:rPr>
        <w:t>"</w:t>
      </w:r>
      <w:r w:rsidR="00E953E0" w:rsidRPr="003F5F67">
        <w:rPr>
          <w:rFonts w:cs="Arial"/>
        </w:rPr>
        <w:t>, et</w:t>
      </w:r>
      <w:r w:rsidRPr="003F5F67">
        <w:rPr>
          <w:rFonts w:cs="Arial"/>
        </w:rPr>
        <w:t xml:space="preserve"> </w:t>
      </w:r>
      <w:r w:rsidR="008D6B53" w:rsidRPr="003F5F67">
        <w:rPr>
          <w:rFonts w:cs="Arial"/>
        </w:rPr>
        <w:t>"</w:t>
      </w:r>
      <w:r w:rsidR="00E953E0" w:rsidRPr="003F5F67">
        <w:rPr>
          <w:rFonts w:cs="Arial"/>
        </w:rPr>
        <w:t>d'organiser des ateliers et des séminaires</w:t>
      </w:r>
      <w:r w:rsidRPr="003F5F67">
        <w:rPr>
          <w:rFonts w:cs="Arial"/>
        </w:rPr>
        <w:t xml:space="preserve"> […]</w:t>
      </w:r>
      <w:r w:rsidR="008D6B53" w:rsidRPr="003F5F67">
        <w:rPr>
          <w:rFonts w:cs="Arial"/>
        </w:rPr>
        <w:t>"</w:t>
      </w:r>
      <w:r w:rsidR="00E953E0" w:rsidRPr="003F5F67">
        <w:rPr>
          <w:rFonts w:cs="Arial"/>
        </w:rPr>
        <w:t>.</w:t>
      </w:r>
    </w:p>
    <w:p w:rsidR="00C51BFA" w:rsidRPr="003F5F67" w:rsidRDefault="00C51BFA" w:rsidP="007C7A55">
      <w:pPr>
        <w:jc w:val="both"/>
        <w:rPr>
          <w:rFonts w:cs="Arial"/>
          <w:b/>
          <w:bCs/>
        </w:rPr>
      </w:pPr>
      <w:r w:rsidRPr="003F5F67">
        <w:rPr>
          <w:rFonts w:cs="Arial"/>
          <w:b/>
          <w:bCs/>
        </w:rPr>
        <w:t>N</w:t>
      </w:r>
      <w:r w:rsidR="003F4FD5" w:rsidRPr="003F5F67">
        <w:rPr>
          <w:rFonts w:cs="Arial"/>
          <w:b/>
          <w:bCs/>
        </w:rPr>
        <w:t xml:space="preserve">ouvelles </w:t>
      </w:r>
      <w:r w:rsidRPr="003F5F67">
        <w:rPr>
          <w:rFonts w:cs="Arial"/>
          <w:b/>
          <w:bCs/>
        </w:rPr>
        <w:t>R</w:t>
      </w:r>
      <w:r w:rsidR="003F4FD5" w:rsidRPr="003F5F67">
        <w:rPr>
          <w:rFonts w:cs="Arial"/>
          <w:b/>
          <w:bCs/>
        </w:rPr>
        <w:t>é</w:t>
      </w:r>
      <w:r w:rsidRPr="003F5F67">
        <w:rPr>
          <w:rFonts w:cs="Arial"/>
          <w:b/>
          <w:bCs/>
        </w:rPr>
        <w:t>solutions</w:t>
      </w:r>
      <w:r w:rsidR="003F4FD5" w:rsidRPr="003F5F67">
        <w:rPr>
          <w:rFonts w:cs="Arial"/>
          <w:b/>
          <w:bCs/>
        </w:rPr>
        <w:t xml:space="preserve"> de l'AMNT-16</w:t>
      </w:r>
    </w:p>
    <w:p w:rsidR="00C51BFA" w:rsidRPr="003F5F67" w:rsidRDefault="003F4FD5" w:rsidP="007C7A55">
      <w:pPr>
        <w:jc w:val="both"/>
      </w:pPr>
      <w:r w:rsidRPr="003F5F67">
        <w:t>2.6</w:t>
      </w:r>
      <w:r w:rsidRPr="003F5F67">
        <w:tab/>
      </w:r>
      <w:r w:rsidR="00BD5FA2" w:rsidRPr="003F5F67">
        <w:t xml:space="preserve">La </w:t>
      </w:r>
      <w:r w:rsidR="00C51BFA" w:rsidRPr="003F5F67">
        <w:t>R</w:t>
      </w:r>
      <w:r w:rsidR="00BD5FA2" w:rsidRPr="003F5F67">
        <w:t>é</w:t>
      </w:r>
      <w:r w:rsidR="00C51BFA" w:rsidRPr="003F5F67">
        <w:t>solution 83 propose</w:t>
      </w:r>
      <w:r w:rsidR="00BD5FA2" w:rsidRPr="003F5F67">
        <w:t xml:space="preserve"> </w:t>
      </w:r>
      <w:r w:rsidR="00C6169D" w:rsidRPr="003F5F67">
        <w:t>des mesures pour évaluer l</w:t>
      </w:r>
      <w:r w:rsidR="000B7FB3" w:rsidRPr="003F5F67">
        <w:t>'</w:t>
      </w:r>
      <w:r w:rsidR="00C6169D" w:rsidRPr="003F5F67">
        <w:t>état d</w:t>
      </w:r>
      <w:r w:rsidR="000B7FB3" w:rsidRPr="003F5F67">
        <w:t>'</w:t>
      </w:r>
      <w:r w:rsidR="00C6169D" w:rsidRPr="003F5F67">
        <w:t xml:space="preserve">avancement de la mise en </w:t>
      </w:r>
      <w:r w:rsidR="008923BD" w:rsidRPr="003F5F67">
        <w:t>oe</w:t>
      </w:r>
      <w:r w:rsidR="00C6169D" w:rsidRPr="003F5F67">
        <w:t>uvre des Résolutions de l</w:t>
      </w:r>
      <w:r w:rsidR="000B7FB3" w:rsidRPr="003F5F67">
        <w:t>'</w:t>
      </w:r>
      <w:r w:rsidR="00C6169D" w:rsidRPr="003F5F67">
        <w:t>AMNT</w:t>
      </w:r>
      <w:r w:rsidR="00C51BFA" w:rsidRPr="003F5F67">
        <w:t>.</w:t>
      </w:r>
    </w:p>
    <w:p w:rsidR="00C51BFA" w:rsidRPr="003F5F67" w:rsidRDefault="003F4FD5" w:rsidP="007C7A55">
      <w:pPr>
        <w:jc w:val="both"/>
      </w:pPr>
      <w:r w:rsidRPr="003F5F67">
        <w:t>2.7</w:t>
      </w:r>
      <w:r w:rsidRPr="003F5F67">
        <w:tab/>
      </w:r>
      <w:r w:rsidR="006702BB" w:rsidRPr="003F5F67">
        <w:t xml:space="preserve">Aux termes de la </w:t>
      </w:r>
      <w:r w:rsidR="00BD5FA2" w:rsidRPr="003F5F67">
        <w:t>Résolution</w:t>
      </w:r>
      <w:r w:rsidR="00C6169D" w:rsidRPr="003F5F67">
        <w:t xml:space="preserve"> 84</w:t>
      </w:r>
      <w:r w:rsidR="00D92272" w:rsidRPr="003F5F67">
        <w:t>,</w:t>
      </w:r>
      <w:r w:rsidR="00C6169D" w:rsidRPr="003F5F67">
        <w:t xml:space="preserve"> les commissions d</w:t>
      </w:r>
      <w:r w:rsidR="000B7FB3" w:rsidRPr="003F5F67">
        <w:t>'</w:t>
      </w:r>
      <w:r w:rsidR="00C6169D" w:rsidRPr="003F5F67">
        <w:t>études de l</w:t>
      </w:r>
      <w:r w:rsidR="000B7FB3" w:rsidRPr="003F5F67">
        <w:t>'UIT-T</w:t>
      </w:r>
      <w:r w:rsidR="00C6169D" w:rsidRPr="003F5F67">
        <w:t xml:space="preserve"> (en particulier la CE 3 de l</w:t>
      </w:r>
      <w:r w:rsidR="000B7FB3" w:rsidRPr="003F5F67">
        <w:t>'UIT-T</w:t>
      </w:r>
      <w:r w:rsidR="00C6169D" w:rsidRPr="003F5F67">
        <w:t xml:space="preserve"> avec les CE 2,</w:t>
      </w:r>
      <w:r w:rsidR="00D92272" w:rsidRPr="003F5F67">
        <w:t xml:space="preserve"> </w:t>
      </w:r>
      <w:r w:rsidR="00C6169D" w:rsidRPr="003F5F67">
        <w:t>12 et 17)</w:t>
      </w:r>
      <w:r w:rsidR="006702BB" w:rsidRPr="003F5F67">
        <w:t xml:space="preserve"> sont priées</w:t>
      </w:r>
      <w:r w:rsidR="00C6169D" w:rsidRPr="003F5F67">
        <w:t xml:space="preserve"> d</w:t>
      </w:r>
      <w:r w:rsidR="000B7FB3" w:rsidRPr="003F5F67">
        <w:t>'</w:t>
      </w:r>
      <w:r w:rsidR="00C6169D" w:rsidRPr="003F5F67">
        <w:t xml:space="preserve">élaborer des Recommandations </w:t>
      </w:r>
      <w:r w:rsidR="000B7FB3" w:rsidRPr="003F5F67">
        <w:t>UIT-T</w:t>
      </w:r>
      <w:r w:rsidR="00C6169D" w:rsidRPr="003F5F67">
        <w:t xml:space="preserve"> afin de protéger les droits des utilisateurs et des consommateurs, notamment en ce qui concerne la qualité, la sécurité et les mécanismes de tarification</w:t>
      </w:r>
      <w:r w:rsidR="00C51BFA" w:rsidRPr="003F5F67">
        <w:t>.</w:t>
      </w:r>
    </w:p>
    <w:p w:rsidR="00C51BFA" w:rsidRPr="003F5F67" w:rsidRDefault="003F4FD5" w:rsidP="007C7A55">
      <w:pPr>
        <w:jc w:val="both"/>
      </w:pPr>
      <w:r w:rsidRPr="003F5F67">
        <w:t>2.8</w:t>
      </w:r>
      <w:r w:rsidRPr="003F5F67">
        <w:tab/>
      </w:r>
      <w:r w:rsidR="00C6169D" w:rsidRPr="003F5F67">
        <w:t xml:space="preserve">Il est fait observer dans la </w:t>
      </w:r>
      <w:r w:rsidR="00BD5FA2" w:rsidRPr="003F5F67">
        <w:t>Résolution</w:t>
      </w:r>
      <w:r w:rsidR="00C51BFA" w:rsidRPr="003F5F67">
        <w:t xml:space="preserve"> 85 </w:t>
      </w:r>
      <w:r w:rsidR="008D6B53" w:rsidRPr="003F5F67">
        <w:t>"</w:t>
      </w:r>
      <w:r w:rsidR="00BD5FA2" w:rsidRPr="003F5F67">
        <w:t xml:space="preserve">qu'il faut accroître les recettes de l'UIT-T en élargissant et en diversifiant les sources de recettes </w:t>
      </w:r>
      <w:r w:rsidR="008D6B53" w:rsidRPr="003F5F67">
        <w:t>"</w:t>
      </w:r>
      <w:r w:rsidR="00C6169D" w:rsidRPr="003F5F67">
        <w:t>. Aux termes de cette même Résolution</w:t>
      </w:r>
      <w:r w:rsidR="00D92272" w:rsidRPr="003F5F67">
        <w:t>,</w:t>
      </w:r>
      <w:r w:rsidR="00C6169D" w:rsidRPr="003F5F67">
        <w:t xml:space="preserve"> le Directeur du TSB est chargé de participer à l</w:t>
      </w:r>
      <w:r w:rsidR="000B7FB3" w:rsidRPr="003F5F67">
        <w:t>'</w:t>
      </w:r>
      <w:r w:rsidR="00C6169D" w:rsidRPr="003F5F67">
        <w:t>étude sur les ressources découlant des recettes supplémentaires</w:t>
      </w:r>
      <w:r w:rsidR="00C51BFA" w:rsidRPr="003F5F67">
        <w:t xml:space="preserve"> </w:t>
      </w:r>
      <w:r w:rsidR="00C6169D" w:rsidRPr="003F5F67">
        <w:t>qui sera soumise au Conseil, à sa session de 2017.</w:t>
      </w:r>
      <w:r w:rsidR="003C1257" w:rsidRPr="003F5F67">
        <w:t xml:space="preserve"> </w:t>
      </w:r>
    </w:p>
    <w:p w:rsidR="00C51BFA" w:rsidRPr="003F5F67" w:rsidRDefault="003F4FD5" w:rsidP="007C7A55">
      <w:pPr>
        <w:jc w:val="both"/>
      </w:pPr>
      <w:r w:rsidRPr="003F5F67">
        <w:t>2.9</w:t>
      </w:r>
      <w:r w:rsidRPr="003F5F67">
        <w:tab/>
      </w:r>
      <w:r w:rsidR="003348E1" w:rsidRPr="003F5F67">
        <w:t xml:space="preserve">La </w:t>
      </w:r>
      <w:r w:rsidR="00BD5FA2" w:rsidRPr="003F5F67">
        <w:t>Résolution</w:t>
      </w:r>
      <w:r w:rsidR="003348E1" w:rsidRPr="003F5F67">
        <w:t xml:space="preserve"> 86</w:t>
      </w:r>
      <w:r w:rsidR="00C51BFA" w:rsidRPr="003F5F67">
        <w:t xml:space="preserve"> </w:t>
      </w:r>
      <w:r w:rsidR="00D92272" w:rsidRPr="003F5F67">
        <w:t xml:space="preserve">intitulée </w:t>
      </w:r>
      <w:r w:rsidR="003348E1" w:rsidRPr="003F5F67">
        <w:t xml:space="preserve">"Faciliter la mise en </w:t>
      </w:r>
      <w:r w:rsidR="008923BD" w:rsidRPr="003F5F67">
        <w:t>oe</w:t>
      </w:r>
      <w:r w:rsidR="006702BB" w:rsidRPr="003F5F67">
        <w:t>uvre</w:t>
      </w:r>
      <w:r w:rsidR="003348E1" w:rsidRPr="003F5F67">
        <w:t xml:space="preserve"> du Manifeste Smart Africa" </w:t>
      </w:r>
      <w:r w:rsidR="00D92272" w:rsidRPr="003F5F67">
        <w:t>propose d'</w:t>
      </w:r>
      <w:r w:rsidR="003348E1" w:rsidRPr="003F5F67">
        <w:t xml:space="preserve">élaborer des Recommandations UIT-T visant à mettre en </w:t>
      </w:r>
      <w:r w:rsidR="008923BD" w:rsidRPr="003F5F67">
        <w:t>oe</w:t>
      </w:r>
      <w:r w:rsidR="006702BB" w:rsidRPr="003F5F67">
        <w:t>uvre</w:t>
      </w:r>
      <w:r w:rsidR="003348E1" w:rsidRPr="003F5F67">
        <w:t xml:space="preserve"> des nouvelles technologies, en accordant une attention particulière aux pays en développement</w:t>
      </w:r>
      <w:r w:rsidR="00C51BFA" w:rsidRPr="003F5F67">
        <w:t>.</w:t>
      </w:r>
    </w:p>
    <w:p w:rsidR="00C51BFA" w:rsidRPr="003F5F67" w:rsidRDefault="003F4FD5" w:rsidP="007C7A55">
      <w:pPr>
        <w:jc w:val="both"/>
      </w:pPr>
      <w:r w:rsidRPr="003F5F67">
        <w:t>2.10</w:t>
      </w:r>
      <w:r w:rsidRPr="003F5F67">
        <w:tab/>
      </w:r>
      <w:r w:rsidR="006702BB" w:rsidRPr="003F5F67">
        <w:t>Aux termes de la</w:t>
      </w:r>
      <w:r w:rsidR="003348E1" w:rsidRPr="003F5F67">
        <w:t xml:space="preserve"> </w:t>
      </w:r>
      <w:r w:rsidR="00BD5FA2" w:rsidRPr="003F5F67">
        <w:t>Résolution</w:t>
      </w:r>
      <w:r w:rsidR="00C51BFA" w:rsidRPr="003F5F67">
        <w:t xml:space="preserve"> 87</w:t>
      </w:r>
      <w:r w:rsidR="006702BB" w:rsidRPr="003F5F67">
        <w:t xml:space="preserve"> </w:t>
      </w:r>
      <w:r w:rsidR="00D92272" w:rsidRPr="003F5F67">
        <w:t>relative à</w:t>
      </w:r>
      <w:r w:rsidR="003348E1" w:rsidRPr="003F5F67">
        <w:t xml:space="preserve"> l'examen et la révision périodiques du Règlement des télécommunications internationales, le </w:t>
      </w:r>
      <w:r w:rsidR="00C51BFA" w:rsidRPr="003F5F67">
        <w:t>Direct</w:t>
      </w:r>
      <w:r w:rsidR="003348E1" w:rsidRPr="003F5F67">
        <w:t>eu</w:t>
      </w:r>
      <w:r w:rsidR="00C51BFA" w:rsidRPr="003F5F67">
        <w:t>r</w:t>
      </w:r>
      <w:r w:rsidR="003348E1" w:rsidRPr="003F5F67">
        <w:t xml:space="preserve"> du TSB</w:t>
      </w:r>
      <w:r w:rsidR="006702BB" w:rsidRPr="003F5F67">
        <w:t xml:space="preserve"> est chargé </w:t>
      </w:r>
      <w:r w:rsidR="008D6B53" w:rsidRPr="003F5F67">
        <w:t>"</w:t>
      </w:r>
      <w:r w:rsidR="003348E1" w:rsidRPr="003F5F67">
        <w:t xml:space="preserve">d'entreprendre les activités nécessaires, dans son domaine de compétence, afin d'assurer la mise en </w:t>
      </w:r>
      <w:r w:rsidR="008923BD" w:rsidRPr="003F5F67">
        <w:t>oe</w:t>
      </w:r>
      <w:r w:rsidR="006702BB" w:rsidRPr="003F5F67">
        <w:t>uvre</w:t>
      </w:r>
      <w:r w:rsidR="003348E1" w:rsidRPr="003F5F67">
        <w:t xml:space="preserve"> pleine et entière de la Résolution 146 (Rév. Busan, 2014) et de la Résolution 1379 du Conseil</w:t>
      </w:r>
      <w:r w:rsidR="008D6B53" w:rsidRPr="003F5F67">
        <w:t>"</w:t>
      </w:r>
      <w:r w:rsidR="00C51BFA" w:rsidRPr="003F5F67">
        <w:t xml:space="preserve">, </w:t>
      </w:r>
      <w:r w:rsidR="006702BB" w:rsidRPr="003F5F67">
        <w:t>et de soumettre les résultats de ces activités au Groupe d</w:t>
      </w:r>
      <w:r w:rsidR="000B7FB3" w:rsidRPr="003F5F67">
        <w:t>'</w:t>
      </w:r>
      <w:r w:rsidR="006702BB" w:rsidRPr="003F5F67">
        <w:t>experts sur le Règlement des télécommu</w:t>
      </w:r>
      <w:r w:rsidR="00D92272" w:rsidRPr="003F5F67">
        <w:t>nications internationales; le</w:t>
      </w:r>
      <w:r w:rsidR="006702BB" w:rsidRPr="003F5F67">
        <w:t xml:space="preserve"> GCNT est chargé de </w:t>
      </w:r>
      <w:r w:rsidR="003348E1" w:rsidRPr="003F5F67">
        <w:t>fournir des avis au Directeur du Bureau de la normalisation des télécommunications</w:t>
      </w:r>
      <w:r w:rsidR="00C51BFA" w:rsidRPr="003F5F67">
        <w:t>.</w:t>
      </w:r>
    </w:p>
    <w:p w:rsidR="00C51BFA" w:rsidRPr="003F5F67" w:rsidRDefault="003348E1" w:rsidP="007C7A55">
      <w:pPr>
        <w:jc w:val="both"/>
      </w:pPr>
      <w:r w:rsidRPr="003F5F67">
        <w:t>2.11</w:t>
      </w:r>
      <w:r w:rsidRPr="003F5F67">
        <w:tab/>
      </w:r>
      <w:r w:rsidR="006702BB" w:rsidRPr="003F5F67">
        <w:t xml:space="preserve">Aux termes de la </w:t>
      </w:r>
      <w:r w:rsidR="00BD5FA2" w:rsidRPr="003F5F67">
        <w:t>Résolution</w:t>
      </w:r>
      <w:r w:rsidR="00C51BFA" w:rsidRPr="003F5F67">
        <w:t xml:space="preserve"> 88</w:t>
      </w:r>
      <w:r w:rsidR="006702BB" w:rsidRPr="003F5F67">
        <w:t>, il est décidé</w:t>
      </w:r>
      <w:r w:rsidRPr="003F5F67">
        <w:t xml:space="preserve"> que la Commission d'études 3 de l'UIT-T doit poursuivre ses travaux sur les incidences économiques des tarifs de l'itinérance mobile internationale</w:t>
      </w:r>
      <w:r w:rsidR="00C51BFA" w:rsidRPr="003F5F67">
        <w:t>.</w:t>
      </w:r>
    </w:p>
    <w:p w:rsidR="00C51BFA" w:rsidRPr="003F5F67" w:rsidRDefault="003348E1" w:rsidP="007C7A55">
      <w:pPr>
        <w:jc w:val="both"/>
      </w:pPr>
      <w:r w:rsidRPr="003F5F67">
        <w:t>2.12</w:t>
      </w:r>
      <w:r w:rsidRPr="003F5F67">
        <w:tab/>
      </w:r>
      <w:r w:rsidR="006702BB" w:rsidRPr="003F5F67">
        <w:t xml:space="preserve">La </w:t>
      </w:r>
      <w:r w:rsidR="00BD5FA2" w:rsidRPr="003F5F67">
        <w:t>Résolution</w:t>
      </w:r>
      <w:r w:rsidR="00C51BFA" w:rsidRPr="003F5F67">
        <w:t xml:space="preserve"> 89 </w:t>
      </w:r>
      <w:r w:rsidR="006702BB" w:rsidRPr="003F5F67">
        <w:t xml:space="preserve">vise à </w:t>
      </w:r>
      <w:r w:rsidR="00DA15F5" w:rsidRPr="003F5F67">
        <w:t>contribuer aux initiatives générales déployées dans le monde pour améliorer l'inclusion financière</w:t>
      </w:r>
      <w:r w:rsidR="002F4DFD" w:rsidRPr="003F5F67">
        <w:t xml:space="preserve">, à </w:t>
      </w:r>
      <w:r w:rsidR="00AA0838" w:rsidRPr="003F5F67">
        <w:t xml:space="preserve">encourager les régulateurs des télécommunications et les autorités responsables des services financiers à collaborer, afin d'établir et de mettre en </w:t>
      </w:r>
      <w:r w:rsidR="008923BD" w:rsidRPr="003F5F67">
        <w:t>oe</w:t>
      </w:r>
      <w:r w:rsidR="002F4DFD" w:rsidRPr="003F5F67">
        <w:t>uvre</w:t>
      </w:r>
      <w:r w:rsidR="00AA0838" w:rsidRPr="003F5F67">
        <w:t xml:space="preserve"> des normes et des lignes directrices</w:t>
      </w:r>
      <w:r w:rsidR="002F4DFD" w:rsidRPr="003F5F67">
        <w:t xml:space="preserve">, à </w:t>
      </w:r>
      <w:r w:rsidR="00261883" w:rsidRPr="003F5F67">
        <w:t>encourager l'utilisation de technologies et d'outils numériques novateurs</w:t>
      </w:r>
      <w:r w:rsidR="00C51BFA" w:rsidRPr="003F5F67">
        <w:t xml:space="preserve">, </w:t>
      </w:r>
      <w:r w:rsidR="002F4DFD" w:rsidRPr="003F5F67">
        <w:t>selon qu</w:t>
      </w:r>
      <w:r w:rsidR="000B7FB3" w:rsidRPr="003F5F67">
        <w:t>'</w:t>
      </w:r>
      <w:r w:rsidR="002F4DFD" w:rsidRPr="003F5F67">
        <w:t>il conviendra et à promouvoir l</w:t>
      </w:r>
      <w:r w:rsidR="000B7FB3" w:rsidRPr="003F5F67">
        <w:t>'</w:t>
      </w:r>
      <w:r w:rsidR="002F4DFD" w:rsidRPr="003F5F67">
        <w:t>inclusion financière</w:t>
      </w:r>
      <w:r w:rsidR="00C51BFA" w:rsidRPr="003F5F67">
        <w:t>.</w:t>
      </w:r>
    </w:p>
    <w:p w:rsidR="00C51BFA" w:rsidRPr="00972279" w:rsidRDefault="003348E1" w:rsidP="007C7A55">
      <w:pPr>
        <w:jc w:val="both"/>
        <w:rPr>
          <w:szCs w:val="22"/>
        </w:rPr>
      </w:pPr>
      <w:r w:rsidRPr="003F5F67">
        <w:rPr>
          <w:szCs w:val="22"/>
        </w:rPr>
        <w:t>2.13</w:t>
      </w:r>
      <w:r w:rsidRPr="003F5F67">
        <w:rPr>
          <w:szCs w:val="22"/>
        </w:rPr>
        <w:tab/>
      </w:r>
      <w:r w:rsidR="002F4DFD" w:rsidRPr="003F5F67">
        <w:rPr>
          <w:szCs w:val="22"/>
        </w:rPr>
        <w:t xml:space="preserve">Il est souligné dans la </w:t>
      </w:r>
      <w:r w:rsidR="00BD5FA2" w:rsidRPr="003F5F67">
        <w:rPr>
          <w:szCs w:val="22"/>
        </w:rPr>
        <w:t>Résolution</w:t>
      </w:r>
      <w:r w:rsidR="00C51BFA" w:rsidRPr="003F5F67">
        <w:rPr>
          <w:szCs w:val="22"/>
        </w:rPr>
        <w:t xml:space="preserve"> 90</w:t>
      </w:r>
      <w:r w:rsidR="002F4DFD" w:rsidRPr="003F5F67">
        <w:rPr>
          <w:szCs w:val="22"/>
        </w:rPr>
        <w:t xml:space="preserve"> qu</w:t>
      </w:r>
      <w:r w:rsidR="000B7FB3" w:rsidRPr="003F5F67">
        <w:rPr>
          <w:szCs w:val="22"/>
        </w:rPr>
        <w:t>'</w:t>
      </w:r>
      <w:r w:rsidR="002F4DFD" w:rsidRPr="003F5F67">
        <w:rPr>
          <w:szCs w:val="22"/>
        </w:rPr>
        <w:t xml:space="preserve">il faut </w:t>
      </w:r>
      <w:r w:rsidR="00DA15F5" w:rsidRPr="003F5F67">
        <w:rPr>
          <w:lang w:eastAsia="zh-CN"/>
        </w:rPr>
        <w:t xml:space="preserve">continuer d'étudier les avantages et les inconvénients de la mise en </w:t>
      </w:r>
      <w:r w:rsidR="008923BD" w:rsidRPr="003F5F67">
        <w:rPr>
          <w:lang w:eastAsia="zh-CN"/>
        </w:rPr>
        <w:t>oe</w:t>
      </w:r>
      <w:r w:rsidR="002F4DFD" w:rsidRPr="003F5F67">
        <w:rPr>
          <w:lang w:eastAsia="zh-CN"/>
        </w:rPr>
        <w:t>uvre</w:t>
      </w:r>
      <w:r w:rsidR="00DA15F5" w:rsidRPr="003F5F67">
        <w:rPr>
          <w:lang w:eastAsia="zh-CN"/>
        </w:rPr>
        <w:t xml:space="preserve"> de projets sur le code source ouvert dans le contexte des travaux du Secteur de la normalisation des télécommunications de l'UIT</w:t>
      </w:r>
      <w:r w:rsidR="00D92272" w:rsidRPr="003F5F67">
        <w:rPr>
          <w:szCs w:val="22"/>
        </w:rPr>
        <w:t>.</w:t>
      </w:r>
      <w:r w:rsidR="00972279">
        <w:rPr>
          <w:szCs w:val="22"/>
        </w:rPr>
        <w:t xml:space="preserve"> </w:t>
      </w:r>
      <w:r w:rsidR="008341F9" w:rsidRPr="003F5F67">
        <w:t>Toutes les commissions d'études concernées de l'UIT-T</w:t>
      </w:r>
      <w:r w:rsidR="002F4DFD" w:rsidRPr="003F5F67">
        <w:t xml:space="preserve"> sont chargées d</w:t>
      </w:r>
      <w:r w:rsidR="000B7FB3" w:rsidRPr="003F5F67">
        <w:t>'</w:t>
      </w:r>
      <w:r w:rsidR="003F5F67">
        <w:t xml:space="preserve">appuyer le recours à </w:t>
      </w:r>
      <w:r w:rsidR="002F4DFD" w:rsidRPr="003F5F67">
        <w:t>l</w:t>
      </w:r>
      <w:r w:rsidR="000B7FB3" w:rsidRPr="003F5F67">
        <w:t>'</w:t>
      </w:r>
      <w:r w:rsidR="002F4DFD" w:rsidRPr="003F5F67">
        <w:t>utilisation</w:t>
      </w:r>
      <w:r w:rsidR="008341F9" w:rsidRPr="003F5F67">
        <w:t xml:space="preserve"> </w:t>
      </w:r>
      <w:r w:rsidR="002F4DFD" w:rsidRPr="003F5F67">
        <w:t>de projets sur le code source ouvert</w:t>
      </w:r>
      <w:r w:rsidR="00C51BFA" w:rsidRPr="003F5F67">
        <w:t xml:space="preserve">. </w:t>
      </w:r>
      <w:r w:rsidR="00406815" w:rsidRPr="003F5F67">
        <w:t xml:space="preserve">Le Groupe de travail du Conseil sur les ressources financières et les ressources humaines est invité </w:t>
      </w:r>
      <w:r w:rsidR="008D6B53" w:rsidRPr="003F5F67">
        <w:t>"</w:t>
      </w:r>
      <w:r w:rsidR="00406815" w:rsidRPr="003F5F67">
        <w:t xml:space="preserve">à évaluer les éventuelles incidences financières que pourrait avoir la mise en </w:t>
      </w:r>
      <w:r w:rsidR="008923BD" w:rsidRPr="003F5F67">
        <w:t>oe</w:t>
      </w:r>
      <w:r w:rsidR="002F4DFD" w:rsidRPr="003F5F67">
        <w:t>uvre</w:t>
      </w:r>
      <w:r w:rsidR="00406815" w:rsidRPr="003F5F67">
        <w:t xml:space="preserve"> de la présente Résolution pour l'Union</w:t>
      </w:r>
      <w:r w:rsidR="008D6B53" w:rsidRPr="003F5F67">
        <w:t>"</w:t>
      </w:r>
      <w:r w:rsidR="00C51BFA" w:rsidRPr="003F5F67">
        <w:t>.</w:t>
      </w:r>
    </w:p>
    <w:p w:rsidR="00C51BFA" w:rsidRPr="003F5F67" w:rsidRDefault="00DA15F5" w:rsidP="007C7A55">
      <w:pPr>
        <w:jc w:val="both"/>
      </w:pPr>
      <w:r w:rsidRPr="003F5F67">
        <w:rPr>
          <w:szCs w:val="22"/>
        </w:rPr>
        <w:t>2.1</w:t>
      </w:r>
      <w:r w:rsidR="00972279">
        <w:rPr>
          <w:szCs w:val="22"/>
        </w:rPr>
        <w:t>4</w:t>
      </w:r>
      <w:r w:rsidR="003348E1" w:rsidRPr="003F5F67">
        <w:rPr>
          <w:szCs w:val="22"/>
        </w:rPr>
        <w:tab/>
      </w:r>
      <w:r w:rsidR="002F4DFD" w:rsidRPr="003F5F67">
        <w:rPr>
          <w:szCs w:val="22"/>
        </w:rPr>
        <w:t xml:space="preserve">Aux termes de la </w:t>
      </w:r>
      <w:r w:rsidR="00BD5FA2" w:rsidRPr="003F5F67">
        <w:rPr>
          <w:szCs w:val="22"/>
        </w:rPr>
        <w:t>Résolution</w:t>
      </w:r>
      <w:r w:rsidR="00C51BFA" w:rsidRPr="003F5F67">
        <w:rPr>
          <w:szCs w:val="22"/>
        </w:rPr>
        <w:t xml:space="preserve"> 91</w:t>
      </w:r>
      <w:r w:rsidR="002F4DFD" w:rsidRPr="003F5F67">
        <w:rPr>
          <w:szCs w:val="22"/>
        </w:rPr>
        <w:t>, le TSB est prié d</w:t>
      </w:r>
      <w:r w:rsidR="000B7FB3" w:rsidRPr="003F5F67">
        <w:rPr>
          <w:szCs w:val="22"/>
        </w:rPr>
        <w:t>'</w:t>
      </w:r>
      <w:r w:rsidR="002F4DFD" w:rsidRPr="003F5F67">
        <w:rPr>
          <w:szCs w:val="22"/>
        </w:rPr>
        <w:t xml:space="preserve">organiser et de tenir à jour </w:t>
      </w:r>
      <w:r w:rsidR="008341F9" w:rsidRPr="003F5F67">
        <w:t>un répertoire électronique d'informations sur les plans de numérotage publiés par le Secteur de la normalisation des télécommunications de l'UIT</w:t>
      </w:r>
      <w:r w:rsidR="00C51BFA" w:rsidRPr="003F5F67">
        <w:t xml:space="preserve">, </w:t>
      </w:r>
      <w:r w:rsidR="002F4DFD" w:rsidRPr="003F5F67">
        <w:t>en t</w:t>
      </w:r>
      <w:r w:rsidR="00D92272" w:rsidRPr="003F5F67">
        <w:t xml:space="preserve">enant compte des contributions </w:t>
      </w:r>
      <w:r w:rsidR="002F4DFD" w:rsidRPr="003F5F67">
        <w:t>de la CE</w:t>
      </w:r>
      <w:r w:rsidR="00D92272" w:rsidRPr="003F5F67">
        <w:t> </w:t>
      </w:r>
      <w:r w:rsidR="002F4DFD" w:rsidRPr="003F5F67">
        <w:t>2 de l</w:t>
      </w:r>
      <w:r w:rsidR="000B7FB3" w:rsidRPr="003F5F67">
        <w:t>'</w:t>
      </w:r>
      <w:r w:rsidR="002F4DFD" w:rsidRPr="003F5F67">
        <w:t>UIT-T</w:t>
      </w:r>
      <w:r w:rsidR="00C51BFA" w:rsidRPr="003F5F67">
        <w:t>.</w:t>
      </w:r>
    </w:p>
    <w:p w:rsidR="00C51BFA" w:rsidRPr="003F5F67" w:rsidRDefault="00DA15F5" w:rsidP="007C7A55">
      <w:pPr>
        <w:jc w:val="both"/>
        <w:rPr>
          <w:szCs w:val="22"/>
        </w:rPr>
      </w:pPr>
      <w:r w:rsidRPr="003F5F67">
        <w:rPr>
          <w:szCs w:val="22"/>
        </w:rPr>
        <w:t>2.1</w:t>
      </w:r>
      <w:r w:rsidR="00972279">
        <w:rPr>
          <w:szCs w:val="22"/>
        </w:rPr>
        <w:t>5</w:t>
      </w:r>
      <w:r w:rsidR="003348E1" w:rsidRPr="003F5F67">
        <w:rPr>
          <w:szCs w:val="22"/>
        </w:rPr>
        <w:tab/>
      </w:r>
      <w:r w:rsidR="002F4DFD" w:rsidRPr="003F5F67">
        <w:rPr>
          <w:szCs w:val="22"/>
        </w:rPr>
        <w:t xml:space="preserve">La </w:t>
      </w:r>
      <w:r w:rsidR="00BD5FA2" w:rsidRPr="003F5F67">
        <w:rPr>
          <w:szCs w:val="22"/>
        </w:rPr>
        <w:t>Résolution</w:t>
      </w:r>
      <w:r w:rsidR="00C51BFA" w:rsidRPr="003F5F67">
        <w:rPr>
          <w:szCs w:val="22"/>
        </w:rPr>
        <w:t xml:space="preserve"> 92</w:t>
      </w:r>
      <w:r w:rsidR="002F4DFD" w:rsidRPr="003F5F67">
        <w:rPr>
          <w:szCs w:val="22"/>
        </w:rPr>
        <w:t xml:space="preserve"> vise à</w:t>
      </w:r>
      <w:r w:rsidR="00F6433B" w:rsidRPr="003F5F67">
        <w:rPr>
          <w:lang w:eastAsia="zh-CN"/>
        </w:rPr>
        <w:t xml:space="preserve"> renforcer la coopération et la coordination </w:t>
      </w:r>
      <w:r w:rsidR="00D92272" w:rsidRPr="003F5F67">
        <w:rPr>
          <w:lang w:eastAsia="zh-CN"/>
        </w:rPr>
        <w:t xml:space="preserve">sur les aspects non radioélectriques </w:t>
      </w:r>
      <w:r w:rsidR="00F6433B" w:rsidRPr="003F5F67">
        <w:rPr>
          <w:lang w:eastAsia="zh-CN"/>
        </w:rPr>
        <w:t>des activités de normalisation relatives aux IMT (notamment aux IMT-2020), afin de faire en sorte que le secteur mondial des TIC dispose d'une solution efficace et concrète en matière de normalisation</w:t>
      </w:r>
      <w:r w:rsidR="008D6B53" w:rsidRPr="003F5F67">
        <w:rPr>
          <w:szCs w:val="22"/>
        </w:rPr>
        <w:t>"</w:t>
      </w:r>
      <w:r w:rsidR="00D92272" w:rsidRPr="003F5F67">
        <w:rPr>
          <w:szCs w:val="22"/>
        </w:rPr>
        <w:t>.</w:t>
      </w:r>
    </w:p>
    <w:p w:rsidR="00C51BFA" w:rsidRPr="003F5F67" w:rsidRDefault="00F6433B" w:rsidP="007C7A55">
      <w:pPr>
        <w:jc w:val="both"/>
        <w:rPr>
          <w:szCs w:val="22"/>
        </w:rPr>
      </w:pPr>
      <w:r w:rsidRPr="003F5F67">
        <w:rPr>
          <w:szCs w:val="22"/>
        </w:rPr>
        <w:t>2.1</w:t>
      </w:r>
      <w:r w:rsidR="00972279">
        <w:rPr>
          <w:szCs w:val="22"/>
        </w:rPr>
        <w:t>6</w:t>
      </w:r>
      <w:r w:rsidR="00D92272" w:rsidRPr="003F5F67">
        <w:rPr>
          <w:szCs w:val="22"/>
        </w:rPr>
        <w:tab/>
        <w:t xml:space="preserve">La </w:t>
      </w:r>
      <w:r w:rsidR="00BD5FA2" w:rsidRPr="003F5F67">
        <w:rPr>
          <w:szCs w:val="22"/>
        </w:rPr>
        <w:t>Résolution</w:t>
      </w:r>
      <w:r w:rsidR="00C51BFA" w:rsidRPr="003F5F67">
        <w:rPr>
          <w:szCs w:val="22"/>
        </w:rPr>
        <w:t xml:space="preserve"> </w:t>
      </w:r>
      <w:r w:rsidR="00C51BFA" w:rsidRPr="003F5F67">
        <w:rPr>
          <w:lang w:eastAsia="zh-CN"/>
        </w:rPr>
        <w:t xml:space="preserve">93 </w:t>
      </w:r>
      <w:r w:rsidR="00D92272" w:rsidRPr="003F5F67">
        <w:rPr>
          <w:lang w:eastAsia="zh-CN"/>
        </w:rPr>
        <w:t xml:space="preserve">intitulée </w:t>
      </w:r>
      <w:r w:rsidR="007A7744" w:rsidRPr="003F5F67">
        <w:rPr>
          <w:lang w:eastAsia="zh-CN"/>
        </w:rPr>
        <w:t>"Interconnexion des réseaux 4G, des réseaux IMT-2020 et des réseaux ultérieurs</w:t>
      </w:r>
      <w:r w:rsidR="008D6B53" w:rsidRPr="003F5F67">
        <w:rPr>
          <w:lang w:eastAsia="zh-CN"/>
        </w:rPr>
        <w:t>"</w:t>
      </w:r>
      <w:r w:rsidR="00D92272" w:rsidRPr="003F5F67">
        <w:rPr>
          <w:lang w:eastAsia="zh-CN"/>
        </w:rPr>
        <w:t xml:space="preserve"> </w:t>
      </w:r>
      <w:r w:rsidR="002F4DFD" w:rsidRPr="003F5F67">
        <w:rPr>
          <w:lang w:eastAsia="zh-CN"/>
        </w:rPr>
        <w:t xml:space="preserve">doit être mise en </w:t>
      </w:r>
      <w:r w:rsidR="008923BD" w:rsidRPr="003F5F67">
        <w:rPr>
          <w:lang w:eastAsia="zh-CN"/>
        </w:rPr>
        <w:t>oe</w:t>
      </w:r>
      <w:r w:rsidR="002F4DFD" w:rsidRPr="003F5F67">
        <w:rPr>
          <w:lang w:eastAsia="zh-CN"/>
        </w:rPr>
        <w:t>uvre</w:t>
      </w:r>
      <w:r w:rsidRPr="003F5F67">
        <w:rPr>
          <w:szCs w:val="22"/>
        </w:rPr>
        <w:t xml:space="preserve"> le plus rapidement possible</w:t>
      </w:r>
      <w:r w:rsidR="00C51BFA" w:rsidRPr="003F5F67">
        <w:rPr>
          <w:szCs w:val="22"/>
        </w:rPr>
        <w:t>.</w:t>
      </w:r>
    </w:p>
    <w:p w:rsidR="00C51BFA" w:rsidRPr="003F5F67" w:rsidRDefault="00F6433B" w:rsidP="007C7A55">
      <w:pPr>
        <w:jc w:val="both"/>
      </w:pPr>
      <w:r w:rsidRPr="003F5F67">
        <w:t>2.1</w:t>
      </w:r>
      <w:r w:rsidR="00972279">
        <w:t>7</w:t>
      </w:r>
      <w:r w:rsidRPr="003F5F67">
        <w:tab/>
      </w:r>
      <w:r w:rsidR="002F4DFD" w:rsidRPr="003F5F67">
        <w:t xml:space="preserve">Aux termes de la </w:t>
      </w:r>
      <w:r w:rsidR="00BD5FA2" w:rsidRPr="003F5F67">
        <w:t>Résolution</w:t>
      </w:r>
      <w:r w:rsidR="003F5F67">
        <w:t xml:space="preserve"> 94</w:t>
      </w:r>
      <w:r w:rsidR="002F4DFD" w:rsidRPr="003F5F67">
        <w:t>, les</w:t>
      </w:r>
      <w:r w:rsidR="007A7744" w:rsidRPr="003F5F67">
        <w:rPr>
          <w:i/>
          <w:iCs/>
        </w:rPr>
        <w:t xml:space="preserve"> </w:t>
      </w:r>
      <w:r w:rsidR="007A7744" w:rsidRPr="003F5F67">
        <w:t>Commissions d'études</w:t>
      </w:r>
      <w:r w:rsidR="00C51BFA" w:rsidRPr="003F5F67">
        <w:t xml:space="preserve"> 13, 16, 17 </w:t>
      </w:r>
      <w:r w:rsidR="007A7744" w:rsidRPr="003F5F67">
        <w:t>et</w:t>
      </w:r>
      <w:r w:rsidR="00C51BFA" w:rsidRPr="003F5F67">
        <w:t xml:space="preserve"> 20</w:t>
      </w:r>
      <w:r w:rsidR="00494ED6" w:rsidRPr="003F5F67">
        <w:t xml:space="preserve"> de l'UIT</w:t>
      </w:r>
      <w:r w:rsidR="00494ED6" w:rsidRPr="003F5F67">
        <w:noBreakHyphen/>
        <w:t>T</w:t>
      </w:r>
      <w:r w:rsidR="007A7744" w:rsidRPr="003F5F67">
        <w:t xml:space="preserve"> </w:t>
      </w:r>
      <w:r w:rsidR="002F4DFD" w:rsidRPr="003F5F67">
        <w:t xml:space="preserve">sont chargées </w:t>
      </w:r>
      <w:r w:rsidR="00494ED6" w:rsidRPr="003F5F67">
        <w:t>"</w:t>
      </w:r>
      <w:r w:rsidR="007A7744" w:rsidRPr="003F5F67">
        <w:t>d'évaluer les Recommandations existantes, en cours d'élaboration ou nouvelles du point</w:t>
      </w:r>
      <w:r w:rsidR="00494ED6" w:rsidRPr="003F5F67">
        <w:t xml:space="preserve"> </w:t>
      </w:r>
      <w:r w:rsidR="007A7744" w:rsidRPr="003F5F67">
        <w:t>de vue des technologies de données d'incidents fondées sur le nua</w:t>
      </w:r>
      <w:r w:rsidR="00494ED6" w:rsidRPr="003F5F67">
        <w:t>ge</w:t>
      </w:r>
      <w:r w:rsidR="008D6B53" w:rsidRPr="003F5F67">
        <w:t>"</w:t>
      </w:r>
      <w:r w:rsidR="00C51BFA" w:rsidRPr="003F5F67">
        <w:t>.</w:t>
      </w:r>
    </w:p>
    <w:p w:rsidR="00C51BFA" w:rsidRPr="003F5F67" w:rsidRDefault="00F6433B" w:rsidP="007C7A55">
      <w:pPr>
        <w:jc w:val="both"/>
      </w:pPr>
      <w:r w:rsidRPr="003F5F67">
        <w:t>2.1</w:t>
      </w:r>
      <w:r w:rsidR="00972279">
        <w:t>8</w:t>
      </w:r>
      <w:r w:rsidRPr="003F5F67">
        <w:tab/>
      </w:r>
      <w:r w:rsidR="00CA2458" w:rsidRPr="003F5F67">
        <w:t xml:space="preserve">La </w:t>
      </w:r>
      <w:r w:rsidR="00BD5FA2" w:rsidRPr="003F5F67">
        <w:t>Résolution</w:t>
      </w:r>
      <w:r w:rsidR="00C51BFA" w:rsidRPr="003F5F67">
        <w:t xml:space="preserve"> 95 </w:t>
      </w:r>
      <w:r w:rsidR="00CA2458" w:rsidRPr="003F5F67">
        <w:t>relative à la qualité des services offerts par les opérateurs vise à</w:t>
      </w:r>
      <w:r w:rsidR="00D92272" w:rsidRPr="003F5F67">
        <w:t xml:space="preserve"> </w:t>
      </w:r>
      <w:r w:rsidR="008D6B53" w:rsidRPr="003F5F67">
        <w:t>"</w:t>
      </w:r>
      <w:r w:rsidR="00494ED6" w:rsidRPr="003F5F67">
        <w:t>prendre des initiatives destinées à mieux faire connaître combien il est important de tenir les utilisateurs informés sur la qualité des services offerts par les opérateurs</w:t>
      </w:r>
      <w:r w:rsidR="008D6B53" w:rsidRPr="003F5F67">
        <w:t>"</w:t>
      </w:r>
      <w:r w:rsidR="00C51BFA" w:rsidRPr="003F5F67">
        <w:t xml:space="preserve"> </w:t>
      </w:r>
      <w:r w:rsidR="00494ED6" w:rsidRPr="003F5F67">
        <w:t>et</w:t>
      </w:r>
      <w:r w:rsidR="00C51BFA" w:rsidRPr="003F5F67">
        <w:t xml:space="preserve"> </w:t>
      </w:r>
      <w:r w:rsidR="00CA2458" w:rsidRPr="003F5F67">
        <w:t xml:space="preserve">à </w:t>
      </w:r>
      <w:r w:rsidR="008D6B53" w:rsidRPr="003F5F67">
        <w:t>"</w:t>
      </w:r>
      <w:r w:rsidR="00494ED6" w:rsidRPr="003F5F67">
        <w:t>fournir des références qui aident les pays en développement et les pays les moins avancés à établir un cadre national de mesure de la qualité permettant de réaliser des mesures de la qualité de service et de la qualité d'expérience</w:t>
      </w:r>
      <w:r w:rsidR="008D6B53" w:rsidRPr="003F5F67">
        <w:t>"</w:t>
      </w:r>
      <w:r w:rsidR="00C51BFA" w:rsidRPr="003F5F67">
        <w:t>.</w:t>
      </w:r>
    </w:p>
    <w:p w:rsidR="00C51BFA" w:rsidRPr="003F5F67" w:rsidRDefault="00F6433B" w:rsidP="007C7A55">
      <w:pPr>
        <w:keepNext/>
        <w:keepLines/>
        <w:jc w:val="both"/>
      </w:pPr>
      <w:r w:rsidRPr="003F5F67">
        <w:t>2.</w:t>
      </w:r>
      <w:r w:rsidR="00972279">
        <w:t>19</w:t>
      </w:r>
      <w:r w:rsidRPr="003F5F67">
        <w:tab/>
      </w:r>
      <w:r w:rsidR="00CA2458" w:rsidRPr="003F5F67">
        <w:t xml:space="preserve">La </w:t>
      </w:r>
      <w:r w:rsidR="00BD5FA2" w:rsidRPr="003F5F67">
        <w:t>Résolution</w:t>
      </w:r>
      <w:r w:rsidR="00C51BFA" w:rsidRPr="003F5F67">
        <w:t xml:space="preserve"> 96 </w:t>
      </w:r>
      <w:r w:rsidR="00CA2458" w:rsidRPr="003F5F67">
        <w:t xml:space="preserve">expose </w:t>
      </w:r>
      <w:r w:rsidR="00D54973" w:rsidRPr="003F5F67">
        <w:t xml:space="preserve">les moyens à mettre en </w:t>
      </w:r>
      <w:r w:rsidR="008923BD" w:rsidRPr="003F5F67">
        <w:t>oe</w:t>
      </w:r>
      <w:r w:rsidR="00CA2458" w:rsidRPr="003F5F67">
        <w:t>uvre</w:t>
      </w:r>
      <w:r w:rsidR="00D54973" w:rsidRPr="003F5F67">
        <w:t xml:space="preserve"> afin de lutter contre la contrefaçon et l'altération volontaire des dispositifs de télécommunication/TIC et prévenir ce phénomène pour protéger le secteur privé, les gouvernements et les consommateurs contre la contrefaçon et l'altération volontaire des dispositifs de télécommunication/TIC</w:t>
      </w:r>
      <w:r w:rsidR="00D92272" w:rsidRPr="003F5F67">
        <w:t>.</w:t>
      </w:r>
    </w:p>
    <w:p w:rsidR="00C51BFA" w:rsidRPr="003F5F67" w:rsidRDefault="00F6433B" w:rsidP="007C7A55">
      <w:pPr>
        <w:jc w:val="both"/>
        <w:rPr>
          <w:szCs w:val="22"/>
        </w:rPr>
      </w:pPr>
      <w:r w:rsidRPr="003F5F67">
        <w:rPr>
          <w:szCs w:val="22"/>
        </w:rPr>
        <w:t>2.</w:t>
      </w:r>
      <w:r w:rsidR="00972279">
        <w:rPr>
          <w:szCs w:val="22"/>
        </w:rPr>
        <w:t>20</w:t>
      </w:r>
      <w:r w:rsidRPr="003F5F67">
        <w:rPr>
          <w:szCs w:val="22"/>
        </w:rPr>
        <w:tab/>
      </w:r>
      <w:r w:rsidR="00CA2458" w:rsidRPr="003F5F67">
        <w:rPr>
          <w:szCs w:val="22"/>
        </w:rPr>
        <w:t xml:space="preserve">La </w:t>
      </w:r>
      <w:r w:rsidR="00BD5FA2" w:rsidRPr="003F5F67">
        <w:rPr>
          <w:szCs w:val="22"/>
        </w:rPr>
        <w:t>Résolution</w:t>
      </w:r>
      <w:r w:rsidR="00C51BFA" w:rsidRPr="003F5F67">
        <w:rPr>
          <w:szCs w:val="22"/>
        </w:rPr>
        <w:t xml:space="preserve"> 97</w:t>
      </w:r>
      <w:r w:rsidR="00CA2458" w:rsidRPr="003F5F67">
        <w:rPr>
          <w:szCs w:val="22"/>
        </w:rPr>
        <w:t xml:space="preserve"> porte sur la lutte</w:t>
      </w:r>
      <w:r w:rsidR="00047752" w:rsidRPr="003F5F67">
        <w:rPr>
          <w:szCs w:val="22"/>
        </w:rPr>
        <w:t xml:space="preserve"> contre le vol de dispositifs mobiles</w:t>
      </w:r>
      <w:r w:rsidR="00C51BFA" w:rsidRPr="003F5F67">
        <w:rPr>
          <w:szCs w:val="22"/>
        </w:rPr>
        <w:t>.</w:t>
      </w:r>
    </w:p>
    <w:p w:rsidR="00C51BFA" w:rsidRPr="003F5F67" w:rsidRDefault="00972279" w:rsidP="007C7A55">
      <w:pPr>
        <w:jc w:val="both"/>
      </w:pPr>
      <w:r>
        <w:t>2.21</w:t>
      </w:r>
      <w:r w:rsidR="00F6433B" w:rsidRPr="003F5F67">
        <w:tab/>
      </w:r>
      <w:r w:rsidR="00CA2458" w:rsidRPr="003F5F67">
        <w:t xml:space="preserve">La </w:t>
      </w:r>
      <w:r w:rsidR="00BD5FA2" w:rsidRPr="003F5F67">
        <w:t>Résolution</w:t>
      </w:r>
      <w:r w:rsidR="00CA2458" w:rsidRPr="003F5F67">
        <w:t xml:space="preserve"> 98 vis</w:t>
      </w:r>
      <w:r w:rsidR="00D92272" w:rsidRPr="003F5F67">
        <w:t>e</w:t>
      </w:r>
      <w:r w:rsidR="00CA2458" w:rsidRPr="003F5F67">
        <w:t xml:space="preserve"> à </w:t>
      </w:r>
      <w:r w:rsidR="00047752" w:rsidRPr="003F5F67">
        <w:t xml:space="preserve">élaborer des Recommandations UIT-T visant à mettre en </w:t>
      </w:r>
      <w:r w:rsidR="008923BD" w:rsidRPr="003F5F67">
        <w:t>oe</w:t>
      </w:r>
      <w:r w:rsidR="00CA2458" w:rsidRPr="003F5F67">
        <w:t>uvre</w:t>
      </w:r>
      <w:r w:rsidR="00047752" w:rsidRPr="003F5F67">
        <w:t xml:space="preserve"> l'Internet des objets et les villes et communautés intelligentes, notamment en ce qui concerne les questions liées aux nouvelles technologies et aux secteurs verticaux</w:t>
      </w:r>
      <w:r w:rsidR="00C51BFA" w:rsidRPr="003F5F67">
        <w:t>.</w:t>
      </w:r>
    </w:p>
    <w:p w:rsidR="00C82E63" w:rsidRPr="003F5F67" w:rsidRDefault="00C82E63" w:rsidP="00061F50">
      <w:pPr>
        <w:pStyle w:val="ListParagraph"/>
        <w:rPr>
          <w:rFonts w:cs="Arial"/>
          <w:b/>
          <w:bCs/>
          <w:lang w:val="fr-FR"/>
        </w:rPr>
      </w:pPr>
      <w:r w:rsidRPr="003F5F67">
        <w:rPr>
          <w:rFonts w:cs="Arial"/>
          <w:b/>
          <w:bCs/>
          <w:lang w:val="fr-FR"/>
        </w:rPr>
        <w:br w:type="page"/>
      </w:r>
    </w:p>
    <w:p w:rsidR="00C51BFA" w:rsidRPr="003F5F67" w:rsidRDefault="00C51BFA" w:rsidP="00D92272">
      <w:pPr>
        <w:pStyle w:val="Annextitle"/>
      </w:pPr>
      <w:r w:rsidRPr="003F5F67">
        <w:t>Annex</w:t>
      </w:r>
      <w:r w:rsidR="00E109BA" w:rsidRPr="003F5F67">
        <w:t>e</w:t>
      </w:r>
      <w:r w:rsidRPr="003F5F67">
        <w:t xml:space="preserve"> – List</w:t>
      </w:r>
      <w:r w:rsidR="00E109BA" w:rsidRPr="003F5F67">
        <w:t>e</w:t>
      </w:r>
      <w:r w:rsidRPr="003F5F67">
        <w:t xml:space="preserve"> </w:t>
      </w:r>
      <w:r w:rsidR="00E109BA" w:rsidRPr="003F5F67">
        <w:t xml:space="preserve">des </w:t>
      </w:r>
      <w:r w:rsidR="00BD5FA2" w:rsidRPr="003F5F67">
        <w:t>Résolution</w:t>
      </w:r>
      <w:r w:rsidRPr="003F5F67">
        <w:t xml:space="preserve">s, </w:t>
      </w:r>
      <w:r w:rsidR="00FA6E37" w:rsidRPr="003F5F67">
        <w:t>V</w:t>
      </w:r>
      <w:r w:rsidR="008923BD" w:rsidRPr="003F5F67">
        <w:t>oe</w:t>
      </w:r>
      <w:r w:rsidR="00FA6E37" w:rsidRPr="003F5F67">
        <w:t>ux</w:t>
      </w:r>
      <w:r w:rsidR="00E109BA" w:rsidRPr="003F5F67">
        <w:t xml:space="preserve"> et Recommandations UIT-T </w:t>
      </w:r>
      <w:r w:rsidR="00D92272" w:rsidRPr="003F5F67">
        <w:br/>
      </w:r>
      <w:r w:rsidR="00E109BA" w:rsidRPr="003F5F67">
        <w:t>approuvées de l'AMNT</w:t>
      </w:r>
    </w:p>
    <w:p w:rsidR="00C51BFA" w:rsidRPr="003F5F67" w:rsidRDefault="00C51BFA" w:rsidP="0095116B">
      <w:pPr>
        <w:pStyle w:val="ListParagraph"/>
        <w:spacing w:before="0"/>
        <w:rPr>
          <w:rFonts w:cs="Arial"/>
          <w:lang w:val="fr-FR"/>
        </w:rPr>
      </w:pPr>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65"/>
        <w:gridCol w:w="1276"/>
      </w:tblGrid>
      <w:tr w:rsidR="00C51BFA" w:rsidRPr="003F5F67" w:rsidTr="0000253C">
        <w:trPr>
          <w:cantSplit/>
          <w:trHeight w:val="826"/>
          <w:tblHeader/>
          <w:jc w:val="center"/>
        </w:trPr>
        <w:tc>
          <w:tcPr>
            <w:tcW w:w="8065" w:type="dxa"/>
            <w:tcBorders>
              <w:top w:val="single" w:sz="12" w:space="0" w:color="auto"/>
              <w:right w:val="single" w:sz="12" w:space="0" w:color="auto"/>
            </w:tcBorders>
            <w:shd w:val="clear" w:color="auto" w:fill="DAEEF3" w:themeFill="accent5" w:themeFillTint="33"/>
            <w:vAlign w:val="center"/>
          </w:tcPr>
          <w:p w:rsidR="00C51BFA" w:rsidRPr="003F5F67" w:rsidRDefault="00BD5FA2" w:rsidP="0093514B">
            <w:pPr>
              <w:pStyle w:val="Tablehead"/>
            </w:pPr>
            <w:r w:rsidRPr="003F5F67">
              <w:t>Résolution</w:t>
            </w:r>
            <w:r w:rsidR="00C51BFA" w:rsidRPr="003F5F67">
              <w:t xml:space="preserve"> – Tit</w:t>
            </w:r>
            <w:r w:rsidR="0093514B" w:rsidRPr="003F5F67">
              <w:t>r</w:t>
            </w:r>
            <w:r w:rsidR="00C51BFA" w:rsidRPr="003F5F67">
              <w:t>e</w:t>
            </w:r>
          </w:p>
        </w:tc>
        <w:tc>
          <w:tcPr>
            <w:tcW w:w="1276" w:type="dxa"/>
            <w:tcBorders>
              <w:top w:val="single" w:sz="12" w:space="0" w:color="auto"/>
              <w:right w:val="single" w:sz="12" w:space="0" w:color="auto"/>
            </w:tcBorders>
            <w:shd w:val="clear" w:color="auto" w:fill="DAEEF3" w:themeFill="accent5" w:themeFillTint="33"/>
            <w:vAlign w:val="center"/>
          </w:tcPr>
          <w:p w:rsidR="00C51BFA" w:rsidRPr="003F5F67" w:rsidRDefault="00C51BFA" w:rsidP="00061F50">
            <w:pPr>
              <w:pStyle w:val="Tablehead"/>
            </w:pPr>
            <w:r w:rsidRPr="003F5F67">
              <w:t>Statu</w:t>
            </w:r>
            <w:r w:rsidR="0093514B" w:rsidRPr="003F5F67">
              <w:t>t</w:t>
            </w:r>
          </w:p>
        </w:tc>
      </w:tr>
      <w:tr w:rsidR="00C51BFA" w:rsidRPr="003F5F67" w:rsidTr="0000253C">
        <w:trPr>
          <w:cantSplit/>
          <w:jc w:val="center"/>
        </w:trPr>
        <w:tc>
          <w:tcPr>
            <w:tcW w:w="8065" w:type="dxa"/>
            <w:tcBorders>
              <w:top w:val="single" w:sz="12" w:space="0" w:color="auto"/>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9"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1</w:t>
              </w:r>
            </w:hyperlink>
            <w:r w:rsidR="00C51BFA" w:rsidRPr="003F5F67">
              <w:rPr>
                <w:rFonts w:asciiTheme="minorHAnsi" w:hAnsiTheme="minorHAnsi"/>
                <w:szCs w:val="22"/>
              </w:rPr>
              <w:t xml:space="preserve"> – </w:t>
            </w:r>
            <w:r w:rsidR="0093514B" w:rsidRPr="003F5F67">
              <w:t>Règlement intérieur du Secteur de la normalisation des télécommunications de l'UIT</w:t>
            </w:r>
          </w:p>
        </w:tc>
        <w:tc>
          <w:tcPr>
            <w:tcW w:w="1276" w:type="dxa"/>
            <w:tcBorders>
              <w:top w:val="single" w:sz="12" w:space="0" w:color="auto"/>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10"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2</w:t>
              </w:r>
            </w:hyperlink>
            <w:r w:rsidR="00C51BFA" w:rsidRPr="003F5F67">
              <w:rPr>
                <w:rFonts w:asciiTheme="minorHAnsi" w:hAnsiTheme="minorHAnsi"/>
                <w:szCs w:val="22"/>
              </w:rPr>
              <w:t xml:space="preserve"> – </w:t>
            </w:r>
            <w:r w:rsidR="0093514B" w:rsidRPr="003F5F67">
              <w:rPr>
                <w:rFonts w:asciiTheme="minorHAnsi" w:hAnsiTheme="minorHAnsi"/>
                <w:szCs w:val="22"/>
              </w:rPr>
              <w:t>Domaine de compétence et mandat des commissions d'études</w:t>
            </w:r>
            <w:r w:rsidR="007B1342" w:rsidRPr="003F5F67">
              <w:rPr>
                <w:rFonts w:asciiTheme="minorHAnsi" w:hAnsiTheme="minorHAnsi"/>
                <w:szCs w:val="22"/>
              </w:rPr>
              <w:t xml:space="preserve"> </w:t>
            </w:r>
            <w:r w:rsidR="0093514B" w:rsidRPr="003F5F67">
              <w:rPr>
                <w:rFonts w:asciiTheme="minorHAnsi" w:hAnsiTheme="minorHAnsi"/>
                <w:szCs w:val="22"/>
              </w:rPr>
              <w:t>du Secteur de la normalisation des télécommunications de l'UIT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11"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7</w:t>
              </w:r>
            </w:hyperlink>
            <w:r w:rsidR="00C51BFA" w:rsidRPr="003F5F67">
              <w:rPr>
                <w:rFonts w:asciiTheme="minorHAnsi" w:hAnsiTheme="minorHAnsi"/>
                <w:szCs w:val="22"/>
              </w:rPr>
              <w:t xml:space="preserve"> – </w:t>
            </w:r>
            <w:r w:rsidR="0093514B" w:rsidRPr="003F5F67">
              <w:rPr>
                <w:rFonts w:asciiTheme="minorHAnsi" w:hAnsiTheme="minorHAnsi"/>
                <w:szCs w:val="22"/>
              </w:rPr>
              <w:t>Collaboration avec l'Organisation internationale de normalisation et la Commission électrotechnique internationale</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12"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11</w:t>
              </w:r>
            </w:hyperlink>
            <w:r w:rsidR="00C51BFA" w:rsidRPr="003F5F67">
              <w:rPr>
                <w:rFonts w:asciiTheme="minorHAnsi" w:hAnsiTheme="minorHAnsi"/>
                <w:szCs w:val="22"/>
              </w:rPr>
              <w:t xml:space="preserve"> – </w:t>
            </w:r>
            <w:r w:rsidR="0093514B" w:rsidRPr="003F5F67">
              <w:rPr>
                <w:rFonts w:asciiTheme="minorHAnsi" w:hAnsiTheme="minorHAnsi"/>
                <w:szCs w:val="22"/>
              </w:rPr>
              <w:t>Collaboration avec le Conseil d'exploitation postale de l'Union postale universelle concernant l'étude de services intéressant à la fois</w:t>
            </w:r>
            <w:r w:rsidR="007B1342" w:rsidRPr="003F5F67">
              <w:rPr>
                <w:rFonts w:asciiTheme="minorHAnsi" w:hAnsiTheme="minorHAnsi"/>
                <w:szCs w:val="22"/>
              </w:rPr>
              <w:t xml:space="preserve"> </w:t>
            </w:r>
            <w:r w:rsidR="0093514B" w:rsidRPr="003F5F67">
              <w:rPr>
                <w:rFonts w:asciiTheme="minorHAnsi" w:hAnsiTheme="minorHAnsi"/>
                <w:szCs w:val="22"/>
              </w:rPr>
              <w:t>le secteur postal et le secteur des télécommunications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13"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18</w:t>
              </w:r>
            </w:hyperlink>
            <w:r w:rsidR="00C51BFA" w:rsidRPr="003F5F67">
              <w:rPr>
                <w:rFonts w:asciiTheme="minorHAnsi" w:hAnsiTheme="minorHAnsi"/>
                <w:szCs w:val="22"/>
              </w:rPr>
              <w:t xml:space="preserve"> – </w:t>
            </w:r>
            <w:r w:rsidR="0093514B" w:rsidRPr="003F5F67">
              <w:rPr>
                <w:rFonts w:asciiTheme="minorHAnsi" w:hAnsiTheme="minorHAnsi"/>
                <w:szCs w:val="22"/>
              </w:rPr>
              <w:t>Principes et procédures applicables à la répartition des tâches et au renforcement de la coordination et de la coopération entre le Secteur des radiocommunications de l'UIT, le Secteur de la normalisation des télécommunications de l'UIT et le Secteur du développement des télécommunications de l'UIT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14"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20</w:t>
              </w:r>
            </w:hyperlink>
            <w:r w:rsidR="00C51BFA" w:rsidRPr="003F5F67">
              <w:rPr>
                <w:rFonts w:asciiTheme="minorHAnsi" w:hAnsiTheme="minorHAnsi"/>
                <w:szCs w:val="22"/>
              </w:rPr>
              <w:t xml:space="preserve"> – </w:t>
            </w:r>
            <w:r w:rsidR="0093514B" w:rsidRPr="003F5F67">
              <w:rPr>
                <w:rFonts w:asciiTheme="minorHAnsi" w:hAnsiTheme="minorHAnsi"/>
                <w:szCs w:val="22"/>
              </w:rPr>
              <w:t>Procédures d'attribution et de gestion des ressources internationales de numérotage, de nommage, d'adressage et d'identification</w:t>
            </w:r>
            <w:r w:rsidR="007B1342" w:rsidRPr="003F5F67">
              <w:rPr>
                <w:rFonts w:asciiTheme="minorHAnsi" w:hAnsiTheme="minorHAnsi"/>
                <w:szCs w:val="22"/>
              </w:rPr>
              <w:t xml:space="preserve"> </w:t>
            </w:r>
            <w:r w:rsidR="0093514B" w:rsidRPr="003F5F67">
              <w:rPr>
                <w:rFonts w:asciiTheme="minorHAnsi" w:hAnsiTheme="minorHAnsi"/>
                <w:szCs w:val="22"/>
              </w:rPr>
              <w:t>pour les télécommunications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15"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22</w:t>
              </w:r>
            </w:hyperlink>
            <w:r w:rsidR="00C51BFA" w:rsidRPr="003F5F67">
              <w:rPr>
                <w:rFonts w:asciiTheme="minorHAnsi" w:hAnsiTheme="minorHAnsi"/>
                <w:szCs w:val="22"/>
              </w:rPr>
              <w:t xml:space="preserve"> – </w:t>
            </w:r>
            <w:r w:rsidR="0093514B" w:rsidRPr="003F5F67">
              <w:rPr>
                <w:rFonts w:asciiTheme="minorHAnsi" w:hAnsiTheme="minorHAnsi"/>
                <w:szCs w:val="22"/>
              </w:rPr>
              <w:t xml:space="preserve">Pouvoir </w:t>
            </w:r>
            <w:proofErr w:type="gramStart"/>
            <w:r w:rsidR="0093514B" w:rsidRPr="003F5F67">
              <w:rPr>
                <w:rFonts w:asciiTheme="minorHAnsi" w:hAnsiTheme="minorHAnsi"/>
                <w:szCs w:val="22"/>
              </w:rPr>
              <w:t>conféré</w:t>
            </w:r>
            <w:proofErr w:type="gramEnd"/>
            <w:r w:rsidR="0093514B" w:rsidRPr="003F5F67">
              <w:rPr>
                <w:rFonts w:asciiTheme="minorHAnsi" w:hAnsiTheme="minorHAnsi"/>
                <w:szCs w:val="22"/>
              </w:rPr>
              <w:t xml:space="preserve"> au Groupe consultatif de la normalisation des télécommunications d'agir entre les assemblées mondiales de normalisation des télécommunications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16"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29</w:t>
              </w:r>
            </w:hyperlink>
            <w:r w:rsidR="00C51BFA" w:rsidRPr="003F5F67">
              <w:rPr>
                <w:rFonts w:asciiTheme="minorHAnsi" w:hAnsiTheme="minorHAnsi"/>
                <w:szCs w:val="22"/>
              </w:rPr>
              <w:t xml:space="preserve"> – </w:t>
            </w:r>
            <w:r w:rsidR="0093514B" w:rsidRPr="003F5F67">
              <w:rPr>
                <w:rFonts w:asciiTheme="minorHAnsi" w:hAnsiTheme="minorHAnsi"/>
                <w:szCs w:val="22"/>
              </w:rPr>
              <w:t>Procédures d'appel alternatives utilisées sur les réseaux de télécommunication internationaux</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17"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31</w:t>
              </w:r>
            </w:hyperlink>
            <w:r w:rsidR="00C51BFA" w:rsidRPr="003F5F67">
              <w:rPr>
                <w:rFonts w:asciiTheme="minorHAnsi" w:hAnsiTheme="minorHAnsi"/>
                <w:szCs w:val="22"/>
              </w:rPr>
              <w:t xml:space="preserve"> – </w:t>
            </w:r>
            <w:r w:rsidR="007D38C7" w:rsidRPr="003F5F67">
              <w:t>Admission d'entités ou d'organisations à participer comme Associés aux travaux du Secteur de la normalisation des télécommunications de l'UIT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inchangée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18"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32</w:t>
              </w:r>
            </w:hyperlink>
            <w:r w:rsidR="00C51BFA" w:rsidRPr="003F5F67">
              <w:rPr>
                <w:rFonts w:asciiTheme="minorHAnsi" w:hAnsiTheme="minorHAnsi"/>
                <w:szCs w:val="22"/>
              </w:rPr>
              <w:t xml:space="preserve"> – </w:t>
            </w:r>
            <w:r w:rsidR="0093514B" w:rsidRPr="003F5F67">
              <w:rPr>
                <w:rFonts w:asciiTheme="minorHAnsi" w:hAnsiTheme="minorHAnsi"/>
                <w:szCs w:val="22"/>
              </w:rPr>
              <w:t>Renforcement des méthodes de travail électroniques pour les travaux</w:t>
            </w:r>
            <w:r w:rsidR="007B1342" w:rsidRPr="003F5F67">
              <w:rPr>
                <w:rFonts w:asciiTheme="minorHAnsi" w:hAnsiTheme="minorHAnsi"/>
                <w:szCs w:val="22"/>
              </w:rPr>
              <w:t xml:space="preserve"> </w:t>
            </w:r>
            <w:r w:rsidR="0093514B" w:rsidRPr="003F5F67">
              <w:rPr>
                <w:rFonts w:asciiTheme="minorHAnsi" w:hAnsiTheme="minorHAnsi"/>
                <w:szCs w:val="22"/>
              </w:rPr>
              <w:t>du Secteur de la normalisation des télécommunications de l'UIT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BD5FA2" w:rsidP="0095116B">
            <w:pPr>
              <w:spacing w:before="40" w:after="40"/>
              <w:rPr>
                <w:rFonts w:asciiTheme="minorHAnsi" w:hAnsiTheme="minorHAnsi"/>
                <w:sz w:val="22"/>
                <w:szCs w:val="22"/>
                <w:lang w:eastAsia="zh-CN"/>
              </w:rPr>
            </w:pPr>
            <w:r w:rsidRPr="003F5F67">
              <w:rPr>
                <w:rFonts w:asciiTheme="minorHAnsi" w:hAnsiTheme="minorHAnsi"/>
                <w:sz w:val="22"/>
                <w:szCs w:val="22"/>
              </w:rPr>
              <w:t>Résolution</w:t>
            </w:r>
            <w:r w:rsidR="00D92272" w:rsidRPr="003F5F67">
              <w:rPr>
                <w:rFonts w:asciiTheme="minorHAnsi" w:hAnsiTheme="minorHAnsi"/>
                <w:sz w:val="22"/>
                <w:szCs w:val="22"/>
              </w:rPr>
              <w:t xml:space="preserve"> 33 –</w:t>
            </w:r>
            <w:r w:rsidR="00C51BFA" w:rsidRPr="003F5F67">
              <w:rPr>
                <w:rFonts w:asciiTheme="minorHAnsi" w:hAnsiTheme="minorHAnsi"/>
                <w:sz w:val="22"/>
                <w:szCs w:val="22"/>
              </w:rPr>
              <w:t xml:space="preserve"> </w:t>
            </w:r>
            <w:r w:rsidR="004B7637" w:rsidRPr="003F5F67">
              <w:rPr>
                <w:rFonts w:asciiTheme="minorHAnsi" w:hAnsiTheme="minorHAnsi"/>
                <w:sz w:val="22"/>
                <w:szCs w:val="22"/>
              </w:rPr>
              <w:t>Lignes directrices applicables aux activités stratégiques du Secteur</w:t>
            </w:r>
            <w:r w:rsidR="007B1342" w:rsidRPr="003F5F67">
              <w:rPr>
                <w:rFonts w:asciiTheme="minorHAnsi" w:hAnsiTheme="minorHAnsi"/>
                <w:sz w:val="22"/>
                <w:szCs w:val="22"/>
              </w:rPr>
              <w:t xml:space="preserve"> </w:t>
            </w:r>
            <w:r w:rsidR="004B7637" w:rsidRPr="003F5F67">
              <w:rPr>
                <w:rFonts w:asciiTheme="minorHAnsi" w:hAnsiTheme="minorHAnsi"/>
                <w:sz w:val="22"/>
                <w:szCs w:val="22"/>
              </w:rPr>
              <w:t>de la normalisation des télécommunications de l'UIT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supprimée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19"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34</w:t>
              </w:r>
            </w:hyperlink>
            <w:r w:rsidR="00C51BFA" w:rsidRPr="003F5F67">
              <w:rPr>
                <w:rFonts w:asciiTheme="minorHAnsi" w:hAnsiTheme="minorHAnsi"/>
                <w:szCs w:val="22"/>
              </w:rPr>
              <w:t xml:space="preserve"> – </w:t>
            </w:r>
            <w:r w:rsidR="004B7637" w:rsidRPr="003F5F67">
              <w:rPr>
                <w:rFonts w:asciiTheme="minorHAnsi" w:hAnsiTheme="minorHAnsi"/>
                <w:szCs w:val="22"/>
              </w:rPr>
              <w:t>C</w:t>
            </w:r>
            <w:r w:rsidR="00C51BFA" w:rsidRPr="003F5F67">
              <w:rPr>
                <w:rFonts w:asciiTheme="minorHAnsi" w:hAnsiTheme="minorHAnsi"/>
                <w:szCs w:val="22"/>
              </w:rPr>
              <w:t>ontributions</w:t>
            </w:r>
            <w:r w:rsidR="004B7637" w:rsidRPr="003F5F67">
              <w:rPr>
                <w:rFonts w:asciiTheme="minorHAnsi" w:hAnsiTheme="minorHAnsi"/>
                <w:szCs w:val="22"/>
              </w:rPr>
              <w:t xml:space="preserve"> volontaires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inchangée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20"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35</w:t>
              </w:r>
            </w:hyperlink>
            <w:r w:rsidR="00C51BFA" w:rsidRPr="003F5F67">
              <w:rPr>
                <w:rFonts w:asciiTheme="minorHAnsi" w:hAnsiTheme="minorHAnsi"/>
                <w:szCs w:val="22"/>
              </w:rPr>
              <w:t xml:space="preserve"> – </w:t>
            </w:r>
            <w:r w:rsidR="0093514B" w:rsidRPr="003F5F67">
              <w:rPr>
                <w:rFonts w:asciiTheme="minorHAnsi" w:hAnsiTheme="minorHAnsi"/>
                <w:szCs w:val="22"/>
              </w:rPr>
              <w:t>Désignation et durée maximale du mandat des présidents et vice</w:t>
            </w:r>
            <w:r w:rsidR="0093514B" w:rsidRPr="003F5F67">
              <w:rPr>
                <w:rFonts w:asciiTheme="minorHAnsi" w:hAnsiTheme="minorHAnsi"/>
                <w:szCs w:val="22"/>
              </w:rPr>
              <w:noBreakHyphen/>
              <w:t>présidents des commissions d'études du Secteur de la normalisation des télécommunications de l'UIT et du Groupe consultatif</w:t>
            </w:r>
            <w:r w:rsidR="007B1342" w:rsidRPr="003F5F67">
              <w:rPr>
                <w:rFonts w:asciiTheme="minorHAnsi" w:hAnsiTheme="minorHAnsi"/>
                <w:szCs w:val="22"/>
              </w:rPr>
              <w:t xml:space="preserve"> </w:t>
            </w:r>
            <w:r w:rsidR="0093514B" w:rsidRPr="003F5F67">
              <w:rPr>
                <w:rFonts w:asciiTheme="minorHAnsi" w:hAnsiTheme="minorHAnsi"/>
                <w:szCs w:val="22"/>
              </w:rPr>
              <w:t>de la normalisation des télécommunications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BD5FA2" w:rsidP="0095116B">
            <w:pPr>
              <w:pStyle w:val="Tabletext"/>
              <w:spacing w:before="40" w:after="40"/>
              <w:rPr>
                <w:rFonts w:asciiTheme="minorHAnsi" w:hAnsiTheme="minorHAnsi"/>
                <w:szCs w:val="22"/>
              </w:rPr>
            </w:pPr>
            <w:r w:rsidRPr="003F5F67">
              <w:rPr>
                <w:rFonts w:asciiTheme="minorHAnsi" w:hAnsiTheme="minorHAnsi"/>
                <w:szCs w:val="22"/>
              </w:rPr>
              <w:t>Résolution</w:t>
            </w:r>
            <w:r w:rsidR="00C51BFA" w:rsidRPr="003F5F67">
              <w:rPr>
                <w:rFonts w:asciiTheme="minorHAnsi" w:hAnsiTheme="minorHAnsi"/>
                <w:szCs w:val="22"/>
              </w:rPr>
              <w:t xml:space="preserve"> 38 – </w:t>
            </w:r>
            <w:r w:rsidR="005D541C" w:rsidRPr="003F5F67">
              <w:rPr>
                <w:rFonts w:asciiTheme="minorHAnsi" w:hAnsiTheme="minorHAnsi"/>
                <w:szCs w:val="22"/>
              </w:rPr>
              <w:t>Coordination entre les trois Secteurs de l'UIT pour les activités relatives</w:t>
            </w:r>
            <w:r w:rsidR="007B1342" w:rsidRPr="003F5F67">
              <w:rPr>
                <w:rFonts w:asciiTheme="minorHAnsi" w:hAnsiTheme="minorHAnsi"/>
                <w:szCs w:val="22"/>
              </w:rPr>
              <w:t xml:space="preserve"> </w:t>
            </w:r>
            <w:r w:rsidR="005D541C" w:rsidRPr="003F5F67">
              <w:rPr>
                <w:rFonts w:asciiTheme="minorHAnsi" w:hAnsiTheme="minorHAnsi"/>
                <w:szCs w:val="22"/>
              </w:rPr>
              <w:t>aux télécommunications mobiles internationales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supprimée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21"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40</w:t>
              </w:r>
            </w:hyperlink>
            <w:r w:rsidR="00C51BFA" w:rsidRPr="003F5F67">
              <w:rPr>
                <w:rFonts w:asciiTheme="minorHAnsi" w:hAnsiTheme="minorHAnsi"/>
                <w:szCs w:val="22"/>
              </w:rPr>
              <w:t xml:space="preserve"> – </w:t>
            </w:r>
            <w:r w:rsidR="0093514B" w:rsidRPr="003F5F67">
              <w:rPr>
                <w:rFonts w:asciiTheme="minorHAnsi" w:hAnsiTheme="minorHAnsi"/>
                <w:szCs w:val="22"/>
              </w:rPr>
              <w:t>Aspects réglementaires des travaux du Secteur de la normalisation</w:t>
            </w:r>
            <w:r w:rsidR="007B1342" w:rsidRPr="003F5F67">
              <w:rPr>
                <w:rFonts w:asciiTheme="minorHAnsi" w:hAnsiTheme="minorHAnsi"/>
                <w:szCs w:val="22"/>
              </w:rPr>
              <w:t xml:space="preserve"> </w:t>
            </w:r>
            <w:r w:rsidR="0093514B" w:rsidRPr="003F5F67">
              <w:rPr>
                <w:rFonts w:asciiTheme="minorHAnsi" w:hAnsiTheme="minorHAnsi"/>
                <w:szCs w:val="22"/>
              </w:rPr>
              <w:t>des télécommunications de l'UIT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22"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43</w:t>
              </w:r>
            </w:hyperlink>
            <w:r w:rsidR="00C51BFA" w:rsidRPr="003F5F67">
              <w:rPr>
                <w:rFonts w:asciiTheme="minorHAnsi" w:hAnsiTheme="minorHAnsi"/>
                <w:szCs w:val="22"/>
              </w:rPr>
              <w:t xml:space="preserve"> – </w:t>
            </w:r>
            <w:r w:rsidR="007D38C7" w:rsidRPr="003F5F67">
              <w:t>Travaux préparatoires régionaux pour les Assemblées mondiales de normalisation des télécommunications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inchangée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23"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44</w:t>
              </w:r>
            </w:hyperlink>
            <w:r w:rsidR="00C51BFA" w:rsidRPr="003F5F67">
              <w:rPr>
                <w:rFonts w:asciiTheme="minorHAnsi" w:hAnsiTheme="minorHAnsi"/>
                <w:szCs w:val="22"/>
              </w:rPr>
              <w:t xml:space="preserve"> – </w:t>
            </w:r>
            <w:r w:rsidR="0093514B" w:rsidRPr="003F5F67">
              <w:rPr>
                <w:rFonts w:asciiTheme="minorHAnsi" w:hAnsiTheme="minorHAnsi"/>
                <w:szCs w:val="22"/>
              </w:rPr>
              <w:t>Réduire l'écart en matière de normalisation entre</w:t>
            </w:r>
            <w:r w:rsidR="007B1342" w:rsidRPr="003F5F67">
              <w:rPr>
                <w:rFonts w:asciiTheme="minorHAnsi" w:hAnsiTheme="minorHAnsi"/>
                <w:szCs w:val="22"/>
              </w:rPr>
              <w:t xml:space="preserve"> </w:t>
            </w:r>
            <w:r w:rsidR="0093514B" w:rsidRPr="003F5F67">
              <w:rPr>
                <w:rFonts w:asciiTheme="minorHAnsi" w:hAnsiTheme="minorHAnsi"/>
                <w:szCs w:val="22"/>
              </w:rPr>
              <w:t>pays en développement et pays développés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24"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45</w:t>
              </w:r>
            </w:hyperlink>
            <w:r w:rsidR="00C51BFA" w:rsidRPr="003F5F67">
              <w:rPr>
                <w:rFonts w:asciiTheme="minorHAnsi" w:hAnsiTheme="minorHAnsi"/>
                <w:szCs w:val="22"/>
              </w:rPr>
              <w:t xml:space="preserve"> – </w:t>
            </w:r>
            <w:r w:rsidR="0093514B" w:rsidRPr="003F5F67">
              <w:rPr>
                <w:rFonts w:asciiTheme="minorHAnsi" w:hAnsiTheme="minorHAnsi"/>
                <w:szCs w:val="22"/>
              </w:rPr>
              <w:t>Coordination efficace des travaux de normalisation entre les commissions d'études du Secteur de la normalisation des télécommunications de</w:t>
            </w:r>
            <w:r w:rsidR="007B1342" w:rsidRPr="003F5F67">
              <w:rPr>
                <w:rFonts w:asciiTheme="minorHAnsi" w:hAnsiTheme="minorHAnsi"/>
                <w:szCs w:val="22"/>
              </w:rPr>
              <w:t xml:space="preserve"> </w:t>
            </w:r>
            <w:r w:rsidR="0093514B" w:rsidRPr="003F5F67">
              <w:rPr>
                <w:rFonts w:asciiTheme="minorHAnsi" w:hAnsiTheme="minorHAnsi"/>
                <w:szCs w:val="22"/>
              </w:rPr>
              <w:t>l'UIT et rôle du Groupe consultatif de la normalisation</w:t>
            </w:r>
            <w:r w:rsidR="007B1342" w:rsidRPr="003F5F67">
              <w:rPr>
                <w:rFonts w:asciiTheme="minorHAnsi" w:hAnsiTheme="minorHAnsi"/>
                <w:szCs w:val="22"/>
              </w:rPr>
              <w:t xml:space="preserve"> </w:t>
            </w:r>
            <w:r w:rsidR="0093514B" w:rsidRPr="003F5F67">
              <w:rPr>
                <w:rFonts w:asciiTheme="minorHAnsi" w:hAnsiTheme="minorHAnsi"/>
                <w:szCs w:val="22"/>
              </w:rPr>
              <w:t>des télécommunications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25"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47</w:t>
              </w:r>
            </w:hyperlink>
            <w:r w:rsidR="00C51BFA" w:rsidRPr="003F5F67">
              <w:rPr>
                <w:rFonts w:asciiTheme="minorHAnsi" w:hAnsiTheme="minorHAnsi"/>
                <w:szCs w:val="22"/>
              </w:rPr>
              <w:t xml:space="preserve"> – </w:t>
            </w:r>
            <w:r w:rsidR="007D38C7" w:rsidRPr="003F5F67">
              <w:t>Noms de domaine de premier niveau de type code de pays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inchangée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26"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48</w:t>
              </w:r>
            </w:hyperlink>
            <w:r w:rsidR="00C51BFA" w:rsidRPr="003F5F67">
              <w:rPr>
                <w:rFonts w:asciiTheme="minorHAnsi" w:hAnsiTheme="minorHAnsi"/>
                <w:szCs w:val="22"/>
              </w:rPr>
              <w:t xml:space="preserve"> – </w:t>
            </w:r>
            <w:r w:rsidR="007D38C7" w:rsidRPr="003F5F67">
              <w:t>Noms de domaine internationalisés (et multilingues)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inchangée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27"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49</w:t>
              </w:r>
            </w:hyperlink>
            <w:r w:rsidR="00C51BFA" w:rsidRPr="003F5F67">
              <w:rPr>
                <w:rFonts w:asciiTheme="minorHAnsi" w:hAnsiTheme="minorHAnsi"/>
                <w:szCs w:val="22"/>
              </w:rPr>
              <w:t xml:space="preserve"> –</w:t>
            </w:r>
            <w:r w:rsidR="0093514B" w:rsidRPr="003F5F67">
              <w:t xml:space="preserve"> </w:t>
            </w:r>
            <w:r w:rsidR="0093514B" w:rsidRPr="003F5F67">
              <w:rPr>
                <w:rFonts w:asciiTheme="minorHAnsi" w:hAnsiTheme="minorHAnsi"/>
                <w:szCs w:val="22"/>
              </w:rPr>
              <w:t>Système ENUM</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28"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50</w:t>
              </w:r>
            </w:hyperlink>
            <w:r w:rsidR="0093514B" w:rsidRPr="003F5F67">
              <w:rPr>
                <w:rFonts w:asciiTheme="minorHAnsi" w:hAnsiTheme="minorHAnsi"/>
                <w:szCs w:val="22"/>
              </w:rPr>
              <w:t xml:space="preserve"> – Cybersécurité</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29"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52</w:t>
              </w:r>
            </w:hyperlink>
            <w:r w:rsidR="00C51BFA" w:rsidRPr="003F5F67">
              <w:rPr>
                <w:rFonts w:asciiTheme="minorHAnsi" w:hAnsiTheme="minorHAnsi"/>
                <w:szCs w:val="22"/>
              </w:rPr>
              <w:t xml:space="preserve"> – </w:t>
            </w:r>
            <w:r w:rsidR="0093514B" w:rsidRPr="003F5F67">
              <w:rPr>
                <w:rFonts w:asciiTheme="minorHAnsi" w:hAnsiTheme="minorHAnsi"/>
                <w:szCs w:val="22"/>
              </w:rPr>
              <w:t>Lutter contre le spam</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30"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54</w:t>
              </w:r>
            </w:hyperlink>
            <w:r w:rsidR="00C51BFA" w:rsidRPr="003F5F67">
              <w:rPr>
                <w:rFonts w:asciiTheme="minorHAnsi" w:hAnsiTheme="minorHAnsi"/>
                <w:szCs w:val="22"/>
              </w:rPr>
              <w:t xml:space="preserve"> – </w:t>
            </w:r>
            <w:r w:rsidR="0093514B" w:rsidRPr="003F5F67">
              <w:rPr>
                <w:rFonts w:asciiTheme="minorHAnsi" w:hAnsiTheme="minorHAnsi"/>
                <w:szCs w:val="22"/>
              </w:rPr>
              <w:t>Création de groupes régionaux et assistance à ces groupes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31"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55</w:t>
              </w:r>
            </w:hyperlink>
            <w:r w:rsidR="00C51BFA" w:rsidRPr="003F5F67">
              <w:rPr>
                <w:rFonts w:asciiTheme="minorHAnsi" w:hAnsiTheme="minorHAnsi"/>
                <w:szCs w:val="22"/>
              </w:rPr>
              <w:t xml:space="preserve"> – </w:t>
            </w:r>
            <w:r w:rsidR="0093514B" w:rsidRPr="003F5F67">
              <w:rPr>
                <w:rFonts w:asciiTheme="minorHAnsi" w:hAnsiTheme="minorHAnsi"/>
                <w:szCs w:val="22"/>
              </w:rPr>
              <w:t>Promouvoir l'égalité entre les femmes et les hommes dans les activités du Secteur de la normalisation des télécommunications de l'UIT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BD5FA2" w:rsidP="0095116B">
            <w:pPr>
              <w:pStyle w:val="Tabletext"/>
              <w:spacing w:before="40" w:after="40"/>
              <w:rPr>
                <w:rFonts w:asciiTheme="minorHAnsi" w:hAnsiTheme="minorHAnsi"/>
                <w:szCs w:val="22"/>
              </w:rPr>
            </w:pPr>
            <w:r w:rsidRPr="003F5F67">
              <w:rPr>
                <w:rFonts w:asciiTheme="minorHAnsi" w:hAnsiTheme="minorHAnsi"/>
                <w:szCs w:val="22"/>
              </w:rPr>
              <w:t>Résolution</w:t>
            </w:r>
            <w:r w:rsidR="00C51BFA" w:rsidRPr="003F5F67">
              <w:rPr>
                <w:rFonts w:asciiTheme="minorHAnsi" w:hAnsiTheme="minorHAnsi"/>
                <w:szCs w:val="22"/>
              </w:rPr>
              <w:t xml:space="preserve"> 57 – </w:t>
            </w:r>
            <w:r w:rsidR="004B7637" w:rsidRPr="003F5F67">
              <w:rPr>
                <w:rFonts w:asciiTheme="minorHAnsi" w:hAnsiTheme="minorHAnsi"/>
                <w:szCs w:val="22"/>
              </w:rPr>
              <w:t>Renforcer la coordination et la coopération entre les trois Secteurs de l'UIT</w:t>
            </w:r>
            <w:r w:rsidR="007B1342" w:rsidRPr="003F5F67">
              <w:rPr>
                <w:rFonts w:asciiTheme="minorHAnsi" w:hAnsiTheme="minorHAnsi"/>
                <w:szCs w:val="22"/>
              </w:rPr>
              <w:t xml:space="preserve"> </w:t>
            </w:r>
            <w:r w:rsidR="004B7637" w:rsidRPr="003F5F67">
              <w:rPr>
                <w:rFonts w:asciiTheme="minorHAnsi" w:hAnsiTheme="minorHAnsi"/>
                <w:szCs w:val="22"/>
              </w:rPr>
              <w:t>sur des questions d'intérêt mutuel</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supprimée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32"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58</w:t>
              </w:r>
            </w:hyperlink>
            <w:r w:rsidR="00C51BFA" w:rsidRPr="003F5F67">
              <w:rPr>
                <w:rFonts w:asciiTheme="minorHAnsi" w:hAnsiTheme="minorHAnsi"/>
                <w:szCs w:val="22"/>
              </w:rPr>
              <w:t xml:space="preserve"> – </w:t>
            </w:r>
            <w:r w:rsidR="007D38C7" w:rsidRPr="003F5F67">
              <w:t>Encourager la création d'équipes nationales d'intervention en cas d'incident informatique, en particulier pour les pays en développement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inchangée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33" w:history="1">
              <w:r w:rsidR="00BD5FA2" w:rsidRPr="003F5F67">
                <w:rPr>
                  <w:rStyle w:val="Hyperlink"/>
                  <w:rFonts w:asciiTheme="minorHAnsi" w:hAnsiTheme="minorHAnsi"/>
                  <w:szCs w:val="22"/>
                </w:rPr>
                <w:t>Résoluti</w:t>
              </w:r>
              <w:r w:rsidR="00BD5FA2" w:rsidRPr="003F5F67">
                <w:rPr>
                  <w:rStyle w:val="Hyperlink"/>
                  <w:rFonts w:asciiTheme="minorHAnsi" w:hAnsiTheme="minorHAnsi"/>
                  <w:szCs w:val="22"/>
                </w:rPr>
                <w:t>o</w:t>
              </w:r>
              <w:r w:rsidR="00BD5FA2" w:rsidRPr="003F5F67">
                <w:rPr>
                  <w:rStyle w:val="Hyperlink"/>
                  <w:rFonts w:asciiTheme="minorHAnsi" w:hAnsiTheme="minorHAnsi"/>
                  <w:szCs w:val="22"/>
                </w:rPr>
                <w:t>n</w:t>
              </w:r>
              <w:r w:rsidR="00C51BFA" w:rsidRPr="003F5F67">
                <w:rPr>
                  <w:rStyle w:val="Hyperlink"/>
                  <w:rFonts w:asciiTheme="minorHAnsi" w:hAnsiTheme="minorHAnsi"/>
                  <w:szCs w:val="22"/>
                </w:rPr>
                <w:t xml:space="preserve"> 59</w:t>
              </w:r>
            </w:hyperlink>
            <w:r w:rsidR="00C51BFA" w:rsidRPr="003F5F67">
              <w:rPr>
                <w:rFonts w:asciiTheme="minorHAnsi" w:hAnsiTheme="minorHAnsi"/>
                <w:szCs w:val="22"/>
              </w:rPr>
              <w:t xml:space="preserve"> – </w:t>
            </w:r>
            <w:r w:rsidR="007D38C7" w:rsidRPr="003F5F67">
              <w:t>Renforcement de la participation des opérateurs de télécommunication des pays en développement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inchangée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34"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60</w:t>
              </w:r>
            </w:hyperlink>
            <w:r w:rsidR="00C51BFA" w:rsidRPr="003F5F67">
              <w:rPr>
                <w:rFonts w:asciiTheme="minorHAnsi" w:hAnsiTheme="minorHAnsi"/>
                <w:szCs w:val="22"/>
              </w:rPr>
              <w:t xml:space="preserve"> – </w:t>
            </w:r>
            <w:r w:rsidR="007D38C7" w:rsidRPr="003F5F67">
              <w:rPr>
                <w:lang w:eastAsia="ko-KR"/>
              </w:rPr>
              <w:t>Relever les défis liés à l'évolution du système d'identification/de numérotage et à sa convergence avec les systèmes/réseaux IP</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inchangée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35"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61</w:t>
              </w:r>
            </w:hyperlink>
            <w:r w:rsidR="00C51BFA" w:rsidRPr="003F5F67">
              <w:rPr>
                <w:rFonts w:asciiTheme="minorHAnsi" w:hAnsiTheme="minorHAnsi"/>
                <w:szCs w:val="22"/>
              </w:rPr>
              <w:t xml:space="preserve"> – </w:t>
            </w:r>
            <w:r w:rsidR="007D38C7" w:rsidRPr="003F5F67">
              <w:t>Lutter contre le détournement et l'utilisation abusive des ressources internationales de numérotage des télécommunications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inchangée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36"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62</w:t>
              </w:r>
            </w:hyperlink>
            <w:r w:rsidR="00C51BFA" w:rsidRPr="003F5F67">
              <w:rPr>
                <w:rFonts w:asciiTheme="minorHAnsi" w:hAnsiTheme="minorHAnsi"/>
                <w:szCs w:val="22"/>
              </w:rPr>
              <w:t xml:space="preserve"> – </w:t>
            </w:r>
            <w:r w:rsidR="007D38C7" w:rsidRPr="003F5F67">
              <w:t>Règlement des différends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inchangée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37"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64</w:t>
              </w:r>
            </w:hyperlink>
            <w:r w:rsidR="00C51BFA" w:rsidRPr="003F5F67">
              <w:rPr>
                <w:rFonts w:asciiTheme="minorHAnsi" w:hAnsiTheme="minorHAnsi"/>
                <w:szCs w:val="22"/>
              </w:rPr>
              <w:t xml:space="preserve"> – </w:t>
            </w:r>
            <w:r w:rsidR="004B7637" w:rsidRPr="003F5F67">
              <w:rPr>
                <w:rFonts w:asciiTheme="minorHAnsi" w:hAnsiTheme="minorHAnsi"/>
                <w:szCs w:val="22"/>
              </w:rPr>
              <w:t>Attribution des adresses IP et mesures propres à faciliter le passage</w:t>
            </w:r>
            <w:r w:rsidR="007B1342" w:rsidRPr="003F5F67">
              <w:rPr>
                <w:rFonts w:asciiTheme="minorHAnsi" w:hAnsiTheme="minorHAnsi"/>
                <w:szCs w:val="22"/>
              </w:rPr>
              <w:t xml:space="preserve"> </w:t>
            </w:r>
            <w:r w:rsidR="004B7637" w:rsidRPr="003F5F67">
              <w:rPr>
                <w:rFonts w:asciiTheme="minorHAnsi" w:hAnsiTheme="minorHAnsi"/>
                <w:szCs w:val="22"/>
              </w:rPr>
              <w:t>au protocole IPv6 ainsi que le déploiement de ce protocole</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38"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65</w:t>
              </w:r>
            </w:hyperlink>
            <w:r w:rsidR="00C51BFA" w:rsidRPr="003F5F67">
              <w:rPr>
                <w:rFonts w:asciiTheme="minorHAnsi" w:hAnsiTheme="minorHAnsi"/>
                <w:szCs w:val="22"/>
              </w:rPr>
              <w:t xml:space="preserve"> – </w:t>
            </w:r>
            <w:r w:rsidR="004B7637" w:rsidRPr="003F5F67">
              <w:rPr>
                <w:rFonts w:asciiTheme="minorHAnsi" w:hAnsiTheme="minorHAnsi"/>
                <w:szCs w:val="22"/>
              </w:rPr>
              <w:t>Acheminement des informations relatives au numéro de l'appelant,</w:t>
            </w:r>
            <w:r w:rsidR="007B1342" w:rsidRPr="003F5F67">
              <w:rPr>
                <w:rFonts w:asciiTheme="minorHAnsi" w:hAnsiTheme="minorHAnsi"/>
                <w:szCs w:val="22"/>
              </w:rPr>
              <w:t xml:space="preserve"> </w:t>
            </w:r>
            <w:r w:rsidR="004B7637" w:rsidRPr="003F5F67">
              <w:rPr>
                <w:rFonts w:asciiTheme="minorHAnsi" w:hAnsiTheme="minorHAnsi"/>
                <w:szCs w:val="22"/>
              </w:rPr>
              <w:t>à l'identification de la ligne appelante et à l'identification de l'origine</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39"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66</w:t>
              </w:r>
            </w:hyperlink>
            <w:r w:rsidR="00C51BFA" w:rsidRPr="003F5F67">
              <w:rPr>
                <w:rFonts w:asciiTheme="minorHAnsi" w:hAnsiTheme="minorHAnsi"/>
                <w:szCs w:val="22"/>
              </w:rPr>
              <w:t xml:space="preserve"> – </w:t>
            </w:r>
            <w:r w:rsidR="00A001B7" w:rsidRPr="002006DC">
              <w:rPr>
                <w:lang w:val="fr-CH"/>
              </w:rPr>
              <w:t>Veille technologique au Bureau de la normalisation des télécommunications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inchangée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40"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67</w:t>
              </w:r>
            </w:hyperlink>
            <w:r w:rsidR="00C51BFA" w:rsidRPr="003F5F67">
              <w:rPr>
                <w:rFonts w:asciiTheme="minorHAnsi" w:hAnsiTheme="minorHAnsi"/>
                <w:szCs w:val="22"/>
              </w:rPr>
              <w:t xml:space="preserve"> – </w:t>
            </w:r>
            <w:r w:rsidR="004B7637" w:rsidRPr="003F5F67">
              <w:rPr>
                <w:rFonts w:asciiTheme="minorHAnsi" w:hAnsiTheme="minorHAnsi"/>
                <w:szCs w:val="22"/>
              </w:rPr>
              <w:t>Utilisation au sein du Secteur de la normalisation des télécommunications de l'UIT des langues de l'Union sur un pied d'égalité</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41"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68</w:t>
              </w:r>
            </w:hyperlink>
            <w:r w:rsidR="00C51BFA" w:rsidRPr="003F5F67">
              <w:rPr>
                <w:rFonts w:asciiTheme="minorHAnsi" w:hAnsiTheme="minorHAnsi"/>
                <w:szCs w:val="22"/>
              </w:rPr>
              <w:t xml:space="preserve"> – </w:t>
            </w:r>
            <w:r w:rsidR="004B7637" w:rsidRPr="003F5F67">
              <w:rPr>
                <w:rFonts w:asciiTheme="minorHAnsi" w:hAnsiTheme="minorHAnsi"/>
                <w:szCs w:val="22"/>
              </w:rPr>
              <w:t>Evolution du rôle du secteur privé au sein du Secteur de la normalisation des télécommunications de l'UIT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42"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69</w:t>
              </w:r>
            </w:hyperlink>
            <w:r w:rsidR="00C51BFA" w:rsidRPr="003F5F67">
              <w:rPr>
                <w:rFonts w:asciiTheme="minorHAnsi" w:hAnsiTheme="minorHAnsi"/>
                <w:szCs w:val="22"/>
              </w:rPr>
              <w:t xml:space="preserve"> – </w:t>
            </w:r>
            <w:r w:rsidR="004B7637" w:rsidRPr="003F5F67">
              <w:rPr>
                <w:rFonts w:asciiTheme="minorHAnsi" w:hAnsiTheme="minorHAnsi"/>
                <w:szCs w:val="22"/>
              </w:rPr>
              <w:t>Accès non discriminatoire aux ressources de l'Internet et aux télécommunications/technologies de l'information et de la communication et utilisation non discriminatoire de ces ressources et des télécommunications/</w:t>
            </w:r>
            <w:r w:rsidR="004B7637" w:rsidRPr="003F5F67">
              <w:rPr>
                <w:rFonts w:asciiTheme="minorHAnsi" w:hAnsiTheme="minorHAnsi"/>
                <w:szCs w:val="22"/>
              </w:rPr>
              <w:br/>
              <w:t>technologies de l'information et de la communication</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43"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70</w:t>
              </w:r>
            </w:hyperlink>
            <w:r w:rsidR="00C51BFA" w:rsidRPr="003F5F67">
              <w:rPr>
                <w:rFonts w:asciiTheme="minorHAnsi" w:hAnsiTheme="minorHAnsi"/>
                <w:szCs w:val="22"/>
              </w:rPr>
              <w:t xml:space="preserve"> – </w:t>
            </w:r>
            <w:r w:rsidR="004B7637" w:rsidRPr="003F5F67">
              <w:rPr>
                <w:rFonts w:asciiTheme="minorHAnsi" w:hAnsiTheme="minorHAnsi"/>
                <w:szCs w:val="22"/>
              </w:rPr>
              <w:t xml:space="preserve">Accessibilité des télécommunications/technologies de l'information et de la communication </w:t>
            </w:r>
            <w:r w:rsidR="005D541C" w:rsidRPr="003F5F67">
              <w:rPr>
                <w:rFonts w:asciiTheme="minorHAnsi" w:hAnsiTheme="minorHAnsi"/>
                <w:szCs w:val="22"/>
              </w:rPr>
              <w:t>pour les personnes handicapées e</w:t>
            </w:r>
            <w:r w:rsidR="004B7637" w:rsidRPr="003F5F67">
              <w:rPr>
                <w:rFonts w:asciiTheme="minorHAnsi" w:hAnsiTheme="minorHAnsi"/>
                <w:szCs w:val="22"/>
              </w:rPr>
              <w:t>t les personnes ayant des besoins particuliers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BD5FA2" w:rsidP="0095116B">
            <w:pPr>
              <w:pStyle w:val="Tabletext"/>
              <w:spacing w:before="40" w:after="40"/>
              <w:rPr>
                <w:rFonts w:asciiTheme="minorHAnsi" w:hAnsiTheme="minorHAnsi"/>
                <w:szCs w:val="22"/>
              </w:rPr>
            </w:pPr>
            <w:r w:rsidRPr="003F5F67">
              <w:rPr>
                <w:rFonts w:asciiTheme="minorHAnsi" w:hAnsiTheme="minorHAnsi"/>
                <w:szCs w:val="22"/>
              </w:rPr>
              <w:t>Résolution</w:t>
            </w:r>
            <w:r w:rsidR="00C51BFA" w:rsidRPr="003F5F67">
              <w:rPr>
                <w:rFonts w:asciiTheme="minorHAnsi" w:hAnsiTheme="minorHAnsi"/>
                <w:szCs w:val="22"/>
              </w:rPr>
              <w:t xml:space="preserve"> 71 – </w:t>
            </w:r>
            <w:r w:rsidR="004B7637" w:rsidRPr="003F5F67">
              <w:rPr>
                <w:rFonts w:asciiTheme="minorHAnsi" w:hAnsiTheme="minorHAnsi"/>
                <w:szCs w:val="22"/>
              </w:rPr>
              <w:t xml:space="preserve">Admission d'établissements universitaires </w:t>
            </w:r>
            <w:r w:rsidR="005D541C" w:rsidRPr="003F5F67">
              <w:rPr>
                <w:rFonts w:asciiTheme="minorHAnsi" w:hAnsiTheme="minorHAnsi"/>
                <w:szCs w:val="22"/>
              </w:rPr>
              <w:t xml:space="preserve">à participer aux travaux du </w:t>
            </w:r>
            <w:r w:rsidR="00716304" w:rsidRPr="003F5F67">
              <w:rPr>
                <w:rFonts w:asciiTheme="minorHAnsi" w:hAnsiTheme="minorHAnsi"/>
                <w:szCs w:val="22"/>
              </w:rPr>
              <w:t>s</w:t>
            </w:r>
            <w:r w:rsidR="004B7637" w:rsidRPr="003F5F67">
              <w:rPr>
                <w:rFonts w:asciiTheme="minorHAnsi" w:hAnsiTheme="minorHAnsi"/>
                <w:szCs w:val="22"/>
              </w:rPr>
              <w:t>ecteur de la normalisation des télécommunications de l'UIT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supprimée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44"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72</w:t>
              </w:r>
            </w:hyperlink>
            <w:r w:rsidR="00C51BFA" w:rsidRPr="003F5F67">
              <w:rPr>
                <w:rFonts w:asciiTheme="minorHAnsi" w:hAnsiTheme="minorHAnsi"/>
                <w:szCs w:val="22"/>
              </w:rPr>
              <w:t xml:space="preserve"> – </w:t>
            </w:r>
            <w:r w:rsidR="004B7637" w:rsidRPr="003F5F67">
              <w:rPr>
                <w:rFonts w:asciiTheme="minorHAnsi" w:hAnsiTheme="minorHAnsi"/>
                <w:szCs w:val="22"/>
              </w:rPr>
              <w:t>Problèmes de mesure et d'évaluation liés à l'exposition des personnes aux champs électromagnétiques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45"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73</w:t>
              </w:r>
            </w:hyperlink>
            <w:r w:rsidR="00C51BFA" w:rsidRPr="003F5F67">
              <w:rPr>
                <w:rFonts w:asciiTheme="minorHAnsi" w:hAnsiTheme="minorHAnsi"/>
                <w:szCs w:val="22"/>
              </w:rPr>
              <w:t xml:space="preserve"> – </w:t>
            </w:r>
            <w:r w:rsidR="004B7637" w:rsidRPr="003F5F67">
              <w:rPr>
                <w:rFonts w:asciiTheme="minorHAnsi" w:hAnsiTheme="minorHAnsi"/>
                <w:szCs w:val="22"/>
              </w:rPr>
              <w:t>Les technologies de l'information et de la communication, l'environnement et les changements climatiques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46"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74</w:t>
              </w:r>
            </w:hyperlink>
            <w:r w:rsidR="00C51BFA" w:rsidRPr="003F5F67">
              <w:rPr>
                <w:rFonts w:asciiTheme="minorHAnsi" w:hAnsiTheme="minorHAnsi"/>
                <w:szCs w:val="22"/>
              </w:rPr>
              <w:t xml:space="preserve"> – </w:t>
            </w:r>
            <w:r w:rsidR="007D38C7" w:rsidRPr="003F5F67">
              <w:t>Admission de Membres de Secteur de pays en développement à participer aux travaux du Secteur de la normalisation des télécommunications de l'UIT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inchangée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47"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75</w:t>
              </w:r>
            </w:hyperlink>
            <w:r w:rsidR="00C51BFA" w:rsidRPr="003F5F67">
              <w:rPr>
                <w:rFonts w:asciiTheme="minorHAnsi" w:hAnsiTheme="minorHAnsi"/>
                <w:szCs w:val="22"/>
              </w:rPr>
              <w:t xml:space="preserve"> – </w:t>
            </w:r>
            <w:r w:rsidR="004B7637" w:rsidRPr="003F5F67">
              <w:rPr>
                <w:rFonts w:asciiTheme="minorHAnsi" w:hAnsiTheme="minorHAnsi"/>
                <w:szCs w:val="22"/>
              </w:rPr>
              <w:t>Contribution du Secteur de la normalisation des télécommunications</w:t>
            </w:r>
            <w:r w:rsidR="007B1342" w:rsidRPr="003F5F67">
              <w:rPr>
                <w:rFonts w:asciiTheme="minorHAnsi" w:hAnsiTheme="minorHAnsi"/>
                <w:szCs w:val="22"/>
              </w:rPr>
              <w:t xml:space="preserve"> </w:t>
            </w:r>
            <w:r w:rsidR="004B7637" w:rsidRPr="003F5F67">
              <w:rPr>
                <w:rFonts w:asciiTheme="minorHAnsi" w:hAnsiTheme="minorHAnsi"/>
                <w:szCs w:val="22"/>
              </w:rPr>
              <w:t>de l'UIT à la mise en oeuvre des résultats du Sommet mondial sur la société de l'information, compte tenu du Programme de développement durable</w:t>
            </w:r>
            <w:r w:rsidR="007B1342" w:rsidRPr="003F5F67">
              <w:rPr>
                <w:rFonts w:asciiTheme="minorHAnsi" w:hAnsiTheme="minorHAnsi"/>
                <w:szCs w:val="22"/>
              </w:rPr>
              <w:t xml:space="preserve"> </w:t>
            </w:r>
            <w:r w:rsidR="004B7637" w:rsidRPr="003F5F67">
              <w:rPr>
                <w:rFonts w:asciiTheme="minorHAnsi" w:hAnsiTheme="minorHAnsi"/>
                <w:szCs w:val="22"/>
              </w:rPr>
              <w:t>à l'horizon 2030</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48"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76</w:t>
              </w:r>
            </w:hyperlink>
            <w:r w:rsidR="00C51BFA" w:rsidRPr="003F5F67">
              <w:rPr>
                <w:rFonts w:asciiTheme="minorHAnsi" w:hAnsiTheme="minorHAnsi"/>
                <w:szCs w:val="22"/>
              </w:rPr>
              <w:t xml:space="preserve"> – </w:t>
            </w:r>
            <w:r w:rsidR="004B7637" w:rsidRPr="003F5F67">
              <w:rPr>
                <w:rFonts w:asciiTheme="minorHAnsi" w:hAnsiTheme="minorHAnsi"/>
                <w:szCs w:val="22"/>
              </w:rPr>
              <w:t>Etudes relatives aux tests de conformité et d'interopérabilité, assistance aux pays en dé</w:t>
            </w:r>
            <w:r w:rsidR="005D541C" w:rsidRPr="003F5F67">
              <w:rPr>
                <w:rFonts w:asciiTheme="minorHAnsi" w:hAnsiTheme="minorHAnsi"/>
                <w:szCs w:val="22"/>
              </w:rPr>
              <w:t xml:space="preserve">veloppement et futur programme </w:t>
            </w:r>
            <w:r w:rsidR="004B7637" w:rsidRPr="003F5F67">
              <w:rPr>
                <w:rFonts w:asciiTheme="minorHAnsi" w:hAnsiTheme="minorHAnsi"/>
                <w:szCs w:val="22"/>
              </w:rPr>
              <w:t>éventuel de marque UIT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49"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77</w:t>
              </w:r>
            </w:hyperlink>
            <w:r w:rsidR="00C51BFA" w:rsidRPr="003F5F67">
              <w:rPr>
                <w:rFonts w:asciiTheme="minorHAnsi" w:hAnsiTheme="minorHAnsi"/>
                <w:szCs w:val="22"/>
              </w:rPr>
              <w:t xml:space="preserve"> – </w:t>
            </w:r>
            <w:r w:rsidR="004B7637" w:rsidRPr="003F5F67">
              <w:rPr>
                <w:rFonts w:asciiTheme="minorHAnsi" w:hAnsiTheme="minorHAnsi"/>
                <w:szCs w:val="22"/>
              </w:rPr>
              <w:t>Renforcer les travaux de normalisation au sein du Secteur de la normalisation des télécommunications de l'UIT sur les réseaux pilotés par logiciel</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50" w:history="1">
              <w:r w:rsidR="00BD5FA2" w:rsidRPr="003F5F67">
                <w:rPr>
                  <w:rStyle w:val="Hyperlink"/>
                  <w:rFonts w:asciiTheme="minorHAnsi" w:hAnsiTheme="minorHAnsi"/>
                  <w:szCs w:val="22"/>
                </w:rPr>
                <w:t>Résol</w:t>
              </w:r>
              <w:r w:rsidR="00BD5FA2" w:rsidRPr="003F5F67">
                <w:rPr>
                  <w:rStyle w:val="Hyperlink"/>
                  <w:rFonts w:asciiTheme="minorHAnsi" w:hAnsiTheme="minorHAnsi"/>
                  <w:szCs w:val="22"/>
                </w:rPr>
                <w:t>u</w:t>
              </w:r>
              <w:r w:rsidR="00BD5FA2" w:rsidRPr="003F5F67">
                <w:rPr>
                  <w:rStyle w:val="Hyperlink"/>
                  <w:rFonts w:asciiTheme="minorHAnsi" w:hAnsiTheme="minorHAnsi"/>
                  <w:szCs w:val="22"/>
                </w:rPr>
                <w:t>tion</w:t>
              </w:r>
              <w:r w:rsidR="00C51BFA" w:rsidRPr="003F5F67">
                <w:rPr>
                  <w:rStyle w:val="Hyperlink"/>
                  <w:rFonts w:asciiTheme="minorHAnsi" w:hAnsiTheme="minorHAnsi"/>
                  <w:szCs w:val="22"/>
                </w:rPr>
                <w:t xml:space="preserve"> 78</w:t>
              </w:r>
            </w:hyperlink>
            <w:r w:rsidR="00C51BFA" w:rsidRPr="003F5F67">
              <w:rPr>
                <w:rFonts w:asciiTheme="minorHAnsi" w:hAnsiTheme="minorHAnsi"/>
                <w:szCs w:val="22"/>
              </w:rPr>
              <w:t xml:space="preserve"> – </w:t>
            </w:r>
            <w:r w:rsidR="004B7637" w:rsidRPr="003F5F67">
              <w:rPr>
                <w:rFonts w:asciiTheme="minorHAnsi" w:hAnsiTheme="minorHAnsi"/>
                <w:szCs w:val="22"/>
              </w:rPr>
              <w:t>Applications et normes relatives aux technologies de l'information et de la communication pour améliorer l'accès aux services de cybersanté</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51" w:history="1">
              <w:r w:rsidR="00BD5FA2" w:rsidRPr="003F5F67">
                <w:rPr>
                  <w:rStyle w:val="Hyperlink"/>
                  <w:rFonts w:asciiTheme="minorHAnsi" w:hAnsiTheme="minorHAnsi"/>
                  <w:szCs w:val="22"/>
                </w:rPr>
                <w:t>Résoluti</w:t>
              </w:r>
              <w:r w:rsidR="00BD5FA2" w:rsidRPr="003F5F67">
                <w:rPr>
                  <w:rStyle w:val="Hyperlink"/>
                  <w:rFonts w:asciiTheme="minorHAnsi" w:hAnsiTheme="minorHAnsi"/>
                  <w:szCs w:val="22"/>
                </w:rPr>
                <w:t>o</w:t>
              </w:r>
              <w:r w:rsidR="00BD5FA2" w:rsidRPr="003F5F67">
                <w:rPr>
                  <w:rStyle w:val="Hyperlink"/>
                  <w:rFonts w:asciiTheme="minorHAnsi" w:hAnsiTheme="minorHAnsi"/>
                  <w:szCs w:val="22"/>
                </w:rPr>
                <w:t>n</w:t>
              </w:r>
              <w:r w:rsidR="00C51BFA" w:rsidRPr="003F5F67">
                <w:rPr>
                  <w:rStyle w:val="Hyperlink"/>
                  <w:rFonts w:asciiTheme="minorHAnsi" w:hAnsiTheme="minorHAnsi"/>
                  <w:szCs w:val="22"/>
                </w:rPr>
                <w:t xml:space="preserve"> 79</w:t>
              </w:r>
            </w:hyperlink>
            <w:r w:rsidR="00C51BFA" w:rsidRPr="003F5F67">
              <w:rPr>
                <w:rFonts w:asciiTheme="minorHAnsi" w:hAnsiTheme="minorHAnsi"/>
                <w:szCs w:val="22"/>
              </w:rPr>
              <w:t xml:space="preserve"> – </w:t>
            </w:r>
            <w:r w:rsidR="00954C80" w:rsidRPr="003F5F67">
              <w:t>Rôle des télécommunications/technologies de l'information et de la communication dans la gestion et le contrôle des déchets électriques et électroniques provenant d'équipements de télécommunication et des technologies de l'information et méthodes de traitement associées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inchangée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52" w:history="1">
              <w:r w:rsidR="00BD5FA2" w:rsidRPr="003F5F67">
                <w:rPr>
                  <w:rStyle w:val="Hyperlink"/>
                  <w:rFonts w:asciiTheme="minorHAnsi" w:hAnsiTheme="minorHAnsi"/>
                  <w:szCs w:val="22"/>
                </w:rPr>
                <w:t>Résolution</w:t>
              </w:r>
              <w:r w:rsidR="00C51BFA" w:rsidRPr="003F5F67">
                <w:rPr>
                  <w:rStyle w:val="Hyperlink"/>
                  <w:rFonts w:asciiTheme="minorHAnsi" w:hAnsiTheme="minorHAnsi"/>
                  <w:szCs w:val="22"/>
                </w:rPr>
                <w:t xml:space="preserve"> 80</w:t>
              </w:r>
            </w:hyperlink>
            <w:r w:rsidR="00C51BFA" w:rsidRPr="003F5F67">
              <w:rPr>
                <w:rFonts w:asciiTheme="minorHAnsi" w:hAnsiTheme="minorHAnsi"/>
                <w:szCs w:val="22"/>
              </w:rPr>
              <w:t xml:space="preserve"> – </w:t>
            </w:r>
            <w:r w:rsidR="00954C80" w:rsidRPr="003F5F67">
              <w:t>Reconnaître la participation active des membres à l'élaboration des produits attendus du Secteur de la normalisation des télécommunications de l'UIT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BD5FA2" w:rsidP="0095116B">
            <w:pPr>
              <w:pStyle w:val="Tabletext"/>
              <w:spacing w:before="40" w:after="40"/>
              <w:rPr>
                <w:rFonts w:asciiTheme="minorHAnsi" w:hAnsiTheme="minorHAnsi"/>
                <w:szCs w:val="22"/>
              </w:rPr>
            </w:pPr>
            <w:r w:rsidRPr="003F5F67">
              <w:rPr>
                <w:rFonts w:asciiTheme="minorHAnsi" w:hAnsiTheme="minorHAnsi"/>
                <w:szCs w:val="22"/>
              </w:rPr>
              <w:t>Résolution</w:t>
            </w:r>
            <w:r w:rsidR="00C51BFA" w:rsidRPr="003F5F67">
              <w:rPr>
                <w:rFonts w:asciiTheme="minorHAnsi" w:hAnsiTheme="minorHAnsi"/>
                <w:szCs w:val="22"/>
              </w:rPr>
              <w:t xml:space="preserve"> 81 – </w:t>
            </w:r>
            <w:r w:rsidR="004B7637" w:rsidRPr="003F5F67">
              <w:rPr>
                <w:rFonts w:asciiTheme="minorHAnsi" w:hAnsiTheme="minorHAnsi"/>
                <w:szCs w:val="22"/>
              </w:rPr>
              <w:t>Renforcement de la collaboration</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supprimée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BD5FA2" w:rsidP="0095116B">
            <w:pPr>
              <w:pStyle w:val="Tabletext"/>
              <w:spacing w:before="40" w:after="40"/>
              <w:rPr>
                <w:rFonts w:asciiTheme="minorHAnsi" w:hAnsiTheme="minorHAnsi"/>
                <w:szCs w:val="22"/>
              </w:rPr>
            </w:pPr>
            <w:r w:rsidRPr="003F5F67">
              <w:rPr>
                <w:rFonts w:asciiTheme="minorHAnsi" w:hAnsiTheme="minorHAnsi"/>
                <w:szCs w:val="22"/>
              </w:rPr>
              <w:t>Résolution</w:t>
            </w:r>
            <w:r w:rsidR="00C51BFA" w:rsidRPr="003F5F67">
              <w:rPr>
                <w:rFonts w:asciiTheme="minorHAnsi" w:hAnsiTheme="minorHAnsi"/>
                <w:szCs w:val="22"/>
              </w:rPr>
              <w:t xml:space="preserve"> 82 – </w:t>
            </w:r>
            <w:r w:rsidR="004B7637" w:rsidRPr="003F5F67">
              <w:rPr>
                <w:rFonts w:asciiTheme="minorHAnsi" w:hAnsiTheme="minorHAnsi"/>
                <w:szCs w:val="22"/>
                <w:lang w:eastAsia="ja-JP"/>
              </w:rPr>
              <w:t>Examen stratégique et structurel du Secteur de la normalisation des télécommunications de l'UIT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supprimée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53" w:history="1">
              <w:r w:rsidR="00BD5FA2" w:rsidRPr="003F5F67">
                <w:rPr>
                  <w:rStyle w:val="Hyperlink"/>
                  <w:rFonts w:asciiTheme="minorHAnsi" w:hAnsiTheme="minorHAnsi" w:cstheme="majorBidi"/>
                  <w:bCs/>
                  <w:szCs w:val="22"/>
                </w:rPr>
                <w:t>Résolution</w:t>
              </w:r>
              <w:r w:rsidR="00C51BFA" w:rsidRPr="003F5F67">
                <w:rPr>
                  <w:rStyle w:val="Hyperlink"/>
                  <w:rFonts w:asciiTheme="minorHAnsi" w:hAnsiTheme="minorHAnsi" w:cstheme="majorBidi"/>
                  <w:bCs/>
                  <w:szCs w:val="22"/>
                </w:rPr>
                <w:t xml:space="preserve"> 83</w:t>
              </w:r>
            </w:hyperlink>
            <w:r w:rsidR="00C51BFA" w:rsidRPr="003F5F67">
              <w:rPr>
                <w:rFonts w:asciiTheme="minorHAnsi" w:hAnsiTheme="minorHAnsi" w:cstheme="majorBidi"/>
                <w:bCs/>
                <w:szCs w:val="22"/>
              </w:rPr>
              <w:t xml:space="preserve"> – </w:t>
            </w:r>
            <w:r w:rsidR="00DD22B0" w:rsidRPr="003F5F67">
              <w:rPr>
                <w:rFonts w:asciiTheme="minorHAnsi" w:hAnsiTheme="minorHAnsi" w:cstheme="majorBidi"/>
                <w:bCs/>
                <w:szCs w:val="22"/>
              </w:rPr>
              <w:t>Evaluation de la mise en oeuvre des Résolutions de l'Assemblée mondiale de normalisation des télécommunications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vAlign w:val="center"/>
          </w:tcPr>
          <w:p w:rsidR="00C51BFA" w:rsidRPr="003F5F67" w:rsidRDefault="00273BFE" w:rsidP="0095116B">
            <w:pPr>
              <w:pStyle w:val="Tabletext"/>
              <w:spacing w:before="40" w:after="40"/>
              <w:rPr>
                <w:rFonts w:asciiTheme="minorHAnsi" w:hAnsiTheme="minorHAnsi"/>
                <w:szCs w:val="22"/>
              </w:rPr>
            </w:pPr>
            <w:hyperlink r:id="rId54" w:history="1">
              <w:r w:rsidR="00BD5FA2" w:rsidRPr="003F5F67">
                <w:rPr>
                  <w:rStyle w:val="Hyperlink"/>
                  <w:rFonts w:asciiTheme="minorHAnsi" w:hAnsiTheme="minorHAnsi" w:cstheme="majorBidi"/>
                  <w:bCs/>
                  <w:szCs w:val="22"/>
                </w:rPr>
                <w:t>Résolution</w:t>
              </w:r>
              <w:r w:rsidR="00C51BFA" w:rsidRPr="003F5F67">
                <w:rPr>
                  <w:rStyle w:val="Hyperlink"/>
                  <w:rFonts w:asciiTheme="minorHAnsi" w:hAnsiTheme="minorHAnsi" w:cstheme="majorBidi"/>
                  <w:bCs/>
                  <w:szCs w:val="22"/>
                </w:rPr>
                <w:t xml:space="preserve"> 84</w:t>
              </w:r>
            </w:hyperlink>
            <w:r w:rsidR="00C51BFA" w:rsidRPr="003F5F67">
              <w:rPr>
                <w:rFonts w:asciiTheme="minorHAnsi" w:hAnsiTheme="minorHAnsi" w:cstheme="majorBidi"/>
                <w:bCs/>
                <w:szCs w:val="22"/>
              </w:rPr>
              <w:t xml:space="preserve"> – </w:t>
            </w:r>
            <w:r w:rsidR="00DD22B0" w:rsidRPr="003F5F67">
              <w:rPr>
                <w:rFonts w:asciiTheme="minorHAnsi" w:hAnsiTheme="minorHAnsi" w:cstheme="majorBidi"/>
                <w:szCs w:val="22"/>
              </w:rPr>
              <w:t>Etudes relatives à la protection des utilisateurs de services de télécommunication/technologies de l'information</w:t>
            </w:r>
            <w:r w:rsidR="007B1342" w:rsidRPr="003F5F67">
              <w:rPr>
                <w:rFonts w:asciiTheme="minorHAnsi" w:hAnsiTheme="minorHAnsi" w:cstheme="majorBidi"/>
                <w:szCs w:val="22"/>
              </w:rPr>
              <w:t xml:space="preserve"> </w:t>
            </w:r>
            <w:r w:rsidR="00DD22B0" w:rsidRPr="003F5F67">
              <w:rPr>
                <w:rFonts w:asciiTheme="minorHAnsi" w:hAnsiTheme="minorHAnsi" w:cstheme="majorBidi"/>
                <w:szCs w:val="22"/>
              </w:rPr>
              <w:t>et de la communication</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vAlign w:val="center"/>
          </w:tcPr>
          <w:p w:rsidR="00C51BFA" w:rsidRPr="003F5F67" w:rsidRDefault="00273BFE" w:rsidP="0095116B">
            <w:pPr>
              <w:pStyle w:val="Tabletext"/>
              <w:spacing w:before="40" w:after="40"/>
              <w:rPr>
                <w:rFonts w:asciiTheme="minorHAnsi" w:hAnsiTheme="minorHAnsi"/>
                <w:szCs w:val="22"/>
              </w:rPr>
            </w:pPr>
            <w:hyperlink r:id="rId55" w:history="1">
              <w:r w:rsidR="00BD5FA2" w:rsidRPr="003F5F67">
                <w:rPr>
                  <w:rStyle w:val="Hyperlink"/>
                  <w:rFonts w:asciiTheme="minorHAnsi" w:hAnsiTheme="minorHAnsi" w:cstheme="majorBidi"/>
                  <w:bCs/>
                  <w:szCs w:val="22"/>
                </w:rPr>
                <w:t>Résolution</w:t>
              </w:r>
              <w:r w:rsidR="00C51BFA" w:rsidRPr="003F5F67">
                <w:rPr>
                  <w:rStyle w:val="Hyperlink"/>
                  <w:rFonts w:asciiTheme="minorHAnsi" w:hAnsiTheme="minorHAnsi" w:cstheme="majorBidi"/>
                  <w:bCs/>
                  <w:szCs w:val="22"/>
                </w:rPr>
                <w:t xml:space="preserve"> 85</w:t>
              </w:r>
            </w:hyperlink>
            <w:r w:rsidR="00C51BFA" w:rsidRPr="003F5F67">
              <w:rPr>
                <w:rFonts w:asciiTheme="minorHAnsi" w:hAnsiTheme="minorHAnsi" w:cstheme="majorBidi"/>
                <w:bCs/>
                <w:szCs w:val="22"/>
              </w:rPr>
              <w:t xml:space="preserve"> –</w:t>
            </w:r>
            <w:r w:rsidR="005647C6" w:rsidRPr="003F5F67">
              <w:rPr>
                <w:rFonts w:asciiTheme="minorHAnsi" w:hAnsiTheme="minorHAnsi" w:cstheme="majorBidi"/>
                <w:bCs/>
                <w:szCs w:val="22"/>
              </w:rPr>
              <w:t xml:space="preserve"> </w:t>
            </w:r>
            <w:r w:rsidR="005647C6" w:rsidRPr="003F5F67">
              <w:rPr>
                <w:rFonts w:asciiTheme="minorHAnsi" w:hAnsiTheme="minorHAnsi" w:cstheme="majorBidi"/>
                <w:szCs w:val="22"/>
              </w:rPr>
              <w:t>Renforcement et diversification des ressources du Secteur</w:t>
            </w:r>
            <w:r w:rsidR="007B1342" w:rsidRPr="003F5F67">
              <w:rPr>
                <w:rFonts w:asciiTheme="minorHAnsi" w:hAnsiTheme="minorHAnsi" w:cstheme="majorBidi"/>
                <w:szCs w:val="22"/>
              </w:rPr>
              <w:t xml:space="preserve"> </w:t>
            </w:r>
            <w:r w:rsidR="005647C6" w:rsidRPr="003F5F67">
              <w:rPr>
                <w:rFonts w:asciiTheme="minorHAnsi" w:hAnsiTheme="minorHAnsi" w:cstheme="majorBidi"/>
                <w:szCs w:val="22"/>
              </w:rPr>
              <w:t>de la normalisation des télécommunications de l'UIT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vAlign w:val="center"/>
          </w:tcPr>
          <w:p w:rsidR="00C51BFA" w:rsidRPr="003F5F67" w:rsidRDefault="00273BFE" w:rsidP="0095116B">
            <w:pPr>
              <w:pStyle w:val="Tabletext"/>
              <w:spacing w:before="40" w:after="40"/>
              <w:rPr>
                <w:rFonts w:asciiTheme="minorHAnsi" w:hAnsiTheme="minorHAnsi"/>
                <w:szCs w:val="22"/>
              </w:rPr>
            </w:pPr>
            <w:hyperlink r:id="rId56" w:history="1">
              <w:r w:rsidR="00BD5FA2" w:rsidRPr="003F5F67">
                <w:rPr>
                  <w:rStyle w:val="Hyperlink"/>
                  <w:rFonts w:asciiTheme="minorHAnsi" w:hAnsiTheme="minorHAnsi" w:cstheme="majorBidi"/>
                  <w:bCs/>
                  <w:szCs w:val="22"/>
                </w:rPr>
                <w:t>Résolution</w:t>
              </w:r>
              <w:r w:rsidR="00C51BFA" w:rsidRPr="003F5F67">
                <w:rPr>
                  <w:rStyle w:val="Hyperlink"/>
                  <w:rFonts w:asciiTheme="minorHAnsi" w:hAnsiTheme="minorHAnsi" w:cstheme="majorBidi"/>
                  <w:bCs/>
                  <w:szCs w:val="22"/>
                </w:rPr>
                <w:t xml:space="preserve"> 86</w:t>
              </w:r>
            </w:hyperlink>
            <w:r w:rsidR="00C51BFA" w:rsidRPr="003F5F67">
              <w:rPr>
                <w:rFonts w:asciiTheme="minorHAnsi" w:hAnsiTheme="minorHAnsi" w:cstheme="majorBidi"/>
                <w:bCs/>
                <w:szCs w:val="22"/>
              </w:rPr>
              <w:t xml:space="preserve"> – </w:t>
            </w:r>
            <w:r w:rsidR="005647C6" w:rsidRPr="003F5F67">
              <w:rPr>
                <w:rFonts w:asciiTheme="minorHAnsi" w:hAnsiTheme="minorHAnsi" w:cstheme="majorBidi"/>
                <w:szCs w:val="22"/>
              </w:rPr>
              <w:t>Faciliter la mise en oeuvre du Manifeste Smart Africa</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vAlign w:val="center"/>
          </w:tcPr>
          <w:p w:rsidR="00C51BFA" w:rsidRPr="003F5F67" w:rsidRDefault="00273BFE" w:rsidP="0095116B">
            <w:pPr>
              <w:pStyle w:val="Tabletext"/>
              <w:spacing w:before="40" w:after="40"/>
              <w:rPr>
                <w:rFonts w:asciiTheme="minorHAnsi" w:hAnsiTheme="minorHAnsi"/>
                <w:szCs w:val="22"/>
              </w:rPr>
            </w:pPr>
            <w:hyperlink r:id="rId57" w:history="1">
              <w:r w:rsidR="00BD5FA2" w:rsidRPr="003F5F67">
                <w:rPr>
                  <w:rStyle w:val="Hyperlink"/>
                  <w:rFonts w:asciiTheme="minorHAnsi" w:hAnsiTheme="minorHAnsi" w:cstheme="majorBidi"/>
                  <w:bCs/>
                  <w:szCs w:val="22"/>
                </w:rPr>
                <w:t>Résolution</w:t>
              </w:r>
              <w:r w:rsidR="00C51BFA" w:rsidRPr="003F5F67">
                <w:rPr>
                  <w:rStyle w:val="Hyperlink"/>
                  <w:rFonts w:asciiTheme="minorHAnsi" w:hAnsiTheme="minorHAnsi" w:cstheme="majorBidi"/>
                  <w:bCs/>
                  <w:szCs w:val="22"/>
                </w:rPr>
                <w:t xml:space="preserve"> 87</w:t>
              </w:r>
            </w:hyperlink>
            <w:r w:rsidR="00C51BFA" w:rsidRPr="003F5F67">
              <w:rPr>
                <w:rFonts w:asciiTheme="minorHAnsi" w:hAnsiTheme="minorHAnsi" w:cstheme="majorBidi"/>
                <w:bCs/>
                <w:szCs w:val="22"/>
              </w:rPr>
              <w:t xml:space="preserve"> – </w:t>
            </w:r>
            <w:r w:rsidR="005D541C" w:rsidRPr="003F5F67">
              <w:rPr>
                <w:rFonts w:asciiTheme="minorHAnsi" w:hAnsiTheme="minorHAnsi" w:cstheme="majorBidi"/>
                <w:szCs w:val="22"/>
              </w:rPr>
              <w:t>Participation du Secteur de la normalisation des télécommunications de l'UIT</w:t>
            </w:r>
            <w:r w:rsidR="007B1342" w:rsidRPr="003F5F67">
              <w:rPr>
                <w:rFonts w:asciiTheme="minorHAnsi" w:hAnsiTheme="minorHAnsi" w:cstheme="majorBidi"/>
                <w:szCs w:val="22"/>
              </w:rPr>
              <w:t xml:space="preserve"> </w:t>
            </w:r>
            <w:r w:rsidR="005D541C" w:rsidRPr="003F5F67">
              <w:rPr>
                <w:rFonts w:asciiTheme="minorHAnsi" w:hAnsiTheme="minorHAnsi" w:cstheme="majorBidi"/>
                <w:szCs w:val="22"/>
              </w:rPr>
              <w:t>à l'examen et à la révision périodiques du Règlement des</w:t>
            </w:r>
            <w:r w:rsidR="007B1342" w:rsidRPr="003F5F67">
              <w:rPr>
                <w:rFonts w:asciiTheme="minorHAnsi" w:hAnsiTheme="minorHAnsi" w:cstheme="majorBidi"/>
                <w:szCs w:val="22"/>
              </w:rPr>
              <w:t xml:space="preserve"> </w:t>
            </w:r>
            <w:r w:rsidR="005D541C" w:rsidRPr="003F5F67">
              <w:rPr>
                <w:rFonts w:asciiTheme="minorHAnsi" w:hAnsiTheme="minorHAnsi" w:cstheme="majorBidi"/>
                <w:szCs w:val="22"/>
              </w:rPr>
              <w:t>télécommunications internationales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vAlign w:val="center"/>
          </w:tcPr>
          <w:p w:rsidR="00C51BFA" w:rsidRPr="003F5F67" w:rsidRDefault="00273BFE" w:rsidP="0095116B">
            <w:pPr>
              <w:pStyle w:val="Tabletext"/>
              <w:spacing w:before="40" w:after="40"/>
              <w:rPr>
                <w:rFonts w:asciiTheme="minorHAnsi" w:hAnsiTheme="minorHAnsi"/>
                <w:szCs w:val="22"/>
              </w:rPr>
            </w:pPr>
            <w:hyperlink r:id="rId58" w:history="1">
              <w:r w:rsidR="00BD5FA2" w:rsidRPr="003F5F67">
                <w:rPr>
                  <w:rStyle w:val="Hyperlink"/>
                  <w:rFonts w:asciiTheme="minorHAnsi" w:hAnsiTheme="minorHAnsi" w:cstheme="majorBidi"/>
                  <w:bCs/>
                  <w:szCs w:val="22"/>
                </w:rPr>
                <w:t>Résolution</w:t>
              </w:r>
              <w:r w:rsidR="00C51BFA" w:rsidRPr="003F5F67">
                <w:rPr>
                  <w:rStyle w:val="Hyperlink"/>
                  <w:rFonts w:asciiTheme="minorHAnsi" w:hAnsiTheme="minorHAnsi" w:cstheme="majorBidi"/>
                  <w:bCs/>
                  <w:szCs w:val="22"/>
                </w:rPr>
                <w:t xml:space="preserve"> 88</w:t>
              </w:r>
            </w:hyperlink>
            <w:r w:rsidR="00C51BFA" w:rsidRPr="003F5F67">
              <w:rPr>
                <w:rFonts w:asciiTheme="minorHAnsi" w:hAnsiTheme="minorHAnsi" w:cstheme="majorBidi"/>
                <w:bCs/>
                <w:szCs w:val="22"/>
              </w:rPr>
              <w:t xml:space="preserve"> – </w:t>
            </w:r>
            <w:r w:rsidR="005647C6" w:rsidRPr="003F5F67">
              <w:rPr>
                <w:rFonts w:asciiTheme="minorHAnsi" w:hAnsiTheme="minorHAnsi" w:cstheme="majorBidi"/>
                <w:szCs w:val="22"/>
              </w:rPr>
              <w:t>Itinérance mobile internationale</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vAlign w:val="center"/>
          </w:tcPr>
          <w:p w:rsidR="00C51BFA" w:rsidRPr="003F5F67" w:rsidRDefault="00273BFE" w:rsidP="0095116B">
            <w:pPr>
              <w:pStyle w:val="Tabletext"/>
              <w:spacing w:before="40" w:after="40"/>
              <w:rPr>
                <w:rFonts w:asciiTheme="minorHAnsi" w:hAnsiTheme="minorHAnsi"/>
                <w:szCs w:val="22"/>
              </w:rPr>
            </w:pPr>
            <w:hyperlink r:id="rId59" w:history="1">
              <w:r w:rsidR="00BD5FA2" w:rsidRPr="003F5F67">
                <w:rPr>
                  <w:rStyle w:val="Hyperlink"/>
                  <w:rFonts w:asciiTheme="minorHAnsi" w:hAnsiTheme="minorHAnsi" w:cstheme="majorBidi"/>
                  <w:bCs/>
                  <w:szCs w:val="22"/>
                </w:rPr>
                <w:t>Résolution</w:t>
              </w:r>
              <w:r w:rsidR="00C51BFA" w:rsidRPr="003F5F67">
                <w:rPr>
                  <w:rStyle w:val="Hyperlink"/>
                  <w:rFonts w:asciiTheme="minorHAnsi" w:hAnsiTheme="minorHAnsi" w:cstheme="majorBidi"/>
                  <w:bCs/>
                  <w:szCs w:val="22"/>
                </w:rPr>
                <w:t xml:space="preserve"> 89</w:t>
              </w:r>
            </w:hyperlink>
            <w:r w:rsidR="00C51BFA" w:rsidRPr="003F5F67">
              <w:rPr>
                <w:rFonts w:asciiTheme="minorHAnsi" w:hAnsiTheme="minorHAnsi" w:cstheme="majorBidi"/>
                <w:bCs/>
                <w:szCs w:val="22"/>
              </w:rPr>
              <w:t xml:space="preserve"> – </w:t>
            </w:r>
            <w:r w:rsidR="005647C6" w:rsidRPr="003F5F67">
              <w:rPr>
                <w:rFonts w:asciiTheme="minorHAnsi" w:hAnsiTheme="minorHAnsi" w:cstheme="majorBidi"/>
                <w:szCs w:val="22"/>
              </w:rPr>
              <w:t>Promouvoir l'utilisation des technologies de l'information et</w:t>
            </w:r>
            <w:r w:rsidR="007B1342" w:rsidRPr="003F5F67">
              <w:rPr>
                <w:rFonts w:asciiTheme="minorHAnsi" w:hAnsiTheme="minorHAnsi" w:cstheme="majorBidi"/>
                <w:szCs w:val="22"/>
              </w:rPr>
              <w:t xml:space="preserve"> </w:t>
            </w:r>
            <w:r w:rsidR="005647C6" w:rsidRPr="003F5F67">
              <w:rPr>
                <w:rFonts w:asciiTheme="minorHAnsi" w:hAnsiTheme="minorHAnsi" w:cstheme="majorBidi"/>
                <w:szCs w:val="22"/>
              </w:rPr>
              <w:t>de la communication pour réduire les disparités</w:t>
            </w:r>
            <w:r w:rsidR="007B1342" w:rsidRPr="003F5F67">
              <w:rPr>
                <w:rFonts w:asciiTheme="minorHAnsi" w:hAnsiTheme="minorHAnsi" w:cstheme="majorBidi"/>
                <w:szCs w:val="22"/>
              </w:rPr>
              <w:t xml:space="preserve"> </w:t>
            </w:r>
            <w:r w:rsidR="005647C6" w:rsidRPr="003F5F67">
              <w:rPr>
                <w:rFonts w:asciiTheme="minorHAnsi" w:hAnsiTheme="minorHAnsi" w:cstheme="majorBidi"/>
                <w:szCs w:val="22"/>
              </w:rPr>
              <w:t>en matière d'inclusion financière</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vAlign w:val="center"/>
          </w:tcPr>
          <w:p w:rsidR="00C51BFA" w:rsidRPr="003F5F67" w:rsidRDefault="00273BFE" w:rsidP="0095116B">
            <w:pPr>
              <w:pStyle w:val="Tabletext"/>
              <w:spacing w:before="40" w:after="40"/>
              <w:rPr>
                <w:rFonts w:asciiTheme="minorHAnsi" w:hAnsiTheme="minorHAnsi"/>
                <w:szCs w:val="22"/>
              </w:rPr>
            </w:pPr>
            <w:hyperlink r:id="rId60" w:history="1">
              <w:r w:rsidR="00BD5FA2" w:rsidRPr="003F5F67">
                <w:rPr>
                  <w:rStyle w:val="Hyperlink"/>
                  <w:rFonts w:asciiTheme="minorHAnsi" w:hAnsiTheme="minorHAnsi" w:cstheme="majorBidi"/>
                  <w:bCs/>
                  <w:szCs w:val="22"/>
                </w:rPr>
                <w:t>Résolution</w:t>
              </w:r>
              <w:r w:rsidR="00C51BFA" w:rsidRPr="003F5F67">
                <w:rPr>
                  <w:rStyle w:val="Hyperlink"/>
                  <w:rFonts w:asciiTheme="minorHAnsi" w:hAnsiTheme="minorHAnsi" w:cstheme="majorBidi"/>
                  <w:bCs/>
                  <w:szCs w:val="22"/>
                </w:rPr>
                <w:t xml:space="preserve"> 90</w:t>
              </w:r>
            </w:hyperlink>
            <w:r w:rsidR="00C51BFA" w:rsidRPr="003F5F67">
              <w:rPr>
                <w:rFonts w:asciiTheme="minorHAnsi" w:hAnsiTheme="minorHAnsi" w:cstheme="majorBidi"/>
                <w:bCs/>
                <w:szCs w:val="22"/>
              </w:rPr>
              <w:t xml:space="preserve"> – </w:t>
            </w:r>
            <w:r w:rsidR="005D541C" w:rsidRPr="003F5F67">
              <w:rPr>
                <w:rFonts w:asciiTheme="minorHAnsi" w:hAnsiTheme="minorHAnsi" w:cstheme="majorBidi"/>
                <w:szCs w:val="22"/>
              </w:rPr>
              <w:t>Code source ouvert au sein du Secteur de la normalisation des télécommunications de l'UIT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vAlign w:val="center"/>
          </w:tcPr>
          <w:p w:rsidR="00C51BFA" w:rsidRPr="003F5F67" w:rsidRDefault="00273BFE" w:rsidP="0095116B">
            <w:pPr>
              <w:pStyle w:val="Tabletext"/>
              <w:spacing w:before="40" w:after="40"/>
              <w:rPr>
                <w:rFonts w:asciiTheme="minorHAnsi" w:hAnsiTheme="minorHAnsi"/>
                <w:szCs w:val="22"/>
              </w:rPr>
            </w:pPr>
            <w:hyperlink r:id="rId61" w:history="1">
              <w:r w:rsidR="00BD5FA2" w:rsidRPr="003F5F67">
                <w:rPr>
                  <w:rStyle w:val="Hyperlink"/>
                  <w:rFonts w:asciiTheme="minorHAnsi" w:hAnsiTheme="minorHAnsi" w:cstheme="majorBidi"/>
                  <w:bCs/>
                  <w:szCs w:val="22"/>
                </w:rPr>
                <w:t>Résolution</w:t>
              </w:r>
              <w:r w:rsidR="00C51BFA" w:rsidRPr="003F5F67">
                <w:rPr>
                  <w:rStyle w:val="Hyperlink"/>
                  <w:rFonts w:asciiTheme="minorHAnsi" w:hAnsiTheme="minorHAnsi" w:cstheme="majorBidi"/>
                  <w:bCs/>
                  <w:szCs w:val="22"/>
                </w:rPr>
                <w:t xml:space="preserve"> 91</w:t>
              </w:r>
            </w:hyperlink>
            <w:r w:rsidR="00C51BFA" w:rsidRPr="003F5F67">
              <w:rPr>
                <w:rFonts w:asciiTheme="minorHAnsi" w:hAnsiTheme="minorHAnsi" w:cstheme="majorBidi"/>
                <w:bCs/>
                <w:szCs w:val="22"/>
              </w:rPr>
              <w:t xml:space="preserve"> – </w:t>
            </w:r>
            <w:r w:rsidR="005647C6" w:rsidRPr="003F5F67">
              <w:rPr>
                <w:rFonts w:asciiTheme="minorHAnsi" w:hAnsiTheme="minorHAnsi" w:cstheme="majorBidi"/>
                <w:szCs w:val="22"/>
              </w:rPr>
              <w:t>Améliorer l'accès à un répertoire électronique d'informations sur les plans</w:t>
            </w:r>
            <w:r w:rsidR="007B1342" w:rsidRPr="003F5F67">
              <w:rPr>
                <w:rFonts w:asciiTheme="minorHAnsi" w:hAnsiTheme="minorHAnsi" w:cstheme="majorBidi"/>
                <w:szCs w:val="22"/>
              </w:rPr>
              <w:t xml:space="preserve"> </w:t>
            </w:r>
            <w:r w:rsidR="005647C6" w:rsidRPr="003F5F67">
              <w:rPr>
                <w:rFonts w:asciiTheme="minorHAnsi" w:hAnsiTheme="minorHAnsi" w:cstheme="majorBidi"/>
                <w:szCs w:val="22"/>
              </w:rPr>
              <w:t>de numérotage publiés par le Secteur de la normalisation</w:t>
            </w:r>
            <w:r w:rsidR="007B1342" w:rsidRPr="003F5F67">
              <w:rPr>
                <w:rFonts w:asciiTheme="minorHAnsi" w:hAnsiTheme="minorHAnsi" w:cstheme="majorBidi"/>
                <w:szCs w:val="22"/>
              </w:rPr>
              <w:t xml:space="preserve"> </w:t>
            </w:r>
            <w:r w:rsidR="005647C6" w:rsidRPr="003F5F67">
              <w:rPr>
                <w:rFonts w:asciiTheme="minorHAnsi" w:hAnsiTheme="minorHAnsi" w:cstheme="majorBidi"/>
                <w:szCs w:val="22"/>
              </w:rPr>
              <w:t>des télécommunications de l'UIT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vAlign w:val="center"/>
          </w:tcPr>
          <w:p w:rsidR="00C51BFA" w:rsidRPr="003F5F67" w:rsidRDefault="00273BFE" w:rsidP="0095116B">
            <w:pPr>
              <w:pStyle w:val="Tabletext"/>
              <w:spacing w:before="40" w:after="40"/>
              <w:rPr>
                <w:rFonts w:asciiTheme="minorHAnsi" w:hAnsiTheme="minorHAnsi"/>
                <w:szCs w:val="22"/>
              </w:rPr>
            </w:pPr>
            <w:hyperlink r:id="rId62" w:history="1">
              <w:r w:rsidR="00BD5FA2" w:rsidRPr="003F5F67">
                <w:rPr>
                  <w:rStyle w:val="Hyperlink"/>
                  <w:rFonts w:asciiTheme="minorHAnsi" w:hAnsiTheme="minorHAnsi" w:cstheme="majorBidi"/>
                  <w:bCs/>
                  <w:szCs w:val="22"/>
                </w:rPr>
                <w:t>Résolution</w:t>
              </w:r>
              <w:r w:rsidR="00C51BFA" w:rsidRPr="003F5F67">
                <w:rPr>
                  <w:rStyle w:val="Hyperlink"/>
                  <w:rFonts w:asciiTheme="minorHAnsi" w:hAnsiTheme="minorHAnsi" w:cstheme="majorBidi"/>
                  <w:bCs/>
                  <w:szCs w:val="22"/>
                </w:rPr>
                <w:t xml:space="preserve"> 92</w:t>
              </w:r>
            </w:hyperlink>
            <w:r w:rsidR="00C51BFA" w:rsidRPr="003F5F67">
              <w:rPr>
                <w:rFonts w:asciiTheme="minorHAnsi" w:hAnsiTheme="minorHAnsi" w:cstheme="majorBidi"/>
                <w:bCs/>
                <w:szCs w:val="22"/>
              </w:rPr>
              <w:t xml:space="preserve"> – </w:t>
            </w:r>
            <w:r w:rsidR="005647C6" w:rsidRPr="003F5F67">
              <w:rPr>
                <w:rFonts w:asciiTheme="minorHAnsi" w:hAnsiTheme="minorHAnsi" w:cstheme="majorBidi"/>
                <w:szCs w:val="22"/>
              </w:rPr>
              <w:t>Renforcer les travaux de normalisation relatifs aux aspects non radioélectriques des Télécommunications mobiles internationales au sein du Secteur</w:t>
            </w:r>
            <w:r w:rsidR="007B1342" w:rsidRPr="003F5F67">
              <w:rPr>
                <w:rFonts w:asciiTheme="minorHAnsi" w:hAnsiTheme="minorHAnsi" w:cstheme="majorBidi"/>
                <w:szCs w:val="22"/>
              </w:rPr>
              <w:t xml:space="preserve"> </w:t>
            </w:r>
            <w:r w:rsidR="005647C6" w:rsidRPr="003F5F67">
              <w:rPr>
                <w:rFonts w:asciiTheme="minorHAnsi" w:hAnsiTheme="minorHAnsi" w:cstheme="majorBidi"/>
                <w:szCs w:val="22"/>
              </w:rPr>
              <w:t>de la normalisation des télécommunications de l'UIT</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vAlign w:val="center"/>
          </w:tcPr>
          <w:p w:rsidR="00C51BFA" w:rsidRPr="003F5F67" w:rsidRDefault="00273BFE" w:rsidP="0095116B">
            <w:pPr>
              <w:pStyle w:val="Tabletext"/>
              <w:spacing w:before="40" w:after="40"/>
              <w:rPr>
                <w:rFonts w:asciiTheme="minorHAnsi" w:hAnsiTheme="minorHAnsi"/>
                <w:szCs w:val="22"/>
              </w:rPr>
            </w:pPr>
            <w:hyperlink r:id="rId63" w:history="1">
              <w:r w:rsidR="00BD5FA2" w:rsidRPr="003F5F67">
                <w:rPr>
                  <w:rStyle w:val="Hyperlink"/>
                  <w:rFonts w:asciiTheme="minorHAnsi" w:hAnsiTheme="minorHAnsi" w:cstheme="majorBidi"/>
                  <w:bCs/>
                  <w:szCs w:val="22"/>
                </w:rPr>
                <w:t>Résolution</w:t>
              </w:r>
              <w:r w:rsidR="00C51BFA" w:rsidRPr="003F5F67">
                <w:rPr>
                  <w:rStyle w:val="Hyperlink"/>
                  <w:rFonts w:asciiTheme="minorHAnsi" w:hAnsiTheme="minorHAnsi" w:cstheme="majorBidi"/>
                  <w:bCs/>
                  <w:szCs w:val="22"/>
                </w:rPr>
                <w:t xml:space="preserve"> 93</w:t>
              </w:r>
            </w:hyperlink>
            <w:r w:rsidR="00C51BFA" w:rsidRPr="003F5F67">
              <w:rPr>
                <w:rFonts w:asciiTheme="minorHAnsi" w:hAnsiTheme="minorHAnsi" w:cstheme="majorBidi"/>
                <w:bCs/>
                <w:szCs w:val="22"/>
              </w:rPr>
              <w:t xml:space="preserve"> – </w:t>
            </w:r>
            <w:r w:rsidR="005647C6" w:rsidRPr="003F5F67">
              <w:rPr>
                <w:rFonts w:asciiTheme="minorHAnsi" w:hAnsiTheme="minorHAnsi" w:cstheme="majorBidi"/>
                <w:szCs w:val="22"/>
              </w:rPr>
              <w:t>Interconnexion des réseaux 4G, des réseaux IMT-2020</w:t>
            </w:r>
            <w:r w:rsidR="007B1342" w:rsidRPr="003F5F67">
              <w:rPr>
                <w:rFonts w:asciiTheme="minorHAnsi" w:hAnsiTheme="minorHAnsi" w:cstheme="majorBidi"/>
                <w:szCs w:val="22"/>
              </w:rPr>
              <w:t xml:space="preserve"> </w:t>
            </w:r>
            <w:r w:rsidR="005647C6" w:rsidRPr="003F5F67">
              <w:rPr>
                <w:rFonts w:asciiTheme="minorHAnsi" w:hAnsiTheme="minorHAnsi" w:cstheme="majorBidi"/>
                <w:szCs w:val="22"/>
              </w:rPr>
              <w:t>et des réseaux ultérieurs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vAlign w:val="center"/>
          </w:tcPr>
          <w:p w:rsidR="00C51BFA" w:rsidRPr="003F5F67" w:rsidRDefault="00273BFE" w:rsidP="0095116B">
            <w:pPr>
              <w:pStyle w:val="Tabletext"/>
              <w:spacing w:before="40" w:after="40"/>
              <w:rPr>
                <w:rFonts w:asciiTheme="minorHAnsi" w:hAnsiTheme="minorHAnsi"/>
                <w:szCs w:val="22"/>
              </w:rPr>
            </w:pPr>
            <w:hyperlink r:id="rId64" w:history="1">
              <w:r w:rsidR="00BD5FA2" w:rsidRPr="003F5F67">
                <w:rPr>
                  <w:rStyle w:val="Hyperlink"/>
                  <w:rFonts w:asciiTheme="minorHAnsi" w:hAnsiTheme="minorHAnsi" w:cstheme="majorBidi"/>
                  <w:bCs/>
                  <w:szCs w:val="22"/>
                </w:rPr>
                <w:t>Résolution</w:t>
              </w:r>
              <w:r w:rsidR="00C51BFA" w:rsidRPr="003F5F67">
                <w:rPr>
                  <w:rStyle w:val="Hyperlink"/>
                  <w:rFonts w:asciiTheme="minorHAnsi" w:hAnsiTheme="minorHAnsi" w:cstheme="majorBidi"/>
                  <w:bCs/>
                  <w:szCs w:val="22"/>
                </w:rPr>
                <w:t xml:space="preserve"> 94</w:t>
              </w:r>
            </w:hyperlink>
            <w:r w:rsidR="00C51BFA" w:rsidRPr="003F5F67">
              <w:rPr>
                <w:rFonts w:asciiTheme="minorHAnsi" w:hAnsiTheme="minorHAnsi" w:cstheme="majorBidi"/>
                <w:bCs/>
                <w:szCs w:val="22"/>
              </w:rPr>
              <w:t xml:space="preserve"> – </w:t>
            </w:r>
            <w:r w:rsidR="00DD22B0" w:rsidRPr="003F5F67">
              <w:rPr>
                <w:rFonts w:asciiTheme="minorHAnsi" w:hAnsiTheme="minorHAnsi" w:cstheme="majorBidi"/>
                <w:szCs w:val="22"/>
              </w:rPr>
              <w:t>Travaux de normalisation menés par le Secteur de la normalisation des télécommunications de l'UIT concernant les technologies de données d'incidents fondées sur le nuage</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vAlign w:val="center"/>
          </w:tcPr>
          <w:p w:rsidR="00C51BFA" w:rsidRPr="003F5F67" w:rsidRDefault="00273BFE" w:rsidP="0095116B">
            <w:pPr>
              <w:pStyle w:val="Tabletext"/>
              <w:spacing w:before="40" w:after="40"/>
              <w:rPr>
                <w:rFonts w:asciiTheme="minorHAnsi" w:hAnsiTheme="minorHAnsi"/>
                <w:szCs w:val="22"/>
              </w:rPr>
            </w:pPr>
            <w:hyperlink r:id="rId65" w:history="1">
              <w:r w:rsidR="00BD5FA2" w:rsidRPr="003F5F67">
                <w:rPr>
                  <w:rStyle w:val="Hyperlink"/>
                  <w:rFonts w:asciiTheme="minorHAnsi" w:hAnsiTheme="minorHAnsi" w:cstheme="majorBidi"/>
                  <w:bCs/>
                  <w:szCs w:val="22"/>
                </w:rPr>
                <w:t>Résolution</w:t>
              </w:r>
              <w:r w:rsidR="00C51BFA" w:rsidRPr="003F5F67">
                <w:rPr>
                  <w:rStyle w:val="Hyperlink"/>
                  <w:rFonts w:asciiTheme="minorHAnsi" w:hAnsiTheme="minorHAnsi" w:cstheme="majorBidi"/>
                  <w:bCs/>
                  <w:szCs w:val="22"/>
                </w:rPr>
                <w:t xml:space="preserve"> 95</w:t>
              </w:r>
            </w:hyperlink>
            <w:r w:rsidR="00C51BFA" w:rsidRPr="003F5F67">
              <w:rPr>
                <w:rFonts w:asciiTheme="minorHAnsi" w:hAnsiTheme="minorHAnsi" w:cstheme="majorBidi"/>
                <w:bCs/>
                <w:szCs w:val="22"/>
              </w:rPr>
              <w:t xml:space="preserve"> – </w:t>
            </w:r>
            <w:r w:rsidR="00A77E18" w:rsidRPr="003F5F67">
              <w:rPr>
                <w:rFonts w:asciiTheme="minorHAnsi" w:hAnsiTheme="minorHAnsi" w:cstheme="majorBidi"/>
                <w:szCs w:val="22"/>
              </w:rPr>
              <w:t>Initiatives prises par le Secteur de la normalisation des télécommunications de l'UIT pour mieux faire connaître les bonnes pratiques et</w:t>
            </w:r>
            <w:r w:rsidR="007B1342" w:rsidRPr="003F5F67">
              <w:rPr>
                <w:rFonts w:asciiTheme="minorHAnsi" w:hAnsiTheme="minorHAnsi" w:cstheme="majorBidi"/>
                <w:szCs w:val="22"/>
              </w:rPr>
              <w:t xml:space="preserve"> </w:t>
            </w:r>
            <w:r w:rsidR="00A77E18" w:rsidRPr="003F5F67">
              <w:rPr>
                <w:rFonts w:asciiTheme="minorHAnsi" w:hAnsiTheme="minorHAnsi" w:cstheme="majorBidi"/>
                <w:szCs w:val="22"/>
              </w:rPr>
              <w:t>les politiques relatives à la qualité de service</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vAlign w:val="center"/>
          </w:tcPr>
          <w:p w:rsidR="00C51BFA" w:rsidRPr="003F5F67" w:rsidRDefault="00273BFE" w:rsidP="0095116B">
            <w:pPr>
              <w:pStyle w:val="Tabletext"/>
              <w:spacing w:before="40" w:after="40"/>
              <w:rPr>
                <w:rFonts w:asciiTheme="minorHAnsi" w:hAnsiTheme="minorHAnsi"/>
                <w:szCs w:val="22"/>
              </w:rPr>
            </w:pPr>
            <w:hyperlink r:id="rId66" w:history="1">
              <w:r w:rsidR="00BD5FA2" w:rsidRPr="003F5F67">
                <w:rPr>
                  <w:rStyle w:val="Hyperlink"/>
                  <w:rFonts w:asciiTheme="minorHAnsi" w:hAnsiTheme="minorHAnsi" w:cstheme="majorBidi"/>
                  <w:bCs/>
                  <w:szCs w:val="22"/>
                </w:rPr>
                <w:t>Résolution</w:t>
              </w:r>
              <w:r w:rsidR="00C51BFA" w:rsidRPr="003F5F67">
                <w:rPr>
                  <w:rStyle w:val="Hyperlink"/>
                  <w:rFonts w:asciiTheme="minorHAnsi" w:hAnsiTheme="minorHAnsi" w:cstheme="majorBidi"/>
                  <w:bCs/>
                  <w:szCs w:val="22"/>
                </w:rPr>
                <w:t xml:space="preserve"> 96</w:t>
              </w:r>
            </w:hyperlink>
            <w:r w:rsidR="00C51BFA" w:rsidRPr="003F5F67">
              <w:rPr>
                <w:rFonts w:asciiTheme="minorHAnsi" w:hAnsiTheme="minorHAnsi" w:cstheme="majorBidi"/>
                <w:bCs/>
                <w:szCs w:val="22"/>
              </w:rPr>
              <w:t xml:space="preserve"> – </w:t>
            </w:r>
            <w:r w:rsidR="005D541C" w:rsidRPr="003F5F67">
              <w:rPr>
                <w:rFonts w:asciiTheme="minorHAnsi" w:hAnsiTheme="minorHAnsi" w:cstheme="majorBidi"/>
                <w:szCs w:val="22"/>
              </w:rPr>
              <w:t>Etudes du Secteur de la normalisation des télécommunications de l'UIT</w:t>
            </w:r>
            <w:r w:rsidR="007B1342" w:rsidRPr="003F5F67">
              <w:rPr>
                <w:rFonts w:asciiTheme="minorHAnsi" w:hAnsiTheme="minorHAnsi" w:cstheme="majorBidi"/>
                <w:szCs w:val="22"/>
              </w:rPr>
              <w:t xml:space="preserve"> </w:t>
            </w:r>
            <w:r w:rsidR="005D541C" w:rsidRPr="003F5F67">
              <w:rPr>
                <w:rFonts w:asciiTheme="minorHAnsi" w:hAnsiTheme="minorHAnsi" w:cstheme="majorBidi"/>
                <w:szCs w:val="22"/>
              </w:rPr>
              <w:t>visant à lutter contre la contrefaçon des dispositifs de télécommunication/technologies de l</w:t>
            </w:r>
            <w:r w:rsidR="000B7FB3" w:rsidRPr="003F5F67">
              <w:rPr>
                <w:rFonts w:asciiTheme="minorHAnsi" w:hAnsiTheme="minorHAnsi" w:cstheme="majorBidi"/>
                <w:szCs w:val="22"/>
              </w:rPr>
              <w:t>'</w:t>
            </w:r>
            <w:r w:rsidR="005D541C" w:rsidRPr="003F5F67">
              <w:rPr>
                <w:rFonts w:asciiTheme="minorHAnsi" w:hAnsiTheme="minorHAnsi" w:cstheme="majorBidi"/>
                <w:szCs w:val="22"/>
              </w:rPr>
              <w:t>information</w:t>
            </w:r>
            <w:r w:rsidR="007B1342" w:rsidRPr="003F5F67">
              <w:rPr>
                <w:rFonts w:asciiTheme="minorHAnsi" w:hAnsiTheme="minorHAnsi" w:cstheme="majorBidi"/>
                <w:szCs w:val="22"/>
              </w:rPr>
              <w:t xml:space="preserve"> </w:t>
            </w:r>
            <w:r w:rsidR="005D541C" w:rsidRPr="003F5F67">
              <w:rPr>
                <w:rFonts w:asciiTheme="minorHAnsi" w:hAnsiTheme="minorHAnsi" w:cstheme="majorBidi"/>
                <w:szCs w:val="22"/>
              </w:rPr>
              <w:t>et de la communication</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vAlign w:val="center"/>
          </w:tcPr>
          <w:p w:rsidR="00C51BFA" w:rsidRPr="003F5F67" w:rsidRDefault="00273BFE" w:rsidP="0095116B">
            <w:pPr>
              <w:pStyle w:val="Tabletext"/>
              <w:spacing w:before="40" w:after="40"/>
              <w:rPr>
                <w:rFonts w:asciiTheme="minorHAnsi" w:hAnsiTheme="minorHAnsi"/>
                <w:szCs w:val="22"/>
              </w:rPr>
            </w:pPr>
            <w:hyperlink r:id="rId67" w:history="1">
              <w:r w:rsidR="00BD5FA2" w:rsidRPr="003F5F67">
                <w:rPr>
                  <w:rStyle w:val="Hyperlink"/>
                  <w:rFonts w:asciiTheme="minorHAnsi" w:hAnsiTheme="minorHAnsi" w:cstheme="majorBidi"/>
                  <w:bCs/>
                  <w:szCs w:val="22"/>
                </w:rPr>
                <w:t>Résolution</w:t>
              </w:r>
              <w:r w:rsidR="00C51BFA" w:rsidRPr="003F5F67">
                <w:rPr>
                  <w:rStyle w:val="Hyperlink"/>
                  <w:rFonts w:asciiTheme="minorHAnsi" w:hAnsiTheme="minorHAnsi" w:cstheme="majorBidi"/>
                  <w:bCs/>
                  <w:szCs w:val="22"/>
                </w:rPr>
                <w:t xml:space="preserve"> 97</w:t>
              </w:r>
            </w:hyperlink>
            <w:r w:rsidR="00C51BFA" w:rsidRPr="003F5F67">
              <w:rPr>
                <w:rFonts w:asciiTheme="minorHAnsi" w:hAnsiTheme="minorHAnsi" w:cstheme="majorBidi"/>
                <w:bCs/>
                <w:szCs w:val="22"/>
              </w:rPr>
              <w:t xml:space="preserve"> – </w:t>
            </w:r>
            <w:r w:rsidR="005D541C" w:rsidRPr="003F5F67">
              <w:rPr>
                <w:rFonts w:asciiTheme="minorHAnsi" w:hAnsiTheme="minorHAnsi" w:cstheme="majorBidi"/>
                <w:szCs w:val="22"/>
              </w:rPr>
              <w:t>Lutter contre le vol de dispositifs de télécommunication mobiles</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vAlign w:val="center"/>
          </w:tcPr>
          <w:p w:rsidR="00C51BFA" w:rsidRPr="003F5F67" w:rsidRDefault="00273BFE" w:rsidP="0095116B">
            <w:pPr>
              <w:pStyle w:val="Tabletext"/>
              <w:spacing w:before="40" w:after="40"/>
              <w:rPr>
                <w:rFonts w:asciiTheme="minorHAnsi" w:hAnsiTheme="minorHAnsi"/>
                <w:szCs w:val="22"/>
              </w:rPr>
            </w:pPr>
            <w:hyperlink r:id="rId68" w:history="1">
              <w:r w:rsidR="00BD5FA2" w:rsidRPr="003F5F67">
                <w:rPr>
                  <w:rStyle w:val="Hyperlink"/>
                  <w:rFonts w:asciiTheme="minorHAnsi" w:hAnsiTheme="minorHAnsi" w:cstheme="majorBidi"/>
                  <w:bCs/>
                  <w:szCs w:val="22"/>
                </w:rPr>
                <w:t>Résolution</w:t>
              </w:r>
              <w:r w:rsidR="00C51BFA" w:rsidRPr="003F5F67">
                <w:rPr>
                  <w:rStyle w:val="Hyperlink"/>
                  <w:rFonts w:asciiTheme="minorHAnsi" w:hAnsiTheme="minorHAnsi" w:cstheme="majorBidi"/>
                  <w:bCs/>
                  <w:szCs w:val="22"/>
                </w:rPr>
                <w:t xml:space="preserve"> 98</w:t>
              </w:r>
            </w:hyperlink>
            <w:r w:rsidR="00C51BFA" w:rsidRPr="003F5F67">
              <w:rPr>
                <w:rFonts w:asciiTheme="minorHAnsi" w:hAnsiTheme="minorHAnsi" w:cstheme="majorBidi"/>
                <w:bCs/>
                <w:szCs w:val="22"/>
              </w:rPr>
              <w:t xml:space="preserve"> –</w:t>
            </w:r>
            <w:r w:rsidR="00A77E18" w:rsidRPr="003F5F67">
              <w:rPr>
                <w:rFonts w:asciiTheme="minorHAnsi" w:hAnsiTheme="minorHAnsi" w:cstheme="majorBidi"/>
                <w:bCs/>
                <w:szCs w:val="22"/>
              </w:rPr>
              <w:t xml:space="preserve"> </w:t>
            </w:r>
            <w:r w:rsidR="005647C6" w:rsidRPr="003F5F67">
              <w:rPr>
                <w:rFonts w:asciiTheme="minorHAnsi" w:hAnsiTheme="minorHAnsi" w:cstheme="majorBidi"/>
                <w:szCs w:val="22"/>
              </w:rPr>
              <w:t>Renforcer la normalisation de l'Internet des objets ainsi que des villes et communautés intelligentes pour le développement à l'échelle mondiale</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95116B">
            <w:pPr>
              <w:pStyle w:val="Tabletext"/>
              <w:spacing w:before="40" w:after="40"/>
              <w:rPr>
                <w:rFonts w:asciiTheme="minorHAnsi" w:hAnsiTheme="minorHAnsi"/>
                <w:szCs w:val="22"/>
              </w:rPr>
            </w:pPr>
            <w:hyperlink r:id="rId69" w:history="1">
              <w:r w:rsidR="00FA6E37" w:rsidRPr="003F5F67">
                <w:rPr>
                  <w:rStyle w:val="Hyperlink"/>
                  <w:rFonts w:asciiTheme="minorHAnsi" w:hAnsiTheme="minorHAnsi"/>
                  <w:szCs w:val="22"/>
                </w:rPr>
                <w:t>Voeu</w:t>
              </w:r>
              <w:r w:rsidR="00C51BFA" w:rsidRPr="003F5F67">
                <w:rPr>
                  <w:rStyle w:val="Hyperlink"/>
                  <w:rFonts w:asciiTheme="minorHAnsi" w:hAnsiTheme="minorHAnsi"/>
                  <w:szCs w:val="22"/>
                </w:rPr>
                <w:t xml:space="preserve"> 1</w:t>
              </w:r>
            </w:hyperlink>
            <w:r w:rsidR="00C51BFA" w:rsidRPr="003F5F67">
              <w:rPr>
                <w:rFonts w:asciiTheme="minorHAnsi" w:hAnsiTheme="minorHAnsi"/>
                <w:szCs w:val="22"/>
              </w:rPr>
              <w:t xml:space="preserve"> – </w:t>
            </w:r>
            <w:r w:rsidR="00954C80" w:rsidRPr="003F5F67">
              <w:t>Application pratique de la prime d'externalité de réseau</w:t>
            </w:r>
          </w:p>
        </w:tc>
        <w:tc>
          <w:tcPr>
            <w:tcW w:w="1276" w:type="dxa"/>
            <w:tcBorders>
              <w:right w:val="single" w:sz="12" w:space="0" w:color="auto"/>
            </w:tcBorders>
          </w:tcPr>
          <w:p w:rsidR="00C51BFA" w:rsidRPr="003F5F67" w:rsidRDefault="00DD5C87" w:rsidP="0095116B">
            <w:pPr>
              <w:pStyle w:val="Tabletext"/>
              <w:spacing w:before="40" w:after="40"/>
              <w:jc w:val="center"/>
              <w:rPr>
                <w:rFonts w:asciiTheme="minorHAnsi" w:hAnsiTheme="minorHAnsi"/>
                <w:szCs w:val="22"/>
              </w:rPr>
            </w:pPr>
            <w:r w:rsidRPr="003F5F67">
              <w:rPr>
                <w:rFonts w:asciiTheme="minorHAnsi" w:hAnsiTheme="minorHAnsi"/>
                <w:szCs w:val="22"/>
              </w:rPr>
              <w:t>inchangé</w:t>
            </w:r>
          </w:p>
        </w:tc>
      </w:tr>
    </w:tbl>
    <w:p w:rsidR="00F26C35" w:rsidRDefault="00F26C35" w:rsidP="0095116B">
      <w:pPr>
        <w:pStyle w:val="ListParagraph"/>
        <w:spacing w:after="360"/>
        <w:rPr>
          <w:rFonts w:asciiTheme="minorHAnsi" w:hAnsiTheme="minorHAnsi"/>
          <w:sz w:val="22"/>
          <w:szCs w:val="22"/>
          <w:u w:val="single"/>
          <w:lang w:val="fr-FR"/>
        </w:rPr>
      </w:pPr>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65"/>
        <w:gridCol w:w="1276"/>
      </w:tblGrid>
      <w:tr w:rsidR="00C51BFA" w:rsidRPr="003F5F67" w:rsidTr="0000253C">
        <w:trPr>
          <w:cantSplit/>
          <w:trHeight w:val="826"/>
          <w:tblHeader/>
          <w:jc w:val="center"/>
        </w:trPr>
        <w:tc>
          <w:tcPr>
            <w:tcW w:w="8065" w:type="dxa"/>
            <w:tcBorders>
              <w:top w:val="single" w:sz="12" w:space="0" w:color="auto"/>
              <w:right w:val="single" w:sz="12" w:space="0" w:color="auto"/>
            </w:tcBorders>
            <w:shd w:val="clear" w:color="auto" w:fill="DAEEF3" w:themeFill="accent5" w:themeFillTint="33"/>
            <w:vAlign w:val="center"/>
          </w:tcPr>
          <w:p w:rsidR="00C51BFA" w:rsidRPr="003F5F67" w:rsidRDefault="007D38C7" w:rsidP="007D38C7">
            <w:pPr>
              <w:pStyle w:val="Tablehead"/>
              <w:rPr>
                <w:rFonts w:asciiTheme="minorHAnsi" w:hAnsiTheme="minorHAnsi"/>
                <w:szCs w:val="22"/>
              </w:rPr>
            </w:pPr>
            <w:r w:rsidRPr="003F5F67">
              <w:rPr>
                <w:rFonts w:asciiTheme="minorHAnsi" w:hAnsiTheme="minorHAnsi"/>
                <w:szCs w:val="22"/>
              </w:rPr>
              <w:t>Recomma</w:t>
            </w:r>
            <w:r w:rsidR="00C51BFA" w:rsidRPr="003F5F67">
              <w:rPr>
                <w:rFonts w:asciiTheme="minorHAnsi" w:hAnsiTheme="minorHAnsi"/>
                <w:szCs w:val="22"/>
              </w:rPr>
              <w:t>ndation</w:t>
            </w:r>
            <w:r w:rsidRPr="003F5F67">
              <w:rPr>
                <w:rFonts w:asciiTheme="minorHAnsi" w:hAnsiTheme="minorHAnsi"/>
                <w:szCs w:val="22"/>
              </w:rPr>
              <w:t xml:space="preserve"> UIT</w:t>
            </w:r>
            <w:r w:rsidRPr="003F5F67">
              <w:rPr>
                <w:rFonts w:asciiTheme="minorHAnsi" w:hAnsiTheme="minorHAnsi"/>
                <w:szCs w:val="22"/>
              </w:rPr>
              <w:noBreakHyphen/>
              <w:t xml:space="preserve">T </w:t>
            </w:r>
            <w:r w:rsidR="00C51BFA" w:rsidRPr="003F5F67">
              <w:rPr>
                <w:rFonts w:asciiTheme="minorHAnsi" w:hAnsiTheme="minorHAnsi"/>
                <w:szCs w:val="22"/>
              </w:rPr>
              <w:t>– Tit</w:t>
            </w:r>
            <w:r w:rsidRPr="003F5F67">
              <w:rPr>
                <w:rFonts w:asciiTheme="minorHAnsi" w:hAnsiTheme="minorHAnsi"/>
                <w:szCs w:val="22"/>
              </w:rPr>
              <w:t>r</w:t>
            </w:r>
            <w:r w:rsidR="00C51BFA" w:rsidRPr="003F5F67">
              <w:rPr>
                <w:rFonts w:asciiTheme="minorHAnsi" w:hAnsiTheme="minorHAnsi"/>
                <w:szCs w:val="22"/>
              </w:rPr>
              <w:t>e</w:t>
            </w:r>
          </w:p>
        </w:tc>
        <w:tc>
          <w:tcPr>
            <w:tcW w:w="1276" w:type="dxa"/>
            <w:tcBorders>
              <w:top w:val="single" w:sz="12" w:space="0" w:color="auto"/>
              <w:right w:val="single" w:sz="12" w:space="0" w:color="auto"/>
            </w:tcBorders>
            <w:shd w:val="clear" w:color="auto" w:fill="DAEEF3" w:themeFill="accent5" w:themeFillTint="33"/>
            <w:vAlign w:val="center"/>
          </w:tcPr>
          <w:p w:rsidR="00C51BFA" w:rsidRPr="003F5F67" w:rsidRDefault="00C51BFA" w:rsidP="00061F50">
            <w:pPr>
              <w:pStyle w:val="Tablehead"/>
              <w:rPr>
                <w:rFonts w:asciiTheme="minorHAnsi" w:hAnsiTheme="minorHAnsi"/>
                <w:szCs w:val="22"/>
              </w:rPr>
            </w:pPr>
            <w:r w:rsidRPr="003F5F67">
              <w:rPr>
                <w:rFonts w:asciiTheme="minorHAnsi" w:hAnsiTheme="minorHAnsi"/>
                <w:szCs w:val="22"/>
              </w:rPr>
              <w:t>S</w:t>
            </w:r>
            <w:r w:rsidR="007D38C7" w:rsidRPr="003F5F67">
              <w:rPr>
                <w:rFonts w:asciiTheme="minorHAnsi" w:hAnsiTheme="minorHAnsi"/>
                <w:szCs w:val="22"/>
              </w:rPr>
              <w:t>tatut</w:t>
            </w:r>
          </w:p>
        </w:tc>
      </w:tr>
      <w:tr w:rsidR="00C51BFA" w:rsidRPr="003F5F67" w:rsidTr="0000253C">
        <w:trPr>
          <w:cantSplit/>
          <w:jc w:val="center"/>
        </w:trPr>
        <w:tc>
          <w:tcPr>
            <w:tcW w:w="8065" w:type="dxa"/>
            <w:tcBorders>
              <w:top w:val="single" w:sz="12" w:space="0" w:color="auto"/>
              <w:right w:val="single" w:sz="12" w:space="0" w:color="auto"/>
            </w:tcBorders>
            <w:shd w:val="clear" w:color="auto" w:fill="auto"/>
          </w:tcPr>
          <w:p w:rsidR="00C51BFA" w:rsidRPr="003F5F67" w:rsidRDefault="00273BFE" w:rsidP="00716304">
            <w:pPr>
              <w:pStyle w:val="Tabletext"/>
            </w:pPr>
            <w:hyperlink r:id="rId70" w:history="1">
              <w:r w:rsidR="00716304" w:rsidRPr="003F5F67">
                <w:rPr>
                  <w:rStyle w:val="Hyperlink"/>
                  <w:rFonts w:asciiTheme="minorHAnsi" w:hAnsiTheme="minorHAnsi"/>
                  <w:szCs w:val="22"/>
                </w:rPr>
                <w:t>A.1</w:t>
              </w:r>
            </w:hyperlink>
            <w:r w:rsidR="00C51BFA" w:rsidRPr="003F5F67">
              <w:t xml:space="preserve"> – </w:t>
            </w:r>
            <w:bookmarkStart w:id="12" w:name="_Toc210104662"/>
            <w:r w:rsidR="007D38C7" w:rsidRPr="003F5F67">
              <w:t>Méthodes de travail des Commissions d'études du Secteur de la normalisation des télécommunications de l'UIT</w:t>
            </w:r>
            <w:bookmarkEnd w:id="12"/>
          </w:p>
        </w:tc>
        <w:tc>
          <w:tcPr>
            <w:tcW w:w="1276" w:type="dxa"/>
            <w:tcBorders>
              <w:top w:val="single" w:sz="12" w:space="0" w:color="auto"/>
              <w:right w:val="single" w:sz="12" w:space="0" w:color="auto"/>
            </w:tcBorders>
          </w:tcPr>
          <w:p w:rsidR="00C51BFA" w:rsidRPr="003F5F67" w:rsidRDefault="00DD5C87" w:rsidP="00DF1A54">
            <w:pPr>
              <w:pStyle w:val="Tabletext"/>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716304">
            <w:pPr>
              <w:pStyle w:val="Tabletext"/>
            </w:pPr>
            <w:hyperlink r:id="rId71" w:history="1">
              <w:r w:rsidR="00716304" w:rsidRPr="003F5F67">
                <w:rPr>
                  <w:rStyle w:val="Hyperlink"/>
                  <w:rFonts w:asciiTheme="minorHAnsi" w:hAnsiTheme="minorHAnsi"/>
                  <w:szCs w:val="22"/>
                </w:rPr>
                <w:t>A.12</w:t>
              </w:r>
            </w:hyperlink>
            <w:r w:rsidR="00C51BFA" w:rsidRPr="003F5F67">
              <w:t xml:space="preserve"> – </w:t>
            </w:r>
            <w:r w:rsidR="007D38C7" w:rsidRPr="003F5F67">
              <w:rPr>
                <w:rFonts w:eastAsia="SimSun"/>
              </w:rPr>
              <w:t>Identification et présentation des Recommandations UIT-T</w:t>
            </w:r>
          </w:p>
        </w:tc>
        <w:tc>
          <w:tcPr>
            <w:tcW w:w="1276" w:type="dxa"/>
            <w:tcBorders>
              <w:right w:val="single" w:sz="12" w:space="0" w:color="auto"/>
            </w:tcBorders>
          </w:tcPr>
          <w:p w:rsidR="00C51BFA" w:rsidRPr="003F5F67" w:rsidRDefault="00DD5C87" w:rsidP="00DF1A54">
            <w:pPr>
              <w:pStyle w:val="Tabletext"/>
              <w:jc w:val="center"/>
              <w:rPr>
                <w:rFonts w:asciiTheme="minorHAnsi" w:hAnsiTheme="minorHAnsi"/>
                <w:szCs w:val="22"/>
              </w:rPr>
            </w:pPr>
            <w:r w:rsidRPr="003F5F67">
              <w:rPr>
                <w:rFonts w:asciiTheme="minorHAnsi" w:hAnsiTheme="minorHAnsi"/>
                <w:szCs w:val="22"/>
              </w:rPr>
              <w:t>révisée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061F50">
            <w:pPr>
              <w:pStyle w:val="Tabletext"/>
              <w:rPr>
                <w:rFonts w:asciiTheme="minorHAnsi" w:hAnsiTheme="minorHAnsi"/>
                <w:szCs w:val="22"/>
              </w:rPr>
            </w:pPr>
            <w:hyperlink r:id="rId72" w:history="1">
              <w:r w:rsidR="00C51BFA" w:rsidRPr="003F5F67">
                <w:rPr>
                  <w:rStyle w:val="Hyperlink"/>
                  <w:rFonts w:asciiTheme="minorHAnsi" w:hAnsiTheme="minorHAnsi"/>
                  <w:szCs w:val="22"/>
                </w:rPr>
                <w:t>D.</w:t>
              </w:r>
              <w:r w:rsidR="00C51BFA" w:rsidRPr="003F5F67">
                <w:rPr>
                  <w:rStyle w:val="Hyperlink"/>
                  <w:rFonts w:asciiTheme="minorHAnsi" w:hAnsiTheme="minorHAnsi"/>
                  <w:szCs w:val="22"/>
                </w:rPr>
                <w:t>5</w:t>
              </w:r>
              <w:r w:rsidR="00C51BFA" w:rsidRPr="003F5F67">
                <w:rPr>
                  <w:rStyle w:val="Hyperlink"/>
                  <w:rFonts w:asciiTheme="minorHAnsi" w:hAnsiTheme="minorHAnsi"/>
                  <w:szCs w:val="22"/>
                </w:rPr>
                <w:t>2</w:t>
              </w:r>
            </w:hyperlink>
            <w:r w:rsidR="00C51BFA" w:rsidRPr="003F5F67">
              <w:rPr>
                <w:rFonts w:asciiTheme="minorHAnsi" w:hAnsiTheme="minorHAnsi"/>
                <w:szCs w:val="22"/>
              </w:rPr>
              <w:t xml:space="preserve"> – </w:t>
            </w:r>
            <w:r w:rsidR="00954C80" w:rsidRPr="003F5F67">
              <w:t>Création et raccordement de points d'échange Internet (IXP) régionaux pour réduire les coûts de la connectivité Internet internationale</w:t>
            </w:r>
          </w:p>
        </w:tc>
        <w:tc>
          <w:tcPr>
            <w:tcW w:w="1276" w:type="dxa"/>
            <w:tcBorders>
              <w:right w:val="single" w:sz="12" w:space="0" w:color="auto"/>
            </w:tcBorders>
          </w:tcPr>
          <w:p w:rsidR="00C51BFA" w:rsidRPr="003F5F67" w:rsidRDefault="00DD5C87" w:rsidP="00DF1A54">
            <w:pPr>
              <w:pStyle w:val="Tabletext"/>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061F50">
            <w:pPr>
              <w:pStyle w:val="Tabletext"/>
              <w:rPr>
                <w:rFonts w:asciiTheme="minorHAnsi" w:hAnsiTheme="minorHAnsi"/>
                <w:szCs w:val="22"/>
              </w:rPr>
            </w:pPr>
            <w:hyperlink r:id="rId73" w:history="1">
              <w:r w:rsidR="00C51BFA" w:rsidRPr="003F5F67">
                <w:rPr>
                  <w:rStyle w:val="Hyperlink"/>
                  <w:rFonts w:asciiTheme="minorHAnsi" w:hAnsiTheme="minorHAnsi"/>
                  <w:szCs w:val="22"/>
                </w:rPr>
                <w:t>D.53</w:t>
              </w:r>
            </w:hyperlink>
            <w:r w:rsidR="00C51BFA" w:rsidRPr="003F5F67">
              <w:rPr>
                <w:rFonts w:asciiTheme="minorHAnsi" w:hAnsiTheme="minorHAnsi"/>
                <w:szCs w:val="22"/>
              </w:rPr>
              <w:t xml:space="preserve"> – </w:t>
            </w:r>
            <w:r w:rsidR="00954C80" w:rsidRPr="003F5F67">
              <w:t>Aspects internationaux du service universel</w:t>
            </w:r>
          </w:p>
        </w:tc>
        <w:tc>
          <w:tcPr>
            <w:tcW w:w="1276" w:type="dxa"/>
            <w:tcBorders>
              <w:right w:val="single" w:sz="12" w:space="0" w:color="auto"/>
            </w:tcBorders>
          </w:tcPr>
          <w:p w:rsidR="00C51BFA" w:rsidRPr="003F5F67" w:rsidRDefault="00DD5C87" w:rsidP="00DF1A54">
            <w:pPr>
              <w:pStyle w:val="Tabletext"/>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061F50">
            <w:pPr>
              <w:pStyle w:val="Tabletext"/>
              <w:rPr>
                <w:rFonts w:asciiTheme="minorHAnsi" w:hAnsiTheme="minorHAnsi"/>
                <w:szCs w:val="22"/>
              </w:rPr>
            </w:pPr>
            <w:hyperlink r:id="rId74" w:history="1">
              <w:r w:rsidR="00C51BFA" w:rsidRPr="003F5F67">
                <w:rPr>
                  <w:rStyle w:val="Hyperlink"/>
                  <w:rFonts w:asciiTheme="minorHAnsi" w:hAnsiTheme="minorHAnsi"/>
                  <w:szCs w:val="22"/>
                </w:rPr>
                <w:t>D.97</w:t>
              </w:r>
            </w:hyperlink>
            <w:r w:rsidR="00C51BFA" w:rsidRPr="003F5F67">
              <w:rPr>
                <w:rFonts w:asciiTheme="minorHAnsi" w:hAnsiTheme="minorHAnsi"/>
                <w:szCs w:val="22"/>
              </w:rPr>
              <w:t xml:space="preserve"> – </w:t>
            </w:r>
            <w:r w:rsidR="00954C80" w:rsidRPr="003F5F67">
              <w:t>Principes méthodologiques de détermination des tarifs de l'itinérance mobile internationale</w:t>
            </w:r>
          </w:p>
        </w:tc>
        <w:tc>
          <w:tcPr>
            <w:tcW w:w="1276" w:type="dxa"/>
            <w:tcBorders>
              <w:right w:val="single" w:sz="12" w:space="0" w:color="auto"/>
            </w:tcBorders>
          </w:tcPr>
          <w:p w:rsidR="00C51BFA" w:rsidRPr="003F5F67" w:rsidRDefault="00DD5C87" w:rsidP="00DF1A54">
            <w:pPr>
              <w:pStyle w:val="Tabletext"/>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061F50">
            <w:pPr>
              <w:pStyle w:val="Tabletext"/>
              <w:rPr>
                <w:rFonts w:asciiTheme="minorHAnsi" w:hAnsiTheme="minorHAnsi"/>
                <w:szCs w:val="22"/>
              </w:rPr>
            </w:pPr>
            <w:hyperlink r:id="rId75" w:history="1">
              <w:r w:rsidR="00C51BFA" w:rsidRPr="003F5F67">
                <w:rPr>
                  <w:rStyle w:val="Hyperlink"/>
                  <w:rFonts w:asciiTheme="minorHAnsi" w:hAnsiTheme="minorHAnsi"/>
                  <w:szCs w:val="22"/>
                </w:rPr>
                <w:t>D.261</w:t>
              </w:r>
            </w:hyperlink>
            <w:r w:rsidR="00C51BFA" w:rsidRPr="003F5F67">
              <w:rPr>
                <w:rFonts w:asciiTheme="minorHAnsi" w:hAnsiTheme="minorHAnsi"/>
                <w:szCs w:val="22"/>
              </w:rPr>
              <w:t xml:space="preserve"> – </w:t>
            </w:r>
            <w:r w:rsidR="00954C80" w:rsidRPr="003F5F67">
              <w:t>Principes réglementaires à appliquer dans la définition des marchés et l'identification des opérateurs en position de force sur un marché</w:t>
            </w:r>
          </w:p>
        </w:tc>
        <w:tc>
          <w:tcPr>
            <w:tcW w:w="1276" w:type="dxa"/>
            <w:tcBorders>
              <w:right w:val="single" w:sz="12" w:space="0" w:color="auto"/>
            </w:tcBorders>
          </w:tcPr>
          <w:p w:rsidR="00C51BFA" w:rsidRPr="003F5F67" w:rsidRDefault="00DD5C87" w:rsidP="00DF1A54">
            <w:pPr>
              <w:pStyle w:val="Tabletext"/>
              <w:jc w:val="center"/>
              <w:rPr>
                <w:rFonts w:asciiTheme="minorHAnsi" w:hAnsiTheme="minorHAnsi"/>
                <w:szCs w:val="22"/>
              </w:rPr>
            </w:pPr>
            <w:r w:rsidRPr="003F5F67">
              <w:rPr>
                <w:rFonts w:asciiTheme="minorHAnsi" w:hAnsiTheme="minorHAnsi"/>
                <w:szCs w:val="22"/>
              </w:rPr>
              <w:t>nouvelle</w:t>
            </w:r>
          </w:p>
        </w:tc>
      </w:tr>
      <w:tr w:rsidR="00C51BFA" w:rsidRPr="003F5F67" w:rsidTr="0000253C">
        <w:trPr>
          <w:cantSplit/>
          <w:jc w:val="center"/>
        </w:trPr>
        <w:tc>
          <w:tcPr>
            <w:tcW w:w="8065" w:type="dxa"/>
            <w:tcBorders>
              <w:right w:val="single" w:sz="12" w:space="0" w:color="auto"/>
            </w:tcBorders>
            <w:shd w:val="clear" w:color="auto" w:fill="auto"/>
          </w:tcPr>
          <w:p w:rsidR="00C51BFA" w:rsidRPr="003F5F67" w:rsidRDefault="00273BFE" w:rsidP="00061F50">
            <w:pPr>
              <w:pStyle w:val="Tabletext"/>
              <w:rPr>
                <w:rFonts w:asciiTheme="minorHAnsi" w:hAnsiTheme="minorHAnsi"/>
                <w:szCs w:val="22"/>
              </w:rPr>
            </w:pPr>
            <w:hyperlink r:id="rId76" w:history="1">
              <w:r w:rsidR="00C51BFA" w:rsidRPr="003F5F67">
                <w:rPr>
                  <w:rStyle w:val="Hyperlink"/>
                  <w:rFonts w:asciiTheme="minorHAnsi" w:hAnsiTheme="minorHAnsi"/>
                  <w:szCs w:val="22"/>
                </w:rPr>
                <w:t>D.271</w:t>
              </w:r>
            </w:hyperlink>
            <w:r w:rsidR="00C51BFA" w:rsidRPr="003F5F67">
              <w:rPr>
                <w:rFonts w:asciiTheme="minorHAnsi" w:hAnsiTheme="minorHAnsi"/>
                <w:szCs w:val="22"/>
              </w:rPr>
              <w:t xml:space="preserve"> – </w:t>
            </w:r>
            <w:r w:rsidR="00954C80" w:rsidRPr="003F5F67">
              <w:t>Principes de taxation et de comptabilité applicables aux réseaux de prochaine génération (NGN</w:t>
            </w:r>
            <w:r w:rsidR="00593558">
              <w:t>)</w:t>
            </w:r>
          </w:p>
        </w:tc>
        <w:tc>
          <w:tcPr>
            <w:tcW w:w="1276" w:type="dxa"/>
            <w:tcBorders>
              <w:right w:val="single" w:sz="12" w:space="0" w:color="auto"/>
            </w:tcBorders>
          </w:tcPr>
          <w:p w:rsidR="00C51BFA" w:rsidRPr="003F5F67" w:rsidRDefault="00DD5C87" w:rsidP="00DF1A54">
            <w:pPr>
              <w:pStyle w:val="Tabletext"/>
              <w:jc w:val="center"/>
              <w:rPr>
                <w:rFonts w:asciiTheme="minorHAnsi" w:hAnsiTheme="minorHAnsi"/>
                <w:szCs w:val="22"/>
              </w:rPr>
            </w:pPr>
            <w:r w:rsidRPr="003F5F67">
              <w:rPr>
                <w:rFonts w:asciiTheme="minorHAnsi" w:hAnsiTheme="minorHAnsi"/>
                <w:szCs w:val="22"/>
              </w:rPr>
              <w:t>révisée</w:t>
            </w:r>
          </w:p>
        </w:tc>
      </w:tr>
    </w:tbl>
    <w:p w:rsidR="00DD5C87" w:rsidRPr="003F5F67" w:rsidRDefault="003F5F67" w:rsidP="0095116B">
      <w:pPr>
        <w:spacing w:before="480"/>
        <w:jc w:val="center"/>
      </w:pPr>
      <w:r w:rsidRPr="003F5F67">
        <w:t>______________</w:t>
      </w:r>
    </w:p>
    <w:sectPr w:rsidR="00DD5C87" w:rsidRPr="003F5F67" w:rsidSect="005C3890">
      <w:headerReference w:type="even" r:id="rId77"/>
      <w:headerReference w:type="default" r:id="rId78"/>
      <w:footerReference w:type="even" r:id="rId79"/>
      <w:footerReference w:type="default" r:id="rId80"/>
      <w:footerReference w:type="first" r:id="rId81"/>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463" w:rsidRDefault="009F5463">
      <w:r>
        <w:separator/>
      </w:r>
    </w:p>
  </w:endnote>
  <w:endnote w:type="continuationSeparator" w:id="0">
    <w:p w:rsidR="009F5463" w:rsidRDefault="009F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63" w:rsidRDefault="00273BFE">
    <w:pPr>
      <w:pStyle w:val="Footer"/>
    </w:pPr>
    <w:r>
      <w:fldChar w:fldCharType="begin"/>
    </w:r>
    <w:r>
      <w:instrText xml:space="preserve"> FILENAME \p \* MERGEFORMAT </w:instrText>
    </w:r>
    <w:r>
      <w:fldChar w:fldCharType="separate"/>
    </w:r>
    <w:r w:rsidR="004912EB">
      <w:t>P:\FRA\SG\CONSEIL\C17\000\052F.docx</w:t>
    </w:r>
    <w:r>
      <w:fldChar w:fldCharType="end"/>
    </w:r>
    <w:r w:rsidR="009F5463">
      <w:tab/>
    </w:r>
    <w:r w:rsidR="009F5463">
      <w:fldChar w:fldCharType="begin"/>
    </w:r>
    <w:r w:rsidR="009F5463">
      <w:instrText xml:space="preserve"> savedate \@ dd.MM.yy </w:instrText>
    </w:r>
    <w:r w:rsidR="009F5463">
      <w:fldChar w:fldCharType="separate"/>
    </w:r>
    <w:r w:rsidR="007C7A55">
      <w:t>21.02.17</w:t>
    </w:r>
    <w:r w:rsidR="009F5463">
      <w:fldChar w:fldCharType="end"/>
    </w:r>
    <w:r w:rsidR="009F5463">
      <w:tab/>
    </w:r>
    <w:r w:rsidR="009F5463">
      <w:fldChar w:fldCharType="begin"/>
    </w:r>
    <w:r w:rsidR="009F5463">
      <w:instrText xml:space="preserve"> printdate \@ dd.MM.yy </w:instrText>
    </w:r>
    <w:r w:rsidR="009F5463">
      <w:fldChar w:fldCharType="separate"/>
    </w:r>
    <w:r w:rsidR="004912EB">
      <w:t>21.02.17</w:t>
    </w:r>
    <w:r w:rsidR="009F546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63" w:rsidRPr="00273BFE" w:rsidRDefault="00273BFE" w:rsidP="003F5F67">
    <w:pPr>
      <w:pStyle w:val="Footer"/>
      <w:rPr>
        <w:color w:val="D9D9D9" w:themeColor="background1" w:themeShade="D9"/>
      </w:rPr>
    </w:pPr>
    <w:r w:rsidRPr="00273BFE">
      <w:rPr>
        <w:color w:val="D9D9D9" w:themeColor="background1" w:themeShade="D9"/>
      </w:rPr>
      <w:fldChar w:fldCharType="begin"/>
    </w:r>
    <w:r w:rsidRPr="00273BFE">
      <w:rPr>
        <w:color w:val="D9D9D9" w:themeColor="background1" w:themeShade="D9"/>
      </w:rPr>
      <w:instrText xml:space="preserve"> FILENAME \p  \* MERGEFORMAT </w:instrText>
    </w:r>
    <w:r w:rsidRPr="00273BFE">
      <w:rPr>
        <w:color w:val="D9D9D9" w:themeColor="background1" w:themeShade="D9"/>
      </w:rPr>
      <w:fldChar w:fldCharType="separate"/>
    </w:r>
    <w:r w:rsidR="004912EB" w:rsidRPr="00273BFE">
      <w:rPr>
        <w:color w:val="D9D9D9" w:themeColor="background1" w:themeShade="D9"/>
      </w:rPr>
      <w:t>P:\FRA\SG\CONSEIL\C17\000\052F.docx</w:t>
    </w:r>
    <w:r w:rsidRPr="00273BFE">
      <w:rPr>
        <w:color w:val="D9D9D9" w:themeColor="background1" w:themeShade="D9"/>
      </w:rPr>
      <w:fldChar w:fldCharType="end"/>
    </w:r>
    <w:r w:rsidR="003F5F67" w:rsidRPr="00273BFE">
      <w:rPr>
        <w:color w:val="D9D9D9" w:themeColor="background1" w:themeShade="D9"/>
      </w:rPr>
      <w:t xml:space="preserve"> (409502)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63" w:rsidRDefault="009F5463">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463" w:rsidRDefault="009F5463">
      <w:r>
        <w:t>____________________</w:t>
      </w:r>
    </w:p>
  </w:footnote>
  <w:footnote w:type="continuationSeparator" w:id="0">
    <w:p w:rsidR="009F5463" w:rsidRDefault="009F5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63" w:rsidRDefault="009F5463">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9F5463" w:rsidRDefault="009F5463">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63" w:rsidRDefault="009F5463" w:rsidP="00475FB3">
    <w:pPr>
      <w:pStyle w:val="Header"/>
    </w:pPr>
    <w:r>
      <w:fldChar w:fldCharType="begin"/>
    </w:r>
    <w:r>
      <w:instrText>PAGE</w:instrText>
    </w:r>
    <w:r>
      <w:fldChar w:fldCharType="separate"/>
    </w:r>
    <w:r w:rsidR="00273BFE">
      <w:rPr>
        <w:noProof/>
      </w:rPr>
      <w:t>9</w:t>
    </w:r>
    <w:r>
      <w:rPr>
        <w:noProof/>
      </w:rPr>
      <w:fldChar w:fldCharType="end"/>
    </w:r>
  </w:p>
  <w:p w:rsidR="009F5463" w:rsidRDefault="009F5463" w:rsidP="0093234A">
    <w:pPr>
      <w:pStyle w:val="Header"/>
    </w:pPr>
    <w:r>
      <w:t>C17/52-F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68B"/>
    <w:multiLevelType w:val="multilevel"/>
    <w:tmpl w:val="BC2C9950"/>
    <w:lvl w:ilvl="0">
      <w:start w:val="2"/>
      <w:numFmt w:val="decimal"/>
      <w:lvlText w:val="%1."/>
      <w:lvlJc w:val="left"/>
      <w:pPr>
        <w:ind w:left="927" w:hanging="360"/>
      </w:pPr>
      <w:rPr>
        <w:rFonts w:hint="default"/>
      </w:rPr>
    </w:lvl>
    <w:lvl w:ilvl="1">
      <w:start w:val="1"/>
      <w:numFmt w:val="decimal"/>
      <w:isLgl/>
      <w:lvlText w:val="%1.%2"/>
      <w:lvlJc w:val="left"/>
      <w:pPr>
        <w:ind w:left="712"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33B4327A"/>
    <w:multiLevelType w:val="multilevel"/>
    <w:tmpl w:val="E9027C28"/>
    <w:lvl w:ilvl="0">
      <w:start w:val="1"/>
      <w:numFmt w:val="decimal"/>
      <w:lvlText w:val="%1."/>
      <w:lvlJc w:val="left"/>
      <w:pPr>
        <w:ind w:left="927" w:hanging="360"/>
      </w:pPr>
      <w:rPr>
        <w:rFonts w:hint="default"/>
      </w:rPr>
    </w:lvl>
    <w:lvl w:ilvl="1">
      <w:start w:val="1"/>
      <w:numFmt w:val="decimal"/>
      <w:isLgl/>
      <w:lvlText w:val="%1.%2"/>
      <w:lvlJc w:val="left"/>
      <w:pPr>
        <w:ind w:left="1137" w:hanging="570"/>
      </w:pPr>
      <w:rPr>
        <w:rFonts w:hint="default"/>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38CA525D"/>
    <w:multiLevelType w:val="multilevel"/>
    <w:tmpl w:val="76A632DC"/>
    <w:lvl w:ilvl="0">
      <w:start w:val="1"/>
      <w:numFmt w:val="decimal"/>
      <w:lvlText w:val="%1."/>
      <w:lvlJc w:val="left"/>
      <w:pPr>
        <w:ind w:left="927" w:hanging="360"/>
      </w:pPr>
      <w:rPr>
        <w:rFonts w:hint="default"/>
      </w:rPr>
    </w:lvl>
    <w:lvl w:ilvl="1">
      <w:start w:val="1"/>
      <w:numFmt w:val="decimal"/>
      <w:isLgl/>
      <w:lvlText w:val="%1.%2"/>
      <w:lvlJc w:val="left"/>
      <w:pPr>
        <w:ind w:left="712"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0216253-CFCC-49FF-BAD6-03148591A976}"/>
    <w:docVar w:name="dgnword-eventsink" w:val="335459392"/>
  </w:docVars>
  <w:rsids>
    <w:rsidRoot w:val="00AA09AF"/>
    <w:rsid w:val="0000253C"/>
    <w:rsid w:val="0000511E"/>
    <w:rsid w:val="00047752"/>
    <w:rsid w:val="00061F50"/>
    <w:rsid w:val="00094CE3"/>
    <w:rsid w:val="000A546E"/>
    <w:rsid w:val="000B7FB3"/>
    <w:rsid w:val="000D0D0A"/>
    <w:rsid w:val="00103163"/>
    <w:rsid w:val="0010721B"/>
    <w:rsid w:val="00114F40"/>
    <w:rsid w:val="00115D93"/>
    <w:rsid w:val="001247A8"/>
    <w:rsid w:val="001378C0"/>
    <w:rsid w:val="00161F76"/>
    <w:rsid w:val="0018694A"/>
    <w:rsid w:val="001A3287"/>
    <w:rsid w:val="001A5017"/>
    <w:rsid w:val="001D4C31"/>
    <w:rsid w:val="001E4D21"/>
    <w:rsid w:val="00207CD1"/>
    <w:rsid w:val="002477A2"/>
    <w:rsid w:val="00261883"/>
    <w:rsid w:val="00263A51"/>
    <w:rsid w:val="00267E02"/>
    <w:rsid w:val="00273BFE"/>
    <w:rsid w:val="00295B57"/>
    <w:rsid w:val="002A5D44"/>
    <w:rsid w:val="002B3C0B"/>
    <w:rsid w:val="002E0BC4"/>
    <w:rsid w:val="002F1B76"/>
    <w:rsid w:val="002F4DFD"/>
    <w:rsid w:val="003348E1"/>
    <w:rsid w:val="00355FF5"/>
    <w:rsid w:val="00361350"/>
    <w:rsid w:val="003C1257"/>
    <w:rsid w:val="003F4FD5"/>
    <w:rsid w:val="003F5F67"/>
    <w:rsid w:val="004038CB"/>
    <w:rsid w:val="0040546F"/>
    <w:rsid w:val="00406815"/>
    <w:rsid w:val="0042404A"/>
    <w:rsid w:val="0044618F"/>
    <w:rsid w:val="0046769A"/>
    <w:rsid w:val="00475FB3"/>
    <w:rsid w:val="004912EB"/>
    <w:rsid w:val="00494ED6"/>
    <w:rsid w:val="004B7637"/>
    <w:rsid w:val="004C37A9"/>
    <w:rsid w:val="004D3E1A"/>
    <w:rsid w:val="004F259E"/>
    <w:rsid w:val="00511F1D"/>
    <w:rsid w:val="00540615"/>
    <w:rsid w:val="00540A6D"/>
    <w:rsid w:val="005647C6"/>
    <w:rsid w:val="00571EEA"/>
    <w:rsid w:val="00575417"/>
    <w:rsid w:val="005768E1"/>
    <w:rsid w:val="00586E40"/>
    <w:rsid w:val="00593558"/>
    <w:rsid w:val="005B3603"/>
    <w:rsid w:val="005C3890"/>
    <w:rsid w:val="005D541C"/>
    <w:rsid w:val="005F7BFE"/>
    <w:rsid w:val="00600017"/>
    <w:rsid w:val="006235CA"/>
    <w:rsid w:val="006643AB"/>
    <w:rsid w:val="006702BB"/>
    <w:rsid w:val="006C3890"/>
    <w:rsid w:val="00716304"/>
    <w:rsid w:val="00720920"/>
    <w:rsid w:val="007210CD"/>
    <w:rsid w:val="00731872"/>
    <w:rsid w:val="00732045"/>
    <w:rsid w:val="007369DB"/>
    <w:rsid w:val="007869F8"/>
    <w:rsid w:val="007956C2"/>
    <w:rsid w:val="007A187E"/>
    <w:rsid w:val="007A7744"/>
    <w:rsid w:val="007B0730"/>
    <w:rsid w:val="007B1342"/>
    <w:rsid w:val="007C72C2"/>
    <w:rsid w:val="007C7A55"/>
    <w:rsid w:val="007D38C7"/>
    <w:rsid w:val="007D4436"/>
    <w:rsid w:val="007F257A"/>
    <w:rsid w:val="007F3665"/>
    <w:rsid w:val="00800037"/>
    <w:rsid w:val="008341F9"/>
    <w:rsid w:val="00861D73"/>
    <w:rsid w:val="008923BD"/>
    <w:rsid w:val="008A4E87"/>
    <w:rsid w:val="008D6B53"/>
    <w:rsid w:val="008D76E6"/>
    <w:rsid w:val="0091741B"/>
    <w:rsid w:val="0092392D"/>
    <w:rsid w:val="0093234A"/>
    <w:rsid w:val="0093514B"/>
    <w:rsid w:val="0095116B"/>
    <w:rsid w:val="00954C80"/>
    <w:rsid w:val="00972279"/>
    <w:rsid w:val="009C307F"/>
    <w:rsid w:val="009F48A2"/>
    <w:rsid w:val="009F5463"/>
    <w:rsid w:val="00A001B7"/>
    <w:rsid w:val="00A2113E"/>
    <w:rsid w:val="00A23A51"/>
    <w:rsid w:val="00A24607"/>
    <w:rsid w:val="00A25CD3"/>
    <w:rsid w:val="00A720B8"/>
    <w:rsid w:val="00A77E18"/>
    <w:rsid w:val="00A82767"/>
    <w:rsid w:val="00AA0838"/>
    <w:rsid w:val="00AA09AF"/>
    <w:rsid w:val="00AA332F"/>
    <w:rsid w:val="00AA7BBB"/>
    <w:rsid w:val="00AB64A8"/>
    <w:rsid w:val="00AC0266"/>
    <w:rsid w:val="00AD24EC"/>
    <w:rsid w:val="00B309F9"/>
    <w:rsid w:val="00B32B60"/>
    <w:rsid w:val="00B61619"/>
    <w:rsid w:val="00BB4545"/>
    <w:rsid w:val="00BD5873"/>
    <w:rsid w:val="00BD5FA2"/>
    <w:rsid w:val="00C04BE3"/>
    <w:rsid w:val="00C25D29"/>
    <w:rsid w:val="00C27A7C"/>
    <w:rsid w:val="00C51BFA"/>
    <w:rsid w:val="00C6169D"/>
    <w:rsid w:val="00C82E63"/>
    <w:rsid w:val="00C90434"/>
    <w:rsid w:val="00CA08ED"/>
    <w:rsid w:val="00CA2458"/>
    <w:rsid w:val="00CF183B"/>
    <w:rsid w:val="00D375CD"/>
    <w:rsid w:val="00D54973"/>
    <w:rsid w:val="00D553A2"/>
    <w:rsid w:val="00D774D3"/>
    <w:rsid w:val="00D904E8"/>
    <w:rsid w:val="00D92272"/>
    <w:rsid w:val="00DA08C3"/>
    <w:rsid w:val="00DA15F5"/>
    <w:rsid w:val="00DB5A3E"/>
    <w:rsid w:val="00DC22AA"/>
    <w:rsid w:val="00DD22B0"/>
    <w:rsid w:val="00DD5C87"/>
    <w:rsid w:val="00DF1A54"/>
    <w:rsid w:val="00DF74DD"/>
    <w:rsid w:val="00E109BA"/>
    <w:rsid w:val="00E25AD0"/>
    <w:rsid w:val="00E953E0"/>
    <w:rsid w:val="00EB0C35"/>
    <w:rsid w:val="00EB6350"/>
    <w:rsid w:val="00F15B57"/>
    <w:rsid w:val="00F26C35"/>
    <w:rsid w:val="00F427DB"/>
    <w:rsid w:val="00F518BF"/>
    <w:rsid w:val="00F6433B"/>
    <w:rsid w:val="00FA5EB1"/>
    <w:rsid w:val="00FA6E37"/>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3DAC261-F7ED-4FDC-8D20-F2344CB9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732045"/>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AA09AF"/>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uiPriority w:val="34"/>
    <w:qFormat/>
    <w:rsid w:val="00C51BFA"/>
    <w:pPr>
      <w:ind w:left="720"/>
      <w:contextualSpacing/>
    </w:pPr>
    <w:rPr>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7D38C7"/>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pub/publications.aspx?lang=en&amp;parent=T-RES-T.18-2016" TargetMode="External"/><Relationship Id="rId18" Type="http://schemas.openxmlformats.org/officeDocument/2006/relationships/hyperlink" Target="http://www.itu.int/pub/publications.aspx?lang=en&amp;parent=T-RES-T.32-2016" TargetMode="External"/><Relationship Id="rId26" Type="http://schemas.openxmlformats.org/officeDocument/2006/relationships/hyperlink" Target="http://www.itu.int/pub/publications.aspx?lang=en&amp;parent=T-RES-T.48-2016" TargetMode="External"/><Relationship Id="rId39" Type="http://schemas.openxmlformats.org/officeDocument/2006/relationships/hyperlink" Target="http://www.itu.int/pub/publications.aspx?lang=en&amp;parent=T-RES-T.66-2016" TargetMode="External"/><Relationship Id="rId21" Type="http://schemas.openxmlformats.org/officeDocument/2006/relationships/hyperlink" Target="http://www.itu.int/pub/publications.aspx?lang=en&amp;parent=T-RES-T.40-2016" TargetMode="External"/><Relationship Id="rId34" Type="http://schemas.openxmlformats.org/officeDocument/2006/relationships/hyperlink" Target="http://www.itu.int/pub/publications.aspx?lang=en&amp;parent=T-RES-T.60-2016" TargetMode="External"/><Relationship Id="rId42" Type="http://schemas.openxmlformats.org/officeDocument/2006/relationships/hyperlink" Target="http://www.itu.int/pub/publications.aspx?lang=en&amp;parent=T-RES-T.69-2016" TargetMode="External"/><Relationship Id="rId47" Type="http://schemas.openxmlformats.org/officeDocument/2006/relationships/hyperlink" Target="http://www.itu.int/pub/publications.aspx?lang=en&amp;parent=T-RES-T.75-2016" TargetMode="External"/><Relationship Id="rId50" Type="http://schemas.openxmlformats.org/officeDocument/2006/relationships/hyperlink" Target="http://www.itu.int/pub/publications.aspx?lang=en&amp;parent=T-RES-T.78-2016" TargetMode="External"/><Relationship Id="rId55" Type="http://schemas.openxmlformats.org/officeDocument/2006/relationships/hyperlink" Target="http://www.itu.int/pub/publications.aspx?lang=en&amp;parent=T-RES-T.85-2016" TargetMode="External"/><Relationship Id="rId63" Type="http://schemas.openxmlformats.org/officeDocument/2006/relationships/hyperlink" Target="http://www.itu.int/pub/publications.aspx?lang=en&amp;parent=T-RES-T.93-2016" TargetMode="External"/><Relationship Id="rId68" Type="http://schemas.openxmlformats.org/officeDocument/2006/relationships/hyperlink" Target="http://www.itu.int/pub/publications.aspx?lang=en&amp;parent=T-RES-T.98-2016" TargetMode="External"/><Relationship Id="rId76" Type="http://schemas.openxmlformats.org/officeDocument/2006/relationships/hyperlink" Target="http://www.itu.int/ITU-T/recommendations/rec.aspx?id=12830&amp;lang=en" TargetMode="External"/><Relationship Id="rId7" Type="http://schemas.openxmlformats.org/officeDocument/2006/relationships/image" Target="media/image1.jpeg"/><Relationship Id="rId71" Type="http://schemas.openxmlformats.org/officeDocument/2006/relationships/hyperlink" Target="http://www.itu.int/rec/T-REC-A.12-201611-I" TargetMode="External"/><Relationship Id="rId2" Type="http://schemas.openxmlformats.org/officeDocument/2006/relationships/styles" Target="styles.xml"/><Relationship Id="rId16" Type="http://schemas.openxmlformats.org/officeDocument/2006/relationships/hyperlink" Target="http://www.itu.int/pub/publications.aspx?lang=en&amp;parent=T-RES-T.29-2016" TargetMode="External"/><Relationship Id="rId29" Type="http://schemas.openxmlformats.org/officeDocument/2006/relationships/hyperlink" Target="http://www.itu.int/pub/publications.aspx?lang=en&amp;parent=T-RES-T.52-2016" TargetMode="External"/><Relationship Id="rId11" Type="http://schemas.openxmlformats.org/officeDocument/2006/relationships/hyperlink" Target="http://www.itu.int/pub/publications.aspx?lang=en&amp;parent=T-RES-T.7-2016" TargetMode="External"/><Relationship Id="rId24" Type="http://schemas.openxmlformats.org/officeDocument/2006/relationships/hyperlink" Target="http://www.itu.int/pub/publications.aspx?lang=en&amp;parent=T-RES-T.45-2016" TargetMode="External"/><Relationship Id="rId32" Type="http://schemas.openxmlformats.org/officeDocument/2006/relationships/hyperlink" Target="http://www.itu.int/pub/publications.aspx?lang=en&amp;parent=T-RES-T.58-2016" TargetMode="External"/><Relationship Id="rId37" Type="http://schemas.openxmlformats.org/officeDocument/2006/relationships/hyperlink" Target="http://www.itu.int/pub/publications.aspx?lang=en&amp;parent=T-RES-T.64-2016" TargetMode="External"/><Relationship Id="rId40" Type="http://schemas.openxmlformats.org/officeDocument/2006/relationships/hyperlink" Target="http://www.itu.int/pub/publications.aspx?lang=en&amp;parent=T-RES-T.67-2016" TargetMode="External"/><Relationship Id="rId45" Type="http://schemas.openxmlformats.org/officeDocument/2006/relationships/hyperlink" Target="http://www.itu.int/pub/publications.aspx?lang=en&amp;parent=T-RES-T.73-2016" TargetMode="External"/><Relationship Id="rId53" Type="http://schemas.openxmlformats.org/officeDocument/2006/relationships/hyperlink" Target="http://www.itu.int/pub/publications.aspx?lang=en&amp;parent=T-RES-T.83-2016" TargetMode="External"/><Relationship Id="rId58" Type="http://schemas.openxmlformats.org/officeDocument/2006/relationships/hyperlink" Target="http://www.itu.int/pub/publications.aspx?lang=en&amp;parent=T-RES-T.88-2016" TargetMode="External"/><Relationship Id="rId66" Type="http://schemas.openxmlformats.org/officeDocument/2006/relationships/hyperlink" Target="http://www.itu.int/pub/publications.aspx?lang=en&amp;parent=T-RES-T.96-2016" TargetMode="External"/><Relationship Id="rId74" Type="http://schemas.openxmlformats.org/officeDocument/2006/relationships/hyperlink" Target="http://www.itu.int/ITU-T/recommendations/rec.aspx?id=12828&amp;lang=en"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itu.int/pub/publications.aspx?lang=en&amp;parent=T-RES-T.91-2016" TargetMode="External"/><Relationship Id="rId82" Type="http://schemas.openxmlformats.org/officeDocument/2006/relationships/fontTable" Target="fontTable.xml"/><Relationship Id="rId10" Type="http://schemas.openxmlformats.org/officeDocument/2006/relationships/hyperlink" Target="http://www.itu.int/pub/publications.aspx?lang=en&amp;parent=T-RES-T.2-2016" TargetMode="External"/><Relationship Id="rId19" Type="http://schemas.openxmlformats.org/officeDocument/2006/relationships/hyperlink" Target="http://www.itu.int/pub/publications.aspx?lang=en&amp;parent=T-RES-T.34-2016" TargetMode="External"/><Relationship Id="rId31" Type="http://schemas.openxmlformats.org/officeDocument/2006/relationships/hyperlink" Target="http://www.itu.int/pub/publications.aspx?lang=en&amp;parent=T-RES-T.55-2016" TargetMode="External"/><Relationship Id="rId44" Type="http://schemas.openxmlformats.org/officeDocument/2006/relationships/hyperlink" Target="http://www.itu.int/pub/publications.aspx?lang=en&amp;parent=T-RES-T.72-2016" TargetMode="External"/><Relationship Id="rId52" Type="http://schemas.openxmlformats.org/officeDocument/2006/relationships/hyperlink" Target="http://www.itu.int/pub/publications.aspx?lang=en&amp;parent=T-RES-T.80-2016" TargetMode="External"/><Relationship Id="rId60" Type="http://schemas.openxmlformats.org/officeDocument/2006/relationships/hyperlink" Target="http://www.itu.int/pub/publications.aspx?lang=en&amp;parent=T-RES-T.90-2016" TargetMode="External"/><Relationship Id="rId65" Type="http://schemas.openxmlformats.org/officeDocument/2006/relationships/hyperlink" Target="http://www.itu.int/pub/publications.aspx?lang=en&amp;parent=T-RES-T.95-2016" TargetMode="External"/><Relationship Id="rId73" Type="http://schemas.openxmlformats.org/officeDocument/2006/relationships/hyperlink" Target="http://www.itu.int/ITU-T/recommendations/rec.aspx?id=12827&amp;lang=en" TargetMode="External"/><Relationship Id="rId78" Type="http://schemas.openxmlformats.org/officeDocument/2006/relationships/header" Target="header2.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tu.int/pub/publications.aspx?lang=en&amp;parent=T-RES-T.1-2016" TargetMode="External"/><Relationship Id="rId14" Type="http://schemas.openxmlformats.org/officeDocument/2006/relationships/hyperlink" Target="http://www.itu.int/pub/publications.aspx?lang=en&amp;parent=T-RES-T.20-2016" TargetMode="External"/><Relationship Id="rId22" Type="http://schemas.openxmlformats.org/officeDocument/2006/relationships/hyperlink" Target="http://www.itu.int/pub/publications.aspx?lang=en&amp;parent=T-RES-T.43-2016" TargetMode="External"/><Relationship Id="rId27" Type="http://schemas.openxmlformats.org/officeDocument/2006/relationships/hyperlink" Target="http://www.itu.int/pub/publications.aspx?lang=en&amp;parent=T-RES-T.49-2016" TargetMode="External"/><Relationship Id="rId30" Type="http://schemas.openxmlformats.org/officeDocument/2006/relationships/hyperlink" Target="http://www.itu.int/pub/publications.aspx?lang=en&amp;parent=T-RES-T.54-2016" TargetMode="External"/><Relationship Id="rId35" Type="http://schemas.openxmlformats.org/officeDocument/2006/relationships/hyperlink" Target="http://www.itu.int/pub/publications.aspx?lang=en&amp;parent=T-RES-T.61-2016" TargetMode="External"/><Relationship Id="rId43" Type="http://schemas.openxmlformats.org/officeDocument/2006/relationships/hyperlink" Target="http://www.itu.int/pub/publications.aspx?lang=en&amp;parent=T-RES-T.70-2016" TargetMode="External"/><Relationship Id="rId48" Type="http://schemas.openxmlformats.org/officeDocument/2006/relationships/hyperlink" Target="http://www.itu.int/pub/publications.aspx?lang=en&amp;parent=T-RES-T.76-2016" TargetMode="External"/><Relationship Id="rId56" Type="http://schemas.openxmlformats.org/officeDocument/2006/relationships/hyperlink" Target="http://www.itu.int/pub/publications.aspx?lang=en&amp;parent=T-RES-T.86-2016" TargetMode="External"/><Relationship Id="rId64" Type="http://schemas.openxmlformats.org/officeDocument/2006/relationships/hyperlink" Target="http://www.itu.int/pub/publications.aspx?lang=en&amp;parent=T-RES-T.94-2016" TargetMode="External"/><Relationship Id="rId69" Type="http://schemas.openxmlformats.org/officeDocument/2006/relationships/hyperlink" Target="http://www.itu.int/pub/publications.aspx?lang=en&amp;parent=T-RES-T.1000-2016" TargetMode="External"/><Relationship Id="rId77" Type="http://schemas.openxmlformats.org/officeDocument/2006/relationships/header" Target="header1.xml"/><Relationship Id="rId8" Type="http://schemas.openxmlformats.org/officeDocument/2006/relationships/hyperlink" Target="https://www.itu.int/md/T13-WTSA.16-C-0077/en" TargetMode="External"/><Relationship Id="rId51" Type="http://schemas.openxmlformats.org/officeDocument/2006/relationships/hyperlink" Target="http://www.itu.int/pub/T-RES-T.79-2016" TargetMode="External"/><Relationship Id="rId72" Type="http://schemas.openxmlformats.org/officeDocument/2006/relationships/hyperlink" Target="http://www.itu.int/ITU-T/recommendations/rec.aspx?id=12826&amp;lang=en"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itu.int/pub/publications.aspx?lang=en&amp;parent=T-RES-T.11-2016" TargetMode="External"/><Relationship Id="rId17" Type="http://schemas.openxmlformats.org/officeDocument/2006/relationships/hyperlink" Target="http://www.itu.int/pub/publications.aspx?lang=en&amp;parent=T-RES-T.31-2016" TargetMode="External"/><Relationship Id="rId25" Type="http://schemas.openxmlformats.org/officeDocument/2006/relationships/hyperlink" Target="http://www.itu.int/pub/publications.aspx?lang=en&amp;parent=T-RES-T.47-2016" TargetMode="External"/><Relationship Id="rId33" Type="http://schemas.openxmlformats.org/officeDocument/2006/relationships/hyperlink" Target="http://www.itu.int/pub/publications.aspx?lang=en&amp;parent=T-RES-T.59-2016" TargetMode="External"/><Relationship Id="rId38" Type="http://schemas.openxmlformats.org/officeDocument/2006/relationships/hyperlink" Target="http://www.itu.int/pub/publications.aspx?lang=en&amp;parent=T-RES-T.65-2016" TargetMode="External"/><Relationship Id="rId46" Type="http://schemas.openxmlformats.org/officeDocument/2006/relationships/hyperlink" Target="http://www.itu.int/pub/publications.aspx?lang=en&amp;parent=T-RES-T.74-2016" TargetMode="External"/><Relationship Id="rId59" Type="http://schemas.openxmlformats.org/officeDocument/2006/relationships/hyperlink" Target="http://www.itu.int/pub/publications.aspx?lang=en&amp;parent=T-RES-T.89-2016" TargetMode="External"/><Relationship Id="rId67" Type="http://schemas.openxmlformats.org/officeDocument/2006/relationships/hyperlink" Target="http://www.itu.int/pub/publications.aspx?lang=en&amp;parent=T-RES-T.97-2016" TargetMode="External"/><Relationship Id="rId20" Type="http://schemas.openxmlformats.org/officeDocument/2006/relationships/hyperlink" Target="http://www.itu.int/pub/publications.aspx?lang=en&amp;parent=T-RES-T.35-2016" TargetMode="External"/><Relationship Id="rId41" Type="http://schemas.openxmlformats.org/officeDocument/2006/relationships/hyperlink" Target="http://www.itu.int/pub/publications.aspx?lang=en&amp;parent=T-RES-T.68-2016" TargetMode="External"/><Relationship Id="rId54" Type="http://schemas.openxmlformats.org/officeDocument/2006/relationships/hyperlink" Target="http://www.itu.int/pub/publications.aspx?lang=en&amp;parent=T-RES-T.84-2016" TargetMode="External"/><Relationship Id="rId62" Type="http://schemas.openxmlformats.org/officeDocument/2006/relationships/hyperlink" Target="http://www.itu.int/pub/publications.aspx?lang=en&amp;parent=T-RES-T.92-2016" TargetMode="External"/><Relationship Id="rId70" Type="http://schemas.openxmlformats.org/officeDocument/2006/relationships/hyperlink" Target="http://www.itu.int/rec/T-REC-A.1-201610-I" TargetMode="External"/><Relationship Id="rId75" Type="http://schemas.openxmlformats.org/officeDocument/2006/relationships/hyperlink" Target="http://www.itu.int/ITU-T/recommendations/rec.aspx?id=12829&amp;lang=en"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tu.int/pub/publications.aspx?lang=en&amp;parent=T-RES-T.22-2016" TargetMode="External"/><Relationship Id="rId23" Type="http://schemas.openxmlformats.org/officeDocument/2006/relationships/hyperlink" Target="http://www.itu.int/pub/publications.aspx?lang=en&amp;parent=T-RES-T.44-2016" TargetMode="External"/><Relationship Id="rId28" Type="http://schemas.openxmlformats.org/officeDocument/2006/relationships/hyperlink" Target="http://www.itu.int/pub/publications.aspx?lang=en&amp;parent=T-RES-T.50-2016" TargetMode="External"/><Relationship Id="rId36" Type="http://schemas.openxmlformats.org/officeDocument/2006/relationships/hyperlink" Target="http://www.itu.int/pub/publications.aspx?lang=en&amp;parent=T-RES-T.62-2016" TargetMode="External"/><Relationship Id="rId49" Type="http://schemas.openxmlformats.org/officeDocument/2006/relationships/hyperlink" Target="http://www.itu.int/pub/publications.aspx?lang=en&amp;parent=T-RES-T.77-2016" TargetMode="External"/><Relationship Id="rId57" Type="http://schemas.openxmlformats.org/officeDocument/2006/relationships/hyperlink" Target="http://www.itu.int/pub/publications.aspx?lang=en&amp;parent=T-RES-T.87-2016"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PF_C17.dotm</Template>
  <TotalTime>0</TotalTime>
  <Pages>9</Pages>
  <Words>3417</Words>
  <Characters>26509</Characters>
  <Application>Microsoft Office Word</Application>
  <DocSecurity>4</DocSecurity>
  <Lines>220</Lines>
  <Paragraphs>59</Paragraphs>
  <ScaleCrop>false</ScaleCrop>
  <HeadingPairs>
    <vt:vector size="2" baseType="variant">
      <vt:variant>
        <vt:lpstr>Title</vt:lpstr>
      </vt:variant>
      <vt:variant>
        <vt:i4>1</vt:i4>
      </vt:variant>
    </vt:vector>
  </HeadingPairs>
  <TitlesOfParts>
    <vt:vector size="1" baseType="lpstr">
      <vt:lpstr>RAPPORT SUR LE COLLOQUE MONDIAL SUR LA NORMALISATION (GSS-16) ET SUR L'ASSEMBLÉE MONDIALE DE NORMALISATION DES TÉLÉCOMMUNICATIONS (AMNT-16)</vt:lpstr>
    </vt:vector>
  </TitlesOfParts>
  <Manager>Secrétariat général - Pool</Manager>
  <Company>Union internationale des télécommunications (UIT)</Company>
  <LinksUpToDate>false</LinksUpToDate>
  <CharactersWithSpaces>29867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 COLLOQUE MONDIAL SUR LA NORMALISATION (GSS-16) ET SUR L'ASSEMBLÉE MONDIALE DE NORMALISATION DES TÉLÉCOMMUNICATIONS (AMNT-16)</dc:title>
  <dc:subject>Conseil 2017</dc:subject>
  <dc:creator>Rapport du Secrétaire général</dc:creator>
  <cp:keywords>C2017, C17</cp:keywords>
  <dc:description>Document C17/52-F  Pour: _x000d_Date du document: 24 janvier 2017_x000d_Enregistré par ITU51009313 à 15:38:01 le 10/02/2017</dc:description>
  <cp:lastModifiedBy>Brouard, Ricarda</cp:lastModifiedBy>
  <cp:revision>2</cp:revision>
  <cp:lastPrinted>2017-02-21T09:04:00Z</cp:lastPrinted>
  <dcterms:created xsi:type="dcterms:W3CDTF">2017-02-22T10:34:00Z</dcterms:created>
  <dcterms:modified xsi:type="dcterms:W3CDTF">2017-02-22T10:34:00Z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C17/52-F</vt:lpwstr>
  </property>
  <property fmtid="{D5CDD505-2E9C-101B-9397-08002B2CF9AE}" pid="3" name="Docdate">
    <vt:lpwstr>24 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Rapport du Secrétaire général</vt:lpwstr>
  </property>
</Properties>
</file>