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CC8" w:rsidRPr="00813E5E">
        <w:trPr>
          <w:cantSplit/>
        </w:trPr>
        <w:tc>
          <w:tcPr>
            <w:tcW w:w="6911" w:type="dxa"/>
          </w:tcPr>
          <w:p w:rsidR="00C71CC8" w:rsidRPr="00813E5E" w:rsidRDefault="00C71CC8" w:rsidP="00C71CC8">
            <w:pPr>
              <w:spacing w:before="360" w:after="48" w:line="240" w:lineRule="atLeast"/>
              <w:rPr>
                <w:position w:val="6"/>
              </w:rPr>
            </w:pPr>
            <w:bookmarkStart w:id="0" w:name="dc06"/>
            <w:bookmarkStart w:id="1" w:name="_GoBack"/>
            <w:bookmarkEnd w:id="0"/>
            <w:bookmarkEnd w:id="1"/>
            <w:r w:rsidRPr="00C71CC8">
              <w:rPr>
                <w:b/>
                <w:bCs/>
                <w:position w:val="6"/>
                <w:sz w:val="30"/>
                <w:szCs w:val="30"/>
                <w:lang w:val="fr-CH"/>
              </w:rPr>
              <w:t>Council 2017</w:t>
            </w:r>
            <w:r w:rsidRPr="00C71CC8">
              <w:rPr>
                <w:rFonts w:cs="Times"/>
                <w:b/>
                <w:position w:val="6"/>
                <w:sz w:val="26"/>
                <w:szCs w:val="26"/>
                <w:lang w:val="en-US"/>
              </w:rPr>
              <w:br/>
            </w:r>
            <w:r w:rsidRPr="00C71CC8">
              <w:rPr>
                <w:b/>
                <w:bCs/>
                <w:position w:val="6"/>
                <w:szCs w:val="24"/>
                <w:lang w:val="fr-CH"/>
              </w:rPr>
              <w:t>Geneva, 15-25 May 2017</w:t>
            </w:r>
          </w:p>
        </w:tc>
        <w:tc>
          <w:tcPr>
            <w:tcW w:w="3120" w:type="dxa"/>
          </w:tcPr>
          <w:p w:rsidR="00C71CC8" w:rsidRPr="00813E5E" w:rsidRDefault="00C71CC8" w:rsidP="00C71CC8">
            <w:pPr>
              <w:spacing w:before="0" w:line="240" w:lineRule="atLeast"/>
              <w:jc w:val="right"/>
            </w:pPr>
            <w:bookmarkStart w:id="2" w:name="ditulogo"/>
            <w:bookmarkEnd w:id="2"/>
            <w:r w:rsidRPr="00F21593">
              <w:rPr>
                <w:rFonts w:ascii="Verdana" w:hAnsi="Verdana"/>
                <w:noProof/>
                <w:color w:val="FFFFFF"/>
                <w:sz w:val="26"/>
                <w:szCs w:val="26"/>
                <w:lang w:val="en-US" w:eastAsia="zh-CN"/>
              </w:rPr>
              <w:drawing>
                <wp:inline distT="0" distB="0" distL="0" distR="0">
                  <wp:extent cx="17653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C71CC8" w:rsidRPr="00813E5E">
        <w:trPr>
          <w:cantSplit/>
        </w:trPr>
        <w:tc>
          <w:tcPr>
            <w:tcW w:w="6911" w:type="dxa"/>
            <w:tcBorders>
              <w:bottom w:val="single" w:sz="12" w:space="0" w:color="auto"/>
            </w:tcBorders>
          </w:tcPr>
          <w:p w:rsidR="00C71CC8" w:rsidRPr="00813E5E" w:rsidRDefault="00C71CC8">
            <w:pPr>
              <w:spacing w:before="0" w:after="48" w:line="240" w:lineRule="atLeast"/>
              <w:rPr>
                <w:b/>
                <w:smallCaps/>
                <w:szCs w:val="24"/>
              </w:rPr>
            </w:pPr>
          </w:p>
        </w:tc>
        <w:tc>
          <w:tcPr>
            <w:tcW w:w="3120" w:type="dxa"/>
            <w:tcBorders>
              <w:bottom w:val="single" w:sz="12" w:space="0" w:color="auto"/>
            </w:tcBorders>
          </w:tcPr>
          <w:p w:rsidR="00C71CC8" w:rsidRPr="00813E5E" w:rsidRDefault="00C71CC8">
            <w:pPr>
              <w:spacing w:before="0" w:line="240" w:lineRule="atLeast"/>
              <w:rPr>
                <w:szCs w:val="24"/>
              </w:rPr>
            </w:pPr>
          </w:p>
        </w:tc>
      </w:tr>
      <w:tr w:rsidR="00C71CC8" w:rsidRPr="00813E5E">
        <w:trPr>
          <w:cantSplit/>
        </w:trPr>
        <w:tc>
          <w:tcPr>
            <w:tcW w:w="6911" w:type="dxa"/>
            <w:tcBorders>
              <w:top w:val="single" w:sz="12" w:space="0" w:color="auto"/>
            </w:tcBorders>
          </w:tcPr>
          <w:p w:rsidR="00C71CC8" w:rsidRPr="00813E5E" w:rsidRDefault="00C71CC8" w:rsidP="00563C0D">
            <w:pPr>
              <w:spacing w:before="0" w:line="240" w:lineRule="atLeast"/>
              <w:rPr>
                <w:b/>
                <w:smallCaps/>
                <w:szCs w:val="24"/>
              </w:rPr>
            </w:pPr>
          </w:p>
        </w:tc>
        <w:tc>
          <w:tcPr>
            <w:tcW w:w="3120" w:type="dxa"/>
            <w:tcBorders>
              <w:top w:val="single" w:sz="12" w:space="0" w:color="auto"/>
            </w:tcBorders>
          </w:tcPr>
          <w:p w:rsidR="00C71CC8" w:rsidRPr="00813E5E" w:rsidRDefault="00C71CC8" w:rsidP="00563C0D">
            <w:pPr>
              <w:spacing w:before="0" w:line="240" w:lineRule="atLeast"/>
              <w:rPr>
                <w:szCs w:val="24"/>
              </w:rPr>
            </w:pPr>
          </w:p>
        </w:tc>
      </w:tr>
      <w:tr w:rsidR="00C71CC8" w:rsidRPr="00813E5E">
        <w:trPr>
          <w:cantSplit/>
          <w:trHeight w:val="23"/>
        </w:trPr>
        <w:tc>
          <w:tcPr>
            <w:tcW w:w="6911" w:type="dxa"/>
            <w:vMerge w:val="restart"/>
          </w:tcPr>
          <w:p w:rsidR="00C71CC8" w:rsidRPr="00C71CC8" w:rsidRDefault="00C71CC8" w:rsidP="00C71CC8">
            <w:pPr>
              <w:tabs>
                <w:tab w:val="left" w:pos="851"/>
              </w:tabs>
              <w:spacing w:before="0" w:line="240" w:lineRule="atLeast"/>
              <w:rPr>
                <w:b/>
              </w:rPr>
            </w:pPr>
            <w:bookmarkStart w:id="3" w:name="dmeeting" w:colFirst="0" w:colLast="0"/>
            <w:bookmarkStart w:id="4" w:name="dnum" w:colFirst="1" w:colLast="1"/>
            <w:r>
              <w:rPr>
                <w:b/>
              </w:rPr>
              <w:t>Agenda item: PL 1.3</w:t>
            </w:r>
          </w:p>
        </w:tc>
        <w:tc>
          <w:tcPr>
            <w:tcW w:w="3120" w:type="dxa"/>
          </w:tcPr>
          <w:p w:rsidR="00C71CC8" w:rsidRPr="00C71CC8" w:rsidRDefault="00C71CC8" w:rsidP="00C71CC8">
            <w:pPr>
              <w:tabs>
                <w:tab w:val="left" w:pos="851"/>
              </w:tabs>
              <w:spacing w:before="0" w:line="240" w:lineRule="atLeast"/>
              <w:rPr>
                <w:b/>
              </w:rPr>
            </w:pPr>
            <w:r>
              <w:rPr>
                <w:b/>
              </w:rPr>
              <w:t>Document C17/51-E</w:t>
            </w:r>
          </w:p>
        </w:tc>
      </w:tr>
      <w:tr w:rsidR="00C71CC8" w:rsidRPr="00813E5E">
        <w:trPr>
          <w:cantSplit/>
          <w:trHeight w:val="23"/>
        </w:trPr>
        <w:tc>
          <w:tcPr>
            <w:tcW w:w="6911" w:type="dxa"/>
            <w:vMerge/>
          </w:tcPr>
          <w:p w:rsidR="00C71CC8" w:rsidRPr="00813E5E" w:rsidRDefault="00C71CC8">
            <w:pPr>
              <w:tabs>
                <w:tab w:val="left" w:pos="851"/>
              </w:tabs>
              <w:spacing w:line="240" w:lineRule="atLeast"/>
              <w:rPr>
                <w:b/>
              </w:rPr>
            </w:pPr>
            <w:bookmarkStart w:id="5" w:name="ddate" w:colFirst="1" w:colLast="1"/>
            <w:bookmarkEnd w:id="3"/>
            <w:bookmarkEnd w:id="4"/>
          </w:p>
        </w:tc>
        <w:tc>
          <w:tcPr>
            <w:tcW w:w="3120" w:type="dxa"/>
          </w:tcPr>
          <w:p w:rsidR="00C71CC8" w:rsidRPr="00C71CC8" w:rsidRDefault="00C71CC8" w:rsidP="00C71CC8">
            <w:pPr>
              <w:tabs>
                <w:tab w:val="left" w:pos="993"/>
              </w:tabs>
              <w:spacing w:before="0"/>
              <w:rPr>
                <w:b/>
              </w:rPr>
            </w:pPr>
            <w:r>
              <w:rPr>
                <w:b/>
              </w:rPr>
              <w:t>31 March 2017</w:t>
            </w:r>
          </w:p>
        </w:tc>
      </w:tr>
      <w:tr w:rsidR="00C71CC8" w:rsidRPr="00813E5E">
        <w:trPr>
          <w:cantSplit/>
          <w:trHeight w:val="23"/>
        </w:trPr>
        <w:tc>
          <w:tcPr>
            <w:tcW w:w="6911" w:type="dxa"/>
            <w:vMerge/>
          </w:tcPr>
          <w:p w:rsidR="00C71CC8" w:rsidRPr="00813E5E" w:rsidRDefault="00C71CC8">
            <w:pPr>
              <w:tabs>
                <w:tab w:val="left" w:pos="851"/>
              </w:tabs>
              <w:spacing w:line="240" w:lineRule="atLeast"/>
              <w:rPr>
                <w:b/>
              </w:rPr>
            </w:pPr>
            <w:bookmarkStart w:id="6" w:name="dorlang" w:colFirst="1" w:colLast="1"/>
            <w:bookmarkEnd w:id="5"/>
          </w:p>
        </w:tc>
        <w:tc>
          <w:tcPr>
            <w:tcW w:w="3120" w:type="dxa"/>
          </w:tcPr>
          <w:p w:rsidR="00C71CC8" w:rsidRPr="00C71CC8" w:rsidRDefault="00C71CC8" w:rsidP="00C71CC8">
            <w:pPr>
              <w:tabs>
                <w:tab w:val="left" w:pos="993"/>
              </w:tabs>
              <w:spacing w:before="0"/>
              <w:rPr>
                <w:b/>
              </w:rPr>
            </w:pPr>
            <w:r>
              <w:rPr>
                <w:b/>
              </w:rPr>
              <w:t>Original: English</w:t>
            </w:r>
          </w:p>
        </w:tc>
      </w:tr>
      <w:tr w:rsidR="00C71CC8" w:rsidRPr="00813E5E">
        <w:trPr>
          <w:cantSplit/>
        </w:trPr>
        <w:tc>
          <w:tcPr>
            <w:tcW w:w="10031" w:type="dxa"/>
            <w:gridSpan w:val="2"/>
          </w:tcPr>
          <w:p w:rsidR="00C71CC8" w:rsidRPr="00813E5E" w:rsidRDefault="00C71CC8" w:rsidP="00C71CC8">
            <w:pPr>
              <w:pStyle w:val="Source"/>
              <w:framePr w:hSpace="0" w:wrap="auto" w:hAnchor="text" w:yAlign="inline"/>
            </w:pPr>
            <w:bookmarkStart w:id="7" w:name="dsource" w:colFirst="0" w:colLast="0"/>
            <w:bookmarkEnd w:id="6"/>
          </w:p>
        </w:tc>
      </w:tr>
      <w:tr w:rsidR="00C71CC8" w:rsidRPr="00813E5E">
        <w:trPr>
          <w:cantSplit/>
        </w:trPr>
        <w:tc>
          <w:tcPr>
            <w:tcW w:w="10031" w:type="dxa"/>
            <w:gridSpan w:val="2"/>
          </w:tcPr>
          <w:p w:rsidR="00C71CC8" w:rsidRPr="00813E5E" w:rsidRDefault="00C71CC8" w:rsidP="00C71CC8">
            <w:pPr>
              <w:pStyle w:val="Title1"/>
              <w:framePr w:hSpace="0" w:wrap="auto" w:hAnchor="text" w:yAlign="inline"/>
            </w:pPr>
            <w:bookmarkStart w:id="8" w:name="dtitle1" w:colFirst="0" w:colLast="0"/>
            <w:bookmarkEnd w:id="7"/>
            <w:r>
              <w:t xml:space="preserve">Report by the Chairman of the Council Working Group on </w:t>
            </w:r>
            <w:r>
              <w:br/>
              <w:t>International Internet-Related Public Policy Issues (CWG-Internet)</w:t>
            </w:r>
          </w:p>
        </w:tc>
      </w:tr>
      <w:bookmarkEnd w:id="8"/>
    </w:tbl>
    <w:p w:rsidR="00C71CC8" w:rsidRPr="00813E5E" w:rsidRDefault="00C71CC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C71CC8" w:rsidRPr="00813E5E">
        <w:trPr>
          <w:trHeight w:val="3372"/>
        </w:trPr>
        <w:tc>
          <w:tcPr>
            <w:tcW w:w="8080" w:type="dxa"/>
            <w:tcBorders>
              <w:top w:val="single" w:sz="12" w:space="0" w:color="auto"/>
              <w:left w:val="single" w:sz="12" w:space="0" w:color="auto"/>
              <w:bottom w:val="single" w:sz="12" w:space="0" w:color="auto"/>
              <w:right w:val="single" w:sz="12" w:space="0" w:color="auto"/>
            </w:tcBorders>
          </w:tcPr>
          <w:p w:rsidR="00C71CC8" w:rsidRPr="00813E5E" w:rsidRDefault="00C71CC8">
            <w:pPr>
              <w:pStyle w:val="Headingb"/>
            </w:pPr>
            <w:r w:rsidRPr="00813E5E">
              <w:t>Summary</w:t>
            </w:r>
          </w:p>
          <w:p w:rsidR="00C71CC8" w:rsidRPr="00813E5E" w:rsidRDefault="00C71CC8" w:rsidP="00F90B2D">
            <w:pPr>
              <w:jc w:val="both"/>
            </w:pPr>
            <w:r w:rsidRPr="00C71CC8">
              <w:t>This report summarizes the main results of the eighth and ninth meetings of CWG-Internet, held on 13-14 October 2016 and 6-7 February 2017, in line with PP-14 Resolutions 102 (Rev. Busan, 2014) and 140 (Rev. Busan, 2014)</w:t>
            </w:r>
            <w:r w:rsidR="00F90B2D">
              <w:t>,</w:t>
            </w:r>
            <w:r w:rsidRPr="00C71CC8">
              <w:t xml:space="preserve"> and Council Resolutions 1305 (2009), 1336 (Mod. 2015), and 1344 (Mod. 2015).</w:t>
            </w:r>
          </w:p>
          <w:p w:rsidR="00C71CC8" w:rsidRPr="00813E5E" w:rsidRDefault="00C71CC8" w:rsidP="00F90B2D">
            <w:pPr>
              <w:pStyle w:val="Headingb"/>
              <w:jc w:val="both"/>
            </w:pPr>
            <w:r w:rsidRPr="00813E5E">
              <w:t>Action required</w:t>
            </w:r>
          </w:p>
          <w:p w:rsidR="00C71CC8" w:rsidRPr="00813E5E" w:rsidRDefault="00C71CC8" w:rsidP="00F90B2D">
            <w:pPr>
              <w:jc w:val="both"/>
            </w:pPr>
            <w:r w:rsidRPr="00C71CC8">
              <w:t xml:space="preserve">The Council is invited to </w:t>
            </w:r>
            <w:r w:rsidRPr="00C71CC8">
              <w:rPr>
                <w:b/>
                <w:bCs/>
              </w:rPr>
              <w:t>note</w:t>
            </w:r>
            <w:r w:rsidRPr="00C71CC8">
              <w:t xml:space="preserve"> the report and </w:t>
            </w:r>
            <w:r w:rsidRPr="00C71CC8">
              <w:rPr>
                <w:b/>
                <w:bCs/>
              </w:rPr>
              <w:t>provide guidance</w:t>
            </w:r>
            <w:r w:rsidRPr="00C71CC8">
              <w:t xml:space="preserve"> with respect to item 3.2.</w:t>
            </w:r>
          </w:p>
          <w:p w:rsidR="00C71CC8" w:rsidRPr="00813E5E" w:rsidRDefault="00C71CC8">
            <w:pPr>
              <w:pStyle w:val="Table"/>
              <w:keepNext w:val="0"/>
              <w:spacing w:before="0" w:after="0"/>
              <w:rPr>
                <w:rFonts w:ascii="Calibri" w:hAnsi="Calibri"/>
                <w:caps w:val="0"/>
                <w:sz w:val="22"/>
              </w:rPr>
            </w:pPr>
            <w:r w:rsidRPr="00813E5E">
              <w:rPr>
                <w:rFonts w:ascii="Calibri" w:hAnsi="Calibri"/>
                <w:caps w:val="0"/>
                <w:sz w:val="22"/>
              </w:rPr>
              <w:t>____________</w:t>
            </w:r>
          </w:p>
          <w:p w:rsidR="00C71CC8" w:rsidRPr="00813E5E" w:rsidRDefault="00C71CC8">
            <w:pPr>
              <w:pStyle w:val="Headingb"/>
            </w:pPr>
            <w:r w:rsidRPr="00813E5E">
              <w:t>References</w:t>
            </w:r>
          </w:p>
          <w:p w:rsidR="00C71CC8" w:rsidRDefault="00DF4456" w:rsidP="00C71CC8">
            <w:pPr>
              <w:pStyle w:val="Body"/>
              <w:spacing w:before="0"/>
              <w:ind w:left="34" w:hanging="6"/>
              <w:jc w:val="both"/>
              <w:rPr>
                <w:i/>
                <w:iCs/>
              </w:rPr>
            </w:pPr>
            <w:hyperlink r:id="rId9" w:history="1">
              <w:r w:rsidR="00C71CC8">
                <w:rPr>
                  <w:rStyle w:val="Hyperlink1"/>
                  <w:i/>
                  <w:iCs/>
                </w:rPr>
                <w:t>Resolution 102 (Rev. Busan, 2014)</w:t>
              </w:r>
            </w:hyperlink>
            <w:r w:rsidR="00C71CC8">
              <w:rPr>
                <w:rStyle w:val="Hyperlink0"/>
                <w:i/>
                <w:iCs/>
              </w:rPr>
              <w:t>,</w:t>
            </w:r>
            <w:r w:rsidR="00C71CC8">
              <w:rPr>
                <w:i/>
                <w:iCs/>
              </w:rPr>
              <w:t xml:space="preserve"> </w:t>
            </w:r>
            <w:hyperlink r:id="rId10" w:history="1">
              <w:r w:rsidR="00C71CC8">
                <w:rPr>
                  <w:rStyle w:val="Hyperlink1"/>
                  <w:i/>
                  <w:iCs/>
                </w:rPr>
                <w:t>Resolution 140 (Rev. Busan, 2014)</w:t>
              </w:r>
            </w:hyperlink>
          </w:p>
          <w:p w:rsidR="00C71CC8" w:rsidRPr="00813E5E" w:rsidRDefault="00C71CC8" w:rsidP="00C71CC8">
            <w:pPr>
              <w:spacing w:before="0" w:after="120"/>
              <w:jc w:val="both"/>
              <w:rPr>
                <w:i/>
                <w:iCs/>
              </w:rPr>
            </w:pPr>
            <w:r>
              <w:rPr>
                <w:i/>
                <w:iCs/>
              </w:rPr>
              <w:t xml:space="preserve">Council Resolutions </w:t>
            </w:r>
            <w:hyperlink r:id="rId11" w:history="1">
              <w:r>
                <w:rPr>
                  <w:rStyle w:val="Hyperlink1"/>
                  <w:i/>
                  <w:iCs/>
                </w:rPr>
                <w:t>1305</w:t>
              </w:r>
            </w:hyperlink>
            <w:r>
              <w:rPr>
                <w:rStyle w:val="Hyperlink1"/>
                <w:i/>
                <w:iCs/>
              </w:rPr>
              <w:t xml:space="preserve"> (2009)</w:t>
            </w:r>
            <w:r>
              <w:rPr>
                <w:i/>
                <w:iCs/>
              </w:rPr>
              <w:t xml:space="preserve">, </w:t>
            </w:r>
            <w:hyperlink r:id="rId12" w:history="1">
              <w:r w:rsidRPr="00F138A4">
                <w:rPr>
                  <w:rStyle w:val="Hyperlink1"/>
                  <w:i/>
                  <w:iCs/>
                </w:rPr>
                <w:t>13</w:t>
              </w:r>
              <w:r w:rsidRPr="008A2F30">
                <w:rPr>
                  <w:rStyle w:val="Hyperlink0"/>
                  <w:i/>
                  <w:iCs/>
                </w:rPr>
                <w:t>36 (Mod. 2015</w:t>
              </w:r>
            </w:hyperlink>
            <w:r w:rsidRPr="008A2F30">
              <w:rPr>
                <w:rStyle w:val="Hyperlink0"/>
                <w:i/>
                <w:iCs/>
              </w:rPr>
              <w:t>)</w:t>
            </w:r>
            <w:r>
              <w:rPr>
                <w:rStyle w:val="Hyperlink0"/>
                <w:i/>
                <w:iCs/>
                <w:color w:val="000000"/>
                <w:u w:color="000000"/>
              </w:rPr>
              <w:t xml:space="preserve">, </w:t>
            </w:r>
            <w:r>
              <w:t xml:space="preserve">and </w:t>
            </w:r>
            <w:hyperlink r:id="rId13" w:history="1">
              <w:r>
                <w:rPr>
                  <w:rStyle w:val="Hyperlink1"/>
                  <w:i/>
                  <w:iCs/>
                </w:rPr>
                <w:t>1344 (Mod. 2015)</w:t>
              </w:r>
            </w:hyperlink>
          </w:p>
        </w:tc>
      </w:tr>
    </w:tbl>
    <w:p w:rsidR="00C71CC8" w:rsidRDefault="00C71CC8" w:rsidP="00C71CC8">
      <w:pPr>
        <w:pStyle w:val="Normalaftertitle"/>
        <w:tabs>
          <w:tab w:val="clear" w:pos="567"/>
          <w:tab w:val="clear" w:pos="1134"/>
          <w:tab w:val="clear" w:pos="1701"/>
          <w:tab w:val="clear" w:pos="2268"/>
          <w:tab w:val="clear" w:pos="2835"/>
        </w:tabs>
        <w:snapToGrid w:val="0"/>
        <w:spacing w:before="360" w:after="120"/>
        <w:jc w:val="both"/>
        <w:rPr>
          <w:b/>
          <w:bCs/>
        </w:rPr>
      </w:pPr>
      <w:bookmarkStart w:id="9" w:name="dstart"/>
      <w:bookmarkStart w:id="10" w:name="dbreak"/>
      <w:bookmarkEnd w:id="9"/>
      <w:bookmarkEnd w:id="10"/>
      <w:r>
        <w:rPr>
          <w:b/>
          <w:bCs/>
        </w:rPr>
        <w:t>1</w:t>
      </w:r>
      <w:r>
        <w:rPr>
          <w:b/>
          <w:bCs/>
        </w:rPr>
        <w:tab/>
        <w:t>Introduction</w:t>
      </w:r>
    </w:p>
    <w:p w:rsidR="00C71CC8" w:rsidRPr="00C71CC8" w:rsidRDefault="00C71CC8" w:rsidP="00C71CC8">
      <w:pPr>
        <w:pStyle w:val="Normalaftertitle"/>
        <w:tabs>
          <w:tab w:val="clear" w:pos="567"/>
          <w:tab w:val="clear" w:pos="1134"/>
          <w:tab w:val="clear" w:pos="1701"/>
          <w:tab w:val="clear" w:pos="2268"/>
          <w:tab w:val="clear" w:pos="2835"/>
        </w:tabs>
        <w:snapToGrid w:val="0"/>
        <w:spacing w:before="120" w:after="120"/>
        <w:jc w:val="both"/>
        <w:rPr>
          <w:snapToGrid w:val="0"/>
        </w:rPr>
      </w:pPr>
      <w:r w:rsidRPr="0077633F">
        <w:rPr>
          <w:b/>
          <w:bCs/>
        </w:rPr>
        <w:t>1.1</w:t>
      </w:r>
      <w:r>
        <w:tab/>
      </w:r>
      <w:r w:rsidRPr="00C71CC8">
        <w:rPr>
          <w:snapToGrid w:val="0"/>
          <w:spacing w:val="2"/>
        </w:rPr>
        <w:t>The ITU Council Working Group on International Internet-related Public Policy Issues</w:t>
      </w:r>
      <w:r w:rsidRPr="00C71CC8">
        <w:rPr>
          <w:snapToGrid w:val="0"/>
        </w:rPr>
        <w:t xml:space="preserve"> (CWG-Internet) was established as a separate group by Council Resolution 1336 (Mod. 2015), in accordance with Resolutions 102 and 140 of the ITU Plenipotentiary Conference (Rev. Busan, 2014). CWG-Internet is limited to Member States, with open consultation to all stakeholders.</w:t>
      </w:r>
    </w:p>
    <w:p w:rsidR="00C71CC8" w:rsidRPr="00C71CC8" w:rsidRDefault="00C71CC8" w:rsidP="00C71CC8">
      <w:pPr>
        <w:pStyle w:val="Normalaftertitle"/>
        <w:tabs>
          <w:tab w:val="clear" w:pos="567"/>
          <w:tab w:val="clear" w:pos="1134"/>
          <w:tab w:val="clear" w:pos="1701"/>
          <w:tab w:val="clear" w:pos="2268"/>
          <w:tab w:val="clear" w:pos="2835"/>
        </w:tabs>
        <w:snapToGrid w:val="0"/>
        <w:spacing w:before="120" w:after="120"/>
        <w:jc w:val="both"/>
        <w:rPr>
          <w:snapToGrid w:val="0"/>
        </w:rPr>
      </w:pPr>
      <w:r w:rsidRPr="00C71CC8">
        <w:rPr>
          <w:b/>
          <w:bCs/>
          <w:snapToGrid w:val="0"/>
        </w:rPr>
        <w:t>1.2</w:t>
      </w:r>
      <w:r w:rsidRPr="00C71CC8">
        <w:rPr>
          <w:snapToGrid w:val="0"/>
        </w:rPr>
        <w:tab/>
        <w:t xml:space="preserve">The terms of reference for CWG-Internet, specified in Council Resolution 1336 (Mod. 2015), </w:t>
      </w:r>
      <w:r w:rsidRPr="00C71CC8">
        <w:rPr>
          <w:snapToGrid w:val="0"/>
          <w:spacing w:val="-4"/>
        </w:rPr>
        <w:t>are to identify, study and develop matters related to international Internet-related public policy issues,</w:t>
      </w:r>
      <w:r w:rsidRPr="00C71CC8">
        <w:rPr>
          <w:snapToGrid w:val="0"/>
          <w:spacing w:val="-2"/>
        </w:rPr>
        <w:t xml:space="preserve"> including those issues identified in Council Resolution 1305 (2009), and in this regard, as appropriate:</w:t>
      </w:r>
    </w:p>
    <w:p w:rsidR="00C71CC8" w:rsidRPr="00C71CC8" w:rsidRDefault="00C71CC8" w:rsidP="00C71CC8">
      <w:pPr>
        <w:pStyle w:val="Normalaftertitle"/>
        <w:tabs>
          <w:tab w:val="clear" w:pos="567"/>
          <w:tab w:val="clear" w:pos="1134"/>
          <w:tab w:val="clear" w:pos="1701"/>
          <w:tab w:val="clear" w:pos="2268"/>
          <w:tab w:val="clear" w:pos="2835"/>
        </w:tabs>
        <w:snapToGrid w:val="0"/>
        <w:spacing w:before="120" w:after="120"/>
        <w:ind w:left="1134" w:hanging="425"/>
        <w:jc w:val="both"/>
        <w:rPr>
          <w:snapToGrid w:val="0"/>
        </w:rPr>
      </w:pPr>
      <w:r w:rsidRPr="00C71CC8">
        <w:rPr>
          <w:snapToGrid w:val="0"/>
        </w:rPr>
        <w:t>a)</w:t>
      </w:r>
      <w:r w:rsidRPr="00C71CC8">
        <w:rPr>
          <w:snapToGrid w:val="0"/>
        </w:rPr>
        <w:tab/>
        <w:t>Disseminate its outputs throughout ITU’s membership and to all relevant international organizations and stakeholders actively involved in such matters for their consideration in their policy</w:t>
      </w:r>
      <w:r>
        <w:rPr>
          <w:snapToGrid w:val="0"/>
        </w:rPr>
        <w:t>-</w:t>
      </w:r>
      <w:r w:rsidRPr="00C71CC8">
        <w:rPr>
          <w:snapToGrid w:val="0"/>
        </w:rPr>
        <w:t>making processes;</w:t>
      </w:r>
    </w:p>
    <w:p w:rsidR="00C71CC8" w:rsidRPr="00C71CC8" w:rsidRDefault="00C71CC8" w:rsidP="00C71CC8">
      <w:pPr>
        <w:pStyle w:val="Normalaftertitle"/>
        <w:tabs>
          <w:tab w:val="clear" w:pos="567"/>
          <w:tab w:val="clear" w:pos="1134"/>
          <w:tab w:val="clear" w:pos="1701"/>
          <w:tab w:val="clear" w:pos="2268"/>
          <w:tab w:val="clear" w:pos="2835"/>
        </w:tabs>
        <w:snapToGrid w:val="0"/>
        <w:spacing w:before="120" w:after="120"/>
        <w:ind w:left="1134" w:hanging="425"/>
        <w:jc w:val="both"/>
        <w:rPr>
          <w:snapToGrid w:val="0"/>
        </w:rPr>
      </w:pPr>
      <w:r w:rsidRPr="00C71CC8">
        <w:rPr>
          <w:snapToGrid w:val="0"/>
        </w:rPr>
        <w:t>b)</w:t>
      </w:r>
      <w:r w:rsidRPr="00C71CC8">
        <w:rPr>
          <w:snapToGrid w:val="0"/>
        </w:rPr>
        <w:tab/>
        <w:t>Consider and discuss the activities of the Secretary-General and the Directors of the Bureaux in relation to implementation of Resolution 102 (Rev. Busan, 2014) and prepare inputs into these activities as appropriate;</w:t>
      </w:r>
    </w:p>
    <w:p w:rsidR="00C71CC8" w:rsidRDefault="00C71CC8" w:rsidP="00C71CC8">
      <w:pPr>
        <w:pStyle w:val="Normalaftertitle"/>
        <w:tabs>
          <w:tab w:val="clear" w:pos="567"/>
          <w:tab w:val="clear" w:pos="1134"/>
          <w:tab w:val="clear" w:pos="1701"/>
          <w:tab w:val="clear" w:pos="2268"/>
          <w:tab w:val="clear" w:pos="2835"/>
        </w:tabs>
        <w:snapToGrid w:val="0"/>
        <w:spacing w:before="120" w:after="120"/>
        <w:ind w:left="1134" w:hanging="425"/>
        <w:jc w:val="both"/>
      </w:pPr>
      <w:r>
        <w:lastRenderedPageBreak/>
        <w:t>c)</w:t>
      </w:r>
      <w:r>
        <w:tab/>
        <w:t>Initiate and conduct open consultations with all stakeholders in an open and inclusive manner; and the output of the open consultations will be presented for consideration in the deliberations of the Council Working Group.</w:t>
      </w:r>
    </w:p>
    <w:p w:rsidR="00C71CC8" w:rsidRDefault="00C71CC8" w:rsidP="00C71CC8">
      <w:pPr>
        <w:pStyle w:val="Normalaftertitle"/>
        <w:tabs>
          <w:tab w:val="clear" w:pos="567"/>
          <w:tab w:val="clear" w:pos="1134"/>
          <w:tab w:val="clear" w:pos="1701"/>
          <w:tab w:val="clear" w:pos="2268"/>
          <w:tab w:val="clear" w:pos="2835"/>
        </w:tabs>
        <w:snapToGrid w:val="0"/>
        <w:spacing w:before="120" w:after="120"/>
        <w:jc w:val="both"/>
      </w:pPr>
      <w:r w:rsidRPr="0077633F">
        <w:rPr>
          <w:b/>
          <w:bCs/>
        </w:rPr>
        <w:t>1.</w:t>
      </w:r>
      <w:r>
        <w:rPr>
          <w:b/>
          <w:bCs/>
        </w:rPr>
        <w:t>3</w:t>
      </w:r>
      <w:r>
        <w:tab/>
        <w:t>Plenipotentiary Conference Resolution 102 (Rev. Busan, 2014) instructed the Council to revise its Resolution 1344, to direct the CWG-Internet, limited to Member States with open consultation to all stakeholders, and to conduct such open consultation according to the guidelines mentioned in the Resolution.</w:t>
      </w:r>
    </w:p>
    <w:p w:rsidR="00C71CC8" w:rsidRDefault="00C71CC8" w:rsidP="00C71CC8">
      <w:pPr>
        <w:pStyle w:val="Normalaftertitle"/>
        <w:tabs>
          <w:tab w:val="clear" w:pos="567"/>
          <w:tab w:val="clear" w:pos="1134"/>
          <w:tab w:val="clear" w:pos="1701"/>
          <w:tab w:val="clear" w:pos="2268"/>
          <w:tab w:val="clear" w:pos="2835"/>
        </w:tabs>
        <w:snapToGrid w:val="0"/>
        <w:spacing w:before="120" w:after="120"/>
        <w:jc w:val="both"/>
      </w:pPr>
      <w:r w:rsidRPr="0077633F">
        <w:rPr>
          <w:b/>
          <w:bCs/>
        </w:rPr>
        <w:t>1.</w:t>
      </w:r>
      <w:r>
        <w:rPr>
          <w:b/>
          <w:bCs/>
        </w:rPr>
        <w:t>4</w:t>
      </w:r>
      <w:r>
        <w:tab/>
        <w:t>Council Resolution 1344 (Mod. 2015) decided the modality of open consultation for the CWG-Internet.</w:t>
      </w:r>
    </w:p>
    <w:p w:rsidR="00C71CC8" w:rsidRDefault="00C71CC8" w:rsidP="00563C0D">
      <w:pPr>
        <w:pStyle w:val="Body"/>
        <w:tabs>
          <w:tab w:val="clear" w:pos="567"/>
          <w:tab w:val="clear" w:pos="1134"/>
          <w:tab w:val="clear" w:pos="1701"/>
          <w:tab w:val="clear" w:pos="2268"/>
          <w:tab w:val="clear" w:pos="2835"/>
        </w:tabs>
        <w:snapToGrid w:val="0"/>
        <w:spacing w:before="360" w:after="120"/>
        <w:jc w:val="both"/>
        <w:rPr>
          <w:b/>
          <w:bCs/>
        </w:rPr>
      </w:pPr>
      <w:r>
        <w:rPr>
          <w:b/>
          <w:bCs/>
        </w:rPr>
        <w:t>2</w:t>
      </w:r>
      <w:r>
        <w:rPr>
          <w:b/>
          <w:bCs/>
        </w:rPr>
        <w:tab/>
        <w:t xml:space="preserve">CWG-Internet </w:t>
      </w:r>
      <w:r w:rsidR="00563C0D">
        <w:rPr>
          <w:b/>
          <w:bCs/>
        </w:rPr>
        <w:t>activities</w:t>
      </w:r>
    </w:p>
    <w:p w:rsidR="00C71CC8" w:rsidRDefault="00C71CC8" w:rsidP="00563C0D">
      <w:pPr>
        <w:pStyle w:val="Body"/>
        <w:tabs>
          <w:tab w:val="clear" w:pos="567"/>
          <w:tab w:val="clear" w:pos="1134"/>
          <w:tab w:val="clear" w:pos="1701"/>
          <w:tab w:val="clear" w:pos="2268"/>
          <w:tab w:val="clear" w:pos="2835"/>
        </w:tabs>
        <w:snapToGrid w:val="0"/>
        <w:spacing w:after="100"/>
        <w:jc w:val="both"/>
      </w:pPr>
      <w:r w:rsidRPr="008A2F30">
        <w:rPr>
          <w:b/>
          <w:bCs/>
          <w:spacing w:val="-1"/>
        </w:rPr>
        <w:t>2.1</w:t>
      </w:r>
      <w:r>
        <w:rPr>
          <w:spacing w:val="-1"/>
        </w:rPr>
        <w:tab/>
        <w:t xml:space="preserve">The </w:t>
      </w:r>
      <w:r>
        <w:t xml:space="preserve">CWG-Internet held its eighth and ninth meetings in Geneva, Switzerland, on 13-14 October 2016 and 6-7 February 2017, respectively. </w:t>
      </w:r>
    </w:p>
    <w:p w:rsidR="00C71CC8" w:rsidRDefault="00C71CC8" w:rsidP="00563C0D">
      <w:pPr>
        <w:pStyle w:val="Body"/>
        <w:tabs>
          <w:tab w:val="clear" w:pos="567"/>
          <w:tab w:val="clear" w:pos="1134"/>
          <w:tab w:val="clear" w:pos="1701"/>
          <w:tab w:val="clear" w:pos="2268"/>
          <w:tab w:val="clear" w:pos="2835"/>
        </w:tabs>
        <w:snapToGrid w:val="0"/>
        <w:spacing w:before="100" w:after="100"/>
        <w:jc w:val="both"/>
      </w:pPr>
      <w:r w:rsidRPr="0077633F">
        <w:rPr>
          <w:b/>
          <w:bCs/>
        </w:rPr>
        <w:t>2.2</w:t>
      </w:r>
      <w:r>
        <w:tab/>
      </w:r>
      <w:r w:rsidRPr="00B8039E">
        <w:t>The Reports of the</w:t>
      </w:r>
      <w:r>
        <w:t xml:space="preserve"> </w:t>
      </w:r>
      <w:hyperlink r:id="rId14" w:history="1">
        <w:r w:rsidRPr="0077633F">
          <w:rPr>
            <w:rStyle w:val="Hyperlink0"/>
          </w:rPr>
          <w:t>eighth</w:t>
        </w:r>
      </w:hyperlink>
      <w:r>
        <w:t xml:space="preserve"> and </w:t>
      </w:r>
      <w:hyperlink r:id="rId15" w:history="1">
        <w:r w:rsidRPr="0077633F">
          <w:rPr>
            <w:rStyle w:val="Hyperlink0"/>
          </w:rPr>
          <w:t>ninth</w:t>
        </w:r>
      </w:hyperlink>
      <w:r>
        <w:t xml:space="preserve"> </w:t>
      </w:r>
      <w:r w:rsidRPr="00B8039E">
        <w:t xml:space="preserve">meetings of CWG-Internet were approved by the Group. </w:t>
      </w:r>
    </w:p>
    <w:p w:rsidR="00C71CC8" w:rsidRDefault="00C71CC8" w:rsidP="00F90B2D">
      <w:pPr>
        <w:pStyle w:val="Body"/>
        <w:tabs>
          <w:tab w:val="clear" w:pos="567"/>
          <w:tab w:val="clear" w:pos="1134"/>
          <w:tab w:val="clear" w:pos="1701"/>
          <w:tab w:val="clear" w:pos="2268"/>
          <w:tab w:val="clear" w:pos="2835"/>
        </w:tabs>
        <w:snapToGrid w:val="0"/>
        <w:spacing w:before="100" w:after="100"/>
        <w:jc w:val="both"/>
      </w:pPr>
      <w:r w:rsidRPr="008A2F30">
        <w:rPr>
          <w:b/>
          <w:bCs/>
        </w:rPr>
        <w:t>2.</w:t>
      </w:r>
      <w:r>
        <w:rPr>
          <w:b/>
          <w:bCs/>
        </w:rPr>
        <w:t>3</w:t>
      </w:r>
      <w:r>
        <w:tab/>
        <w:t>The</w:t>
      </w:r>
      <w:r w:rsidR="00F90B2D">
        <w:t>se</w:t>
      </w:r>
      <w:r>
        <w:t xml:space="preserve"> Reports </w:t>
      </w:r>
      <w:proofErr w:type="gramStart"/>
      <w:r>
        <w:t>were disseminated</w:t>
      </w:r>
      <w:proofErr w:type="gramEnd"/>
      <w:r>
        <w:t xml:space="preserve"> throughout ITU’s membership and to all relevant international organizations and stakeholders actively involved in such matters for their consideration in their policy</w:t>
      </w:r>
      <w:r w:rsidR="00F90B2D">
        <w:t>-</w:t>
      </w:r>
      <w:r>
        <w:t>making processes.</w:t>
      </w:r>
    </w:p>
    <w:p w:rsidR="00C71CC8" w:rsidRDefault="00C71CC8" w:rsidP="00563C0D">
      <w:pPr>
        <w:pStyle w:val="Body"/>
        <w:tabs>
          <w:tab w:val="clear" w:pos="567"/>
          <w:tab w:val="clear" w:pos="1134"/>
          <w:tab w:val="clear" w:pos="1701"/>
          <w:tab w:val="clear" w:pos="2268"/>
          <w:tab w:val="clear" w:pos="2835"/>
        </w:tabs>
        <w:snapToGrid w:val="0"/>
        <w:spacing w:before="100" w:after="100"/>
        <w:jc w:val="both"/>
      </w:pPr>
      <w:r w:rsidRPr="008A2F30">
        <w:rPr>
          <w:b/>
          <w:bCs/>
        </w:rPr>
        <w:t>2.</w:t>
      </w:r>
      <w:r>
        <w:rPr>
          <w:b/>
          <w:bCs/>
        </w:rPr>
        <w:t>4</w:t>
      </w:r>
      <w:r>
        <w:tab/>
        <w:t>The CWG-Internet</w:t>
      </w:r>
      <w:r w:rsidRPr="00453288">
        <w:t xml:space="preserve"> further conducted two rounds of </w:t>
      </w:r>
      <w:r>
        <w:t>O</w:t>
      </w:r>
      <w:r w:rsidRPr="00453288">
        <w:t xml:space="preserve">nline </w:t>
      </w:r>
      <w:r>
        <w:t xml:space="preserve">and Physical </w:t>
      </w:r>
      <w:r w:rsidRPr="00453288">
        <w:t xml:space="preserve">Open Consultations: </w:t>
      </w:r>
    </w:p>
    <w:p w:rsidR="00C71CC8" w:rsidRDefault="00C71CC8" w:rsidP="00563C0D">
      <w:pPr>
        <w:pStyle w:val="Body"/>
        <w:tabs>
          <w:tab w:val="clear" w:pos="567"/>
          <w:tab w:val="clear" w:pos="1134"/>
          <w:tab w:val="clear" w:pos="1701"/>
          <w:tab w:val="clear" w:pos="2268"/>
          <w:tab w:val="clear" w:pos="2835"/>
        </w:tabs>
        <w:snapToGrid w:val="0"/>
        <w:spacing w:before="100" w:after="100"/>
        <w:jc w:val="both"/>
      </w:pPr>
      <w:r w:rsidRPr="00453288">
        <w:t xml:space="preserve">a) </w:t>
      </w:r>
      <w:r>
        <w:t>F</w:t>
      </w:r>
      <w:r w:rsidRPr="00453288">
        <w:t xml:space="preserve">rom February to September 2016 on </w:t>
      </w:r>
      <w:r w:rsidR="00F90B2D">
        <w:t>“</w:t>
      </w:r>
      <w:r w:rsidRPr="00453288">
        <w:t>Building an enabling environment for access to the Internet</w:t>
      </w:r>
      <w:r w:rsidR="00F90B2D">
        <w:t>”</w:t>
      </w:r>
      <w:r w:rsidRPr="00453288">
        <w:t>, followed by a physical open consultation meeting on 11 October 2016</w:t>
      </w:r>
      <w:r>
        <w:t>;</w:t>
      </w:r>
    </w:p>
    <w:p w:rsidR="00C71CC8" w:rsidRDefault="00C71CC8" w:rsidP="00563C0D">
      <w:pPr>
        <w:pStyle w:val="Body"/>
        <w:tabs>
          <w:tab w:val="clear" w:pos="567"/>
          <w:tab w:val="clear" w:pos="1134"/>
          <w:tab w:val="clear" w:pos="1701"/>
          <w:tab w:val="clear" w:pos="2268"/>
          <w:tab w:val="clear" w:pos="2835"/>
        </w:tabs>
        <w:snapToGrid w:val="0"/>
        <w:spacing w:before="100" w:after="100"/>
        <w:jc w:val="both"/>
      </w:pPr>
      <w:r w:rsidRPr="00453288">
        <w:t xml:space="preserve">b) </w:t>
      </w:r>
      <w:r>
        <w:t>F</w:t>
      </w:r>
      <w:r w:rsidRPr="00453288">
        <w:t xml:space="preserve">rom October 2016 to January 2017 on the </w:t>
      </w:r>
      <w:r w:rsidR="00F90B2D">
        <w:t>“</w:t>
      </w:r>
      <w:r w:rsidRPr="00453288">
        <w:t>Developmental Aspects of the Internet</w:t>
      </w:r>
      <w:r w:rsidR="00F90B2D">
        <w:t>”</w:t>
      </w:r>
      <w:r w:rsidRPr="00453288">
        <w:t>, followed by a physical open consultation meeting on 3 February 2017.</w:t>
      </w:r>
    </w:p>
    <w:p w:rsidR="00C71CC8" w:rsidRDefault="00C71CC8" w:rsidP="00563C0D">
      <w:pPr>
        <w:pStyle w:val="Body"/>
        <w:tabs>
          <w:tab w:val="clear" w:pos="567"/>
          <w:tab w:val="clear" w:pos="1134"/>
          <w:tab w:val="clear" w:pos="1701"/>
          <w:tab w:val="clear" w:pos="2268"/>
          <w:tab w:val="clear" w:pos="2835"/>
        </w:tabs>
        <w:snapToGrid w:val="0"/>
        <w:spacing w:before="100" w:after="120"/>
        <w:jc w:val="both"/>
      </w:pPr>
      <w:r w:rsidRPr="0077633F">
        <w:rPr>
          <w:b/>
          <w:bCs/>
        </w:rPr>
        <w:t>2.5</w:t>
      </w:r>
      <w:r>
        <w:tab/>
        <w:t xml:space="preserve">All responses received to the Online Open Consultations, as well as the brief summaries of the physical consultation meetings approved by the meeting participants, are publicly available on the </w:t>
      </w:r>
      <w:hyperlink r:id="rId16" w:history="1">
        <w:r>
          <w:rPr>
            <w:rStyle w:val="Hyperlink0"/>
          </w:rPr>
          <w:t>ITU CWG-Internet website</w:t>
        </w:r>
      </w:hyperlink>
      <w:r>
        <w:rPr>
          <w:rStyle w:val="Hyperlink0"/>
        </w:rPr>
        <w:t>.</w:t>
      </w:r>
    </w:p>
    <w:p w:rsidR="00C71CC8" w:rsidRDefault="00C71CC8" w:rsidP="00563C0D">
      <w:pPr>
        <w:pStyle w:val="Body"/>
        <w:tabs>
          <w:tab w:val="clear" w:pos="567"/>
          <w:tab w:val="clear" w:pos="1134"/>
          <w:tab w:val="clear" w:pos="1701"/>
          <w:tab w:val="clear" w:pos="2268"/>
          <w:tab w:val="clear" w:pos="2835"/>
        </w:tabs>
        <w:snapToGrid w:val="0"/>
        <w:spacing w:before="360" w:after="120"/>
        <w:jc w:val="both"/>
        <w:rPr>
          <w:b/>
          <w:bCs/>
        </w:rPr>
      </w:pPr>
      <w:r>
        <w:rPr>
          <w:rFonts w:eastAsia="Times New Roman"/>
          <w:b/>
          <w:bCs/>
          <w:szCs w:val="20"/>
          <w:bdr w:val="none" w:sz="0" w:space="0" w:color="auto"/>
          <w:lang w:val="en-GB"/>
        </w:rPr>
        <w:t>3</w:t>
      </w:r>
      <w:r w:rsidRPr="00A85B94">
        <w:rPr>
          <w:b/>
          <w:bCs/>
        </w:rPr>
        <w:tab/>
        <w:t>Conclusion</w:t>
      </w:r>
      <w:r>
        <w:rPr>
          <w:b/>
          <w:bCs/>
        </w:rPr>
        <w:t>s</w:t>
      </w:r>
    </w:p>
    <w:p w:rsidR="00C71CC8" w:rsidRDefault="00C71CC8" w:rsidP="00563C0D">
      <w:pPr>
        <w:pStyle w:val="Normalaftertitle"/>
        <w:tabs>
          <w:tab w:val="clear" w:pos="567"/>
          <w:tab w:val="clear" w:pos="1134"/>
          <w:tab w:val="clear" w:pos="1701"/>
          <w:tab w:val="clear" w:pos="2268"/>
          <w:tab w:val="clear" w:pos="2835"/>
        </w:tabs>
        <w:snapToGrid w:val="0"/>
        <w:spacing w:before="120" w:after="100"/>
        <w:jc w:val="both"/>
      </w:pPr>
      <w:r>
        <w:rPr>
          <w:b/>
          <w:bCs/>
        </w:rPr>
        <w:t>3.1</w:t>
      </w:r>
      <w:r>
        <w:tab/>
      </w:r>
      <w:r w:rsidRPr="00C71CC8">
        <w:rPr>
          <w:spacing w:val="-4"/>
        </w:rPr>
        <w:t>The Council is invited to note the reports of the eighth and ninth meetings of the CWG-Internet.</w:t>
      </w:r>
    </w:p>
    <w:p w:rsidR="00C71CC8" w:rsidRDefault="00C71CC8" w:rsidP="00563C0D">
      <w:pPr>
        <w:tabs>
          <w:tab w:val="clear" w:pos="567"/>
          <w:tab w:val="clear" w:pos="1134"/>
          <w:tab w:val="clear" w:pos="1701"/>
          <w:tab w:val="clear" w:pos="2268"/>
          <w:tab w:val="clear" w:pos="2835"/>
        </w:tabs>
        <w:snapToGrid w:val="0"/>
        <w:spacing w:before="100" w:after="100"/>
        <w:jc w:val="both"/>
      </w:pPr>
      <w:r w:rsidRPr="0077633F">
        <w:rPr>
          <w:b/>
          <w:bCs/>
        </w:rPr>
        <w:t>3.2</w:t>
      </w:r>
      <w:r>
        <w:tab/>
      </w:r>
      <w:r w:rsidRPr="008A2F30">
        <w:rPr>
          <w:rFonts w:eastAsia="Calibri" w:cs="Calibri"/>
          <w:color w:val="000000"/>
          <w:u w:color="000000"/>
        </w:rPr>
        <w:t xml:space="preserve">Considering the lack of consensus during the discussions that took place </w:t>
      </w:r>
      <w:r>
        <w:rPr>
          <w:rFonts w:eastAsia="Calibri" w:cs="Calibri"/>
          <w:color w:val="000000"/>
          <w:u w:color="000000"/>
        </w:rPr>
        <w:t xml:space="preserve">at the ninth meeting </w:t>
      </w:r>
      <w:r w:rsidRPr="008A2F30">
        <w:rPr>
          <w:rFonts w:eastAsia="Calibri" w:cs="Calibri"/>
          <w:color w:val="000000"/>
          <w:u w:color="000000"/>
        </w:rPr>
        <w:t xml:space="preserve">on the various submitted proposals for the topic of the next open consultation, the Group agreed to defer the issue to Council 2017 for its consideration and any required action, as appropriate (see Section 5.4 of the </w:t>
      </w:r>
      <w:hyperlink r:id="rId17" w:history="1">
        <w:r w:rsidRPr="00E1219C">
          <w:rPr>
            <w:rStyle w:val="Hyperlink"/>
            <w:rFonts w:eastAsia="Calibri" w:cs="Calibri"/>
            <w:u w:color="0000FF"/>
          </w:rPr>
          <w:t>9</w:t>
        </w:r>
        <w:r w:rsidRPr="00563C0D">
          <w:rPr>
            <w:rStyle w:val="Hyperlink"/>
            <w:rFonts w:eastAsia="Calibri" w:cs="Calibri"/>
            <w:u w:color="0000FF"/>
          </w:rPr>
          <w:t>th</w:t>
        </w:r>
        <w:r w:rsidRPr="00E1219C">
          <w:rPr>
            <w:rStyle w:val="Hyperlink"/>
            <w:rFonts w:eastAsia="Calibri" w:cs="Calibri"/>
            <w:u w:color="0000FF"/>
          </w:rPr>
          <w:t xml:space="preserve"> meeting report</w:t>
        </w:r>
      </w:hyperlink>
      <w:r w:rsidRPr="008A2F30">
        <w:rPr>
          <w:rFonts w:eastAsia="Calibri" w:cs="Calibri"/>
          <w:color w:val="000000"/>
          <w:u w:color="000000"/>
        </w:rPr>
        <w:t>). The two topics under consideration by the CWG-Internet for the next open consultation are included in Annex 1 (</w:t>
      </w:r>
      <w:r w:rsidR="00F90B2D">
        <w:rPr>
          <w:rFonts w:eastAsia="Calibri" w:cs="Calibri"/>
          <w:color w:val="000000"/>
          <w:u w:color="000000"/>
        </w:rPr>
        <w:t>“</w:t>
      </w:r>
      <w:r w:rsidRPr="008A2F30">
        <w:rPr>
          <w:rFonts w:eastAsia="Calibri" w:cs="Calibri"/>
          <w:color w:val="000000"/>
          <w:u w:color="000000"/>
        </w:rPr>
        <w:t>Bridging the Digital Gender Divide</w:t>
      </w:r>
      <w:r w:rsidR="00F90B2D">
        <w:rPr>
          <w:rFonts w:eastAsia="Calibri" w:cs="Calibri"/>
          <w:color w:val="000000"/>
          <w:u w:color="000000"/>
        </w:rPr>
        <w:t>”</w:t>
      </w:r>
      <w:r w:rsidRPr="008A2F30">
        <w:rPr>
          <w:rFonts w:eastAsia="Calibri" w:cs="Calibri"/>
          <w:color w:val="000000"/>
          <w:u w:color="000000"/>
        </w:rPr>
        <w:t xml:space="preserve"> and </w:t>
      </w:r>
      <w:r w:rsidR="00F90B2D">
        <w:rPr>
          <w:rFonts w:eastAsia="Calibri" w:cs="Calibri"/>
          <w:color w:val="000000"/>
          <w:u w:color="000000"/>
        </w:rPr>
        <w:t>“</w:t>
      </w:r>
      <w:r w:rsidRPr="008A2F30">
        <w:rPr>
          <w:rFonts w:eastAsia="Calibri" w:cs="Calibri"/>
          <w:color w:val="000000"/>
          <w:u w:color="000000"/>
        </w:rPr>
        <w:t>Public Policy considerations for OTTs</w:t>
      </w:r>
      <w:r w:rsidR="00F90B2D">
        <w:rPr>
          <w:rFonts w:eastAsia="Calibri" w:cs="Calibri"/>
          <w:color w:val="000000"/>
          <w:u w:color="000000"/>
        </w:rPr>
        <w:t>”</w:t>
      </w:r>
      <w:r w:rsidRPr="008A2F30">
        <w:rPr>
          <w:rFonts w:eastAsia="Calibri" w:cs="Calibri"/>
          <w:color w:val="000000"/>
          <w:u w:color="000000"/>
        </w:rPr>
        <w:t>). The Council is invited to provide guidance on the topic of the next consultation and launch the consultation</w:t>
      </w:r>
      <w:r w:rsidRPr="008A2F30">
        <w:t>.</w:t>
      </w:r>
    </w:p>
    <w:p w:rsidR="00C71CC8" w:rsidRDefault="00C71CC8" w:rsidP="00563C0D">
      <w:pPr>
        <w:pStyle w:val="Normalaftertitle"/>
        <w:tabs>
          <w:tab w:val="clear" w:pos="567"/>
          <w:tab w:val="clear" w:pos="1134"/>
          <w:tab w:val="clear" w:pos="1701"/>
          <w:tab w:val="clear" w:pos="2268"/>
          <w:tab w:val="clear" w:pos="2835"/>
        </w:tabs>
        <w:snapToGrid w:val="0"/>
        <w:spacing w:before="100" w:after="120"/>
        <w:jc w:val="both"/>
      </w:pPr>
      <w:r>
        <w:rPr>
          <w:b/>
          <w:bCs/>
        </w:rPr>
        <w:t>3.3</w:t>
      </w:r>
      <w:r>
        <w:tab/>
        <w:t>On behalf of CWG-Internet, the Chairman extends his personal thanks to all the ITU Member States who made contributions and participated in the work of the Group, the Secretary-General, Deputy Secretary-General, Directors of TSB, BR</w:t>
      </w:r>
      <w:r w:rsidR="00F90B2D">
        <w:t>,</w:t>
      </w:r>
      <w:r>
        <w:t xml:space="preserve"> and BDT, and the General Secretariat, in particular Mr Preetam Maloor and Ms Despoina Sareidaki, for their efficient assistance during the eighth and ninth meeting of the CWG-Internet.</w:t>
      </w:r>
    </w:p>
    <w:p w:rsidR="00C71CC8" w:rsidRDefault="00C71CC8" w:rsidP="00563C0D">
      <w:pPr>
        <w:pStyle w:val="Normalaftertitle"/>
        <w:tabs>
          <w:tab w:val="clear" w:pos="567"/>
          <w:tab w:val="clear" w:pos="1134"/>
          <w:tab w:val="clear" w:pos="1701"/>
          <w:tab w:val="clear" w:pos="2268"/>
          <w:tab w:val="clear" w:pos="2835"/>
        </w:tabs>
        <w:snapToGrid w:val="0"/>
        <w:ind w:left="5387"/>
        <w:rPr>
          <w:b/>
          <w:bCs/>
        </w:rPr>
      </w:pPr>
      <w:r>
        <w:tab/>
      </w:r>
      <w:r>
        <w:rPr>
          <w:b/>
          <w:bCs/>
        </w:rPr>
        <w:t>Chairman: Majed M. Al-</w:t>
      </w:r>
      <w:proofErr w:type="spellStart"/>
      <w:r>
        <w:rPr>
          <w:b/>
          <w:bCs/>
        </w:rPr>
        <w:t>Mazyed</w:t>
      </w:r>
      <w:proofErr w:type="spellEnd"/>
    </w:p>
    <w:p w:rsidR="00C71CC8" w:rsidRDefault="00C71CC8" w:rsidP="00563C0D">
      <w:pPr>
        <w:pStyle w:val="Normalaftertitle"/>
        <w:tabs>
          <w:tab w:val="clear" w:pos="567"/>
          <w:tab w:val="clear" w:pos="1134"/>
          <w:tab w:val="clear" w:pos="1701"/>
          <w:tab w:val="clear" w:pos="2268"/>
          <w:tab w:val="clear" w:pos="2835"/>
        </w:tabs>
        <w:snapToGrid w:val="0"/>
        <w:spacing w:before="0"/>
        <w:ind w:left="5387"/>
      </w:pPr>
      <w:r>
        <w:rPr>
          <w:b/>
          <w:bCs/>
        </w:rPr>
        <w:tab/>
        <w:t>(KINGDOM OF SAUDI ARABIA)</w:t>
      </w:r>
      <w:r>
        <w:rPr>
          <w:caps/>
        </w:rPr>
        <w:br w:type="page"/>
      </w:r>
    </w:p>
    <w:p w:rsidR="00C71CC8" w:rsidRDefault="00C71CC8" w:rsidP="00563C0D">
      <w:pPr>
        <w:pStyle w:val="AnnexNo"/>
      </w:pPr>
      <w:r>
        <w:lastRenderedPageBreak/>
        <w:t>ANNEX</w:t>
      </w:r>
    </w:p>
    <w:p w:rsidR="00C71CC8" w:rsidRDefault="00C71CC8" w:rsidP="00563C0D">
      <w:pPr>
        <w:pStyle w:val="Annextitle"/>
      </w:pPr>
      <w:r>
        <w:rPr>
          <w:u w:color="212121"/>
          <w:shd w:val="clear" w:color="auto" w:fill="FFFFFF"/>
        </w:rPr>
        <w:t>Bridging the Digital Gender Divide</w:t>
      </w:r>
    </w:p>
    <w:p w:rsidR="00C71CC8" w:rsidRDefault="00C71CC8" w:rsidP="00F90B2D">
      <w:pPr>
        <w:pStyle w:val="Normalaftertitle"/>
        <w:jc w:val="both"/>
      </w:pPr>
      <w:r>
        <w:rPr>
          <w:u w:color="212121"/>
          <w:shd w:val="clear" w:color="auto" w:fill="FFFFFF"/>
        </w:rPr>
        <w:t>CWG-Internet invites all stakeholders to submit contributions on achieving gender equality for Internet users, focusing on the following questions:</w:t>
      </w:r>
    </w:p>
    <w:p w:rsidR="00C71CC8" w:rsidRDefault="00C71CC8" w:rsidP="00F90B2D">
      <w:pPr>
        <w:pStyle w:val="Body"/>
        <w:tabs>
          <w:tab w:val="clear" w:pos="567"/>
          <w:tab w:val="clear" w:pos="1134"/>
          <w:tab w:val="clear" w:pos="1701"/>
          <w:tab w:val="clear" w:pos="2268"/>
          <w:tab w:val="clear" w:pos="2835"/>
        </w:tabs>
        <w:snapToGrid w:val="0"/>
        <w:spacing w:after="120"/>
        <w:jc w:val="both"/>
      </w:pPr>
      <w:r>
        <w:t>1. </w:t>
      </w:r>
      <w:r>
        <w:rPr>
          <w:color w:val="212121"/>
          <w:u w:color="212121"/>
          <w:shd w:val="clear" w:color="auto" w:fill="FFFFFF"/>
        </w:rPr>
        <w:t>What approaches and examples of good practices are available to increase Internet access and digital literacy of women and girls, including in decision-making processes on Internet public policy?</w:t>
      </w:r>
    </w:p>
    <w:p w:rsidR="00C71CC8" w:rsidRDefault="00C71CC8" w:rsidP="00F90B2D">
      <w:pPr>
        <w:pStyle w:val="Body"/>
        <w:tabs>
          <w:tab w:val="clear" w:pos="567"/>
          <w:tab w:val="clear" w:pos="1134"/>
          <w:tab w:val="clear" w:pos="1701"/>
          <w:tab w:val="clear" w:pos="2268"/>
          <w:tab w:val="clear" w:pos="2835"/>
        </w:tabs>
        <w:snapToGrid w:val="0"/>
        <w:spacing w:after="120"/>
        <w:jc w:val="both"/>
      </w:pPr>
      <w:r>
        <w:t>2. </w:t>
      </w:r>
      <w:r>
        <w:rPr>
          <w:color w:val="212121"/>
          <w:u w:color="212121"/>
          <w:shd w:val="clear" w:color="auto" w:fill="FFFFFF"/>
        </w:rPr>
        <w:t>What approaches and examples of good practices are available to promote the access and use of ICTs by SMEs in developing and least-developed countries, particularly those owned/managed by women, in order to achieve greater participation in the digital economy?</w:t>
      </w:r>
    </w:p>
    <w:p w:rsidR="00C71CC8" w:rsidRDefault="00C71CC8" w:rsidP="00F90B2D">
      <w:pPr>
        <w:pStyle w:val="Body"/>
        <w:tabs>
          <w:tab w:val="clear" w:pos="567"/>
          <w:tab w:val="clear" w:pos="1134"/>
          <w:tab w:val="clear" w:pos="1701"/>
          <w:tab w:val="clear" w:pos="2268"/>
          <w:tab w:val="clear" w:pos="2835"/>
        </w:tabs>
        <w:snapToGrid w:val="0"/>
        <w:spacing w:after="120"/>
        <w:jc w:val="both"/>
      </w:pPr>
      <w:r>
        <w:t>3. </w:t>
      </w:r>
      <w:r>
        <w:rPr>
          <w:color w:val="212121"/>
          <w:u w:color="212121"/>
          <w:shd w:val="clear" w:color="auto" w:fill="FFFFFF"/>
        </w:rPr>
        <w:t>Which are the available sources and mechanisms for measuring women's participation in the digital economy with focus on SME's and micro-enterprises?</w:t>
      </w:r>
    </w:p>
    <w:p w:rsidR="00C71CC8" w:rsidRDefault="00C71CC8" w:rsidP="00F90B2D">
      <w:pPr>
        <w:pStyle w:val="Body"/>
        <w:tabs>
          <w:tab w:val="clear" w:pos="567"/>
          <w:tab w:val="clear" w:pos="1134"/>
          <w:tab w:val="clear" w:pos="1701"/>
          <w:tab w:val="clear" w:pos="2268"/>
          <w:tab w:val="clear" w:pos="2835"/>
        </w:tabs>
        <w:snapToGrid w:val="0"/>
        <w:spacing w:after="120"/>
        <w:jc w:val="both"/>
      </w:pPr>
      <w:r>
        <w:t>4. </w:t>
      </w:r>
      <w:r>
        <w:rPr>
          <w:color w:val="212121"/>
          <w:u w:color="212121"/>
          <w:shd w:val="clear" w:color="auto" w:fill="FFFFFF"/>
        </w:rPr>
        <w:t>What measures/policies could be envisioned in order to foster the role of women as entrepreneurs and managers of SMEs, specifically in developing and least-developed countries?</w:t>
      </w:r>
    </w:p>
    <w:p w:rsidR="00C71CC8" w:rsidRDefault="00C71CC8" w:rsidP="00F90B2D">
      <w:pPr>
        <w:pStyle w:val="Body"/>
        <w:tabs>
          <w:tab w:val="clear" w:pos="567"/>
          <w:tab w:val="clear" w:pos="1134"/>
          <w:tab w:val="clear" w:pos="1701"/>
          <w:tab w:val="clear" w:pos="2268"/>
          <w:tab w:val="clear" w:pos="2835"/>
        </w:tabs>
        <w:snapToGrid w:val="0"/>
        <w:spacing w:after="120"/>
        <w:jc w:val="both"/>
      </w:pPr>
      <w:r>
        <w:t>5. </w:t>
      </w:r>
      <w:r>
        <w:rPr>
          <w:color w:val="212121"/>
          <w:u w:color="212121"/>
          <w:shd w:val="clear" w:color="auto" w:fill="FFFFFF"/>
        </w:rPr>
        <w:t xml:space="preserve">What are the gaps in addressing these challenges? How </w:t>
      </w:r>
      <w:proofErr w:type="gramStart"/>
      <w:r>
        <w:rPr>
          <w:color w:val="212121"/>
          <w:u w:color="212121"/>
          <w:shd w:val="clear" w:color="auto" w:fill="FFFFFF"/>
        </w:rPr>
        <w:t>can they be addressed</w:t>
      </w:r>
      <w:proofErr w:type="gramEnd"/>
      <w:r>
        <w:rPr>
          <w:color w:val="212121"/>
          <w:u w:color="212121"/>
          <w:shd w:val="clear" w:color="auto" w:fill="FFFFFF"/>
        </w:rPr>
        <w:t xml:space="preserve"> and what is the role of </w:t>
      </w:r>
      <w:r w:rsidR="00F90B2D">
        <w:rPr>
          <w:color w:val="212121"/>
          <w:u w:color="212121"/>
          <w:shd w:val="clear" w:color="auto" w:fill="FFFFFF"/>
        </w:rPr>
        <w:t>g</w:t>
      </w:r>
      <w:r>
        <w:rPr>
          <w:color w:val="212121"/>
          <w:u w:color="212121"/>
          <w:shd w:val="clear" w:color="auto" w:fill="FFFFFF"/>
        </w:rPr>
        <w:t>overnments?</w:t>
      </w:r>
    </w:p>
    <w:p w:rsidR="00C71CC8" w:rsidRDefault="00C71CC8" w:rsidP="00563C0D">
      <w:pPr>
        <w:pStyle w:val="Body"/>
        <w:tabs>
          <w:tab w:val="clear" w:pos="567"/>
          <w:tab w:val="clear" w:pos="1134"/>
          <w:tab w:val="clear" w:pos="1701"/>
          <w:tab w:val="clear" w:pos="2268"/>
          <w:tab w:val="clear" w:pos="2835"/>
        </w:tabs>
        <w:snapToGrid w:val="0"/>
        <w:spacing w:before="240" w:after="120"/>
      </w:pPr>
      <w:r>
        <w:rPr>
          <w:b/>
          <w:bCs/>
          <w:color w:val="212121"/>
          <w:u w:val="single" w:color="212121"/>
          <w:shd w:val="clear" w:color="auto" w:fill="FFFFFF"/>
        </w:rPr>
        <w:t>Public Policy considerations for OTTs</w:t>
      </w:r>
    </w:p>
    <w:p w:rsidR="00C71CC8" w:rsidRDefault="00F90B2D" w:rsidP="00F90B2D">
      <w:pPr>
        <w:pStyle w:val="Body"/>
        <w:tabs>
          <w:tab w:val="clear" w:pos="567"/>
          <w:tab w:val="clear" w:pos="1134"/>
          <w:tab w:val="clear" w:pos="1701"/>
          <w:tab w:val="clear" w:pos="2268"/>
          <w:tab w:val="clear" w:pos="2835"/>
        </w:tabs>
        <w:snapToGrid w:val="0"/>
        <w:spacing w:after="120"/>
        <w:jc w:val="both"/>
      </w:pPr>
      <w:r w:rsidRPr="00F90B2D">
        <w:rPr>
          <w:rFonts w:ascii="Times New Roman" w:hAnsi="Times New Roman"/>
        </w:rPr>
        <w:t>“</w:t>
      </w:r>
      <w:r w:rsidR="00C71CC8">
        <w:t xml:space="preserve">Considering the rapid development of information and communications technology (ICT) which led to the advent of Internet-based services commonly known as </w:t>
      </w:r>
      <w:r>
        <w:t>“</w:t>
      </w:r>
      <w:r w:rsidR="00C71CC8">
        <w:t>over-the-top</w:t>
      </w:r>
      <w:r>
        <w:t>”</w:t>
      </w:r>
      <w:r w:rsidR="00C71CC8">
        <w:t xml:space="preserve"> (hereafter: OTT)</w:t>
      </w:r>
      <w:r>
        <w:t xml:space="preserve">, </w:t>
      </w:r>
      <w:r w:rsidR="00C71CC8">
        <w:t>all stakeholders are invited to submit their inputs on the following key aspects</w:t>
      </w:r>
      <w:r w:rsidR="00C71CC8">
        <w:rPr>
          <w:rFonts w:ascii="Times New Roman" w:hAnsi="Times New Roman"/>
          <w:rtl/>
          <w:lang w:val="ar-SA"/>
        </w:rPr>
        <w:t> </w:t>
      </w:r>
      <w:r w:rsidR="00C71CC8">
        <w:t>from policy prospective:</w:t>
      </w:r>
    </w:p>
    <w:p w:rsidR="00C71CC8" w:rsidRDefault="00C71CC8" w:rsidP="00F90B2D">
      <w:pPr>
        <w:pStyle w:val="Body"/>
        <w:tabs>
          <w:tab w:val="clear" w:pos="567"/>
          <w:tab w:val="clear" w:pos="1134"/>
          <w:tab w:val="clear" w:pos="1701"/>
          <w:tab w:val="clear" w:pos="2268"/>
          <w:tab w:val="clear" w:pos="2835"/>
        </w:tabs>
        <w:snapToGrid w:val="0"/>
        <w:spacing w:after="120"/>
        <w:jc w:val="both"/>
        <w:rPr>
          <w:rFonts w:ascii="Times New Roman" w:eastAsia="Times New Roman" w:hAnsi="Times New Roman" w:cs="Times New Roman"/>
          <w:rtl/>
        </w:rPr>
      </w:pPr>
      <w:r>
        <w:t>• What are the opportunities and implications associated with OTT</w:t>
      </w:r>
      <w:r w:rsidR="00F90B2D">
        <w:t>?</w:t>
      </w:r>
    </w:p>
    <w:p w:rsidR="00C71CC8" w:rsidRDefault="00C71CC8" w:rsidP="00C71CC8">
      <w:pPr>
        <w:pStyle w:val="Body"/>
        <w:tabs>
          <w:tab w:val="clear" w:pos="567"/>
          <w:tab w:val="clear" w:pos="1134"/>
          <w:tab w:val="clear" w:pos="1701"/>
          <w:tab w:val="clear" w:pos="2268"/>
          <w:tab w:val="clear" w:pos="2835"/>
        </w:tabs>
        <w:snapToGrid w:val="0"/>
        <w:spacing w:after="120"/>
        <w:jc w:val="both"/>
      </w:pPr>
      <w:r>
        <w:t>• What are the policy and regulatory matters associated with OTT in general and personal authentication in particular? How</w:t>
      </w:r>
      <w:r w:rsidR="00F90B2D">
        <w:t xml:space="preserve"> do</w:t>
      </w:r>
      <w:r>
        <w:t xml:space="preserve"> OTT players address the concerns related to abuse in OTT services?</w:t>
      </w:r>
    </w:p>
    <w:p w:rsidR="00C71CC8" w:rsidRDefault="00C71CC8" w:rsidP="00C71CC8">
      <w:pPr>
        <w:pStyle w:val="Body"/>
        <w:tabs>
          <w:tab w:val="clear" w:pos="567"/>
          <w:tab w:val="clear" w:pos="1134"/>
          <w:tab w:val="clear" w:pos="1701"/>
          <w:tab w:val="clear" w:pos="2268"/>
          <w:tab w:val="clear" w:pos="2835"/>
        </w:tabs>
        <w:snapToGrid w:val="0"/>
        <w:spacing w:after="120"/>
        <w:jc w:val="both"/>
      </w:pPr>
      <w:r>
        <w:t xml:space="preserve">• How </w:t>
      </w:r>
      <w:r w:rsidR="00F90B2D">
        <w:t xml:space="preserve">do </w:t>
      </w:r>
      <w:r>
        <w:t>the OTT players and other stakeholders offering app services contribute in aspects related security, safety and privacy of the consumer? </w:t>
      </w:r>
    </w:p>
    <w:p w:rsidR="00C71CC8" w:rsidRDefault="00C71CC8" w:rsidP="00C71CC8">
      <w:pPr>
        <w:pStyle w:val="Body"/>
        <w:tabs>
          <w:tab w:val="clear" w:pos="567"/>
          <w:tab w:val="clear" w:pos="1134"/>
          <w:tab w:val="clear" w:pos="1701"/>
          <w:tab w:val="clear" w:pos="2268"/>
          <w:tab w:val="clear" w:pos="2835"/>
        </w:tabs>
        <w:snapToGrid w:val="0"/>
        <w:spacing w:after="120"/>
        <w:jc w:val="both"/>
      </w:pPr>
      <w:r>
        <w:t>• What regulatory approaches which might be considered regarding OTT to help the creation of environment in which all stakeholders are able to prosper and thrive? What public policies are needed to prevent not authenticated abuse in OTT services? </w:t>
      </w:r>
    </w:p>
    <w:p w:rsidR="00C71CC8" w:rsidRDefault="00C71CC8" w:rsidP="00C71CC8">
      <w:pPr>
        <w:pStyle w:val="Body"/>
        <w:tabs>
          <w:tab w:val="clear" w:pos="567"/>
          <w:tab w:val="clear" w:pos="1134"/>
          <w:tab w:val="clear" w:pos="1701"/>
          <w:tab w:val="clear" w:pos="2268"/>
          <w:tab w:val="clear" w:pos="2835"/>
        </w:tabs>
        <w:snapToGrid w:val="0"/>
        <w:spacing w:after="120"/>
        <w:jc w:val="both"/>
      </w:pPr>
      <w:r>
        <w:t>• How can OTT players and operators best cooperate at local and international level? Are there model partnership agreements that could be developed?</w:t>
      </w:r>
    </w:p>
    <w:p w:rsidR="00C71CC8" w:rsidRDefault="00C71CC8" w:rsidP="00563C0D">
      <w:pPr>
        <w:pStyle w:val="Body"/>
        <w:tabs>
          <w:tab w:val="clear" w:pos="567"/>
          <w:tab w:val="clear" w:pos="1134"/>
          <w:tab w:val="clear" w:pos="1701"/>
          <w:tab w:val="clear" w:pos="2268"/>
          <w:tab w:val="clear" w:pos="2835"/>
        </w:tabs>
        <w:snapToGrid w:val="0"/>
        <w:spacing w:before="840"/>
        <w:jc w:val="center"/>
      </w:pPr>
      <w:r>
        <w:rPr>
          <w:sz w:val="18"/>
          <w:szCs w:val="18"/>
        </w:rPr>
        <w:t>_____________________</w:t>
      </w:r>
    </w:p>
    <w:sectPr w:rsidR="00C71CC8" w:rsidSect="004D1851">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C8" w:rsidRDefault="00C71CC8">
      <w:r>
        <w:separator/>
      </w:r>
    </w:p>
  </w:endnote>
  <w:endnote w:type="continuationSeparator" w:id="0">
    <w:p w:rsidR="00C71CC8" w:rsidRDefault="00C7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FF" w:rsidRPr="00563C0D" w:rsidRDefault="00563C0D">
    <w:pPr>
      <w:pStyle w:val="Footer"/>
      <w:rPr>
        <w:color w:val="D9D9D9" w:themeColor="background1" w:themeShade="D9"/>
      </w:rPr>
    </w:pPr>
    <w:r w:rsidRPr="00563C0D">
      <w:rPr>
        <w:color w:val="D9D9D9" w:themeColor="background1" w:themeShade="D9"/>
      </w:rPr>
      <w:fldChar w:fldCharType="begin"/>
    </w:r>
    <w:r w:rsidRPr="00563C0D">
      <w:rPr>
        <w:color w:val="D9D9D9" w:themeColor="background1" w:themeShade="D9"/>
      </w:rPr>
      <w:instrText xml:space="preserve"> FILENAME \p  \* MERGEFORMAT </w:instrText>
    </w:r>
    <w:r w:rsidRPr="00563C0D">
      <w:rPr>
        <w:color w:val="D9D9D9" w:themeColor="background1" w:themeShade="D9"/>
      </w:rPr>
      <w:fldChar w:fldCharType="separate"/>
    </w:r>
    <w:r w:rsidR="00C71CC8" w:rsidRPr="00563C0D">
      <w:rPr>
        <w:color w:val="D9D9D9" w:themeColor="background1" w:themeShade="D9"/>
      </w:rPr>
      <w:t>Document1</w:t>
    </w:r>
    <w:r w:rsidRPr="00563C0D">
      <w:rPr>
        <w:color w:val="D9D9D9" w:themeColor="background1" w:themeShade="D9"/>
      </w:rPr>
      <w:fldChar w:fldCharType="end"/>
    </w:r>
    <w:r w:rsidR="00CB18FF" w:rsidRPr="00563C0D">
      <w:rPr>
        <w:color w:val="D9D9D9" w:themeColor="background1" w:themeShade="D9"/>
      </w:rPr>
      <w:tab/>
    </w:r>
    <w:r w:rsidR="00864AFF" w:rsidRPr="00563C0D">
      <w:rPr>
        <w:color w:val="D9D9D9" w:themeColor="background1" w:themeShade="D9"/>
      </w:rPr>
      <w:fldChar w:fldCharType="begin"/>
    </w:r>
    <w:r w:rsidR="00CB18FF" w:rsidRPr="00563C0D">
      <w:rPr>
        <w:color w:val="D9D9D9" w:themeColor="background1" w:themeShade="D9"/>
      </w:rPr>
      <w:instrText xml:space="preserve"> SAVEDATE \@ DD.MM.YY </w:instrText>
    </w:r>
    <w:r w:rsidR="00864AFF" w:rsidRPr="00563C0D">
      <w:rPr>
        <w:color w:val="D9D9D9" w:themeColor="background1" w:themeShade="D9"/>
      </w:rPr>
      <w:fldChar w:fldCharType="separate"/>
    </w:r>
    <w:r w:rsidR="00C4035C">
      <w:rPr>
        <w:color w:val="D9D9D9" w:themeColor="background1" w:themeShade="D9"/>
      </w:rPr>
      <w:t>27.03.17</w:t>
    </w:r>
    <w:r w:rsidR="00864AFF" w:rsidRPr="00563C0D">
      <w:rPr>
        <w:color w:val="D9D9D9" w:themeColor="background1" w:themeShade="D9"/>
      </w:rPr>
      <w:fldChar w:fldCharType="end"/>
    </w:r>
    <w:r w:rsidR="00CB18FF" w:rsidRPr="00563C0D">
      <w:rPr>
        <w:color w:val="D9D9D9" w:themeColor="background1" w:themeShade="D9"/>
      </w:rPr>
      <w:tab/>
    </w:r>
    <w:r w:rsidR="00864AFF" w:rsidRPr="00563C0D">
      <w:rPr>
        <w:color w:val="D9D9D9" w:themeColor="background1" w:themeShade="D9"/>
      </w:rPr>
      <w:fldChar w:fldCharType="begin"/>
    </w:r>
    <w:r w:rsidR="00CB18FF" w:rsidRPr="00563C0D">
      <w:rPr>
        <w:color w:val="D9D9D9" w:themeColor="background1" w:themeShade="D9"/>
      </w:rPr>
      <w:instrText xml:space="preserve"> PRINTDATE \@ DD.MM.YY </w:instrText>
    </w:r>
    <w:r w:rsidR="00864AFF" w:rsidRPr="00563C0D">
      <w:rPr>
        <w:color w:val="D9D9D9" w:themeColor="background1" w:themeShade="D9"/>
      </w:rPr>
      <w:fldChar w:fldCharType="separate"/>
    </w:r>
    <w:r w:rsidR="00C71CC8" w:rsidRPr="00563C0D">
      <w:rPr>
        <w:color w:val="D9D9D9" w:themeColor="background1" w:themeShade="D9"/>
      </w:rPr>
      <w:t>18.07.00</w:t>
    </w:r>
    <w:r w:rsidR="00864AFF" w:rsidRPr="00563C0D">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322D0D">
    <w:pPr>
      <w:spacing w:after="120"/>
      <w:jc w:val="center"/>
    </w:pPr>
    <w:r>
      <w:t xml:space="preserve">• </w:t>
    </w:r>
    <w:hyperlink r:id="rId1" w:history="1">
      <w:r>
        <w:rPr>
          <w:rStyle w:val="Hyperlink"/>
        </w:rPr>
        <w:t>http://www.itu.int/council</w:t>
      </w:r>
    </w:hyperlink>
    <w:r>
      <w:t xml:space="preserve"> •</w:t>
    </w:r>
  </w:p>
  <w:p w:rsidR="00322D0D" w:rsidRPr="00563C0D" w:rsidRDefault="00563C0D">
    <w:pPr>
      <w:pStyle w:val="Footer"/>
      <w:rPr>
        <w:color w:val="D9D9D9" w:themeColor="background1" w:themeShade="D9"/>
      </w:rPr>
    </w:pPr>
    <w:r w:rsidRPr="00563C0D">
      <w:rPr>
        <w:color w:val="D9D9D9" w:themeColor="background1" w:themeShade="D9"/>
      </w:rPr>
      <w:fldChar w:fldCharType="begin"/>
    </w:r>
    <w:r w:rsidRPr="00563C0D">
      <w:rPr>
        <w:color w:val="D9D9D9" w:themeColor="background1" w:themeShade="D9"/>
      </w:rPr>
      <w:instrText xml:space="preserve"> FILENAME \p  \* MERGEFORMAT </w:instrText>
    </w:r>
    <w:r w:rsidRPr="00563C0D">
      <w:rPr>
        <w:color w:val="D9D9D9" w:themeColor="background1" w:themeShade="D9"/>
      </w:rPr>
      <w:fldChar w:fldCharType="separate"/>
    </w:r>
    <w:r w:rsidR="00C71CC8" w:rsidRPr="00563C0D">
      <w:rPr>
        <w:color w:val="D9D9D9" w:themeColor="background1" w:themeShade="D9"/>
      </w:rPr>
      <w:t>Document1</w:t>
    </w:r>
    <w:r w:rsidRPr="00563C0D">
      <w:rPr>
        <w:color w:val="D9D9D9" w:themeColor="background1" w:themeShade="D9"/>
      </w:rPr>
      <w:fldChar w:fldCharType="end"/>
    </w:r>
    <w:r w:rsidR="00322D0D" w:rsidRPr="00563C0D">
      <w:rPr>
        <w:color w:val="D9D9D9" w:themeColor="background1" w:themeShade="D9"/>
      </w:rPr>
      <w:tab/>
    </w:r>
    <w:r w:rsidR="00864AFF" w:rsidRPr="00563C0D">
      <w:rPr>
        <w:color w:val="D9D9D9" w:themeColor="background1" w:themeShade="D9"/>
      </w:rPr>
      <w:fldChar w:fldCharType="begin"/>
    </w:r>
    <w:r w:rsidR="00322D0D" w:rsidRPr="00563C0D">
      <w:rPr>
        <w:color w:val="D9D9D9" w:themeColor="background1" w:themeShade="D9"/>
      </w:rPr>
      <w:instrText xml:space="preserve"> SAVEDATE \@ DD.MM.YY </w:instrText>
    </w:r>
    <w:r w:rsidR="00864AFF" w:rsidRPr="00563C0D">
      <w:rPr>
        <w:color w:val="D9D9D9" w:themeColor="background1" w:themeShade="D9"/>
      </w:rPr>
      <w:fldChar w:fldCharType="separate"/>
    </w:r>
    <w:r w:rsidR="00C4035C">
      <w:rPr>
        <w:color w:val="D9D9D9" w:themeColor="background1" w:themeShade="D9"/>
      </w:rPr>
      <w:t>27.03.17</w:t>
    </w:r>
    <w:r w:rsidR="00864AFF" w:rsidRPr="00563C0D">
      <w:rPr>
        <w:color w:val="D9D9D9" w:themeColor="background1" w:themeShade="D9"/>
      </w:rPr>
      <w:fldChar w:fldCharType="end"/>
    </w:r>
    <w:r w:rsidR="00322D0D" w:rsidRPr="00563C0D">
      <w:rPr>
        <w:color w:val="D9D9D9" w:themeColor="background1" w:themeShade="D9"/>
      </w:rPr>
      <w:tab/>
    </w:r>
    <w:r w:rsidR="00864AFF" w:rsidRPr="00563C0D">
      <w:rPr>
        <w:color w:val="D9D9D9" w:themeColor="background1" w:themeShade="D9"/>
      </w:rPr>
      <w:fldChar w:fldCharType="begin"/>
    </w:r>
    <w:r w:rsidR="00322D0D" w:rsidRPr="00563C0D">
      <w:rPr>
        <w:color w:val="D9D9D9" w:themeColor="background1" w:themeShade="D9"/>
      </w:rPr>
      <w:instrText xml:space="preserve"> PRINTDATE \@ DD.MM.YY </w:instrText>
    </w:r>
    <w:r w:rsidR="00864AFF" w:rsidRPr="00563C0D">
      <w:rPr>
        <w:color w:val="D9D9D9" w:themeColor="background1" w:themeShade="D9"/>
      </w:rPr>
      <w:fldChar w:fldCharType="separate"/>
    </w:r>
    <w:r w:rsidR="00C71CC8" w:rsidRPr="00563C0D">
      <w:rPr>
        <w:color w:val="D9D9D9" w:themeColor="background1" w:themeShade="D9"/>
      </w:rPr>
      <w:t>18.07.00</w:t>
    </w:r>
    <w:r w:rsidR="00864AFF" w:rsidRPr="00563C0D">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C8" w:rsidRDefault="00C71CC8">
      <w:r>
        <w:t>____________________</w:t>
      </w:r>
    </w:p>
  </w:footnote>
  <w:footnote w:type="continuationSeparator" w:id="0">
    <w:p w:rsidR="00C71CC8" w:rsidRDefault="00C71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0D" w:rsidRDefault="006535F1" w:rsidP="00CE433C">
    <w:pPr>
      <w:pStyle w:val="Header"/>
    </w:pPr>
    <w:r>
      <w:fldChar w:fldCharType="begin"/>
    </w:r>
    <w:r>
      <w:instrText>PAGE</w:instrText>
    </w:r>
    <w:r>
      <w:fldChar w:fldCharType="separate"/>
    </w:r>
    <w:r w:rsidR="00DF4456">
      <w:rPr>
        <w:noProof/>
      </w:rPr>
      <w:t>2</w:t>
    </w:r>
    <w:r>
      <w:rPr>
        <w:noProof/>
      </w:rPr>
      <w:fldChar w:fldCharType="end"/>
    </w:r>
  </w:p>
  <w:p w:rsidR="00322D0D" w:rsidRDefault="00C71CC8" w:rsidP="005243FF">
    <w:pPr>
      <w:pStyle w:val="Header"/>
    </w:pPr>
    <w:r>
      <w:t>C17/51-E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C8"/>
    <w:rsid w:val="000210D4"/>
    <w:rsid w:val="00063016"/>
    <w:rsid w:val="00066795"/>
    <w:rsid w:val="00076AF6"/>
    <w:rsid w:val="00085CF2"/>
    <w:rsid w:val="000B1705"/>
    <w:rsid w:val="000D75B2"/>
    <w:rsid w:val="001121F5"/>
    <w:rsid w:val="001400DC"/>
    <w:rsid w:val="00140CE1"/>
    <w:rsid w:val="0017539C"/>
    <w:rsid w:val="00175AC2"/>
    <w:rsid w:val="0017609F"/>
    <w:rsid w:val="001C628E"/>
    <w:rsid w:val="001E0F7B"/>
    <w:rsid w:val="002119FD"/>
    <w:rsid w:val="002130E0"/>
    <w:rsid w:val="00264425"/>
    <w:rsid w:val="00265875"/>
    <w:rsid w:val="0027303B"/>
    <w:rsid w:val="0028109B"/>
    <w:rsid w:val="002B1F58"/>
    <w:rsid w:val="002C1C7A"/>
    <w:rsid w:val="0030160F"/>
    <w:rsid w:val="00322D0D"/>
    <w:rsid w:val="003942D4"/>
    <w:rsid w:val="003958A8"/>
    <w:rsid w:val="003C0C47"/>
    <w:rsid w:val="003C2533"/>
    <w:rsid w:val="0040435A"/>
    <w:rsid w:val="00416A24"/>
    <w:rsid w:val="00431D9E"/>
    <w:rsid w:val="00433CE8"/>
    <w:rsid w:val="00434A5C"/>
    <w:rsid w:val="004544D9"/>
    <w:rsid w:val="00490E72"/>
    <w:rsid w:val="00491157"/>
    <w:rsid w:val="004921C8"/>
    <w:rsid w:val="004D1851"/>
    <w:rsid w:val="004D599D"/>
    <w:rsid w:val="004E2EA5"/>
    <w:rsid w:val="004E3AEB"/>
    <w:rsid w:val="0050223C"/>
    <w:rsid w:val="005243FF"/>
    <w:rsid w:val="00563C0D"/>
    <w:rsid w:val="00564FBC"/>
    <w:rsid w:val="00582442"/>
    <w:rsid w:val="0064737F"/>
    <w:rsid w:val="006535F1"/>
    <w:rsid w:val="0065557D"/>
    <w:rsid w:val="00662984"/>
    <w:rsid w:val="006716BB"/>
    <w:rsid w:val="006B6680"/>
    <w:rsid w:val="006B6DCC"/>
    <w:rsid w:val="00702DEF"/>
    <w:rsid w:val="00706861"/>
    <w:rsid w:val="0075051B"/>
    <w:rsid w:val="00794D34"/>
    <w:rsid w:val="00813E5E"/>
    <w:rsid w:val="0083581B"/>
    <w:rsid w:val="00864AFF"/>
    <w:rsid w:val="008B4A6A"/>
    <w:rsid w:val="008C7E27"/>
    <w:rsid w:val="009173EF"/>
    <w:rsid w:val="00932906"/>
    <w:rsid w:val="0095759D"/>
    <w:rsid w:val="00961B0B"/>
    <w:rsid w:val="009B38C3"/>
    <w:rsid w:val="009E17BD"/>
    <w:rsid w:val="00A04CEC"/>
    <w:rsid w:val="00A27F92"/>
    <w:rsid w:val="00A32257"/>
    <w:rsid w:val="00A36D20"/>
    <w:rsid w:val="00A55622"/>
    <w:rsid w:val="00A83502"/>
    <w:rsid w:val="00AD15B3"/>
    <w:rsid w:val="00AF6E49"/>
    <w:rsid w:val="00B04A67"/>
    <w:rsid w:val="00B0583C"/>
    <w:rsid w:val="00B40A81"/>
    <w:rsid w:val="00B44910"/>
    <w:rsid w:val="00B72267"/>
    <w:rsid w:val="00B76EB6"/>
    <w:rsid w:val="00B7737B"/>
    <w:rsid w:val="00B824C8"/>
    <w:rsid w:val="00BC251A"/>
    <w:rsid w:val="00BD032B"/>
    <w:rsid w:val="00BE2640"/>
    <w:rsid w:val="00C01189"/>
    <w:rsid w:val="00C374DE"/>
    <w:rsid w:val="00C4035C"/>
    <w:rsid w:val="00C47AD4"/>
    <w:rsid w:val="00C52D81"/>
    <w:rsid w:val="00C55198"/>
    <w:rsid w:val="00C71CC8"/>
    <w:rsid w:val="00CA1D39"/>
    <w:rsid w:val="00CA6393"/>
    <w:rsid w:val="00CB18FF"/>
    <w:rsid w:val="00CD0C08"/>
    <w:rsid w:val="00CE03FB"/>
    <w:rsid w:val="00CE433C"/>
    <w:rsid w:val="00CF33F3"/>
    <w:rsid w:val="00D06183"/>
    <w:rsid w:val="00D22C42"/>
    <w:rsid w:val="00D65041"/>
    <w:rsid w:val="00DB384B"/>
    <w:rsid w:val="00DF4456"/>
    <w:rsid w:val="00E10E80"/>
    <w:rsid w:val="00E124F0"/>
    <w:rsid w:val="00E60F04"/>
    <w:rsid w:val="00E854E4"/>
    <w:rsid w:val="00EB0D6F"/>
    <w:rsid w:val="00EB2232"/>
    <w:rsid w:val="00EC5337"/>
    <w:rsid w:val="00F2150A"/>
    <w:rsid w:val="00F231D8"/>
    <w:rsid w:val="00F46C5F"/>
    <w:rsid w:val="00F90B2D"/>
    <w:rsid w:val="00F94A63"/>
    <w:rsid w:val="00FA1C2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E552310-A3BA-43F3-BD8C-B68F3B5E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C71CC8"/>
    <w:pPr>
      <w:framePr w:hSpace="180" w:wrap="around" w:hAnchor="margin" w:y="-675"/>
      <w:spacing w:before="48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framePr w:wrap="around"/>
      <w:spacing w:before="240"/>
    </w:pPr>
    <w:rPr>
      <w:b w:val="0"/>
      <w:caps/>
    </w:rPr>
  </w:style>
  <w:style w:type="paragraph" w:customStyle="1" w:styleId="Title2">
    <w:name w:val="Title 2"/>
    <w:basedOn w:val="Source"/>
    <w:next w:val="Title3"/>
    <w:rsid w:val="00813E5E"/>
    <w:pPr>
      <w:framePr w:wrap="around"/>
      <w:spacing w:before="240"/>
    </w:pPr>
    <w:rPr>
      <w:b w:val="0"/>
      <w:caps/>
    </w:rPr>
  </w:style>
  <w:style w:type="paragraph" w:customStyle="1" w:styleId="Title3">
    <w:name w:val="Title 3"/>
    <w:basedOn w:val="Title2"/>
    <w:next w:val="Normalaftertitle"/>
    <w:rsid w:val="00813E5E"/>
    <w:pPr>
      <w:framePr w:wrap="around"/>
    </w:pPr>
    <w:rPr>
      <w:caps w:val="0"/>
    </w:rPr>
  </w:style>
  <w:style w:type="paragraph" w:customStyle="1" w:styleId="Title4">
    <w:name w:val="Title 4"/>
    <w:basedOn w:val="Title3"/>
    <w:next w:val="Heading1"/>
    <w:rsid w:val="004D1851"/>
    <w:pPr>
      <w:framePr w:wrap="around"/>
    </w:pPr>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C71CC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Body">
    <w:name w:val="Body"/>
    <w:rsid w:val="00C71CC8"/>
    <w:pPr>
      <w:pBdr>
        <w:top w:val="nil"/>
        <w:left w:val="nil"/>
        <w:bottom w:val="nil"/>
        <w:right w:val="nil"/>
        <w:between w:val="nil"/>
        <w:bar w:val="nil"/>
      </w:pBdr>
      <w:tabs>
        <w:tab w:val="left" w:pos="567"/>
        <w:tab w:val="left" w:pos="1134"/>
        <w:tab w:val="left" w:pos="1701"/>
        <w:tab w:val="left" w:pos="2268"/>
        <w:tab w:val="left" w:pos="2835"/>
      </w:tabs>
      <w:spacing w:before="120"/>
    </w:pPr>
    <w:rPr>
      <w:rFonts w:ascii="Calibri" w:eastAsia="Calibri" w:hAnsi="Calibri" w:cs="Calibri"/>
      <w:color w:val="000000"/>
      <w:sz w:val="24"/>
      <w:szCs w:val="24"/>
      <w:u w:color="000000"/>
      <w:bdr w:val="nil"/>
      <w:lang w:eastAsia="en-US"/>
    </w:rPr>
  </w:style>
  <w:style w:type="character" w:customStyle="1" w:styleId="Hyperlink0">
    <w:name w:val="Hyperlink.0"/>
    <w:basedOn w:val="Hyperlink"/>
    <w:rsid w:val="00C71CC8"/>
    <w:rPr>
      <w:color w:val="0000FF"/>
      <w:u w:val="single" w:color="0000FF"/>
    </w:rPr>
  </w:style>
  <w:style w:type="character" w:customStyle="1" w:styleId="Hyperlink1">
    <w:name w:val="Hyperlink.1"/>
    <w:basedOn w:val="Hyperlink0"/>
    <w:rsid w:val="00C71CC8"/>
    <w:rPr>
      <w:color w:val="0000FF"/>
      <w:u w:val="single" w:color="0000FF"/>
      <w:lang w:val="en-US"/>
    </w:rPr>
  </w:style>
  <w:style w:type="paragraph" w:styleId="BalloonText">
    <w:name w:val="Balloon Text"/>
    <w:basedOn w:val="Normal"/>
    <w:link w:val="BalloonTextChar"/>
    <w:semiHidden/>
    <w:unhideWhenUsed/>
    <w:rsid w:val="00F90B2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90B2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S15-CL-C-0112/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S15-CL-C-0113/en" TargetMode="External"/><Relationship Id="rId17" Type="http://schemas.openxmlformats.org/officeDocument/2006/relationships/hyperlink" Target="https://www.itu.int/md/S17-RCLINTPOL9-C/en" TargetMode="External"/><Relationship Id="rId2" Type="http://schemas.openxmlformats.org/officeDocument/2006/relationships/numbering" Target="numbering.xml"/><Relationship Id="rId16" Type="http://schemas.openxmlformats.org/officeDocument/2006/relationships/hyperlink" Target="http://www.itu.int/en/council/cwg-internet/Pages/open-consultation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S09-CL-C-0105" TargetMode="External"/><Relationship Id="rId5" Type="http://schemas.openxmlformats.org/officeDocument/2006/relationships/webSettings" Target="webSettings.xml"/><Relationship Id="rId15" Type="http://schemas.openxmlformats.org/officeDocument/2006/relationships/hyperlink" Target="https://www.itu.int/md/S17-RCLINTPOL9-C/en" TargetMode="External"/><Relationship Id="rId10" Type="http://schemas.openxmlformats.org/officeDocument/2006/relationships/hyperlink" Target="http://www.itu.int/en/action/internet/Documents/Resolution_140_pp1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en/action/internet/Documents/Resolution_102_pp14.pdf" TargetMode="External"/><Relationship Id="rId14" Type="http://schemas.openxmlformats.org/officeDocument/2006/relationships/hyperlink" Target="https://www.itu.int/md/S16-RCLINTPOL8-C/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C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24A60-A637-4731-95D8-CAC09CBC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PE_C17.dotm</Template>
  <TotalTime>1</TotalTime>
  <Pages>3</Pages>
  <Words>1066</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Report by the Chairman of CWG-Internet</vt:lpstr>
    </vt:vector>
  </TitlesOfParts>
  <Manager>General Secretariat - Pool</Manager>
  <Company>International Telecommunication Union (ITU)</Company>
  <LinksUpToDate>false</LinksUpToDate>
  <CharactersWithSpaces>7795</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the Chairman of CWG-Internet</dc:title>
  <dc:subject>Council 2017</dc:subject>
  <dc:creator>Brouard, Ricarda</dc:creator>
  <cp:keywords>C2017, C17</cp:keywords>
  <dc:description/>
  <cp:lastModifiedBy>Brouard, Ricarda</cp:lastModifiedBy>
  <cp:revision>2</cp:revision>
  <cp:lastPrinted>2000-07-18T13:30:00Z</cp:lastPrinted>
  <dcterms:created xsi:type="dcterms:W3CDTF">2017-04-03T09:09:00Z</dcterms:created>
  <dcterms:modified xsi:type="dcterms:W3CDTF">2017-04-03T09:09:00Z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