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82" w:rsidRDefault="00A80982" w:rsidP="00A80982">
      <w:pPr>
        <w:keepNext/>
        <w:keepLines/>
        <w:spacing w:before="240" w:after="280"/>
        <w:jc w:val="center"/>
        <w:rPr>
          <w:rFonts w:ascii="Times New Roman Bold" w:eastAsiaTheme="minorEastAsia" w:hAnsi="Times New Roman Bold"/>
          <w:b/>
          <w:sz w:val="28"/>
          <w:lang w:eastAsia="ja-JP"/>
        </w:rPr>
      </w:pP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>Summary</w:t>
      </w:r>
      <w:r w:rsidRPr="00A80982">
        <w:rPr>
          <w:rFonts w:ascii="Times New Roman Bold" w:eastAsiaTheme="minorEastAsia" w:hAnsi="Times New Roman Bold"/>
          <w:b/>
          <w:sz w:val="28"/>
          <w:lang w:eastAsia="zh-CN"/>
        </w:rPr>
        <w:t xml:space="preserve"> 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>of</w:t>
      </w:r>
      <w:r w:rsidRPr="00A80982">
        <w:rPr>
          <w:rFonts w:ascii="Times New Roman Bold" w:eastAsiaTheme="minorEastAsia" w:hAnsi="Times New Roman Bold"/>
          <w:b/>
          <w:sz w:val="28"/>
          <w:lang w:eastAsia="zh-CN"/>
        </w:rPr>
        <w:t xml:space="preserve"> the 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progress of studies requested in </w:t>
      </w:r>
      <w:r w:rsidRPr="00A80982">
        <w:rPr>
          <w:rFonts w:ascii="Times New Roman Bold" w:eastAsiaTheme="minorEastAsia" w:hAnsi="Times New Roman Bold"/>
          <w:b/>
          <w:sz w:val="28"/>
        </w:rPr>
        <w:t xml:space="preserve">ITU-R Resolutions 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>relevant to</w:t>
      </w:r>
      <w:r w:rsidRPr="00A80982">
        <w:rPr>
          <w:rFonts w:ascii="Times New Roman Bold" w:eastAsiaTheme="minorEastAsia" w:hAnsi="Times New Roman Bold"/>
          <w:b/>
          <w:sz w:val="28"/>
        </w:rPr>
        <w:t xml:space="preserve"> Study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 Group </w:t>
      </w:r>
      <w:r w:rsidRPr="00A80982">
        <w:rPr>
          <w:rFonts w:ascii="Times New Roman Bold" w:eastAsiaTheme="minorEastAsia" w:hAnsi="Times New Roman Bold"/>
          <w:b/>
          <w:sz w:val="28"/>
          <w:lang w:eastAsia="ja-JP"/>
        </w:rPr>
        <w:t>4</w:t>
      </w:r>
    </w:p>
    <w:p w:rsidR="001E0ECE" w:rsidRPr="001E0ECE" w:rsidRDefault="001E0ECE" w:rsidP="001E0ECE">
      <w:pPr>
        <w:keepNext/>
        <w:keepLines/>
        <w:spacing w:before="240" w:after="280"/>
        <w:rPr>
          <w:rFonts w:ascii="Times New Roman Bold" w:eastAsiaTheme="minorEastAsia" w:hAnsi="Times New Roman Bold"/>
          <w:b/>
          <w:sz w:val="22"/>
          <w:szCs w:val="22"/>
          <w:lang w:eastAsia="ja-JP"/>
        </w:rPr>
      </w:pPr>
    </w:p>
    <w:tbl>
      <w:tblPr>
        <w:tblStyle w:val="TableGrid"/>
        <w:tblW w:w="13892" w:type="dxa"/>
        <w:jc w:val="center"/>
        <w:tblLook w:val="0000" w:firstRow="0" w:lastRow="0" w:firstColumn="0" w:lastColumn="0" w:noHBand="0" w:noVBand="0"/>
      </w:tblPr>
      <w:tblGrid>
        <w:gridCol w:w="1693"/>
        <w:gridCol w:w="2835"/>
        <w:gridCol w:w="993"/>
        <w:gridCol w:w="5953"/>
        <w:gridCol w:w="2418"/>
      </w:tblGrid>
      <w:tr w:rsidR="00A80982" w:rsidRPr="00A80982" w:rsidTr="001173A3">
        <w:trPr>
          <w:jc w:val="center"/>
        </w:trPr>
        <w:tc>
          <w:tcPr>
            <w:tcW w:w="169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Resolution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t xml:space="preserve"> ITU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noBreakHyphen/>
            </w:r>
            <w:r w:rsidRPr="00A80982">
              <w:rPr>
                <w:rFonts w:eastAsiaTheme="minorEastAsia"/>
                <w:b/>
                <w:bCs/>
                <w:sz w:val="20"/>
                <w:lang w:eastAsia="ja-JP"/>
              </w:rPr>
              <w:t>R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Title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WP</w:t>
            </w:r>
          </w:p>
        </w:tc>
        <w:tc>
          <w:tcPr>
            <w:tcW w:w="595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Status of Studies</w:t>
            </w:r>
          </w:p>
        </w:tc>
        <w:tc>
          <w:tcPr>
            <w:tcW w:w="2418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D</w:t>
            </w:r>
            <w:r w:rsidRPr="00A80982">
              <w:rPr>
                <w:rFonts w:eastAsiaTheme="minorEastAsia"/>
                <w:b/>
                <w:bCs/>
                <w:sz w:val="20"/>
              </w:rPr>
              <w:t>eliverables</w:t>
            </w:r>
            <w:r w:rsidRPr="00A80982">
              <w:rPr>
                <w:rFonts w:asciiTheme="majorBidi" w:eastAsiaTheme="minorEastAsia" w:hAnsiTheme="majorBidi" w:cstheme="majorBidi" w:hint="eastAsia"/>
                <w:b/>
                <w:sz w:val="20"/>
                <w:szCs w:val="24"/>
                <w:lang w:eastAsia="ja-JP"/>
              </w:rPr>
              <w:t xml:space="preserve"> &amp; Approved or F</w:t>
            </w:r>
            <w:r w:rsidRPr="00A80982">
              <w:rPr>
                <w:rFonts w:asciiTheme="majorBidi" w:eastAsiaTheme="minorEastAsia" w:hAnsiTheme="majorBidi" w:cstheme="majorBidi"/>
                <w:b/>
                <w:sz w:val="20"/>
                <w:szCs w:val="24"/>
              </w:rPr>
              <w:t>oreseen dates</w:t>
            </w:r>
          </w:p>
        </w:tc>
      </w:tr>
      <w:tr w:rsidR="00A80982" w:rsidRPr="00A80982" w:rsidTr="002A7CB9">
        <w:trPr>
          <w:jc w:val="center"/>
        </w:trPr>
        <w:tc>
          <w:tcPr>
            <w:tcW w:w="1693" w:type="dxa"/>
          </w:tcPr>
          <w:p w:rsidR="00A80982" w:rsidRPr="00A80982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hyperlink r:id="rId7" w:history="1">
              <w:r w:rsidR="00A80982" w:rsidRPr="00A80982">
                <w:rPr>
                  <w:rFonts w:eastAsiaTheme="minorEastAsia"/>
                  <w:color w:val="0000FF"/>
                  <w:sz w:val="20"/>
                  <w:u w:val="single"/>
                  <w:lang w:eastAsia="ja-JP"/>
                </w:rPr>
                <w:t>47</w:t>
              </w:r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-2</w:t>
              </w:r>
            </w:hyperlink>
          </w:p>
        </w:tc>
        <w:tc>
          <w:tcPr>
            <w:tcW w:w="2835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sz w:val="20"/>
              </w:rPr>
              <w:t>Future submission of satellite radio transmission technologies for IMT-2000</w:t>
            </w: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4B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T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he work </w:t>
            </w:r>
            <w:r w:rsidRPr="00A80982">
              <w:rPr>
                <w:rFonts w:eastAsiaTheme="minorEastAsia"/>
                <w:sz w:val="20"/>
                <w:lang w:eastAsia="ja-JP"/>
              </w:rPr>
              <w:t>for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the </w:t>
            </w:r>
            <w:r w:rsidRPr="00A80982">
              <w:rPr>
                <w:rFonts w:eastAsiaTheme="minorEastAsia"/>
                <w:sz w:val="20"/>
                <w:lang w:eastAsia="ja-JP"/>
              </w:rPr>
              <w:t>revision of the relevant Recommendation on “Detailed specifications of the radio interfaces for the satellite component of International Mobil</w:t>
            </w:r>
            <w:r>
              <w:rPr>
                <w:rFonts w:eastAsiaTheme="minorEastAsia"/>
                <w:sz w:val="20"/>
                <w:lang w:eastAsia="ja-JP"/>
              </w:rPr>
              <w:t>e Telecommunications -2000 (IMT</w:t>
            </w:r>
            <w:r>
              <w:rPr>
                <w:rFonts w:eastAsiaTheme="minorEastAsia"/>
                <w:sz w:val="20"/>
                <w:lang w:eastAsia="ja-JP"/>
              </w:rPr>
              <w:noBreakHyphen/>
            </w:r>
            <w:r w:rsidRPr="00A80982">
              <w:rPr>
                <w:rFonts w:eastAsiaTheme="minorEastAsia"/>
                <w:sz w:val="20"/>
                <w:lang w:eastAsia="ja-JP"/>
              </w:rPr>
              <w:t>2000)”</w:t>
            </w:r>
            <w:r w:rsidRPr="00A80982">
              <w:rPr>
                <w:rFonts w:asciiTheme="majorBidi" w:eastAsiaTheme="minorEastAsia" w:hAnsiTheme="majorBidi" w:cstheme="majorBidi" w:hint="eastAsia"/>
                <w:lang w:eastAsia="ja-JP"/>
              </w:rPr>
              <w:t xml:space="preserve"> 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has been completed</w:t>
            </w:r>
            <w:r w:rsidRPr="00A80982">
              <w:rPr>
                <w:rFonts w:eastAsiaTheme="minorEastAsia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 xml:space="preserve">Recommendation ITU-R M.1850-2 </w:t>
            </w:r>
            <w:r w:rsidRPr="00A80982">
              <w:rPr>
                <w:rFonts w:eastAsiaTheme="minorEastAsia"/>
                <w:sz w:val="20"/>
                <w:lang w:eastAsia="ko-KR"/>
              </w:rPr>
              <w:t>(2014)</w:t>
            </w:r>
          </w:p>
        </w:tc>
      </w:tr>
      <w:tr w:rsidR="00A80982" w:rsidRPr="00A80982" w:rsidTr="002A7CB9">
        <w:trPr>
          <w:jc w:val="center"/>
        </w:trPr>
        <w:tc>
          <w:tcPr>
            <w:tcW w:w="1693" w:type="dxa"/>
            <w:vMerge w:val="restart"/>
          </w:tcPr>
          <w:p w:rsidR="00A80982" w:rsidRPr="00A80982" w:rsidDel="00BB22C0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</w:rPr>
            </w:pPr>
            <w:hyperlink r:id="rId8" w:history="1">
              <w:r w:rsidR="00A80982" w:rsidRPr="00A80982">
                <w:rPr>
                  <w:rFonts w:eastAsiaTheme="minorEastAsia"/>
                  <w:color w:val="0000FF"/>
                  <w:sz w:val="20"/>
                  <w:u w:val="single"/>
                </w:rPr>
                <w:t>55</w:t>
              </w:r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-</w:t>
              </w:r>
            </w:hyperlink>
            <w:r w:rsidR="00A80982" w:rsidRPr="00A80982">
              <w:rPr>
                <w:rFonts w:eastAsiaTheme="minorEastAsia"/>
                <w:color w:val="0000FF"/>
                <w:sz w:val="20"/>
                <w:u w:val="single"/>
              </w:rPr>
              <w:t>2</w:t>
            </w:r>
          </w:p>
        </w:tc>
        <w:tc>
          <w:tcPr>
            <w:tcW w:w="2835" w:type="dxa"/>
            <w:vMerge w:val="restart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sz w:val="20"/>
              </w:rPr>
              <w:t>ITU</w:t>
            </w:r>
            <w:r w:rsidR="00E46E69">
              <w:rPr>
                <w:rFonts w:eastAsiaTheme="minorEastAsia"/>
                <w:sz w:val="20"/>
              </w:rPr>
              <w:t>-R</w:t>
            </w:r>
            <w:bookmarkStart w:id="0" w:name="_GoBack"/>
            <w:bookmarkEnd w:id="0"/>
            <w:r w:rsidRPr="00A80982">
              <w:rPr>
                <w:rFonts w:eastAsiaTheme="minorEastAsia"/>
                <w:sz w:val="20"/>
              </w:rPr>
              <w:t xml:space="preserve"> studies of disaster prediction, detection, mitigation and relief</w:t>
            </w: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A</w:t>
            </w:r>
            <w:r w:rsidRPr="00A80982">
              <w:rPr>
                <w:rFonts w:eastAsiaTheme="minorEastAsia"/>
                <w:sz w:val="20"/>
                <w:lang w:eastAsia="ja-JP"/>
              </w:rPr>
              <w:t>, 4B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The work for the revision of the relevant Recommendation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on </w:t>
            </w:r>
            <w:r w:rsidRPr="00A80982">
              <w:rPr>
                <w:rFonts w:eastAsiaTheme="minorEastAsia"/>
                <w:iCs/>
                <w:sz w:val="20"/>
              </w:rPr>
              <w:t xml:space="preserve">“Use of systems in the fixed-satellite service in the event of natural disasters and similar emergencies for warning and relief operations”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and Report on “Use and examples of systems in the fixed-satellite service in the event of natural disasters and similar emergencies for warning and relief operations”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>has been completed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>Recommendation ITU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R S.1001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2 (2010)</w:t>
            </w: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</w:rPr>
              <w:t>Report ITU</w:t>
            </w:r>
            <w:r w:rsidRPr="00A80982">
              <w:rPr>
                <w:rFonts w:eastAsiaTheme="minorEastAsia"/>
                <w:sz w:val="20"/>
              </w:rPr>
              <w:noBreakHyphen/>
              <w:t>R S.2151-1 (2012)</w:t>
            </w:r>
          </w:p>
        </w:tc>
      </w:tr>
      <w:tr w:rsidR="00A80982" w:rsidRPr="00A80982" w:rsidTr="002A7CB9">
        <w:trPr>
          <w:jc w:val="center"/>
        </w:trPr>
        <w:tc>
          <w:tcPr>
            <w:tcW w:w="1693" w:type="dxa"/>
            <w:vMerge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</w:p>
        </w:tc>
        <w:tc>
          <w:tcPr>
            <w:tcW w:w="2835" w:type="dxa"/>
            <w:vMerge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4C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20"/>
                <w:lang w:eastAsia="ja-JP"/>
              </w:rPr>
            </w:pP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The work for the revision of the relevant Recommendation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on </w:t>
            </w:r>
            <w:r w:rsidRPr="00A80982">
              <w:rPr>
                <w:rFonts w:eastAsiaTheme="minorEastAsia"/>
                <w:iCs/>
                <w:sz w:val="20"/>
              </w:rPr>
              <w:t>“</w:t>
            </w:r>
            <w:r w:rsidRPr="00A80982">
              <w:rPr>
                <w:rFonts w:eastAsiaTheme="minorEastAsia"/>
                <w:sz w:val="20"/>
              </w:rPr>
              <w:t>Use of mobile-satellite service in disaster response and relief</w:t>
            </w:r>
            <w:r w:rsidRPr="00A80982">
              <w:rPr>
                <w:rFonts w:eastAsiaTheme="minorEastAsia"/>
                <w:iCs/>
                <w:sz w:val="20"/>
              </w:rPr>
              <w:t xml:space="preserve">”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and Report on “Use and examples of mobile-satellite service systems for relief operation in the event of natural disasters and similar emergencies”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>has been completed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>Recommendation ITU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R M.1854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1 (2012)</w:t>
            </w: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>Report ITU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R M.2149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1 (2011)</w:t>
            </w:r>
          </w:p>
        </w:tc>
      </w:tr>
      <w:tr w:rsidR="00A80982" w:rsidRPr="00A80982" w:rsidTr="002A7CB9">
        <w:trPr>
          <w:jc w:val="center"/>
        </w:trPr>
        <w:tc>
          <w:tcPr>
            <w:tcW w:w="1693" w:type="dxa"/>
          </w:tcPr>
          <w:p w:rsidR="00A80982" w:rsidRPr="00A80982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</w:rPr>
            </w:pPr>
            <w:hyperlink r:id="rId9" w:history="1">
              <w:r w:rsidR="00A80982" w:rsidRPr="00A80982">
                <w:rPr>
                  <w:rFonts w:eastAsiaTheme="minorEastAsia"/>
                  <w:color w:val="0000FF"/>
                  <w:sz w:val="20"/>
                  <w:u w:val="single"/>
                </w:rPr>
                <w:t>5</w:t>
              </w:r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7-</w:t>
              </w:r>
            </w:hyperlink>
            <w:r w:rsidR="00A80982" w:rsidRPr="00A80982">
              <w:rPr>
                <w:rFonts w:eastAsiaTheme="minorEastAsia"/>
                <w:color w:val="0000FF"/>
                <w:sz w:val="20"/>
                <w:u w:val="single"/>
                <w:lang w:eastAsia="ja-JP"/>
              </w:rPr>
              <w:t>2</w:t>
            </w:r>
          </w:p>
        </w:tc>
        <w:tc>
          <w:tcPr>
            <w:tcW w:w="2835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sz w:val="20"/>
              </w:rPr>
              <w:t>Principles for the process of development of IMT-Advanced</w:t>
            </w: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4B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The work for the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development of a new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Recommendation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on</w:t>
            </w:r>
            <w:r w:rsidRPr="00A80982">
              <w:rPr>
                <w:rFonts w:eastAsiaTheme="minorEastAsia"/>
              </w:rPr>
              <w:t xml:space="preserve">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“Detailed specifications of the radio interfaces for the satellite component of International Mobile Telecommunications-Advanced (IMT-Advanced)” and new Report on “</w:t>
            </w:r>
            <w:r w:rsidRPr="00A80982">
              <w:rPr>
                <w:rFonts w:asciiTheme="majorBidi" w:eastAsiaTheme="minorEastAsia" w:hAnsiTheme="majorBidi" w:cstheme="majorBidi"/>
                <w:color w:val="000000"/>
                <w:sz w:val="20"/>
              </w:rPr>
              <w:t>Outcome of the evaluation, consensus building and decision of the IMT-Advanced satellite process (Steps 4 to 7), including characteristics of IMT-Advanced satellite radio interfaces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”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>has been completed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>Recommendation ITU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R M.2047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0 (2013)</w:t>
            </w: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>Report ITU</w:t>
            </w:r>
            <w:r w:rsidRPr="00A80982">
              <w:rPr>
                <w:rFonts w:eastAsiaTheme="minorEastAsia"/>
                <w:iCs/>
                <w:sz w:val="20"/>
              </w:rPr>
              <w:noBreakHyphen/>
              <w:t>R M.2279 (2013)</w:t>
            </w:r>
          </w:p>
        </w:tc>
      </w:tr>
      <w:tr w:rsidR="00806229" w:rsidRPr="00A80982" w:rsidTr="002A7CB9">
        <w:trPr>
          <w:jc w:val="center"/>
        </w:trPr>
        <w:tc>
          <w:tcPr>
            <w:tcW w:w="1693" w:type="dxa"/>
          </w:tcPr>
          <w:p w:rsidR="00806229" w:rsidRPr="00A80982" w:rsidRDefault="00E46E69" w:rsidP="008062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</w:rPr>
            </w:pPr>
            <w:hyperlink r:id="rId10" w:history="1">
              <w:r w:rsidR="00806229" w:rsidRPr="00A80982">
                <w:rPr>
                  <w:rFonts w:eastAsiaTheme="minorEastAsia"/>
                  <w:color w:val="0000FF"/>
                  <w:sz w:val="20"/>
                  <w:u w:val="single"/>
                </w:rPr>
                <w:t>65</w:t>
              </w:r>
            </w:hyperlink>
          </w:p>
        </w:tc>
        <w:tc>
          <w:tcPr>
            <w:tcW w:w="2835" w:type="dxa"/>
          </w:tcPr>
          <w:p w:rsidR="00806229" w:rsidRPr="00A80982" w:rsidRDefault="00806229" w:rsidP="008062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sz w:val="20"/>
                <w:lang w:val="en-US"/>
              </w:rPr>
              <w:t>Principles for the process of future development of IMT for 2020 and beyond</w:t>
            </w:r>
          </w:p>
        </w:tc>
        <w:tc>
          <w:tcPr>
            <w:tcW w:w="993" w:type="dxa"/>
          </w:tcPr>
          <w:p w:rsidR="00806229" w:rsidRPr="00A80982" w:rsidRDefault="00806229" w:rsidP="008062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4B</w:t>
            </w:r>
          </w:p>
        </w:tc>
        <w:tc>
          <w:tcPr>
            <w:tcW w:w="5953" w:type="dxa"/>
          </w:tcPr>
          <w:p w:rsidR="00806229" w:rsidRPr="00A80982" w:rsidRDefault="00806229" w:rsidP="008062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20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>T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h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e work for the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development of a new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>Re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port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on “Key </w:t>
            </w: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>elements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 for integration of satellite systems into </w:t>
            </w:r>
            <w:r w:rsidRPr="00957ECA">
              <w:rPr>
                <w:rFonts w:asciiTheme="majorBidi" w:eastAsiaTheme="minorEastAsia" w:hAnsiTheme="majorBidi" w:cstheme="majorBidi"/>
                <w:sz w:val="20"/>
                <w:lang w:eastAsia="ja-JP"/>
              </w:rPr>
              <w:t>Next Generation Access Technologies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”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 has been completed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806229" w:rsidRPr="00A80982" w:rsidRDefault="00806229" w:rsidP="008062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A80982">
              <w:rPr>
                <w:rFonts w:eastAsiaTheme="minorEastAsia"/>
                <w:iCs/>
                <w:sz w:val="20"/>
              </w:rPr>
              <w:t xml:space="preserve">Report </w:t>
            </w:r>
            <w:r>
              <w:rPr>
                <w:rFonts w:eastAsiaTheme="minorEastAsia"/>
                <w:iCs/>
                <w:sz w:val="20"/>
              </w:rPr>
              <w:t>ITU-R M.2460-0</w:t>
            </w:r>
            <w:r w:rsidRPr="00A80982">
              <w:rPr>
                <w:rFonts w:eastAsiaTheme="minorEastAsia"/>
                <w:iCs/>
                <w:sz w:val="20"/>
              </w:rPr>
              <w:t xml:space="preserve"> (201</w:t>
            </w:r>
            <w:r>
              <w:rPr>
                <w:rFonts w:eastAsiaTheme="minorEastAsia"/>
                <w:iCs/>
                <w:sz w:val="20"/>
              </w:rPr>
              <w:t>9</w:t>
            </w:r>
            <w:r w:rsidRPr="00A80982">
              <w:rPr>
                <w:rFonts w:eastAsiaTheme="minorEastAsia"/>
                <w:iCs/>
                <w:sz w:val="20"/>
              </w:rPr>
              <w:t>)</w:t>
            </w:r>
          </w:p>
        </w:tc>
      </w:tr>
      <w:tr w:rsidR="00806229" w:rsidRPr="00A80982" w:rsidTr="00806229">
        <w:tblPrEx>
          <w:jc w:val="left"/>
          <w:tblLook w:val="04A0" w:firstRow="1" w:lastRow="0" w:firstColumn="1" w:lastColumn="0" w:noHBand="0" w:noVBand="1"/>
        </w:tblPrEx>
        <w:tc>
          <w:tcPr>
            <w:tcW w:w="1693" w:type="dxa"/>
          </w:tcPr>
          <w:p w:rsidR="00806229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color w:val="0000FF"/>
                <w:sz w:val="20"/>
                <w:u w:val="single"/>
              </w:rPr>
            </w:pPr>
            <w:r>
              <w:rPr>
                <w:rFonts w:eastAsiaTheme="minorEastAsia"/>
                <w:color w:val="0000FF"/>
                <w:sz w:val="20"/>
                <w:u w:val="single"/>
              </w:rPr>
              <w:t>68</w:t>
            </w:r>
          </w:p>
        </w:tc>
        <w:tc>
          <w:tcPr>
            <w:tcW w:w="2835" w:type="dxa"/>
          </w:tcPr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  <w:lang w:val="en-US"/>
              </w:rPr>
            </w:pPr>
            <w:r w:rsidRPr="00DA20B5">
              <w:rPr>
                <w:rFonts w:eastAsiaTheme="minorEastAsia"/>
                <w:sz w:val="20"/>
                <w:lang w:val="en-US"/>
              </w:rPr>
              <w:t>Improving the dissemination of knowledge concerning the applicable regulatory procedures for small satellites, including nanosatellites and picosatellites</w:t>
            </w:r>
          </w:p>
        </w:tc>
        <w:tc>
          <w:tcPr>
            <w:tcW w:w="993" w:type="dxa"/>
          </w:tcPr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4A</w:t>
            </w:r>
          </w:p>
        </w:tc>
        <w:tc>
          <w:tcPr>
            <w:tcW w:w="5953" w:type="dxa"/>
          </w:tcPr>
          <w:p w:rsidR="00806229" w:rsidRPr="00A80982" w:rsidDel="00957ECA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20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Working Party 4A started the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work for the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development of a new </w:t>
            </w:r>
            <w:r w:rsidRPr="00DA20B5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ITU-R handbook </w:t>
            </w: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on </w:t>
            </w:r>
            <w:r w:rsidRPr="00DA20B5">
              <w:rPr>
                <w:rFonts w:asciiTheme="majorBidi" w:eastAsiaTheme="minorEastAsia" w:hAnsiTheme="majorBidi" w:cstheme="majorBidi"/>
                <w:sz w:val="20"/>
                <w:lang w:eastAsia="ja-JP"/>
              </w:rPr>
              <w:t>small satellite</w:t>
            </w: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>s.</w:t>
            </w:r>
            <w:r w:rsidRPr="00DA20B5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 </w:t>
            </w:r>
          </w:p>
        </w:tc>
        <w:tc>
          <w:tcPr>
            <w:tcW w:w="2418" w:type="dxa"/>
          </w:tcPr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>
              <w:rPr>
                <w:rFonts w:eastAsiaTheme="minorEastAsia"/>
                <w:iCs/>
                <w:sz w:val="20"/>
              </w:rPr>
              <w:t>Handbook on small satellites (2022)</w:t>
            </w:r>
          </w:p>
        </w:tc>
      </w:tr>
    </w:tbl>
    <w:p w:rsidR="001173A3" w:rsidRDefault="001173A3"/>
    <w:tbl>
      <w:tblPr>
        <w:tblStyle w:val="TableGrid"/>
        <w:tblW w:w="13892" w:type="dxa"/>
        <w:jc w:val="center"/>
        <w:tblLook w:val="0000" w:firstRow="0" w:lastRow="0" w:firstColumn="0" w:lastColumn="0" w:noHBand="0" w:noVBand="0"/>
      </w:tblPr>
      <w:tblGrid>
        <w:gridCol w:w="1693"/>
        <w:gridCol w:w="2835"/>
        <w:gridCol w:w="993"/>
        <w:gridCol w:w="5953"/>
        <w:gridCol w:w="2418"/>
      </w:tblGrid>
      <w:tr w:rsidR="001173A3" w:rsidRPr="00A80982" w:rsidTr="006F3521">
        <w:trPr>
          <w:jc w:val="center"/>
        </w:trPr>
        <w:tc>
          <w:tcPr>
            <w:tcW w:w="1693" w:type="dxa"/>
            <w:shd w:val="clear" w:color="auto" w:fill="EEECE1" w:themeFill="background2"/>
            <w:vAlign w:val="center"/>
          </w:tcPr>
          <w:p w:rsidR="001173A3" w:rsidRPr="00A80982" w:rsidRDefault="001173A3" w:rsidP="006F35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Resolution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t xml:space="preserve"> ITU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noBreakHyphen/>
            </w:r>
            <w:r w:rsidRPr="00A80982">
              <w:rPr>
                <w:rFonts w:eastAsiaTheme="minorEastAsia"/>
                <w:b/>
                <w:bCs/>
                <w:sz w:val="20"/>
                <w:lang w:eastAsia="ja-JP"/>
              </w:rPr>
              <w:t>R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173A3" w:rsidRPr="00A80982" w:rsidRDefault="001173A3" w:rsidP="006F35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Title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173A3" w:rsidRPr="00A80982" w:rsidRDefault="001173A3" w:rsidP="006F35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WP</w:t>
            </w:r>
          </w:p>
        </w:tc>
        <w:tc>
          <w:tcPr>
            <w:tcW w:w="5953" w:type="dxa"/>
            <w:shd w:val="clear" w:color="auto" w:fill="EEECE1" w:themeFill="background2"/>
            <w:vAlign w:val="center"/>
          </w:tcPr>
          <w:p w:rsidR="001173A3" w:rsidRPr="00A80982" w:rsidRDefault="001173A3" w:rsidP="006F35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Status of Studies</w:t>
            </w:r>
          </w:p>
        </w:tc>
        <w:tc>
          <w:tcPr>
            <w:tcW w:w="2418" w:type="dxa"/>
            <w:shd w:val="clear" w:color="auto" w:fill="EEECE1" w:themeFill="background2"/>
            <w:vAlign w:val="center"/>
          </w:tcPr>
          <w:p w:rsidR="001173A3" w:rsidRPr="00A80982" w:rsidRDefault="001173A3" w:rsidP="006F35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D</w:t>
            </w:r>
            <w:r w:rsidRPr="00A80982">
              <w:rPr>
                <w:rFonts w:eastAsiaTheme="minorEastAsia"/>
                <w:b/>
                <w:bCs/>
                <w:sz w:val="20"/>
              </w:rPr>
              <w:t>eliverables</w:t>
            </w:r>
            <w:r w:rsidRPr="00A80982">
              <w:rPr>
                <w:rFonts w:asciiTheme="majorBidi" w:eastAsiaTheme="minorEastAsia" w:hAnsiTheme="majorBidi" w:cstheme="majorBidi" w:hint="eastAsia"/>
                <w:b/>
                <w:sz w:val="20"/>
                <w:szCs w:val="24"/>
                <w:lang w:eastAsia="ja-JP"/>
              </w:rPr>
              <w:t xml:space="preserve"> &amp; Approved or F</w:t>
            </w:r>
            <w:r w:rsidRPr="00A80982">
              <w:rPr>
                <w:rFonts w:asciiTheme="majorBidi" w:eastAsiaTheme="minorEastAsia" w:hAnsiTheme="majorBidi" w:cstheme="majorBidi"/>
                <w:b/>
                <w:sz w:val="20"/>
                <w:szCs w:val="24"/>
              </w:rPr>
              <w:t>oreseen dates</w:t>
            </w:r>
          </w:p>
        </w:tc>
      </w:tr>
      <w:tr w:rsidR="00806229" w:rsidRPr="00A80982" w:rsidTr="00806229">
        <w:tblPrEx>
          <w:jc w:val="left"/>
          <w:tblLook w:val="04A0" w:firstRow="1" w:lastRow="0" w:firstColumn="1" w:lastColumn="0" w:noHBand="0" w:noVBand="1"/>
        </w:tblPrEx>
        <w:tc>
          <w:tcPr>
            <w:tcW w:w="1693" w:type="dxa"/>
          </w:tcPr>
          <w:p w:rsidR="00806229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color w:val="0000FF"/>
                <w:sz w:val="20"/>
                <w:u w:val="single"/>
              </w:rPr>
            </w:pPr>
            <w:r>
              <w:rPr>
                <w:rFonts w:eastAsiaTheme="minorEastAsia"/>
                <w:color w:val="0000FF"/>
                <w:sz w:val="20"/>
                <w:u w:val="single"/>
              </w:rPr>
              <w:t>69</w:t>
            </w:r>
          </w:p>
        </w:tc>
        <w:tc>
          <w:tcPr>
            <w:tcW w:w="2835" w:type="dxa"/>
          </w:tcPr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  <w:lang w:val="en-US"/>
              </w:rPr>
            </w:pPr>
            <w:r w:rsidRPr="00C46638">
              <w:rPr>
                <w:rFonts w:eastAsiaTheme="minorEastAsia"/>
                <w:sz w:val="20"/>
                <w:lang w:val="en-US"/>
              </w:rPr>
              <w:t xml:space="preserve">Development and deployment of international public telecommunications </w:t>
            </w:r>
            <w:r w:rsidRPr="00C46638">
              <w:rPr>
                <w:rFonts w:eastAsiaTheme="minorEastAsia"/>
                <w:sz w:val="20"/>
                <w:lang w:val="en-US"/>
              </w:rPr>
              <w:br/>
              <w:t>via satellite in developing countries</w:t>
            </w:r>
          </w:p>
        </w:tc>
        <w:tc>
          <w:tcPr>
            <w:tcW w:w="993" w:type="dxa"/>
          </w:tcPr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C46638">
              <w:rPr>
                <w:rFonts w:eastAsiaTheme="minorEastAsia"/>
                <w:sz w:val="20"/>
                <w:lang w:eastAsia="ja-JP"/>
              </w:rPr>
              <w:t>4</w:t>
            </w:r>
            <w:r w:rsidRPr="00C46638">
              <w:rPr>
                <w:rFonts w:eastAsiaTheme="minorEastAsia" w:hint="eastAsia"/>
                <w:sz w:val="20"/>
                <w:lang w:eastAsia="ja-JP"/>
              </w:rPr>
              <w:t>A</w:t>
            </w:r>
            <w:r w:rsidRPr="00C46638">
              <w:rPr>
                <w:rFonts w:eastAsiaTheme="minorEastAsia"/>
                <w:sz w:val="20"/>
                <w:lang w:eastAsia="ja-JP"/>
              </w:rPr>
              <w:t>, 4B</w:t>
            </w:r>
          </w:p>
        </w:tc>
        <w:tc>
          <w:tcPr>
            <w:tcW w:w="5953" w:type="dxa"/>
          </w:tcPr>
          <w:p w:rsidR="00806229" w:rsidRPr="00A80982" w:rsidDel="00957ECA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20"/>
                <w:lang w:eastAsia="ja-JP"/>
              </w:rPr>
            </w:pP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The work for the </w:t>
            </w:r>
            <w:r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revision of the relevant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 xml:space="preserve">Recommendation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on</w:t>
            </w:r>
            <w:r w:rsidRPr="00A80982">
              <w:rPr>
                <w:rFonts w:eastAsiaTheme="minorEastAsia"/>
              </w:rPr>
              <w:t xml:space="preserve">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“</w:t>
            </w:r>
            <w:r w:rsidRPr="00C46638">
              <w:rPr>
                <w:rFonts w:asciiTheme="majorBidi" w:eastAsiaTheme="minorEastAsia" w:hAnsiTheme="majorBidi" w:cstheme="majorBidi"/>
                <w:sz w:val="20"/>
                <w:lang w:eastAsia="ja-JP"/>
              </w:rPr>
              <w:t>Guidelines</w:t>
            </w:r>
            <w:r w:rsidRPr="00C46638">
              <w:rPr>
                <w:rFonts w:asciiTheme="majorBidi" w:eastAsiaTheme="minorEastAsia" w:hAnsiTheme="majorBidi" w:cstheme="majorBidi"/>
                <w:sz w:val="20"/>
                <w:lang w:val="en-US" w:eastAsia="ja-JP"/>
              </w:rPr>
              <w:t xml:space="preserve"> on global broadband Internet access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ja-JP"/>
              </w:rPr>
              <w:t xml:space="preserve"> </w:t>
            </w:r>
            <w:r w:rsidRPr="00C46638">
              <w:rPr>
                <w:rFonts w:asciiTheme="majorBidi" w:eastAsiaTheme="minorEastAsia" w:hAnsiTheme="majorBidi" w:cstheme="majorBidi"/>
                <w:sz w:val="20"/>
                <w:lang w:val="en-US" w:eastAsia="ja-JP"/>
              </w:rPr>
              <w:t>by fixed-satellite service systems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>” and development of a new Report on “</w:t>
            </w:r>
            <w:r w:rsidRPr="00C46638">
              <w:rPr>
                <w:rFonts w:asciiTheme="majorBidi" w:eastAsiaTheme="minorEastAsia" w:hAnsiTheme="majorBidi" w:cstheme="majorBidi"/>
                <w:color w:val="000000"/>
                <w:sz w:val="20"/>
              </w:rPr>
              <w:t>Key elements for integration of satellite systems into Next Generation Access Technologies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eastAsia="ja-JP"/>
              </w:rPr>
              <w:t xml:space="preserve">”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  <w:lang w:eastAsia="ja-JP"/>
              </w:rPr>
              <w:t>has been completed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.</w:t>
            </w:r>
          </w:p>
        </w:tc>
        <w:tc>
          <w:tcPr>
            <w:tcW w:w="2418" w:type="dxa"/>
          </w:tcPr>
          <w:p w:rsidR="00806229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C46638">
              <w:rPr>
                <w:rFonts w:eastAsiaTheme="minorEastAsia"/>
                <w:iCs/>
                <w:sz w:val="20"/>
              </w:rPr>
              <w:t>Recommendation ITU</w:t>
            </w:r>
            <w:r w:rsidRPr="00C46638">
              <w:rPr>
                <w:rFonts w:eastAsiaTheme="minorEastAsia"/>
                <w:iCs/>
                <w:sz w:val="20"/>
              </w:rPr>
              <w:noBreakHyphen/>
              <w:t>R</w:t>
            </w:r>
            <w:r w:rsidRPr="00C46638">
              <w:rPr>
                <w:rFonts w:eastAsiaTheme="minorEastAsia"/>
                <w:iCs/>
                <w:sz w:val="20"/>
                <w:lang w:val="en-US"/>
              </w:rPr>
              <w:t xml:space="preserve"> S.1782-</w:t>
            </w:r>
            <w:r>
              <w:rPr>
                <w:rFonts w:eastAsiaTheme="minorEastAsia"/>
                <w:iCs/>
                <w:sz w:val="20"/>
                <w:lang w:val="en-US"/>
              </w:rPr>
              <w:t>1</w:t>
            </w:r>
            <w:r w:rsidRPr="00C46638">
              <w:rPr>
                <w:rFonts w:eastAsiaTheme="minorEastAsia"/>
                <w:iCs/>
                <w:sz w:val="20"/>
              </w:rPr>
              <w:t xml:space="preserve"> (201</w:t>
            </w:r>
            <w:r>
              <w:rPr>
                <w:rFonts w:eastAsiaTheme="minorEastAsia"/>
                <w:iCs/>
                <w:sz w:val="20"/>
              </w:rPr>
              <w:t>9</w:t>
            </w:r>
            <w:r w:rsidRPr="00C46638">
              <w:rPr>
                <w:rFonts w:eastAsiaTheme="minorEastAsia"/>
                <w:iCs/>
                <w:sz w:val="20"/>
              </w:rPr>
              <w:t>)</w:t>
            </w:r>
          </w:p>
          <w:p w:rsidR="00806229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</w:p>
          <w:p w:rsidR="00806229" w:rsidRPr="00A80982" w:rsidRDefault="00806229" w:rsidP="00BB5C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</w:rPr>
            </w:pPr>
            <w:r w:rsidRPr="00C46638">
              <w:rPr>
                <w:rFonts w:eastAsiaTheme="minorEastAsia"/>
                <w:iCs/>
                <w:sz w:val="20"/>
              </w:rPr>
              <w:t>Report ITU-R M.2460-0 (2019)</w:t>
            </w:r>
          </w:p>
        </w:tc>
      </w:tr>
    </w:tbl>
    <w:p w:rsidR="00A80982" w:rsidRPr="00A80982" w:rsidRDefault="00A80982" w:rsidP="00A80982">
      <w:pPr>
        <w:rPr>
          <w:rFonts w:eastAsiaTheme="minorEastAsia"/>
          <w:lang w:eastAsia="ja-JP"/>
        </w:rPr>
      </w:pPr>
    </w:p>
    <w:p w:rsidR="00A80982" w:rsidRPr="00A80982" w:rsidRDefault="00A80982" w:rsidP="00A80982">
      <w:pPr>
        <w:keepNext/>
        <w:keepLines/>
        <w:spacing w:before="240" w:after="280"/>
        <w:jc w:val="center"/>
        <w:rPr>
          <w:rFonts w:ascii="Times New Roman Bold" w:eastAsiaTheme="minorEastAsia" w:hAnsi="Times New Roman Bold"/>
          <w:b/>
          <w:sz w:val="28"/>
          <w:lang w:eastAsia="ja-JP"/>
        </w:rPr>
      </w:pP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>Summary</w:t>
      </w:r>
      <w:r w:rsidRPr="00A80982">
        <w:rPr>
          <w:rFonts w:ascii="Times New Roman Bold" w:eastAsiaTheme="minorEastAsia" w:hAnsi="Times New Roman Bold"/>
          <w:b/>
          <w:sz w:val="28"/>
          <w:lang w:eastAsia="zh-CN"/>
        </w:rPr>
        <w:t xml:space="preserve"> 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>of</w:t>
      </w:r>
      <w:r w:rsidRPr="00A80982">
        <w:rPr>
          <w:rFonts w:ascii="Times New Roman Bold" w:eastAsiaTheme="minorEastAsia" w:hAnsi="Times New Roman Bold"/>
          <w:b/>
          <w:sz w:val="28"/>
          <w:lang w:eastAsia="zh-CN"/>
        </w:rPr>
        <w:t xml:space="preserve"> </w:t>
      </w:r>
      <w:r w:rsidRPr="00A80982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other activities in relation to </w:t>
      </w:r>
      <w:r w:rsidRPr="00A80982">
        <w:rPr>
          <w:rFonts w:ascii="Times New Roman Bold" w:eastAsiaTheme="minorEastAsia" w:hAnsi="Times New Roman Bold"/>
          <w:b/>
          <w:sz w:val="28"/>
        </w:rPr>
        <w:t xml:space="preserve">ITU-R Resolutions </w:t>
      </w:r>
    </w:p>
    <w:tbl>
      <w:tblPr>
        <w:tblStyle w:val="TableGrid"/>
        <w:tblW w:w="13926" w:type="dxa"/>
        <w:jc w:val="center"/>
        <w:tblLook w:val="0000" w:firstRow="0" w:lastRow="0" w:firstColumn="0" w:lastColumn="0" w:noHBand="0" w:noVBand="0"/>
      </w:tblPr>
      <w:tblGrid>
        <w:gridCol w:w="1693"/>
        <w:gridCol w:w="2835"/>
        <w:gridCol w:w="993"/>
        <w:gridCol w:w="5953"/>
        <w:gridCol w:w="2452"/>
      </w:tblGrid>
      <w:tr w:rsidR="00A80982" w:rsidRPr="00A80982" w:rsidTr="001173A3">
        <w:trPr>
          <w:jc w:val="center"/>
        </w:trPr>
        <w:tc>
          <w:tcPr>
            <w:tcW w:w="169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Resolution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t xml:space="preserve"> ITU</w:t>
            </w:r>
            <w:r>
              <w:rPr>
                <w:rFonts w:eastAsiaTheme="minorEastAsia"/>
                <w:b/>
                <w:bCs/>
                <w:sz w:val="20"/>
                <w:lang w:eastAsia="ja-JP"/>
              </w:rPr>
              <w:noBreakHyphen/>
            </w:r>
            <w:r w:rsidRPr="00A80982">
              <w:rPr>
                <w:rFonts w:eastAsiaTheme="minorEastAsia"/>
                <w:b/>
                <w:bCs/>
                <w:sz w:val="20"/>
                <w:lang w:eastAsia="ja-JP"/>
              </w:rPr>
              <w:t>R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Title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b/>
                <w:bCs/>
                <w:sz w:val="20"/>
                <w:lang w:eastAsia="ja-JP"/>
              </w:rPr>
              <w:t>WP</w:t>
            </w:r>
          </w:p>
        </w:tc>
        <w:tc>
          <w:tcPr>
            <w:tcW w:w="5953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80982">
              <w:rPr>
                <w:rFonts w:eastAsiaTheme="minorEastAsia"/>
                <w:b/>
                <w:bCs/>
                <w:sz w:val="20"/>
              </w:rPr>
              <w:t>Status of Studies</w:t>
            </w:r>
          </w:p>
        </w:tc>
        <w:tc>
          <w:tcPr>
            <w:tcW w:w="2452" w:type="dxa"/>
            <w:shd w:val="clear" w:color="auto" w:fill="EEECE1" w:themeFill="background2"/>
            <w:vAlign w:val="center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A80982">
              <w:rPr>
                <w:rFonts w:eastAsiaTheme="minorEastAsia"/>
                <w:b/>
                <w:bCs/>
                <w:sz w:val="20"/>
                <w:lang w:eastAsia="ja-JP"/>
              </w:rPr>
              <w:t>D</w:t>
            </w:r>
            <w:r w:rsidRPr="00A80982">
              <w:rPr>
                <w:rFonts w:eastAsiaTheme="minorEastAsia"/>
                <w:b/>
                <w:bCs/>
                <w:sz w:val="20"/>
              </w:rPr>
              <w:t>eliverables</w:t>
            </w:r>
            <w:r w:rsidRPr="00A80982">
              <w:rPr>
                <w:rFonts w:asciiTheme="majorBidi" w:eastAsiaTheme="minorEastAsia" w:hAnsiTheme="majorBidi" w:cstheme="majorBidi" w:hint="eastAsia"/>
                <w:b/>
                <w:sz w:val="20"/>
                <w:szCs w:val="24"/>
                <w:lang w:eastAsia="ja-JP"/>
              </w:rPr>
              <w:t xml:space="preserve"> </w:t>
            </w:r>
            <w:r w:rsidRPr="00A80982">
              <w:rPr>
                <w:rFonts w:asciiTheme="majorBidi" w:eastAsiaTheme="minorEastAsia" w:hAnsiTheme="majorBidi" w:cstheme="majorBidi"/>
                <w:b/>
                <w:sz w:val="20"/>
                <w:szCs w:val="24"/>
                <w:lang w:eastAsia="ja-JP"/>
              </w:rPr>
              <w:t xml:space="preserve">&amp; Approved or </w:t>
            </w:r>
            <w:r w:rsidRPr="00A80982">
              <w:rPr>
                <w:rFonts w:asciiTheme="majorBidi" w:eastAsiaTheme="minorEastAsia" w:hAnsiTheme="majorBidi" w:cstheme="majorBidi" w:hint="eastAsia"/>
                <w:b/>
                <w:sz w:val="20"/>
                <w:szCs w:val="24"/>
                <w:lang w:eastAsia="ja-JP"/>
              </w:rPr>
              <w:t>F</w:t>
            </w:r>
            <w:r w:rsidRPr="00A80982">
              <w:rPr>
                <w:rFonts w:asciiTheme="majorBidi" w:eastAsiaTheme="minorEastAsia" w:hAnsiTheme="majorBidi" w:cstheme="majorBidi"/>
                <w:b/>
                <w:sz w:val="20"/>
                <w:szCs w:val="24"/>
              </w:rPr>
              <w:t>oreseen dates</w:t>
            </w:r>
          </w:p>
        </w:tc>
      </w:tr>
      <w:tr w:rsidR="00A80982" w:rsidRPr="00A80982" w:rsidTr="002A7CB9">
        <w:trPr>
          <w:trHeight w:val="1195"/>
          <w:jc w:val="center"/>
        </w:trPr>
        <w:tc>
          <w:tcPr>
            <w:tcW w:w="1693" w:type="dxa"/>
          </w:tcPr>
          <w:p w:rsidR="00A80982" w:rsidRPr="00A80982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hyperlink r:id="rId11" w:history="1"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12-1</w:t>
              </w:r>
            </w:hyperlink>
          </w:p>
        </w:tc>
        <w:tc>
          <w:tcPr>
            <w:tcW w:w="2835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r w:rsidRPr="00A80982">
              <w:rPr>
                <w:rFonts w:eastAsiaTheme="minorEastAsia"/>
                <w:color w:val="000000"/>
                <w:sz w:val="20"/>
              </w:rPr>
              <w:t xml:space="preserve">Handbooks and special publications for development of </w:t>
            </w:r>
            <w:proofErr w:type="spellStart"/>
            <w:r w:rsidRPr="00A80982">
              <w:rPr>
                <w:rFonts w:eastAsiaTheme="minorEastAsia"/>
                <w:color w:val="000000"/>
                <w:sz w:val="20"/>
              </w:rPr>
              <w:t>radiocommunication</w:t>
            </w:r>
            <w:proofErr w:type="spellEnd"/>
            <w:r w:rsidRPr="00A80982">
              <w:rPr>
                <w:rFonts w:eastAsiaTheme="minorEastAsia"/>
                <w:color w:val="000000"/>
                <w:sz w:val="20"/>
              </w:rPr>
              <w:t xml:space="preserve"> services</w:t>
            </w: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4B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The work </w:t>
            </w:r>
            <w:r w:rsidRPr="00A80982">
              <w:rPr>
                <w:rFonts w:eastAsiaTheme="minorEastAsia"/>
                <w:sz w:val="20"/>
                <w:lang w:eastAsia="ja-JP"/>
              </w:rPr>
              <w:t>for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80982">
              <w:rPr>
                <w:rFonts w:eastAsiaTheme="minorEastAsia"/>
                <w:sz w:val="20"/>
                <w:lang w:eastAsia="ja-JP"/>
              </w:rPr>
              <w:t xml:space="preserve">the 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development</w:t>
            </w:r>
            <w:r w:rsidRPr="00A80982">
              <w:rPr>
                <w:rFonts w:eastAsiaTheme="minorEastAsia"/>
                <w:sz w:val="20"/>
                <w:lang w:eastAsia="ja-JP"/>
              </w:rPr>
              <w:t xml:space="preserve"> of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80982">
              <w:rPr>
                <w:rFonts w:eastAsiaTheme="minorEastAsia"/>
                <w:sz w:val="20"/>
              </w:rPr>
              <w:t>the Handbook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80982">
              <w:rPr>
                <w:rFonts w:eastAsiaTheme="minorEastAsia"/>
                <w:sz w:val="20"/>
              </w:rPr>
              <w:t>on “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G</w:t>
            </w:r>
            <w:r w:rsidRPr="00A80982">
              <w:rPr>
                <w:rFonts w:eastAsiaTheme="minorEastAsia"/>
                <w:sz w:val="20"/>
              </w:rPr>
              <w:t>lobal trends in IMT”</w:t>
            </w:r>
            <w:r w:rsidRPr="00A80982">
              <w:rPr>
                <w:rFonts w:eastAsiaTheme="minorEastAsia" w:hint="eastAsia"/>
                <w:lang w:eastAsia="ja-JP"/>
              </w:rPr>
              <w:t xml:space="preserve"> </w:t>
            </w:r>
            <w:r w:rsidRPr="00A80982">
              <w:rPr>
                <w:rFonts w:eastAsiaTheme="minorEastAsia" w:hint="eastAsia"/>
                <w:sz w:val="20"/>
              </w:rPr>
              <w:t>has been completed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.</w:t>
            </w:r>
          </w:p>
        </w:tc>
        <w:tc>
          <w:tcPr>
            <w:tcW w:w="2452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</w:rPr>
              <w:t>Handbook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80982">
              <w:rPr>
                <w:rFonts w:eastAsiaTheme="minorEastAsia"/>
                <w:sz w:val="20"/>
              </w:rPr>
              <w:t>on “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G</w:t>
            </w:r>
            <w:r w:rsidRPr="00A80982">
              <w:rPr>
                <w:rFonts w:eastAsiaTheme="minorEastAsia"/>
                <w:sz w:val="20"/>
              </w:rPr>
              <w:t xml:space="preserve">lobal trends in IMT” 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80982">
              <w:rPr>
                <w:rFonts w:eastAsiaTheme="minorEastAsia"/>
                <w:sz w:val="20"/>
                <w:lang w:eastAsia="ja-JP"/>
              </w:rPr>
              <w:t>May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 xml:space="preserve"> 201</w:t>
            </w:r>
            <w:r w:rsidRPr="00A80982">
              <w:rPr>
                <w:rFonts w:eastAsiaTheme="minorEastAsia"/>
                <w:sz w:val="20"/>
                <w:lang w:eastAsia="ja-JP"/>
              </w:rPr>
              <w:t>5</w:t>
            </w:r>
            <w:r w:rsidRPr="00A80982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A80982" w:rsidRPr="00E46E69" w:rsidTr="002A7CB9">
        <w:trPr>
          <w:trHeight w:val="2415"/>
          <w:jc w:val="center"/>
        </w:trPr>
        <w:tc>
          <w:tcPr>
            <w:tcW w:w="1693" w:type="dxa"/>
          </w:tcPr>
          <w:p w:rsidR="00A80982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center"/>
              <w:rPr>
                <w:rFonts w:eastAsiaTheme="minorEastAsia"/>
                <w:color w:val="0000FF"/>
                <w:sz w:val="20"/>
                <w:u w:val="single"/>
                <w:lang w:eastAsia="ja-JP"/>
              </w:rPr>
            </w:pPr>
            <w:hyperlink r:id="rId12" w:history="1"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34-</w:t>
              </w:r>
            </w:hyperlink>
            <w:r w:rsidR="00A80982" w:rsidRPr="00A80982">
              <w:rPr>
                <w:rFonts w:eastAsiaTheme="minorEastAsia"/>
                <w:color w:val="0000FF"/>
                <w:sz w:val="20"/>
                <w:u w:val="single"/>
                <w:lang w:eastAsia="ja-JP"/>
              </w:rPr>
              <w:t>4</w:t>
            </w:r>
          </w:p>
          <w:p w:rsid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center"/>
              <w:rPr>
                <w:rFonts w:eastAsiaTheme="minorEastAsia"/>
                <w:color w:val="0000FF"/>
                <w:sz w:val="20"/>
                <w:u w:val="single"/>
                <w:lang w:eastAsia="ja-JP"/>
              </w:rPr>
            </w:pPr>
          </w:p>
          <w:p w:rsidR="00A80982" w:rsidRPr="00A80982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center"/>
              <w:rPr>
                <w:rFonts w:eastAsiaTheme="minorEastAsia"/>
                <w:sz w:val="20"/>
                <w:lang w:eastAsia="ja-JP"/>
              </w:rPr>
            </w:pPr>
            <w:hyperlink r:id="rId13" w:history="1"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35-</w:t>
              </w:r>
            </w:hyperlink>
            <w:r w:rsidR="00A80982" w:rsidRPr="00A80982">
              <w:rPr>
                <w:rFonts w:eastAsiaTheme="minorEastAsia"/>
                <w:color w:val="0000FF"/>
                <w:sz w:val="20"/>
                <w:u w:val="single"/>
                <w:lang w:eastAsia="ja-JP"/>
              </w:rPr>
              <w:t>4</w:t>
            </w:r>
            <w:r w:rsidR="00A80982">
              <w:rPr>
                <w:rFonts w:eastAsiaTheme="minorEastAsia"/>
                <w:color w:val="0000FF"/>
                <w:sz w:val="20"/>
                <w:u w:val="single"/>
                <w:lang w:eastAsia="ja-JP"/>
              </w:rPr>
              <w:br/>
            </w:r>
            <w:r w:rsidR="00A80982">
              <w:rPr>
                <w:rFonts w:eastAsiaTheme="minorEastAsia"/>
                <w:sz w:val="20"/>
                <w:lang w:eastAsia="ja-JP"/>
              </w:rPr>
              <w:br/>
            </w:r>
          </w:p>
          <w:p w:rsidR="00A80982" w:rsidRPr="00A80982" w:rsidDel="00BB22C0" w:rsidRDefault="00E46E69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hyperlink r:id="rId14" w:history="1">
              <w:r w:rsidR="00A80982" w:rsidRPr="00A80982">
                <w:rPr>
                  <w:rFonts w:eastAsiaTheme="minorEastAsia" w:hint="eastAsia"/>
                  <w:color w:val="0000FF"/>
                  <w:sz w:val="20"/>
                  <w:u w:val="single"/>
                  <w:lang w:eastAsia="ja-JP"/>
                </w:rPr>
                <w:t>36-</w:t>
              </w:r>
            </w:hyperlink>
            <w:r w:rsidR="00A80982" w:rsidRPr="00A80982">
              <w:rPr>
                <w:rFonts w:eastAsiaTheme="minorEastAsia"/>
                <w:color w:val="0000FF"/>
                <w:sz w:val="20"/>
                <w:u w:val="single"/>
                <w:lang w:eastAsia="ja-JP"/>
              </w:rPr>
              <w:t>4</w:t>
            </w:r>
          </w:p>
        </w:tc>
        <w:tc>
          <w:tcPr>
            <w:tcW w:w="2835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rPr>
                <w:rFonts w:eastAsiaTheme="minorEastAsia"/>
                <w:iCs/>
                <w:color w:val="000000"/>
                <w:sz w:val="20"/>
                <w:szCs w:val="24"/>
                <w:lang w:eastAsia="ja-JP"/>
              </w:rPr>
            </w:pPr>
            <w:r w:rsidRPr="00A80982">
              <w:rPr>
                <w:rFonts w:eastAsiaTheme="minorEastAsia"/>
                <w:iCs/>
                <w:color w:val="000000"/>
                <w:sz w:val="20"/>
                <w:szCs w:val="24"/>
              </w:rPr>
              <w:t>Guidelines for the preparation of terms and definitions</w:t>
            </w: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80" w:after="40"/>
              <w:rPr>
                <w:rFonts w:eastAsiaTheme="minorEastAsia"/>
                <w:iCs/>
                <w:color w:val="000000"/>
                <w:sz w:val="20"/>
                <w:szCs w:val="24"/>
                <w:lang w:eastAsia="ja-JP"/>
              </w:rPr>
            </w:pPr>
            <w:r w:rsidRPr="00A80982">
              <w:rPr>
                <w:rFonts w:eastAsiaTheme="minorEastAsia"/>
                <w:iCs/>
                <w:color w:val="000000"/>
                <w:sz w:val="20"/>
                <w:szCs w:val="24"/>
              </w:rPr>
              <w:t>The organization of vocabulary work covering terms and definitions</w:t>
            </w:r>
          </w:p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80" w:after="40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iCs/>
                <w:color w:val="000000"/>
                <w:sz w:val="20"/>
                <w:szCs w:val="24"/>
              </w:rPr>
              <w:t>Coordination of vocabulary</w:t>
            </w:r>
          </w:p>
        </w:tc>
        <w:tc>
          <w:tcPr>
            <w:tcW w:w="99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  <w:lang w:eastAsia="ja-JP"/>
              </w:rPr>
              <w:t>4B</w:t>
            </w:r>
          </w:p>
        </w:tc>
        <w:tc>
          <w:tcPr>
            <w:tcW w:w="5953" w:type="dxa"/>
          </w:tcPr>
          <w:p w:rsidR="00A80982" w:rsidRPr="00A80982" w:rsidRDefault="00A80982" w:rsidP="00A8098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  <w:lang w:eastAsia="ja-JP"/>
              </w:rPr>
            </w:pPr>
            <w:r w:rsidRPr="00A80982">
              <w:rPr>
                <w:rFonts w:eastAsiaTheme="minorEastAsia"/>
                <w:sz w:val="20"/>
              </w:rPr>
              <w:t xml:space="preserve">The </w:t>
            </w:r>
            <w:r w:rsidRPr="00A80982">
              <w:rPr>
                <w:rFonts w:asciiTheme="majorBidi" w:eastAsiaTheme="minorEastAsia" w:hAnsiTheme="majorBidi" w:cstheme="majorBidi"/>
                <w:sz w:val="20"/>
              </w:rPr>
              <w:t xml:space="preserve">term “occasional use” together with its definition 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</w:rPr>
              <w:t>ha</w:t>
            </w:r>
            <w:r w:rsidRPr="00A80982">
              <w:rPr>
                <w:rFonts w:asciiTheme="majorBidi" w:eastAsiaTheme="minorEastAsia" w:hAnsiTheme="majorBidi" w:cstheme="majorBidi"/>
                <w:sz w:val="20"/>
              </w:rPr>
              <w:t>s</w:t>
            </w:r>
            <w:r w:rsidRPr="00A80982">
              <w:rPr>
                <w:rFonts w:asciiTheme="majorBidi" w:eastAsiaTheme="minorEastAsia" w:hAnsiTheme="majorBidi" w:cstheme="majorBidi" w:hint="eastAsia"/>
                <w:sz w:val="20"/>
              </w:rPr>
              <w:t xml:space="preserve"> been </w:t>
            </w:r>
            <w:r w:rsidRPr="00A80982">
              <w:rPr>
                <w:rFonts w:asciiTheme="majorBidi" w:eastAsiaTheme="minorEastAsia" w:hAnsiTheme="majorBidi" w:cstheme="majorBidi"/>
                <w:sz w:val="20"/>
              </w:rPr>
              <w:t xml:space="preserve">included in 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val="en-CA"/>
              </w:rPr>
              <w:t>the</w:t>
            </w:r>
            <w:r w:rsidRPr="00A80982">
              <w:rPr>
                <w:rFonts w:eastAsiaTheme="minorEastAsia"/>
              </w:rPr>
              <w:t xml:space="preserve"> </w:t>
            </w:r>
            <w:r w:rsidRPr="00A80982">
              <w:rPr>
                <w:rFonts w:asciiTheme="majorBidi" w:eastAsiaTheme="minorEastAsia" w:hAnsiTheme="majorBidi" w:cstheme="majorBidi"/>
                <w:sz w:val="20"/>
              </w:rPr>
              <w:t>ITU terminology database</w:t>
            </w:r>
            <w:r w:rsidRPr="00A80982">
              <w:rPr>
                <w:rFonts w:asciiTheme="majorBidi" w:eastAsiaTheme="minorEastAsia" w:hAnsiTheme="majorBidi" w:cstheme="majorBidi"/>
                <w:sz w:val="20"/>
                <w:lang w:val="en-CA"/>
              </w:rPr>
              <w:t>.</w:t>
            </w:r>
          </w:p>
        </w:tc>
        <w:tc>
          <w:tcPr>
            <w:tcW w:w="2452" w:type="dxa"/>
          </w:tcPr>
          <w:p w:rsidR="00A80982" w:rsidRPr="00A80982" w:rsidRDefault="00A80982" w:rsidP="00A80982">
            <w:pPr>
              <w:tabs>
                <w:tab w:val="left" w:pos="25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  <w:lang w:val="fr-CH" w:eastAsia="ja-JP"/>
              </w:rPr>
            </w:pPr>
            <w:proofErr w:type="spellStart"/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Recommendation</w:t>
            </w:r>
            <w:proofErr w:type="spellEnd"/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 xml:space="preserve"> </w:t>
            </w:r>
            <w:r w:rsidRPr="00A80982">
              <w:rPr>
                <w:rFonts w:eastAsiaTheme="minorEastAsia"/>
                <w:iCs/>
                <w:sz w:val="20"/>
                <w:lang w:val="fr-CH" w:eastAsia="ja-JP"/>
              </w:rPr>
              <w:t xml:space="preserve">ITU-R S.2049-0 </w:t>
            </w:r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(</w:t>
            </w:r>
            <w:r w:rsidRPr="00A80982">
              <w:rPr>
                <w:rFonts w:eastAsiaTheme="minorEastAsia"/>
                <w:iCs/>
                <w:sz w:val="20"/>
                <w:lang w:val="fr-CH" w:eastAsia="ja-JP"/>
              </w:rPr>
              <w:t>2013</w:t>
            </w:r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)</w:t>
            </w:r>
          </w:p>
          <w:p w:rsidR="00A80982" w:rsidRPr="00A80982" w:rsidRDefault="00A80982" w:rsidP="00A80982">
            <w:pPr>
              <w:tabs>
                <w:tab w:val="left" w:pos="25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  <w:lang w:val="fr-CH" w:eastAsia="ja-JP"/>
              </w:rPr>
            </w:pPr>
          </w:p>
          <w:p w:rsidR="00A80982" w:rsidRPr="00A80982" w:rsidRDefault="00A80982" w:rsidP="00A80982">
            <w:pPr>
              <w:tabs>
                <w:tab w:val="left" w:pos="25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iCs/>
                <w:sz w:val="20"/>
                <w:lang w:val="fr-CH" w:eastAsia="ja-JP"/>
              </w:rPr>
            </w:pPr>
            <w:proofErr w:type="spellStart"/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Recommendation</w:t>
            </w:r>
            <w:proofErr w:type="spellEnd"/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 xml:space="preserve"> </w:t>
            </w:r>
            <w:r w:rsidRPr="00A80982">
              <w:rPr>
                <w:rFonts w:eastAsiaTheme="minorEastAsia"/>
                <w:iCs/>
                <w:sz w:val="20"/>
                <w:lang w:val="fr-CH" w:eastAsia="ja-JP"/>
              </w:rPr>
              <w:t xml:space="preserve">ITU-R S.2062-0 </w:t>
            </w:r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(</w:t>
            </w:r>
            <w:r w:rsidRPr="00A80982">
              <w:rPr>
                <w:rFonts w:eastAsiaTheme="minorEastAsia"/>
                <w:iCs/>
                <w:sz w:val="20"/>
                <w:lang w:val="fr-CH" w:eastAsia="ja-JP"/>
              </w:rPr>
              <w:t>2014</w:t>
            </w:r>
            <w:r w:rsidRPr="00A80982">
              <w:rPr>
                <w:rFonts w:eastAsiaTheme="minorEastAsia" w:hint="eastAsia"/>
                <w:iCs/>
                <w:sz w:val="20"/>
                <w:lang w:val="fr-CH" w:eastAsia="ja-JP"/>
              </w:rPr>
              <w:t>)</w:t>
            </w:r>
          </w:p>
        </w:tc>
      </w:tr>
    </w:tbl>
    <w:p w:rsidR="00A80982" w:rsidRPr="00A80982" w:rsidRDefault="00A80982" w:rsidP="00A80982">
      <w:pPr>
        <w:ind w:right="-142"/>
        <w:rPr>
          <w:rFonts w:eastAsiaTheme="minorEastAsia"/>
          <w:lang w:val="fr-CH" w:eastAsia="ja-JP"/>
        </w:rPr>
      </w:pPr>
    </w:p>
    <w:p w:rsidR="00A80982" w:rsidRPr="001E0ECE" w:rsidRDefault="00A80982" w:rsidP="00DD4BED">
      <w:pPr>
        <w:rPr>
          <w:lang w:val="fr-FR" w:eastAsia="zh-CN"/>
        </w:rPr>
      </w:pPr>
    </w:p>
    <w:p w:rsidR="001173A3" w:rsidRPr="001E0ECE" w:rsidRDefault="001173A3" w:rsidP="00DD4BED">
      <w:pPr>
        <w:rPr>
          <w:lang w:val="fr-FR" w:eastAsia="zh-CN"/>
        </w:rPr>
      </w:pPr>
    </w:p>
    <w:p w:rsidR="006035DA" w:rsidRPr="002A7CB9" w:rsidRDefault="006035DA" w:rsidP="006035DA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6035DA" w:rsidRPr="002A7CB9" w:rsidSect="00BB5C23">
      <w:headerReference w:type="default" r:id="rId15"/>
      <w:footerReference w:type="default" r:id="rId16"/>
      <w:footerReference w:type="first" r:id="rId17"/>
      <w:pgSz w:w="16834" w:h="11907" w:orient="landscape" w:code="9"/>
      <w:pgMar w:top="1134" w:right="1418" w:bottom="964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23" w:rsidRDefault="00BB5C23">
      <w:r>
        <w:separator/>
      </w:r>
    </w:p>
  </w:endnote>
  <w:endnote w:type="continuationSeparator" w:id="0">
    <w:p w:rsidR="00BB5C23" w:rsidRDefault="00BB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6F" w:rsidRDefault="0076266F" w:rsidP="0076266F">
    <w:pPr>
      <w:pStyle w:val="Footer"/>
      <w:jc w:val="right"/>
    </w:pPr>
    <w:r>
      <w:rPr>
        <w:lang w:val="fr-FR"/>
      </w:rPr>
      <w:t>28.08.19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6F" w:rsidRDefault="0076266F" w:rsidP="0076266F">
    <w:pPr>
      <w:pStyle w:val="Footer"/>
      <w:jc w:val="right"/>
    </w:pPr>
    <w:r>
      <w:rPr>
        <w:lang w:val="fr-FR"/>
      </w:rPr>
      <w:t>28.08.19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23" w:rsidRDefault="00BB5C23">
      <w:r>
        <w:t>____________________</w:t>
      </w:r>
    </w:p>
  </w:footnote>
  <w:footnote w:type="continuationSeparator" w:id="0">
    <w:p w:rsidR="00BB5C23" w:rsidRDefault="00BB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3" w:rsidRDefault="00BB5C2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6E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9"/>
    <w:rsid w:val="000069D4"/>
    <w:rsid w:val="000174AD"/>
    <w:rsid w:val="00047A1D"/>
    <w:rsid w:val="000604B9"/>
    <w:rsid w:val="000A7D55"/>
    <w:rsid w:val="000B1B1F"/>
    <w:rsid w:val="000C12C8"/>
    <w:rsid w:val="000C2E8E"/>
    <w:rsid w:val="000E0E7C"/>
    <w:rsid w:val="000F1B4B"/>
    <w:rsid w:val="001173A3"/>
    <w:rsid w:val="0012744F"/>
    <w:rsid w:val="00131178"/>
    <w:rsid w:val="00142CD9"/>
    <w:rsid w:val="00147EEF"/>
    <w:rsid w:val="00156F66"/>
    <w:rsid w:val="00163271"/>
    <w:rsid w:val="001717D2"/>
    <w:rsid w:val="00182528"/>
    <w:rsid w:val="0018500B"/>
    <w:rsid w:val="00196A19"/>
    <w:rsid w:val="001E0ECE"/>
    <w:rsid w:val="00202DC1"/>
    <w:rsid w:val="002116EE"/>
    <w:rsid w:val="0021529F"/>
    <w:rsid w:val="002309D8"/>
    <w:rsid w:val="00282311"/>
    <w:rsid w:val="002A7CB9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0981"/>
    <w:rsid w:val="00501DCA"/>
    <w:rsid w:val="00513A47"/>
    <w:rsid w:val="005408DF"/>
    <w:rsid w:val="00573344"/>
    <w:rsid w:val="00583F9B"/>
    <w:rsid w:val="005B0D29"/>
    <w:rsid w:val="005E5C10"/>
    <w:rsid w:val="005F2C78"/>
    <w:rsid w:val="006035DA"/>
    <w:rsid w:val="006144E4"/>
    <w:rsid w:val="0062390D"/>
    <w:rsid w:val="00650299"/>
    <w:rsid w:val="00655FC5"/>
    <w:rsid w:val="00687D7F"/>
    <w:rsid w:val="00727E74"/>
    <w:rsid w:val="0076266F"/>
    <w:rsid w:val="007E3505"/>
    <w:rsid w:val="007E7A20"/>
    <w:rsid w:val="00806229"/>
    <w:rsid w:val="00814E0A"/>
    <w:rsid w:val="0082134D"/>
    <w:rsid w:val="00822581"/>
    <w:rsid w:val="008309DD"/>
    <w:rsid w:val="0083227A"/>
    <w:rsid w:val="008416EF"/>
    <w:rsid w:val="00866900"/>
    <w:rsid w:val="00876A8A"/>
    <w:rsid w:val="00881BA1"/>
    <w:rsid w:val="008C2302"/>
    <w:rsid w:val="008C26B8"/>
    <w:rsid w:val="008F208F"/>
    <w:rsid w:val="00952ED9"/>
    <w:rsid w:val="00982084"/>
    <w:rsid w:val="0098568D"/>
    <w:rsid w:val="00995963"/>
    <w:rsid w:val="009B61EB"/>
    <w:rsid w:val="009C2064"/>
    <w:rsid w:val="009D1697"/>
    <w:rsid w:val="009F3A46"/>
    <w:rsid w:val="009F6520"/>
    <w:rsid w:val="00A014F8"/>
    <w:rsid w:val="00A07107"/>
    <w:rsid w:val="00A46815"/>
    <w:rsid w:val="00A5173C"/>
    <w:rsid w:val="00A57761"/>
    <w:rsid w:val="00A61AEF"/>
    <w:rsid w:val="00A80982"/>
    <w:rsid w:val="00AC2572"/>
    <w:rsid w:val="00AD2345"/>
    <w:rsid w:val="00AF173A"/>
    <w:rsid w:val="00B066A4"/>
    <w:rsid w:val="00B07A13"/>
    <w:rsid w:val="00B4279B"/>
    <w:rsid w:val="00B45FC9"/>
    <w:rsid w:val="00B65EA1"/>
    <w:rsid w:val="00B76F35"/>
    <w:rsid w:val="00B81138"/>
    <w:rsid w:val="00BB5C23"/>
    <w:rsid w:val="00BC7CCF"/>
    <w:rsid w:val="00BE470B"/>
    <w:rsid w:val="00BF4DBB"/>
    <w:rsid w:val="00C57A91"/>
    <w:rsid w:val="00CC01C2"/>
    <w:rsid w:val="00CF21F2"/>
    <w:rsid w:val="00CF3C27"/>
    <w:rsid w:val="00D02712"/>
    <w:rsid w:val="00D046A7"/>
    <w:rsid w:val="00D214D0"/>
    <w:rsid w:val="00D6546B"/>
    <w:rsid w:val="00D86B27"/>
    <w:rsid w:val="00D94DD7"/>
    <w:rsid w:val="00DB178B"/>
    <w:rsid w:val="00DC17D3"/>
    <w:rsid w:val="00DC5370"/>
    <w:rsid w:val="00DD4BED"/>
    <w:rsid w:val="00DE39F0"/>
    <w:rsid w:val="00DF0AF3"/>
    <w:rsid w:val="00DF7E9F"/>
    <w:rsid w:val="00E27D7E"/>
    <w:rsid w:val="00E42E13"/>
    <w:rsid w:val="00E431CF"/>
    <w:rsid w:val="00E46E69"/>
    <w:rsid w:val="00E56D5C"/>
    <w:rsid w:val="00E6257C"/>
    <w:rsid w:val="00E63C59"/>
    <w:rsid w:val="00F1013C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5B22F2"/>
  <w15:docId w15:val="{0E6DDF54-981D-4F5B-A4DA-B1B5C446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23"/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spacing w:before="240"/>
      <w:jc w:val="center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spacing w:before="0"/>
    </w:pPr>
  </w:style>
  <w:style w:type="table" w:styleId="TableGrid">
    <w:name w:val="Table Grid"/>
    <w:basedOn w:val="TableNormal"/>
    <w:uiPriority w:val="99"/>
    <w:rsid w:val="00142CD9"/>
    <w:rPr>
      <w:rFonts w:ascii="Calibri" w:eastAsia="SimSun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nhideWhenUsed/>
    <w:rsid w:val="00DC5370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727E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55-2-2015" TargetMode="External"/><Relationship Id="rId13" Type="http://schemas.openxmlformats.org/officeDocument/2006/relationships/hyperlink" Target="http://www.itu.int/pub/R-RES-R.35-4-20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RES-R.47-2-2012" TargetMode="External"/><Relationship Id="rId12" Type="http://schemas.openxmlformats.org/officeDocument/2006/relationships/hyperlink" Target="http://www.itu.int/pub/R-RES-R.34-4-201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S-R.12-1-2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RES-R.65-20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57-2-2015" TargetMode="External"/><Relationship Id="rId14" Type="http://schemas.openxmlformats.org/officeDocument/2006/relationships/hyperlink" Target="http://www.itu.int/pub/R-RES-R.36-4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Huguet, Fabienne</cp:lastModifiedBy>
  <cp:revision>5</cp:revision>
  <cp:lastPrinted>2008-02-21T14:04:00Z</cp:lastPrinted>
  <dcterms:created xsi:type="dcterms:W3CDTF">2019-08-28T13:34:00Z</dcterms:created>
  <dcterms:modified xsi:type="dcterms:W3CDTF">2019-09-20T09:24:00Z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