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E8A" w:rsidRPr="00E87CF9" w:rsidRDefault="00AE2E8A" w:rsidP="00AE2E8A">
      <w:pPr>
        <w:pStyle w:val="ResNo"/>
      </w:pPr>
      <w:bookmarkStart w:id="0" w:name="_Toc450048786"/>
      <w:r w:rsidRPr="00E87CF9">
        <w:t xml:space="preserve">RESOLUTION </w:t>
      </w:r>
      <w:r w:rsidRPr="00E87CF9">
        <w:rPr>
          <w:rStyle w:val="href"/>
        </w:rPr>
        <w:t>646</w:t>
      </w:r>
      <w:r w:rsidRPr="00E87CF9">
        <w:t xml:space="preserve"> (Rev.WRC</w:t>
      </w:r>
      <w:r w:rsidRPr="00E87CF9">
        <w:noBreakHyphen/>
        <w:t>15)</w:t>
      </w:r>
      <w:bookmarkEnd w:id="0"/>
    </w:p>
    <w:p w:rsidR="00AE2E8A" w:rsidRPr="00E87CF9" w:rsidRDefault="00AE2E8A" w:rsidP="00AE2E8A">
      <w:pPr>
        <w:pStyle w:val="Restitle"/>
      </w:pPr>
      <w:bookmarkStart w:id="1" w:name="_Toc319401869"/>
      <w:bookmarkStart w:id="2" w:name="_Toc327364523"/>
      <w:bookmarkStart w:id="3" w:name="_Toc450048787"/>
      <w:r w:rsidRPr="00E87CF9">
        <w:t>Public protection and disaster relief</w:t>
      </w:r>
      <w:bookmarkEnd w:id="1"/>
      <w:bookmarkEnd w:id="2"/>
      <w:bookmarkEnd w:id="3"/>
    </w:p>
    <w:p w:rsidR="00AE2E8A" w:rsidRPr="00E87CF9" w:rsidRDefault="00AE2E8A" w:rsidP="00AE2E8A">
      <w:pPr>
        <w:pStyle w:val="Normalaftertitle"/>
      </w:pPr>
      <w:r w:rsidRPr="00E87CF9">
        <w:t>The World Radiocommunication Conference (Geneva, 2015),</w:t>
      </w:r>
    </w:p>
    <w:p w:rsidR="00AE2E8A" w:rsidRPr="00E87CF9" w:rsidRDefault="00AE2E8A" w:rsidP="00AE2E8A">
      <w:pPr>
        <w:pStyle w:val="Call"/>
      </w:pPr>
      <w:r w:rsidRPr="00E87CF9">
        <w:t>considering</w:t>
      </w:r>
    </w:p>
    <w:p w:rsidR="00AE2E8A" w:rsidRPr="00E87CF9" w:rsidRDefault="00AE2E8A">
      <w:r w:rsidRPr="00E87CF9">
        <w:rPr>
          <w:i/>
          <w:iCs/>
          <w:color w:val="000000"/>
        </w:rPr>
        <w:t>a)</w:t>
      </w:r>
      <w:r w:rsidRPr="00E87CF9">
        <w:tab/>
        <w:t xml:space="preserve">that the term “public protection radiocommunication” refers to radiocommunications used by agencies and organizations </w:t>
      </w:r>
      <w:r w:rsidR="00067BE1" w:rsidRPr="00067BE1">
        <w:t xml:space="preserve">responsible for the </w:t>
      </w:r>
      <w:r w:rsidRPr="00E87CF9">
        <w:t>maintenance of law and order, protection of life and property and emergency situations;</w:t>
      </w:r>
    </w:p>
    <w:p w:rsidR="00AE2E8A" w:rsidRPr="00E87CF9" w:rsidRDefault="00AE2E8A" w:rsidP="00AE2E8A">
      <w:r w:rsidRPr="00E87CF9">
        <w:rPr>
          <w:i/>
          <w:iCs/>
        </w:rPr>
        <w:t>b)</w:t>
      </w:r>
      <w:r w:rsidRPr="00E87CF9">
        <w:tab/>
        <w:t>that the term “disaster relief radiocommunication”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developing suddenly or as a result of complex, long-term processes;</w:t>
      </w:r>
    </w:p>
    <w:p w:rsidR="00AE2E8A" w:rsidRPr="00E87CF9" w:rsidRDefault="00AE2E8A" w:rsidP="00AE2E8A">
      <w:r w:rsidRPr="00E87CF9">
        <w:rPr>
          <w:i/>
          <w:iCs/>
        </w:rPr>
        <w:t>c)</w:t>
      </w:r>
      <w:r w:rsidRPr="00E87CF9">
        <w:tab/>
        <w:t>the growing telecommunication and radiocommunication needs of public protection agencies and organizations, including those dealing with emergency situations and disaster relief, that are vital to the maintenance of law and order, protection of life and property, disaster relief and emergency response;</w:t>
      </w:r>
    </w:p>
    <w:p w:rsidR="00AE2E8A" w:rsidRPr="00E87CF9" w:rsidRDefault="00AE2E8A" w:rsidP="00AE2E8A">
      <w:r w:rsidRPr="00E87CF9">
        <w:rPr>
          <w:i/>
          <w:iCs/>
        </w:rPr>
        <w:t>d)</w:t>
      </w:r>
      <w:r w:rsidRPr="00E87CF9">
        <w:tab/>
        <w:t>that many administrations wish to promote interoperability and interworking between systems used for public protection and disaster relief (PPDR), both nationally and for cross-border operations in emergency situations and for disaster relief;</w:t>
      </w:r>
    </w:p>
    <w:p w:rsidR="00AE2E8A" w:rsidRPr="00E87CF9" w:rsidRDefault="00AE2E8A" w:rsidP="00AE2E8A">
      <w:r w:rsidRPr="00E87CF9">
        <w:rPr>
          <w:i/>
        </w:rPr>
        <w:t>e)</w:t>
      </w:r>
      <w:r w:rsidRPr="003C5FC7">
        <w:tab/>
      </w:r>
      <w:r w:rsidRPr="00E87CF9">
        <w:t xml:space="preserve">that existing systems for PPDR applications mainly support narrowband/wideband voice and data applications; </w:t>
      </w:r>
    </w:p>
    <w:p w:rsidR="00AE2E8A" w:rsidRPr="00E87CF9" w:rsidRDefault="00AE2E8A" w:rsidP="00AE2E8A">
      <w:r w:rsidRPr="00E87CF9">
        <w:rPr>
          <w:i/>
          <w:iCs/>
        </w:rPr>
        <w:t>f)</w:t>
      </w:r>
      <w:r w:rsidRPr="003C5FC7">
        <w:tab/>
      </w:r>
      <w:r w:rsidRPr="00E87CF9">
        <w:t xml:space="preserve">that, although narrowband and wideband systems will continue to be used to meet PPDR requirements, there is a growing need for broadband applications to support improved data and multimedia capabilities, which require higher data rates and higher capacity, and appropriate spectrum may need to be made available on a national basis to meet these growing needs; </w:t>
      </w:r>
    </w:p>
    <w:p w:rsidR="00AE2E8A" w:rsidRPr="00E87CF9" w:rsidRDefault="00AE2E8A" w:rsidP="00AE2E8A">
      <w:r w:rsidRPr="00E87CF9">
        <w:rPr>
          <w:i/>
          <w:iCs/>
        </w:rPr>
        <w:t>g)</w:t>
      </w:r>
      <w:r w:rsidRPr="00E87CF9">
        <w:rPr>
          <w:i/>
          <w:iCs/>
        </w:rPr>
        <w:tab/>
      </w:r>
      <w:r w:rsidRPr="00E87CF9">
        <w:t>that new technologies for broadband PPDR applications are being developed in various standards organizations, e.g. International Mobile Telecommunications (IMT) technologies that support higher data rates and higher capacity for PPDR applications, and these technologies are also being used to meet the needs of PPDR agencies and organizations;</w:t>
      </w:r>
    </w:p>
    <w:p w:rsidR="00AE2E8A" w:rsidRPr="00E87CF9" w:rsidRDefault="00AE2E8A" w:rsidP="00AE2E8A">
      <w:r w:rsidRPr="00E87CF9">
        <w:rPr>
          <w:i/>
          <w:iCs/>
        </w:rPr>
        <w:t>h)</w:t>
      </w:r>
      <w:r w:rsidRPr="00E87CF9">
        <w:tab/>
        <w:t>that continuing development of new technologies and systems, such as IMT and Intelligent Transportation Systems (ITS), may be able to further support or supplement advanced PPDR applications;</w:t>
      </w:r>
    </w:p>
    <w:p w:rsidR="00AE2E8A" w:rsidRPr="00E87CF9" w:rsidRDefault="00AE2E8A" w:rsidP="00AE2E8A">
      <w:r w:rsidRPr="00E87CF9">
        <w:rPr>
          <w:i/>
          <w:iCs/>
        </w:rPr>
        <w:t>i)</w:t>
      </w:r>
      <w:r w:rsidRPr="00E87CF9">
        <w:tab/>
        <w:t>that some commercial terrestrial and satellite systems are complementing the dedicated systems in support of PPDR, and that the use of commercial solutions will be in response to technology development and market demands;</w:t>
      </w:r>
    </w:p>
    <w:p w:rsidR="00AE2E8A" w:rsidRPr="00E87CF9" w:rsidRDefault="00AE2E8A" w:rsidP="00AE2E8A">
      <w:r w:rsidRPr="00E87CF9">
        <w:rPr>
          <w:i/>
          <w:iCs/>
        </w:rPr>
        <w:t>j)</w:t>
      </w:r>
      <w:r w:rsidRPr="00E87CF9">
        <w:rPr>
          <w:i/>
          <w:iCs/>
        </w:rPr>
        <w:tab/>
      </w:r>
      <w:r w:rsidRPr="00E87CF9">
        <w:t>that administrations may have different operational needs and spectrum requirements for PPDR applications depending on the circumstances;</w:t>
      </w:r>
    </w:p>
    <w:p w:rsidR="00AE2E8A" w:rsidRPr="00E87CF9" w:rsidRDefault="00AE2E8A" w:rsidP="00AE2E8A">
      <w:r w:rsidRPr="00E87CF9">
        <w:rPr>
          <w:i/>
          <w:iCs/>
        </w:rPr>
        <w:lastRenderedPageBreak/>
        <w:t>k)</w:t>
      </w:r>
      <w:r w:rsidRPr="00E87CF9">
        <w:tab/>
        <w:t>that an approach based on global and/or regional frequency ranges</w:t>
      </w:r>
      <w:r w:rsidRPr="00E87CF9">
        <w:rPr>
          <w:rStyle w:val="FootnoteReference"/>
        </w:rPr>
        <w:footnoteReference w:customMarkFollows="1" w:id="1"/>
        <w:t>1</w:t>
      </w:r>
      <w:r w:rsidRPr="00E87CF9">
        <w:t xml:space="preserve"> may enable administrations to benefit from harmonization while continuing to meet national planning requirements,</w:t>
      </w:r>
    </w:p>
    <w:p w:rsidR="00AE2E8A" w:rsidRPr="00E87CF9" w:rsidRDefault="00AE2E8A" w:rsidP="00AE2E8A">
      <w:pPr>
        <w:pStyle w:val="Call"/>
      </w:pPr>
      <w:r w:rsidRPr="00E87CF9">
        <w:t>recognizing</w:t>
      </w:r>
    </w:p>
    <w:p w:rsidR="00AE2E8A" w:rsidRPr="00E87CF9" w:rsidRDefault="00AE2E8A" w:rsidP="00AE2E8A">
      <w:r w:rsidRPr="00E87CF9">
        <w:rPr>
          <w:i/>
          <w:iCs/>
          <w:color w:val="000000"/>
        </w:rPr>
        <w:t>a)</w:t>
      </w:r>
      <w:r w:rsidRPr="00E87CF9">
        <w:rPr>
          <w:i/>
          <w:iCs/>
          <w:color w:val="000000"/>
        </w:rPr>
        <w:tab/>
      </w:r>
      <w:r w:rsidRPr="00E87CF9">
        <w:t>the benefits of spectrum harmonization such as:</w:t>
      </w:r>
    </w:p>
    <w:p w:rsidR="00AE2E8A" w:rsidRPr="00E87CF9" w:rsidRDefault="00AE2E8A" w:rsidP="00AE2E8A">
      <w:pPr>
        <w:pStyle w:val="enumlev1"/>
      </w:pPr>
      <w:r w:rsidRPr="00E87CF9">
        <w:t>–</w:t>
      </w:r>
      <w:r w:rsidRPr="00E87CF9">
        <w:tab/>
        <w:t>increased potential for interoperability;</w:t>
      </w:r>
    </w:p>
    <w:p w:rsidR="00AE2E8A" w:rsidRPr="00E87CF9" w:rsidRDefault="00AE2E8A" w:rsidP="00AE2E8A">
      <w:pPr>
        <w:pStyle w:val="enumlev1"/>
      </w:pPr>
      <w:r w:rsidRPr="00E87CF9">
        <w:t>–</w:t>
      </w:r>
      <w:r w:rsidRPr="00E87CF9">
        <w:tab/>
        <w:t xml:space="preserve">clear guidance for standardization; </w:t>
      </w:r>
    </w:p>
    <w:p w:rsidR="00AE2E8A" w:rsidRPr="00E87CF9" w:rsidRDefault="00AE2E8A" w:rsidP="00AE2E8A">
      <w:pPr>
        <w:pStyle w:val="enumlev1"/>
      </w:pPr>
      <w:r w:rsidRPr="00E87CF9">
        <w:t>–</w:t>
      </w:r>
      <w:r w:rsidRPr="00E87CF9">
        <w:tab/>
        <w:t>increased volume of equipment resulting in economies of scale, more cost-efficient equipment and expanded equipment availability;</w:t>
      </w:r>
    </w:p>
    <w:p w:rsidR="00AE2E8A" w:rsidRPr="00E87CF9" w:rsidRDefault="00AE2E8A" w:rsidP="00AE2E8A">
      <w:pPr>
        <w:pStyle w:val="enumlev1"/>
      </w:pPr>
      <w:r w:rsidRPr="00E87CF9">
        <w:t>–</w:t>
      </w:r>
      <w:r w:rsidRPr="00E87CF9">
        <w:tab/>
        <w:t xml:space="preserve">improved spectrum management and planning; </w:t>
      </w:r>
    </w:p>
    <w:p w:rsidR="00AE2E8A" w:rsidRPr="00E87CF9" w:rsidRDefault="00AE2E8A" w:rsidP="00AE2E8A">
      <w:pPr>
        <w:pStyle w:val="enumlev1"/>
        <w:tabs>
          <w:tab w:val="clear" w:pos="1134"/>
          <w:tab w:val="clear" w:pos="1871"/>
        </w:tabs>
        <w:ind w:left="1080" w:hanging="1080"/>
      </w:pPr>
      <w:r w:rsidRPr="00E87CF9">
        <w:t>–</w:t>
      </w:r>
      <w:r w:rsidRPr="00E87CF9">
        <w:tab/>
        <w:t>more effective international aid during disasters and major events; and</w:t>
      </w:r>
    </w:p>
    <w:p w:rsidR="00AE2E8A" w:rsidRPr="00E87CF9" w:rsidRDefault="00AE2E8A" w:rsidP="00AE2E8A">
      <w:pPr>
        <w:pStyle w:val="enumlev1"/>
      </w:pPr>
      <w:r w:rsidRPr="00E87CF9">
        <w:t>–</w:t>
      </w:r>
      <w:r w:rsidRPr="00E87CF9">
        <w:tab/>
        <w:t>enhanced cross-border coordination and circulation of equipment;</w:t>
      </w:r>
    </w:p>
    <w:p w:rsidR="00AE2E8A" w:rsidRPr="00E87CF9" w:rsidRDefault="00AE2E8A" w:rsidP="00AE2E8A">
      <w:r w:rsidRPr="00E87CF9">
        <w:rPr>
          <w:i/>
          <w:iCs/>
          <w:color w:val="000000"/>
        </w:rPr>
        <w:t>b)</w:t>
      </w:r>
      <w:r w:rsidRPr="00E87CF9">
        <w:tab/>
        <w:t>that the organizational distinction between public protection activities and disaster relief activities are matters for administrations to determine at the national level;</w:t>
      </w:r>
    </w:p>
    <w:p w:rsidR="00AE2E8A" w:rsidRPr="00E87CF9" w:rsidRDefault="00AE2E8A" w:rsidP="00AE2E8A">
      <w:r w:rsidRPr="00E87CF9">
        <w:rPr>
          <w:i/>
          <w:iCs/>
        </w:rPr>
        <w:t>c)</w:t>
      </w:r>
      <w:r w:rsidRPr="00E87CF9">
        <w:tab/>
        <w:t>that national spectrum planning for PPDR needs to have regard to cooperation and bilateral consultation with other concerned administrations, which should be facilitated by greater levels of spectrum harmonization;</w:t>
      </w:r>
    </w:p>
    <w:p w:rsidR="00AE2E8A" w:rsidRPr="00E87CF9" w:rsidRDefault="00AE2E8A" w:rsidP="00AE2E8A">
      <w:r w:rsidRPr="00E87CF9">
        <w:rPr>
          <w:i/>
          <w:iCs/>
        </w:rPr>
        <w:t>d)</w:t>
      </w:r>
      <w:r w:rsidRPr="00E87CF9">
        <w:tab/>
        <w:t>that the Tampere Convention on the Provision of Telecommunications Resources for Disaster Mitigation and Relief Operations (Tampere, 1998), an international treaty deposited with the United Nations Secretary-General and related United Nations General Assembly resolutions and reports are also relevant in this regard;</w:t>
      </w:r>
    </w:p>
    <w:p w:rsidR="00AE2E8A" w:rsidRPr="00E87CF9" w:rsidRDefault="00AE2E8A" w:rsidP="00AE2E8A">
      <w:r w:rsidRPr="00E87CF9">
        <w:rPr>
          <w:i/>
          <w:iCs/>
        </w:rPr>
        <w:t>e)</w:t>
      </w:r>
      <w:r w:rsidRPr="00E87CF9">
        <w:tab/>
        <w:t>that Resolution 36 (Rev. Guadalajara, 2010) of the Plenipotentiary Conference urges Member States Parties to the Tampere Convention to take all practical steps for the application of the Tampere Convention and to work closely with the operational coordinator as provided for therein;</w:t>
      </w:r>
    </w:p>
    <w:p w:rsidR="00AE2E8A" w:rsidRPr="00E87CF9" w:rsidRDefault="00AE2E8A" w:rsidP="00AE2E8A">
      <w:r w:rsidRPr="00E87CF9">
        <w:rPr>
          <w:i/>
          <w:iCs/>
        </w:rPr>
        <w:t>f)</w:t>
      </w:r>
      <w:r w:rsidRPr="00E87CF9">
        <w:tab/>
        <w:t>that Recommendation ITU</w:t>
      </w:r>
      <w:r w:rsidRPr="00E87CF9">
        <w:noBreakHyphen/>
        <w:t>R M.1637 offers guidance to facilitate the global cross-border circulation of radiocommunication equipment in emergency and disaster relief situations;</w:t>
      </w:r>
    </w:p>
    <w:p w:rsidR="00AE2E8A" w:rsidRPr="00E87CF9" w:rsidRDefault="00AE2E8A" w:rsidP="00AE2E8A">
      <w:pPr>
        <w:widowControl w:val="0"/>
      </w:pPr>
      <w:r w:rsidRPr="00E87CF9">
        <w:rPr>
          <w:i/>
          <w:iCs/>
        </w:rPr>
        <w:t>g)</w:t>
      </w:r>
      <w:r w:rsidRPr="00E87CF9">
        <w:tab/>
        <w:t>that Recommendation ITU R M.2009 identifies radio interface standards applicable to PPDR operations;</w:t>
      </w:r>
    </w:p>
    <w:p w:rsidR="00AE2E8A" w:rsidRPr="00E87CF9" w:rsidRDefault="00AE2E8A" w:rsidP="00AE2E8A">
      <w:r w:rsidRPr="00E87CF9">
        <w:rPr>
          <w:i/>
          <w:iCs/>
        </w:rPr>
        <w:t>h)</w:t>
      </w:r>
      <w:r w:rsidRPr="00E87CF9">
        <w:tab/>
        <w:t>that Report ITU</w:t>
      </w:r>
      <w:r w:rsidRPr="00E87CF9">
        <w:noBreakHyphen/>
        <w:t>R M.2291 provides details of the capabilities of IMT technologies to meet the requirements of applications supporting broadband PPDR operations;</w:t>
      </w:r>
    </w:p>
    <w:p w:rsidR="00AE2E8A" w:rsidRPr="00E87CF9" w:rsidRDefault="00AE2E8A" w:rsidP="00AE2E8A">
      <w:r w:rsidRPr="00E87CF9">
        <w:rPr>
          <w:i/>
          <w:iCs/>
        </w:rPr>
        <w:t>i)</w:t>
      </w:r>
      <w:r w:rsidRPr="00E87CF9">
        <w:tab/>
        <w:t>that Report ITU</w:t>
      </w:r>
      <w:r w:rsidRPr="00E87CF9">
        <w:noBreakHyphen/>
        <w:t>R M.2377 provides details of systems and applications supporting PPDR operations in narrowband, wideband and broadband use;</w:t>
      </w:r>
    </w:p>
    <w:p w:rsidR="00AE2E8A" w:rsidRPr="00E87CF9" w:rsidRDefault="00AE2E8A" w:rsidP="00AE2E8A">
      <w:r w:rsidRPr="00E87CF9">
        <w:rPr>
          <w:i/>
          <w:iCs/>
        </w:rPr>
        <w:t>j)</w:t>
      </w:r>
      <w:r w:rsidRPr="00E87CF9">
        <w:tab/>
        <w:t>that PPDR agencies and organizations have an initial set of requirements, including but not limited to interoperability, secure and reliable communications, sufficient capacity to respond to emergencies, priority access in the use of non-dedicated systems, fast response times, ability to handle multiple group calls and the ability to cover large areas, as described in Reports ITU</w:t>
      </w:r>
      <w:r w:rsidRPr="00E87CF9">
        <w:noBreakHyphen/>
        <w:t>R M.2377 and ITU-R M.2291;</w:t>
      </w:r>
    </w:p>
    <w:p w:rsidR="00AE2E8A" w:rsidRPr="00E87CF9" w:rsidRDefault="00AE2E8A" w:rsidP="00AE2E8A">
      <w:r w:rsidRPr="00E87CF9">
        <w:rPr>
          <w:i/>
          <w:iCs/>
        </w:rPr>
        <w:lastRenderedPageBreak/>
        <w:t>k)</w:t>
      </w:r>
      <w:r w:rsidRPr="00E87CF9">
        <w:rPr>
          <w:i/>
          <w:iCs/>
        </w:rPr>
        <w:tab/>
      </w:r>
      <w:r w:rsidRPr="00E87CF9">
        <w:t>that Report ITU</w:t>
      </w:r>
      <w:r w:rsidRPr="00E87CF9">
        <w:noBreakHyphen/>
        <w:t>R BT.2299 provides a compilation of supporting evidence to the effect that terrestrial broadcasting plays an important role in disseminating information to the public in times of emergencies;</w:t>
      </w:r>
    </w:p>
    <w:p w:rsidR="00AE2E8A" w:rsidRPr="00E87CF9" w:rsidRDefault="00AE2E8A" w:rsidP="00AE2E8A">
      <w:r w:rsidRPr="00E87CF9">
        <w:rPr>
          <w:i/>
          <w:iCs/>
        </w:rPr>
        <w:t>l)</w:t>
      </w:r>
      <w:r w:rsidRPr="00E87CF9">
        <w:rPr>
          <w:i/>
          <w:iCs/>
        </w:rPr>
        <w:tab/>
      </w:r>
      <w:r w:rsidRPr="00E87CF9">
        <w:rPr>
          <w:rFonts w:eastAsia="Calibri"/>
          <w:szCs w:val="24"/>
        </w:rPr>
        <w:t>that Recommendation ITU</w:t>
      </w:r>
      <w:r w:rsidRPr="00E87CF9">
        <w:rPr>
          <w:rFonts w:eastAsia="Calibri"/>
          <w:szCs w:val="24"/>
        </w:rPr>
        <w:noBreakHyphen/>
        <w:t>R M.2015 contains regionally harmonized PPDR frequency arrangements</w:t>
      </w:r>
      <w:r w:rsidRPr="00E87CF9">
        <w:rPr>
          <w:rFonts w:eastAsia="Calibri"/>
          <w:i/>
          <w:iCs/>
          <w:szCs w:val="24"/>
        </w:rPr>
        <w:t xml:space="preserve">, </w:t>
      </w:r>
      <w:r w:rsidRPr="00E87CF9">
        <w:rPr>
          <w:rFonts w:eastAsia="Calibri"/>
          <w:szCs w:val="24"/>
        </w:rPr>
        <w:t>as well as frequency arrangements of individual administrations</w:t>
      </w:r>
      <w:r w:rsidRPr="00E87CF9">
        <w:rPr>
          <w:rStyle w:val="FootnoteReference"/>
          <w:rFonts w:eastAsia="Calibri"/>
          <w:szCs w:val="24"/>
        </w:rPr>
        <w:footnoteReference w:customMarkFollows="1" w:id="2"/>
        <w:t>2</w:t>
      </w:r>
      <w:r w:rsidRPr="00E87CF9">
        <w:rPr>
          <w:rFonts w:eastAsia="Calibri"/>
          <w:szCs w:val="24"/>
        </w:rPr>
        <w:t>;</w:t>
      </w:r>
    </w:p>
    <w:p w:rsidR="00AE2E8A" w:rsidRPr="00E87CF9" w:rsidRDefault="00AE2E8A" w:rsidP="00AE2E8A">
      <w:r w:rsidRPr="00E87CF9">
        <w:rPr>
          <w:i/>
          <w:iCs/>
        </w:rPr>
        <w:t>m)</w:t>
      </w:r>
      <w:r w:rsidRPr="00E87CF9">
        <w:rPr>
          <w:i/>
          <w:iCs/>
        </w:rPr>
        <w:tab/>
      </w:r>
      <w:r w:rsidRPr="00E87CF9">
        <w:t>that in times of disasters, if most terrestrial-based networks are destroyed or impaired, amateur, satellite and other non</w:t>
      </w:r>
      <w:r w:rsidRPr="00E87CF9">
        <w:noBreakHyphen/>
        <w:t>ground-based networks may be available to provide communication services to assist in PPDR efforts;</w:t>
      </w:r>
    </w:p>
    <w:p w:rsidR="00AE2E8A" w:rsidRPr="00E87CF9" w:rsidRDefault="00AE2E8A" w:rsidP="00AE2E8A">
      <w:r w:rsidRPr="00E87CF9">
        <w:rPr>
          <w:i/>
          <w:iCs/>
        </w:rPr>
        <w:t>n)</w:t>
      </w:r>
      <w:r w:rsidRPr="00E87CF9">
        <w:rPr>
          <w:i/>
          <w:iCs/>
        </w:rPr>
        <w:tab/>
      </w:r>
      <w:r w:rsidRPr="00E87CF9">
        <w:t>that the amount of spectrum needed for public protection on a daily basis differs significantly between countries, and that certain amounts of spectrum are already in use in various countries for PPDR applications;</w:t>
      </w:r>
    </w:p>
    <w:p w:rsidR="00AE2E8A" w:rsidRPr="00E87CF9" w:rsidRDefault="00AE2E8A" w:rsidP="00AE2E8A">
      <w:r w:rsidRPr="00E87CF9">
        <w:rPr>
          <w:i/>
        </w:rPr>
        <w:t>o)</w:t>
      </w:r>
      <w:r w:rsidRPr="00E87CF9">
        <w:tab/>
        <w:t xml:space="preserve">that in response to a disaster or emergency, access to additional spectrum on a temporary basis may be required for PPDR operations; </w:t>
      </w:r>
    </w:p>
    <w:p w:rsidR="00AE2E8A" w:rsidRPr="00E87CF9" w:rsidRDefault="00AE2E8A" w:rsidP="00AE2E8A">
      <w:r w:rsidRPr="00E87CF9">
        <w:rPr>
          <w:i/>
          <w:iCs/>
        </w:rPr>
        <w:t>p)</w:t>
      </w:r>
      <w:r w:rsidRPr="00E87CF9">
        <w:rPr>
          <w:i/>
          <w:iCs/>
        </w:rPr>
        <w:tab/>
      </w:r>
      <w:r w:rsidRPr="00E87CF9">
        <w:t>that not all frequencies within an identified common frequency range will be available for PPDR use within each country;</w:t>
      </w:r>
    </w:p>
    <w:p w:rsidR="00AE2E8A" w:rsidRPr="00E87CF9" w:rsidRDefault="00AE2E8A" w:rsidP="00AE2E8A">
      <w:r w:rsidRPr="00E87CF9">
        <w:rPr>
          <w:i/>
          <w:iCs/>
        </w:rPr>
        <w:t>q)</w:t>
      </w:r>
      <w:r w:rsidRPr="00E87CF9">
        <w:rPr>
          <w:i/>
          <w:iCs/>
        </w:rPr>
        <w:tab/>
      </w:r>
      <w:r w:rsidRPr="00E87CF9">
        <w:t>that the identification of common frequency ranges within which equipment could</w:t>
      </w:r>
      <w:r w:rsidRPr="00E87CF9">
        <w:rPr>
          <w:b/>
        </w:rPr>
        <w:t xml:space="preserve"> </w:t>
      </w:r>
      <w:r w:rsidRPr="00E87CF9">
        <w:t>operate may ease interoperability and/or interworking, with mutual cooperation and consultation, especially in national, regional and cross-border emergency situations and disaster relief operations;</w:t>
      </w:r>
    </w:p>
    <w:p w:rsidR="00AE2E8A" w:rsidRPr="00E87CF9" w:rsidRDefault="00AE2E8A" w:rsidP="00AE2E8A">
      <w:r w:rsidRPr="00E87CF9">
        <w:rPr>
          <w:i/>
          <w:iCs/>
        </w:rPr>
        <w:t>r)</w:t>
      </w:r>
      <w:r w:rsidRPr="00E87CF9">
        <w:rPr>
          <w:i/>
          <w:iCs/>
        </w:rPr>
        <w:tab/>
      </w:r>
      <w:r w:rsidRPr="00E87CF9">
        <w:t>that when a disaster occurs, the PPDR agencies and organizations are usually the first responders on the scene using their day-to-day communication systems and, additionally, other agencies and organizations may also become involved in disaster relief operations;</w:t>
      </w:r>
    </w:p>
    <w:p w:rsidR="00AE2E8A" w:rsidRPr="00E87CF9" w:rsidRDefault="00AE2E8A" w:rsidP="00AE2E8A">
      <w:r w:rsidRPr="00E87CF9">
        <w:rPr>
          <w:i/>
          <w:iCs/>
        </w:rPr>
        <w:t>s)</w:t>
      </w:r>
      <w:r w:rsidRPr="00E87CF9">
        <w:rPr>
          <w:i/>
          <w:iCs/>
        </w:rPr>
        <w:tab/>
      </w:r>
      <w:r w:rsidRPr="00E87CF9">
        <w:t>that some countries in Region 1 have identified certain parts of the frequency range 694</w:t>
      </w:r>
      <w:r w:rsidRPr="00E87CF9">
        <w:noBreakHyphen/>
        <w:t>791</w:t>
      </w:r>
      <w:r>
        <w:t> MHz</w:t>
      </w:r>
      <w:r w:rsidRPr="00E87CF9">
        <w:t xml:space="preserve"> for broadband PPDR deployment; </w:t>
      </w:r>
    </w:p>
    <w:p w:rsidR="00AE2E8A" w:rsidRPr="00E87CF9" w:rsidRDefault="00AE2E8A" w:rsidP="00AE2E8A">
      <w:r w:rsidRPr="00E87CF9">
        <w:rPr>
          <w:i/>
          <w:iCs/>
        </w:rPr>
        <w:t>t)</w:t>
      </w:r>
      <w:r w:rsidRPr="00E87CF9">
        <w:rPr>
          <w:i/>
          <w:iCs/>
        </w:rPr>
        <w:tab/>
      </w:r>
      <w:r w:rsidRPr="00E87CF9">
        <w:t>that some countries in Region 1 have identified certain parts of the frequency range 790</w:t>
      </w:r>
      <w:r w:rsidRPr="00E87CF9">
        <w:noBreakHyphen/>
        <w:t>862</w:t>
      </w:r>
      <w:r>
        <w:t> MHz</w:t>
      </w:r>
      <w:r w:rsidRPr="00E87CF9">
        <w:t xml:space="preserve"> for broadband PPDR deployment; </w:t>
      </w:r>
    </w:p>
    <w:p w:rsidR="00AE2E8A" w:rsidRPr="00E87CF9" w:rsidRDefault="00AE2E8A" w:rsidP="00AE2E8A">
      <w:pPr>
        <w:rPr>
          <w:iCs/>
        </w:rPr>
      </w:pPr>
      <w:r w:rsidRPr="00E87CF9">
        <w:rPr>
          <w:i/>
          <w:iCs/>
          <w:color w:val="000000"/>
        </w:rPr>
        <w:t>u)</w:t>
      </w:r>
      <w:r w:rsidRPr="00E87CF9">
        <w:rPr>
          <w:i/>
          <w:iCs/>
          <w:color w:val="000000"/>
        </w:rPr>
        <w:tab/>
      </w:r>
      <w:r w:rsidRPr="00E87CF9">
        <w:rPr>
          <w:iCs/>
        </w:rPr>
        <w:t>the provisions contained in Nos. </w:t>
      </w:r>
      <w:r w:rsidRPr="003C5FC7">
        <w:rPr>
          <w:b/>
          <w:bCs/>
          <w:iCs/>
        </w:rPr>
        <w:t>5.266</w:t>
      </w:r>
      <w:r w:rsidRPr="00E87CF9">
        <w:rPr>
          <w:iCs/>
        </w:rPr>
        <w:t xml:space="preserve"> and </w:t>
      </w:r>
      <w:r w:rsidRPr="003C5FC7">
        <w:rPr>
          <w:b/>
          <w:bCs/>
          <w:iCs/>
        </w:rPr>
        <w:t>5.267</w:t>
      </w:r>
      <w:r w:rsidRPr="00E87CF9">
        <w:rPr>
          <w:iCs/>
        </w:rPr>
        <w:t>, and Resolution </w:t>
      </w:r>
      <w:r w:rsidRPr="003C5FC7">
        <w:rPr>
          <w:b/>
          <w:bCs/>
          <w:iCs/>
        </w:rPr>
        <w:t>205 (Rev.WRC-15)</w:t>
      </w:r>
      <w:r w:rsidRPr="00E87CF9">
        <w:rPr>
          <w:iCs/>
        </w:rPr>
        <w:t xml:space="preserve">; </w:t>
      </w:r>
    </w:p>
    <w:p w:rsidR="00AE2E8A" w:rsidRPr="00E87CF9" w:rsidRDefault="00AE2E8A" w:rsidP="00AE2E8A">
      <w:pPr>
        <w:rPr>
          <w:iCs/>
        </w:rPr>
      </w:pPr>
      <w:r w:rsidRPr="00E87CF9">
        <w:rPr>
          <w:i/>
          <w:iCs/>
          <w:color w:val="000000"/>
        </w:rPr>
        <w:t>v)</w:t>
      </w:r>
      <w:r w:rsidRPr="00E87CF9">
        <w:rPr>
          <w:i/>
          <w:iCs/>
          <w:color w:val="000000"/>
        </w:rPr>
        <w:tab/>
      </w:r>
      <w:r w:rsidRPr="00E87CF9">
        <w:rPr>
          <w:iCs/>
        </w:rPr>
        <w:t>that Metaids and Met</w:t>
      </w:r>
      <w:r w:rsidR="004003EF" w:rsidRPr="00E87CF9">
        <w:rPr>
          <w:iCs/>
        </w:rPr>
        <w:t>S</w:t>
      </w:r>
      <w:r w:rsidRPr="00E87CF9">
        <w:rPr>
          <w:iCs/>
        </w:rPr>
        <w:t>at services operate on a globally harmonized basis in the frequency band 400.15-406</w:t>
      </w:r>
      <w:r>
        <w:rPr>
          <w:iCs/>
        </w:rPr>
        <w:t> MHz</w:t>
      </w:r>
      <w:r w:rsidRPr="00E87CF9">
        <w:rPr>
          <w:iCs/>
        </w:rPr>
        <w:t>;</w:t>
      </w:r>
    </w:p>
    <w:p w:rsidR="00AE2E8A" w:rsidRPr="00E87CF9" w:rsidRDefault="00AE2E8A" w:rsidP="00AE2E8A">
      <w:pPr>
        <w:rPr>
          <w:iCs/>
        </w:rPr>
      </w:pPr>
      <w:r w:rsidRPr="00E87CF9">
        <w:rPr>
          <w:i/>
          <w:iCs/>
          <w:color w:val="000000"/>
        </w:rPr>
        <w:t>w)</w:t>
      </w:r>
      <w:r w:rsidRPr="00E87CF9">
        <w:rPr>
          <w:i/>
          <w:iCs/>
          <w:color w:val="000000"/>
        </w:rPr>
        <w:tab/>
      </w:r>
      <w:r w:rsidRPr="00E87CF9">
        <w:rPr>
          <w:iCs/>
        </w:rPr>
        <w:t>that the radio astronomy service operates on a primary basis in the frequency band 406.1</w:t>
      </w:r>
      <w:r w:rsidRPr="00E87CF9">
        <w:rPr>
          <w:iCs/>
        </w:rPr>
        <w:noBreakHyphen/>
        <w:t>410</w:t>
      </w:r>
      <w:r>
        <w:rPr>
          <w:iCs/>
        </w:rPr>
        <w:t> MHz</w:t>
      </w:r>
      <w:r w:rsidRPr="00E87CF9">
        <w:rPr>
          <w:iCs/>
        </w:rPr>
        <w:t xml:space="preserve"> and there may be PPDR operations adjacent to that frequency band,</w:t>
      </w:r>
    </w:p>
    <w:p w:rsidR="00AE2E8A" w:rsidRPr="00E87CF9" w:rsidRDefault="00AE2E8A" w:rsidP="00AE2E8A">
      <w:pPr>
        <w:pStyle w:val="Call"/>
      </w:pPr>
      <w:r w:rsidRPr="00E87CF9">
        <w:t>noting</w:t>
      </w:r>
    </w:p>
    <w:p w:rsidR="00AE2E8A" w:rsidRPr="00E87CF9" w:rsidRDefault="00AE2E8A" w:rsidP="00AE2E8A">
      <w:r w:rsidRPr="00E87CF9">
        <w:rPr>
          <w:i/>
          <w:iCs/>
          <w:color w:val="000000"/>
        </w:rPr>
        <w:t>a)</w:t>
      </w:r>
      <w:r w:rsidRPr="00E87CF9">
        <w:tab/>
        <w:t>that many administrations will continue to use different frequency bands below 1</w:t>
      </w:r>
      <w:r>
        <w:t> GHz</w:t>
      </w:r>
      <w:r w:rsidRPr="00E87CF9">
        <w:t xml:space="preserve"> for narrowband systems and applications supporting PPDR and may decide to use the same range for future PPDR systems;</w:t>
      </w:r>
    </w:p>
    <w:p w:rsidR="00AE2E8A" w:rsidRPr="00E87CF9" w:rsidRDefault="00AE2E8A" w:rsidP="00AE2E8A">
      <w:r w:rsidRPr="00E87CF9">
        <w:rPr>
          <w:rFonts w:eastAsia="SimSun"/>
          <w:i/>
        </w:rPr>
        <w:t>b)</w:t>
      </w:r>
      <w:r w:rsidRPr="00E87CF9">
        <w:rPr>
          <w:rFonts w:eastAsia="SimSun"/>
        </w:rPr>
        <w:tab/>
        <w:t>that some administrations also use certain frequency bands above 1</w:t>
      </w:r>
      <w:r>
        <w:t> GHz</w:t>
      </w:r>
      <w:r w:rsidRPr="00E87CF9">
        <w:rPr>
          <w:rFonts w:eastAsia="SimSun"/>
        </w:rPr>
        <w:t xml:space="preserve"> for broadband PPDR applications</w:t>
      </w:r>
      <w:r w:rsidRPr="00E87CF9">
        <w:t>;</w:t>
      </w:r>
    </w:p>
    <w:p w:rsidR="00AE2E8A" w:rsidRPr="00E87CF9" w:rsidRDefault="00AE2E8A" w:rsidP="00AE2E8A">
      <w:r w:rsidRPr="00E87CF9">
        <w:rPr>
          <w:i/>
          <w:iCs/>
        </w:rPr>
        <w:lastRenderedPageBreak/>
        <w:t>c)</w:t>
      </w:r>
      <w:r w:rsidRPr="00E87CF9">
        <w:tab/>
        <w:t>that applications requiring large coverage areas and providing good signal availability would generally be accommodated in lower frequency bands;</w:t>
      </w:r>
    </w:p>
    <w:p w:rsidR="00AE2E8A" w:rsidRPr="00E87CF9" w:rsidRDefault="00AE2E8A" w:rsidP="00AE2E8A">
      <w:r w:rsidRPr="00E87CF9">
        <w:rPr>
          <w:i/>
          <w:iCs/>
        </w:rPr>
        <w:t>d)</w:t>
      </w:r>
      <w:r w:rsidRPr="00E87CF9">
        <w:tab/>
        <w:t>that many administrations have made significant investments in PPDR systems;</w:t>
      </w:r>
    </w:p>
    <w:p w:rsidR="00AE2E8A" w:rsidRPr="00E87CF9" w:rsidRDefault="00AE2E8A" w:rsidP="00AE2E8A">
      <w:r w:rsidRPr="00E87CF9">
        <w:rPr>
          <w:i/>
          <w:iCs/>
        </w:rPr>
        <w:t>e)</w:t>
      </w:r>
      <w:r w:rsidRPr="00E87CF9">
        <w:tab/>
        <w:t>that flexibility allows disaster relief agencies and organizations to use current and future radiocommunications, so as to facilitate their humanitarian operations;</w:t>
      </w:r>
    </w:p>
    <w:p w:rsidR="00AE2E8A" w:rsidRPr="00E87CF9" w:rsidRDefault="00AE2E8A" w:rsidP="00AE2E8A">
      <w:r w:rsidRPr="00E87CF9">
        <w:rPr>
          <w:i/>
          <w:iCs/>
        </w:rPr>
        <w:t>f)</w:t>
      </w:r>
      <w:r w:rsidRPr="00E87CF9">
        <w:tab/>
        <w:t>that disasters and emergency events require response not only from PPDR agencies and organizations but also from humanitarian agencies and organizations;</w:t>
      </w:r>
    </w:p>
    <w:p w:rsidR="00AE2E8A" w:rsidRPr="00E87CF9" w:rsidRDefault="00AE2E8A" w:rsidP="00AE2E8A">
      <w:r w:rsidRPr="00E87CF9">
        <w:rPr>
          <w:i/>
          <w:iCs/>
        </w:rPr>
        <w:t>g)</w:t>
      </w:r>
      <w:r w:rsidRPr="00E87CF9">
        <w:tab/>
        <w:t>that broadband PPDR can be realized and deployed in the frequency bands identified for IMT;</w:t>
      </w:r>
    </w:p>
    <w:p w:rsidR="00AE2E8A" w:rsidRPr="00E87CF9" w:rsidRDefault="00AE2E8A" w:rsidP="00AE2E8A">
      <w:r w:rsidRPr="00E87CF9">
        <w:rPr>
          <w:i/>
          <w:iCs/>
        </w:rPr>
        <w:t>h)</w:t>
      </w:r>
      <w:r w:rsidRPr="00E87CF9">
        <w:tab/>
        <w:t>the benefits of cooperation between countries for the provision of effective and appropriate humanitarian assistance in case of disasters, particularly in view of the special operational requirements of such activities involving multinational response;</w:t>
      </w:r>
    </w:p>
    <w:p w:rsidR="00AE2E8A" w:rsidRPr="00E87CF9" w:rsidRDefault="00AE2E8A" w:rsidP="00AE2E8A">
      <w:r w:rsidRPr="00E87CF9">
        <w:rPr>
          <w:i/>
          <w:iCs/>
        </w:rPr>
        <w:t>i)</w:t>
      </w:r>
      <w:r w:rsidRPr="00E87CF9">
        <w:tab/>
        <w:t>the needs of countries, particularly the developing countries</w:t>
      </w:r>
      <w:r w:rsidRPr="00E87CF9">
        <w:rPr>
          <w:rStyle w:val="FootnoteReference"/>
        </w:rPr>
        <w:footnoteReference w:customMarkFollows="1" w:id="3"/>
        <w:t>3</w:t>
      </w:r>
      <w:r w:rsidRPr="00E87CF9">
        <w:t>, for cost-efficient communication equipment;</w:t>
      </w:r>
    </w:p>
    <w:p w:rsidR="00AE2E8A" w:rsidRPr="00E87CF9" w:rsidRDefault="00AE2E8A" w:rsidP="00AE2E8A">
      <w:r w:rsidRPr="00E87CF9">
        <w:rPr>
          <w:i/>
          <w:iCs/>
        </w:rPr>
        <w:t>j)</w:t>
      </w:r>
      <w:r w:rsidRPr="00E87CF9">
        <w:tab/>
        <w:t>that the use of technologies based on Internet protocols is well established,</w:t>
      </w:r>
    </w:p>
    <w:p w:rsidR="00AE2E8A" w:rsidRPr="00E87CF9" w:rsidRDefault="00AE2E8A" w:rsidP="00AE2E8A">
      <w:pPr>
        <w:pStyle w:val="Call"/>
      </w:pPr>
      <w:r w:rsidRPr="00E87CF9">
        <w:t>emphasizing</w:t>
      </w:r>
    </w:p>
    <w:p w:rsidR="00AE2E8A" w:rsidRPr="00E87CF9" w:rsidRDefault="00AE2E8A" w:rsidP="00AE2E8A">
      <w:r w:rsidRPr="00E87CF9">
        <w:rPr>
          <w:i/>
          <w:iCs/>
          <w:color w:val="000000"/>
        </w:rPr>
        <w:t>a)</w:t>
      </w:r>
      <w:r w:rsidRPr="00E87CF9">
        <w:tab/>
        <w:t xml:space="preserve">that the frequency ranges that are covered by the </w:t>
      </w:r>
      <w:r w:rsidRPr="00E87CF9">
        <w:rPr>
          <w:i/>
          <w:iCs/>
        </w:rPr>
        <w:t>resolves</w:t>
      </w:r>
      <w:r w:rsidRPr="00E87CF9">
        <w:t xml:space="preserve"> part of this </w:t>
      </w:r>
      <w:r>
        <w:t>R</w:t>
      </w:r>
      <w:r w:rsidRPr="00E87CF9">
        <w:t>esolution are allocated to a variety of services in accordance with the relevant provisions of the Radio Regulations and are currently used intensively by the fixed, mobile, mobile-satellite and broadcasting services;</w:t>
      </w:r>
    </w:p>
    <w:p w:rsidR="00AE2E8A" w:rsidRPr="00E87CF9" w:rsidRDefault="00AE2E8A" w:rsidP="00AE2E8A">
      <w:r w:rsidRPr="00E87CF9">
        <w:rPr>
          <w:i/>
          <w:iCs/>
        </w:rPr>
        <w:t>b)</w:t>
      </w:r>
      <w:r w:rsidRPr="00E87CF9">
        <w:tab/>
        <w:t xml:space="preserve">that PPDR applications in the ranges listed in </w:t>
      </w:r>
      <w:r w:rsidRPr="00E87CF9">
        <w:rPr>
          <w:i/>
          <w:iCs/>
        </w:rPr>
        <w:t>resolves</w:t>
      </w:r>
      <w:r w:rsidRPr="00E87CF9">
        <w:t> 2 and 3 are intended to operate in the mobile service allocated on a primary basis according to the provisions of the Radio Regulations;</w:t>
      </w:r>
    </w:p>
    <w:p w:rsidR="00AE2E8A" w:rsidRPr="00E87CF9" w:rsidRDefault="00AE2E8A" w:rsidP="000D6C40">
      <w:pPr>
        <w:keepNext/>
      </w:pPr>
      <w:r w:rsidRPr="00E87CF9">
        <w:rPr>
          <w:i/>
          <w:iCs/>
        </w:rPr>
        <w:t>c)</w:t>
      </w:r>
      <w:r w:rsidRPr="00E87CF9">
        <w:tab/>
        <w:t>that flexibility must be afforded to administrations</w:t>
      </w:r>
      <w:r w:rsidR="000D6C40">
        <w:t xml:space="preserve"> </w:t>
      </w:r>
      <w:r w:rsidRPr="00E87CF9">
        <w:t>to determine:</w:t>
      </w:r>
    </w:p>
    <w:p w:rsidR="00AE2E8A" w:rsidRPr="00E87CF9" w:rsidRDefault="00AE2E8A" w:rsidP="00AE2E8A">
      <w:pPr>
        <w:pStyle w:val="enumlev1"/>
      </w:pPr>
      <w:r w:rsidRPr="00E87CF9">
        <w:t>–</w:t>
      </w:r>
      <w:r w:rsidRPr="00E87CF9">
        <w:tab/>
        <w:t>how much spectrum to make available at a national level for PPDR from the ranges in the</w:t>
      </w:r>
      <w:r w:rsidRPr="00E87CF9">
        <w:rPr>
          <w:i/>
        </w:rPr>
        <w:t xml:space="preserve"> resolve</w:t>
      </w:r>
      <w:r w:rsidRPr="00E87CF9">
        <w:t xml:space="preserve">s part of this </w:t>
      </w:r>
      <w:r>
        <w:t>R</w:t>
      </w:r>
      <w:r w:rsidRPr="00E87CF9">
        <w:t xml:space="preserve">esolution in order to meet their particular national requirements; </w:t>
      </w:r>
    </w:p>
    <w:p w:rsidR="00AE2E8A" w:rsidRPr="00E87CF9" w:rsidRDefault="00AE2E8A" w:rsidP="00AE2E8A">
      <w:pPr>
        <w:pStyle w:val="enumlev1"/>
      </w:pPr>
      <w:r w:rsidRPr="00E87CF9">
        <w:t>–</w:t>
      </w:r>
      <w:r w:rsidRPr="00E87CF9">
        <w:tab/>
        <w:t xml:space="preserve">the need and timing of availability as well as the conditions of usage of the bands used for PPDR, including those covered in this </w:t>
      </w:r>
      <w:r>
        <w:t>R</w:t>
      </w:r>
      <w:r w:rsidRPr="00E87CF9">
        <w:t>esolution and Recommendation ITU</w:t>
      </w:r>
      <w:r w:rsidRPr="00E87CF9">
        <w:noBreakHyphen/>
        <w:t>R M.2015, in order to meet specific regional or national situations</w:t>
      </w:r>
      <w:r w:rsidRPr="00E87CF9">
        <w:rPr>
          <w:rStyle w:val="FootnoteReference"/>
        </w:rPr>
        <w:footnoteReference w:customMarkFollows="1" w:id="4"/>
        <w:t>4</w:t>
      </w:r>
      <w:r w:rsidRPr="00E87CF9">
        <w:t>;</w:t>
      </w:r>
    </w:p>
    <w:p w:rsidR="00AE2E8A" w:rsidRPr="00E87CF9" w:rsidRDefault="00AE2E8A" w:rsidP="00AE2E8A">
      <w:r w:rsidRPr="00E87CF9">
        <w:rPr>
          <w:i/>
        </w:rPr>
        <w:t>d)</w:t>
      </w:r>
      <w:r w:rsidRPr="00E87CF9">
        <w:tab/>
        <w:t xml:space="preserve">that the provisions of Nos. </w:t>
      </w:r>
      <w:r w:rsidRPr="00E87CF9">
        <w:rPr>
          <w:b/>
          <w:bCs/>
        </w:rPr>
        <w:t>1.59</w:t>
      </w:r>
      <w:r w:rsidRPr="00E87CF9">
        <w:t xml:space="preserve"> and </w:t>
      </w:r>
      <w:r w:rsidRPr="00E87CF9">
        <w:rPr>
          <w:b/>
          <w:bCs/>
        </w:rPr>
        <w:t>4.10</w:t>
      </w:r>
      <w:r w:rsidRPr="00E87CF9">
        <w:t xml:space="preserve"> of the Radio Regulations do not apply to PPDR;</w:t>
      </w:r>
    </w:p>
    <w:p w:rsidR="00AE2E8A" w:rsidRPr="00E87CF9" w:rsidRDefault="00AE2E8A" w:rsidP="00AE2E8A">
      <w:r w:rsidRPr="003C5FC7">
        <w:rPr>
          <w:i/>
          <w:iCs/>
        </w:rPr>
        <w:t>e)</w:t>
      </w:r>
      <w:r w:rsidRPr="003C5FC7">
        <w:tab/>
        <w:t>that administrations can adopt their frequency arrangements for the terrestrial component of IMT, from those detailed in Recommendation ITU-R M.1036,</w:t>
      </w:r>
    </w:p>
    <w:p w:rsidR="00AE2E8A" w:rsidRPr="00E87CF9" w:rsidRDefault="00AE2E8A" w:rsidP="00AE2E8A">
      <w:pPr>
        <w:pStyle w:val="Call"/>
      </w:pPr>
      <w:r w:rsidRPr="00E87CF9">
        <w:t>resolves</w:t>
      </w:r>
    </w:p>
    <w:p w:rsidR="00AE2E8A" w:rsidRPr="00E87CF9" w:rsidRDefault="00AE2E8A" w:rsidP="00AE2E8A">
      <w:r w:rsidRPr="00E87CF9">
        <w:t>1</w:t>
      </w:r>
      <w:r w:rsidRPr="00E87CF9">
        <w:tab/>
        <w:t>to encourage administrations to use harmonized frequency ranges for PPDR to the maximum extent possible, taking into account the national and regional requirements and also having regard to any needed consultation and cooperation with other concerned countries;</w:t>
      </w:r>
    </w:p>
    <w:p w:rsidR="00AE2E8A" w:rsidRPr="00E87CF9" w:rsidRDefault="00AE2E8A" w:rsidP="00AE2E8A">
      <w:pPr>
        <w:rPr>
          <w:rFonts w:eastAsia="Calibri"/>
          <w:color w:val="000000"/>
          <w:szCs w:val="24"/>
        </w:rPr>
      </w:pPr>
      <w:r w:rsidRPr="00E87CF9">
        <w:lastRenderedPageBreak/>
        <w:t>2</w:t>
      </w:r>
      <w:r w:rsidRPr="00E87CF9">
        <w:tab/>
      </w:r>
      <w:r w:rsidRPr="003C5FC7">
        <w:rPr>
          <w:rFonts w:eastAsia="Calibri"/>
          <w:color w:val="000000"/>
        </w:rPr>
        <w:t>to encourage administrations</w:t>
      </w:r>
      <w:r w:rsidRPr="00E87CF9">
        <w:t xml:space="preserve"> </w:t>
      </w:r>
      <w:r w:rsidRPr="00E87CF9">
        <w:rPr>
          <w:rFonts w:eastAsia="Calibri"/>
          <w:color w:val="000000"/>
          <w:szCs w:val="24"/>
        </w:rPr>
        <w:t>to consider parts of the frequency range 694-894</w:t>
      </w:r>
      <w:r>
        <w:rPr>
          <w:rFonts w:eastAsia="Calibri"/>
          <w:color w:val="000000"/>
          <w:szCs w:val="24"/>
        </w:rPr>
        <w:t> MHz</w:t>
      </w:r>
      <w:r w:rsidRPr="00E87CF9">
        <w:rPr>
          <w:rFonts w:eastAsia="Calibri"/>
          <w:color w:val="000000"/>
          <w:szCs w:val="24"/>
        </w:rPr>
        <w:t xml:space="preserve">, as described in the most recent version of Recommendation ITU-R M.2015, when undertaking their national planning </w:t>
      </w:r>
      <w:r w:rsidRPr="00E87CF9">
        <w:t xml:space="preserve">for </w:t>
      </w:r>
      <w:r w:rsidRPr="00E87CF9">
        <w:rPr>
          <w:szCs w:val="24"/>
        </w:rPr>
        <w:t xml:space="preserve">their PPDR applications, in particular broadband, in order </w:t>
      </w:r>
      <w:r w:rsidRPr="00E87CF9">
        <w:rPr>
          <w:rFonts w:eastAsia="Calibri"/>
          <w:color w:val="000000"/>
          <w:szCs w:val="24"/>
        </w:rPr>
        <w:t xml:space="preserve">to achieve harmonization, taking into account </w:t>
      </w:r>
      <w:r w:rsidRPr="003C5FC7">
        <w:rPr>
          <w:rFonts w:eastAsia="Calibri"/>
          <w:i/>
          <w:iCs/>
          <w:color w:val="000000"/>
          <w:szCs w:val="24"/>
        </w:rPr>
        <w:t>emphasizing</w:t>
      </w:r>
      <w:r w:rsidRPr="00E87CF9">
        <w:rPr>
          <w:rFonts w:eastAsia="Calibri"/>
          <w:color w:val="000000"/>
          <w:szCs w:val="24"/>
        </w:rPr>
        <w:t xml:space="preserve"> </w:t>
      </w:r>
      <w:r w:rsidRPr="003C5FC7">
        <w:rPr>
          <w:rFonts w:eastAsia="Calibri"/>
          <w:i/>
          <w:iCs/>
          <w:color w:val="000000"/>
          <w:szCs w:val="24"/>
        </w:rPr>
        <w:t>c)</w:t>
      </w:r>
      <w:r w:rsidRPr="00E87CF9">
        <w:rPr>
          <w:rFonts w:eastAsia="Calibri"/>
          <w:color w:val="000000"/>
          <w:szCs w:val="24"/>
        </w:rPr>
        <w:t xml:space="preserve"> and </w:t>
      </w:r>
      <w:r w:rsidRPr="003C5FC7">
        <w:rPr>
          <w:rFonts w:eastAsia="Calibri"/>
          <w:i/>
          <w:iCs/>
          <w:color w:val="000000"/>
          <w:szCs w:val="24"/>
        </w:rPr>
        <w:t>e)</w:t>
      </w:r>
      <w:r w:rsidRPr="00E87CF9">
        <w:rPr>
          <w:rFonts w:eastAsia="Calibri"/>
          <w:i/>
          <w:iCs/>
          <w:color w:val="000000"/>
          <w:szCs w:val="24"/>
        </w:rPr>
        <w:t xml:space="preserve"> </w:t>
      </w:r>
      <w:r w:rsidRPr="003C5FC7">
        <w:rPr>
          <w:rFonts w:eastAsia="Calibri"/>
          <w:color w:val="000000"/>
          <w:szCs w:val="24"/>
        </w:rPr>
        <w:t>above</w:t>
      </w:r>
      <w:r w:rsidRPr="00E87CF9">
        <w:rPr>
          <w:rFonts w:eastAsia="Calibri"/>
          <w:color w:val="000000"/>
          <w:szCs w:val="24"/>
        </w:rPr>
        <w:t>;</w:t>
      </w:r>
    </w:p>
    <w:p w:rsidR="00AE2E8A" w:rsidRPr="00E87CF9" w:rsidRDefault="00AE2E8A" w:rsidP="00AE2E8A">
      <w:pPr>
        <w:rPr>
          <w:szCs w:val="24"/>
        </w:rPr>
      </w:pPr>
      <w:r w:rsidRPr="00E87CF9">
        <w:rPr>
          <w:iCs/>
          <w:szCs w:val="24"/>
        </w:rPr>
        <w:t>3</w:t>
      </w:r>
      <w:r w:rsidRPr="00E87CF9">
        <w:rPr>
          <w:szCs w:val="24"/>
        </w:rPr>
        <w:tab/>
        <w:t>to further encourage administrations to also consider parts of the following regionally harmonized frequency ranges, for their PPDR applications:</w:t>
      </w:r>
    </w:p>
    <w:p w:rsidR="00AE2E8A" w:rsidRPr="00B3245E" w:rsidRDefault="00AE2E8A" w:rsidP="00AE2E8A">
      <w:pPr>
        <w:tabs>
          <w:tab w:val="clear" w:pos="2268"/>
          <w:tab w:val="left" w:pos="2608"/>
          <w:tab w:val="left" w:pos="3345"/>
        </w:tabs>
        <w:spacing w:before="80"/>
        <w:ind w:left="1134" w:hanging="1134"/>
        <w:rPr>
          <w:lang w:val="de-CH"/>
        </w:rPr>
      </w:pPr>
      <w:r w:rsidRPr="00B3245E">
        <w:rPr>
          <w:rFonts w:hint="eastAsia"/>
          <w:lang w:val="de-CH"/>
        </w:rPr>
        <w:t>–</w:t>
      </w:r>
      <w:r w:rsidRPr="00B3245E">
        <w:rPr>
          <w:lang w:val="de-CH"/>
        </w:rPr>
        <w:tab/>
        <w:t>in Region</w:t>
      </w:r>
      <w:r w:rsidRPr="00B3245E">
        <w:rPr>
          <w:rFonts w:hint="eastAsia"/>
          <w:lang w:val="de-CH"/>
        </w:rPr>
        <w:t> </w:t>
      </w:r>
      <w:r w:rsidRPr="00B3245E">
        <w:rPr>
          <w:lang w:val="de-CH"/>
        </w:rPr>
        <w:t>1: 380-470 </w:t>
      </w:r>
      <w:r w:rsidRPr="00B3245E">
        <w:rPr>
          <w:rFonts w:hint="eastAsia"/>
          <w:lang w:val="de-CH"/>
        </w:rPr>
        <w:t>MHz</w:t>
      </w:r>
      <w:r w:rsidRPr="00B3245E">
        <w:rPr>
          <w:lang w:val="de-CH"/>
        </w:rPr>
        <w:t>;</w:t>
      </w:r>
      <w:r w:rsidRPr="00B3245E">
        <w:rPr>
          <w:szCs w:val="24"/>
          <w:lang w:val="de-CH"/>
        </w:rPr>
        <w:t xml:space="preserve"> </w:t>
      </w:r>
    </w:p>
    <w:p w:rsidR="00AE2E8A" w:rsidRPr="00D80019" w:rsidRDefault="00AE2E8A" w:rsidP="00AE2E8A">
      <w:pPr>
        <w:pStyle w:val="enumlev1"/>
        <w:rPr>
          <w:lang w:val="de-CH"/>
        </w:rPr>
      </w:pPr>
      <w:r w:rsidRPr="00D80019">
        <w:rPr>
          <w:lang w:val="de-CH"/>
        </w:rPr>
        <w:t>–</w:t>
      </w:r>
      <w:r w:rsidRPr="00D80019">
        <w:rPr>
          <w:lang w:val="de-CH"/>
        </w:rPr>
        <w:tab/>
        <w:t>in Region 3: 406.1-430</w:t>
      </w:r>
      <w:r>
        <w:rPr>
          <w:lang w:val="de-CH"/>
        </w:rPr>
        <w:t> MHz</w:t>
      </w:r>
      <w:r w:rsidRPr="00D80019">
        <w:rPr>
          <w:lang w:val="de-CH"/>
        </w:rPr>
        <w:t>, 440-470</w:t>
      </w:r>
      <w:r>
        <w:rPr>
          <w:lang w:val="de-CH"/>
        </w:rPr>
        <w:t> MHz</w:t>
      </w:r>
      <w:r w:rsidRPr="00D80019">
        <w:rPr>
          <w:lang w:val="de-CH"/>
        </w:rPr>
        <w:t xml:space="preserve"> and 4 940</w:t>
      </w:r>
      <w:r w:rsidRPr="00D80019">
        <w:rPr>
          <w:lang w:val="de-CH"/>
        </w:rPr>
        <w:noBreakHyphen/>
        <w:t>4 990</w:t>
      </w:r>
      <w:r>
        <w:rPr>
          <w:lang w:val="de-CH"/>
        </w:rPr>
        <w:t> MHz</w:t>
      </w:r>
      <w:r w:rsidRPr="00D80019">
        <w:rPr>
          <w:lang w:val="de-CH"/>
        </w:rPr>
        <w:t>;</w:t>
      </w:r>
    </w:p>
    <w:p w:rsidR="00AE2E8A" w:rsidRPr="00E87CF9" w:rsidRDefault="00AE2E8A" w:rsidP="00AE2E8A">
      <w:pPr>
        <w:rPr>
          <w:rFonts w:eastAsia="Calibri"/>
          <w:szCs w:val="24"/>
        </w:rPr>
      </w:pPr>
      <w:r w:rsidRPr="00E87CF9">
        <w:rPr>
          <w:rFonts w:eastAsia="Calibri"/>
          <w:szCs w:val="24"/>
        </w:rPr>
        <w:t>4</w:t>
      </w:r>
      <w:r w:rsidRPr="00E87CF9">
        <w:rPr>
          <w:rFonts w:eastAsia="Calibri"/>
          <w:szCs w:val="24"/>
        </w:rPr>
        <w:tab/>
        <w:t xml:space="preserve">that PPDR frequency arrangements within the frequency ranges specified in </w:t>
      </w:r>
      <w:r w:rsidRPr="00E87CF9">
        <w:rPr>
          <w:rFonts w:eastAsia="Calibri"/>
          <w:i/>
          <w:iCs/>
          <w:szCs w:val="24"/>
        </w:rPr>
        <w:t xml:space="preserve">resolves </w:t>
      </w:r>
      <w:r w:rsidRPr="00E87CF9">
        <w:rPr>
          <w:rFonts w:eastAsia="Calibri"/>
          <w:szCs w:val="24"/>
        </w:rPr>
        <w:t>2 and 3</w:t>
      </w:r>
      <w:r w:rsidRPr="00EA65BF">
        <w:rPr>
          <w:rFonts w:eastAsia="Calibri"/>
          <w:szCs w:val="24"/>
        </w:rPr>
        <w:t>,</w:t>
      </w:r>
      <w:r w:rsidRPr="00E87CF9">
        <w:rPr>
          <w:rFonts w:eastAsia="Calibri"/>
          <w:i/>
          <w:iCs/>
          <w:szCs w:val="24"/>
        </w:rPr>
        <w:t xml:space="preserve"> </w:t>
      </w:r>
      <w:r w:rsidRPr="00E87CF9">
        <w:rPr>
          <w:rFonts w:eastAsia="Calibri"/>
          <w:szCs w:val="24"/>
        </w:rPr>
        <w:t xml:space="preserve">as well as countries’ frequency arrangements for PPDR, should </w:t>
      </w:r>
      <w:r w:rsidRPr="00E87CF9">
        <w:rPr>
          <w:rFonts w:eastAsia="Calibri"/>
          <w:iCs/>
          <w:szCs w:val="24"/>
        </w:rPr>
        <w:t>be included</w:t>
      </w:r>
      <w:r w:rsidRPr="00E87CF9">
        <w:rPr>
          <w:rFonts w:eastAsia="Calibri"/>
          <w:szCs w:val="24"/>
        </w:rPr>
        <w:t xml:space="preserve"> in Recommendation ITU</w:t>
      </w:r>
      <w:r w:rsidRPr="00E87CF9">
        <w:rPr>
          <w:rFonts w:eastAsia="Calibri"/>
          <w:szCs w:val="24"/>
        </w:rPr>
        <w:noBreakHyphen/>
        <w:t>R M.2015;</w:t>
      </w:r>
    </w:p>
    <w:p w:rsidR="00AE2E8A" w:rsidRPr="00E87CF9" w:rsidRDefault="00AE2E8A" w:rsidP="00AE2E8A">
      <w:r w:rsidRPr="00E87CF9">
        <w:t>5</w:t>
      </w:r>
      <w:r w:rsidRPr="00E87CF9">
        <w:tab/>
        <w:t xml:space="preserve">that the use of the frequency ranges for PPDR in </w:t>
      </w:r>
      <w:r w:rsidRPr="00E87CF9">
        <w:rPr>
          <w:i/>
        </w:rPr>
        <w:t>resolves</w:t>
      </w:r>
      <w:r w:rsidRPr="00E87CF9">
        <w:t xml:space="preserve"> 2 and 3 above, as well as the use of the countries’ frequency arrangements for PPDR, as described in the most recent version of Recommendation ITU</w:t>
      </w:r>
      <w:r w:rsidRPr="00E87CF9">
        <w:noBreakHyphen/>
        <w:t>R M.2015, must not cause unacceptable interference, nor constrain the us</w:t>
      </w:r>
      <w:r w:rsidR="00CA7C7A">
        <w:t xml:space="preserve">e of these frequency ranges by </w:t>
      </w:r>
      <w:r w:rsidRPr="00E87CF9">
        <w:t>applications of the services to which these ranges are allocated in the Radio Regulations;</w:t>
      </w:r>
    </w:p>
    <w:p w:rsidR="00AE2E8A" w:rsidRPr="00E87CF9" w:rsidRDefault="00AE2E8A" w:rsidP="00AE2E8A">
      <w:r w:rsidRPr="00E87CF9">
        <w:t>6</w:t>
      </w:r>
      <w:r w:rsidRPr="00E87CF9">
        <w:tab/>
        <w:t>to encourage administrations, in emergency and disaster relief situations, to satisfy temporary needs for frequencies in addition to what may be normally provided for in agreements with the concerned administrations;</w:t>
      </w:r>
    </w:p>
    <w:p w:rsidR="00AE2E8A" w:rsidRPr="00E87CF9" w:rsidRDefault="00AE2E8A" w:rsidP="00AE2E8A">
      <w:bookmarkStart w:id="4" w:name="_GoBack"/>
      <w:bookmarkEnd w:id="4"/>
      <w:r w:rsidRPr="00E87CF9">
        <w:t>7</w:t>
      </w:r>
      <w:r w:rsidRPr="00E87CF9">
        <w:tab/>
        <w:t>to encourage administrations to facilitate cross-border circulation of radiocommunication equipment intended for use in emergency and disaster relief situations through mutual cooperation and consultation without hindering national legislation;</w:t>
      </w:r>
    </w:p>
    <w:p w:rsidR="00AE2E8A" w:rsidRPr="00E87CF9" w:rsidRDefault="00AE2E8A" w:rsidP="00AE2E8A">
      <w:r w:rsidRPr="00E87CF9">
        <w:t>8</w:t>
      </w:r>
      <w:r w:rsidRPr="00E87CF9">
        <w:tab/>
        <w:t>that administrations encourage PPDR agencies and organizations to utilize relevant ITU</w:t>
      </w:r>
      <w:r w:rsidRPr="00E87CF9">
        <w:noBreakHyphen/>
        <w:t>R Recommendations in planning spectrum use and implementing technology and systems supporting PPDR;</w:t>
      </w:r>
    </w:p>
    <w:p w:rsidR="00AE2E8A" w:rsidRPr="00E87CF9" w:rsidRDefault="00AE2E8A" w:rsidP="00AE2E8A">
      <w:r w:rsidRPr="00E87CF9">
        <w:t>9</w:t>
      </w:r>
      <w:r w:rsidRPr="00E87CF9">
        <w:tab/>
        <w:t>to encourage administrations to continue to work closely with their PPDR community to further refine the operational requirements for PPDR activities,</w:t>
      </w:r>
    </w:p>
    <w:p w:rsidR="00AE2E8A" w:rsidRPr="00E87CF9" w:rsidRDefault="00AE2E8A" w:rsidP="00AE2E8A">
      <w:pPr>
        <w:pStyle w:val="Call"/>
      </w:pPr>
      <w:r w:rsidRPr="00E87CF9">
        <w:t>invites the ITU Radiocommunication Sector</w:t>
      </w:r>
    </w:p>
    <w:p w:rsidR="00AE2E8A" w:rsidRPr="00E87CF9" w:rsidRDefault="00AE2E8A" w:rsidP="00AE2E8A">
      <w:r w:rsidRPr="00E87CF9">
        <w:t>1</w:t>
      </w:r>
      <w:r w:rsidRPr="00E87CF9">
        <w:tab/>
        <w:t>to continue its technical studies and to make recommendations concerning technical and operational implementation, as necessary, to meet the needs of PPDR radiocommunication applications, taking into account the capabilities, evolution and any resulting transition requirements of the existing systems, particularly those of many developing countries, for national and international operations;</w:t>
      </w:r>
    </w:p>
    <w:p w:rsidR="00AE2E8A" w:rsidRDefault="00AE2E8A" w:rsidP="00AE2E8A">
      <w:r w:rsidRPr="00E87CF9">
        <w:rPr>
          <w:iCs/>
        </w:rPr>
        <w:t>2</w:t>
      </w:r>
      <w:r w:rsidRPr="00E87CF9">
        <w:tab/>
        <w:t>to review and revise Recommendation ITU</w:t>
      </w:r>
      <w:r w:rsidRPr="00E87CF9">
        <w:noBreakHyphen/>
        <w:t>R M.2015 and other relevant ITU</w:t>
      </w:r>
      <w:r w:rsidRPr="00E87CF9">
        <w:noBreakHyphen/>
        <w:t>R Recommendations and Reports, as appropriate.</w:t>
      </w:r>
    </w:p>
    <w:sectPr w:rsidR="00AE2E8A" w:rsidSect="00341D36">
      <w:type w:val="oddPage"/>
      <w:pgSz w:w="11907" w:h="16834" w:code="9"/>
      <w:pgMar w:top="1440" w:right="1440" w:bottom="1440" w:left="1440"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F85" w:rsidRDefault="008D5F85">
      <w:r>
        <w:separator/>
      </w:r>
    </w:p>
  </w:endnote>
  <w:endnote w:type="continuationSeparator" w:id="0">
    <w:p w:rsidR="008D5F85" w:rsidRDefault="008D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F85" w:rsidRDefault="008D5F85">
      <w:r>
        <w:rPr>
          <w:b/>
        </w:rPr>
        <w:t>_______________</w:t>
      </w:r>
    </w:p>
  </w:footnote>
  <w:footnote w:type="continuationSeparator" w:id="0">
    <w:p w:rsidR="008D5F85" w:rsidRDefault="008D5F85">
      <w:r>
        <w:continuationSeparator/>
      </w:r>
    </w:p>
  </w:footnote>
  <w:footnote w:id="1">
    <w:p w:rsidR="008D5F85" w:rsidRPr="003C5FC7" w:rsidRDefault="008D5F85" w:rsidP="00AE2E8A">
      <w:pPr>
        <w:pStyle w:val="FootnoteText"/>
        <w:rPr>
          <w:lang w:val="en-US"/>
        </w:rPr>
      </w:pPr>
      <w:r>
        <w:rPr>
          <w:rStyle w:val="FootnoteReference"/>
        </w:rPr>
        <w:t>1</w:t>
      </w:r>
      <w:r w:rsidRPr="009D4F1F">
        <w:tab/>
      </w:r>
      <w:r w:rsidRPr="009D4F1F">
        <w:rPr>
          <w:color w:val="000000"/>
          <w:lang w:val="en-US"/>
        </w:rPr>
        <w:t>In the context of this Resolution, the term “frequency range” means a range of frequencies over which radio equipment is envisaged to be capable of operating but limited to specific frequency band(s) according to national conditions and requirements.</w:t>
      </w:r>
    </w:p>
  </w:footnote>
  <w:footnote w:id="2">
    <w:p w:rsidR="008D5F85" w:rsidRPr="003C5FC7" w:rsidRDefault="008D5F85" w:rsidP="00AE2E8A">
      <w:pPr>
        <w:pStyle w:val="FootnoteText"/>
        <w:rPr>
          <w:lang w:val="en-US"/>
        </w:rPr>
      </w:pPr>
      <w:r>
        <w:rPr>
          <w:rStyle w:val="FootnoteReference"/>
        </w:rPr>
        <w:t>2</w:t>
      </w:r>
      <w:r>
        <w:tab/>
      </w:r>
      <w:r w:rsidRPr="006A1607">
        <w:t>For example, some countries in Region 3 have adopted parts of the frequency ranges 138</w:t>
      </w:r>
      <w:r w:rsidRPr="00D72084">
        <w:noBreakHyphen/>
      </w:r>
      <w:r w:rsidRPr="006A1607">
        <w:t>174</w:t>
      </w:r>
      <w:r>
        <w:t> </w:t>
      </w:r>
      <w:r w:rsidRPr="006A1607">
        <w:t>MHz, 351-370</w:t>
      </w:r>
      <w:r>
        <w:t> </w:t>
      </w:r>
      <w:r w:rsidRPr="006A1607">
        <w:t>MHz and 380-400</w:t>
      </w:r>
      <w:r>
        <w:t> </w:t>
      </w:r>
      <w:r w:rsidRPr="006A1607">
        <w:t>MHz for narrowband PPDR applications and the frequency ranges 174-205</w:t>
      </w:r>
      <w:r>
        <w:t> </w:t>
      </w:r>
      <w:r w:rsidRPr="006A1607">
        <w:t>MHz and 1 447-1 467</w:t>
      </w:r>
      <w:r>
        <w:t> </w:t>
      </w:r>
      <w:r w:rsidRPr="006A1607">
        <w:t>MHz for broadband PPDR applications.</w:t>
      </w:r>
    </w:p>
  </w:footnote>
  <w:footnote w:id="3">
    <w:p w:rsidR="008D5F85" w:rsidRPr="003C5FC7" w:rsidRDefault="008D5F85" w:rsidP="00AE2E8A">
      <w:pPr>
        <w:pStyle w:val="FootnoteText"/>
        <w:rPr>
          <w:lang w:val="en-US"/>
        </w:rPr>
      </w:pPr>
      <w:r w:rsidRPr="001079F1">
        <w:rPr>
          <w:rStyle w:val="FootnoteReference"/>
        </w:rPr>
        <w:t>3</w:t>
      </w:r>
      <w:r w:rsidRPr="001079F1">
        <w:tab/>
      </w:r>
      <w:r w:rsidRPr="001079F1">
        <w:rPr>
          <w:color w:val="000000"/>
          <w:lang w:val="en-US"/>
        </w:rPr>
        <w:t>Taking into account, for example, the latest version of the ITU</w:t>
      </w:r>
      <w:r w:rsidRPr="001079F1">
        <w:rPr>
          <w:color w:val="000000"/>
          <w:lang w:val="en-US"/>
        </w:rPr>
        <w:noBreakHyphen/>
        <w:t>D Handbook on disaster relief.</w:t>
      </w:r>
    </w:p>
  </w:footnote>
  <w:footnote w:id="4">
    <w:p w:rsidR="008D5F85" w:rsidRPr="00FD5694" w:rsidRDefault="008D5F85" w:rsidP="00AE2E8A">
      <w:pPr>
        <w:pStyle w:val="FootnoteText"/>
        <w:rPr>
          <w:lang w:val="en-US"/>
        </w:rPr>
      </w:pPr>
      <w:r>
        <w:rPr>
          <w:rStyle w:val="FootnoteReference"/>
        </w:rPr>
        <w:t>4</w:t>
      </w:r>
      <w:r>
        <w:tab/>
      </w:r>
      <w:r w:rsidRPr="003C5FC7">
        <w:rPr>
          <w:lang w:val="en-US"/>
        </w:rPr>
        <w:t>For example, some countries in Region 1 have identified certain parts of the frequency range 694</w:t>
      </w:r>
      <w:r w:rsidRPr="003C5FC7">
        <w:rPr>
          <w:lang w:val="en-US"/>
        </w:rPr>
        <w:noBreakHyphen/>
        <w:t>862 MHz for broadband PPDR applications.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FB2"/>
    <w:rsid w:val="00003E8D"/>
    <w:rsid w:val="000041EA"/>
    <w:rsid w:val="00015567"/>
    <w:rsid w:val="00021BE5"/>
    <w:rsid w:val="000224CC"/>
    <w:rsid w:val="00022A29"/>
    <w:rsid w:val="000355FD"/>
    <w:rsid w:val="0004712B"/>
    <w:rsid w:val="00051E39"/>
    <w:rsid w:val="00064E05"/>
    <w:rsid w:val="00066C87"/>
    <w:rsid w:val="000671F9"/>
    <w:rsid w:val="00067BE1"/>
    <w:rsid w:val="000705F2"/>
    <w:rsid w:val="000716F4"/>
    <w:rsid w:val="00077239"/>
    <w:rsid w:val="00086491"/>
    <w:rsid w:val="0008655D"/>
    <w:rsid w:val="00091346"/>
    <w:rsid w:val="00092C0E"/>
    <w:rsid w:val="00096882"/>
    <w:rsid w:val="0009706C"/>
    <w:rsid w:val="000A1555"/>
    <w:rsid w:val="000A1BFB"/>
    <w:rsid w:val="000A33EE"/>
    <w:rsid w:val="000A393D"/>
    <w:rsid w:val="000A56A8"/>
    <w:rsid w:val="000A6048"/>
    <w:rsid w:val="000A7C1E"/>
    <w:rsid w:val="000B37CA"/>
    <w:rsid w:val="000B4AE9"/>
    <w:rsid w:val="000C0C8A"/>
    <w:rsid w:val="000C1BBD"/>
    <w:rsid w:val="000C5A6A"/>
    <w:rsid w:val="000D154B"/>
    <w:rsid w:val="000D33E2"/>
    <w:rsid w:val="000D54F8"/>
    <w:rsid w:val="000D6C40"/>
    <w:rsid w:val="000E2CC7"/>
    <w:rsid w:val="000E680C"/>
    <w:rsid w:val="000F364C"/>
    <w:rsid w:val="000F73FF"/>
    <w:rsid w:val="001044BB"/>
    <w:rsid w:val="001047A9"/>
    <w:rsid w:val="0011100F"/>
    <w:rsid w:val="00114CF7"/>
    <w:rsid w:val="00123B68"/>
    <w:rsid w:val="00126F2E"/>
    <w:rsid w:val="00130F9C"/>
    <w:rsid w:val="0014646C"/>
    <w:rsid w:val="00146B04"/>
    <w:rsid w:val="00146F6F"/>
    <w:rsid w:val="001525EE"/>
    <w:rsid w:val="00152F81"/>
    <w:rsid w:val="0015369E"/>
    <w:rsid w:val="00153ABD"/>
    <w:rsid w:val="00162AC3"/>
    <w:rsid w:val="00162E82"/>
    <w:rsid w:val="00174367"/>
    <w:rsid w:val="00182BE7"/>
    <w:rsid w:val="00187909"/>
    <w:rsid w:val="00187BD9"/>
    <w:rsid w:val="00190B55"/>
    <w:rsid w:val="001959BD"/>
    <w:rsid w:val="00197283"/>
    <w:rsid w:val="001A0198"/>
    <w:rsid w:val="001A7CBA"/>
    <w:rsid w:val="001B29A5"/>
    <w:rsid w:val="001B5608"/>
    <w:rsid w:val="001C18AF"/>
    <w:rsid w:val="001C3B5F"/>
    <w:rsid w:val="001C575F"/>
    <w:rsid w:val="001D058F"/>
    <w:rsid w:val="001E355C"/>
    <w:rsid w:val="001F2FFE"/>
    <w:rsid w:val="001F3789"/>
    <w:rsid w:val="001F3F9B"/>
    <w:rsid w:val="001F5B02"/>
    <w:rsid w:val="002009EA"/>
    <w:rsid w:val="00202CA0"/>
    <w:rsid w:val="00203A98"/>
    <w:rsid w:val="00204736"/>
    <w:rsid w:val="00204EE8"/>
    <w:rsid w:val="0021170A"/>
    <w:rsid w:val="00216B6D"/>
    <w:rsid w:val="00223D8F"/>
    <w:rsid w:val="002320CE"/>
    <w:rsid w:val="002322ED"/>
    <w:rsid w:val="00234A8F"/>
    <w:rsid w:val="002366A3"/>
    <w:rsid w:val="00237C54"/>
    <w:rsid w:val="00241FA2"/>
    <w:rsid w:val="002568B6"/>
    <w:rsid w:val="00260665"/>
    <w:rsid w:val="00271316"/>
    <w:rsid w:val="0027207C"/>
    <w:rsid w:val="002723A3"/>
    <w:rsid w:val="002723C1"/>
    <w:rsid w:val="002753E2"/>
    <w:rsid w:val="002834B1"/>
    <w:rsid w:val="00283E3F"/>
    <w:rsid w:val="00291281"/>
    <w:rsid w:val="002948C9"/>
    <w:rsid w:val="00294A7F"/>
    <w:rsid w:val="002A0295"/>
    <w:rsid w:val="002A0C9C"/>
    <w:rsid w:val="002A1B9B"/>
    <w:rsid w:val="002B2894"/>
    <w:rsid w:val="002B349C"/>
    <w:rsid w:val="002B3720"/>
    <w:rsid w:val="002C5BE0"/>
    <w:rsid w:val="002D1A89"/>
    <w:rsid w:val="002D58BE"/>
    <w:rsid w:val="002E13F2"/>
    <w:rsid w:val="002E553B"/>
    <w:rsid w:val="002E5F12"/>
    <w:rsid w:val="00302C10"/>
    <w:rsid w:val="00302E49"/>
    <w:rsid w:val="003063A2"/>
    <w:rsid w:val="003110FC"/>
    <w:rsid w:val="00312A10"/>
    <w:rsid w:val="003233EC"/>
    <w:rsid w:val="00323C51"/>
    <w:rsid w:val="00331CA5"/>
    <w:rsid w:val="00333B92"/>
    <w:rsid w:val="00334621"/>
    <w:rsid w:val="00334D7E"/>
    <w:rsid w:val="00340C8B"/>
    <w:rsid w:val="00340DC2"/>
    <w:rsid w:val="00341D36"/>
    <w:rsid w:val="003446AF"/>
    <w:rsid w:val="003479E4"/>
    <w:rsid w:val="003503A5"/>
    <w:rsid w:val="00356FA8"/>
    <w:rsid w:val="00361B37"/>
    <w:rsid w:val="003629A1"/>
    <w:rsid w:val="00362ACB"/>
    <w:rsid w:val="00374C31"/>
    <w:rsid w:val="00377BD3"/>
    <w:rsid w:val="00380709"/>
    <w:rsid w:val="00384088"/>
    <w:rsid w:val="003852CE"/>
    <w:rsid w:val="003879E6"/>
    <w:rsid w:val="0039169B"/>
    <w:rsid w:val="003921F5"/>
    <w:rsid w:val="00393C10"/>
    <w:rsid w:val="00394AE5"/>
    <w:rsid w:val="0039647A"/>
    <w:rsid w:val="003A7F8C"/>
    <w:rsid w:val="003B2284"/>
    <w:rsid w:val="003B33AC"/>
    <w:rsid w:val="003B532E"/>
    <w:rsid w:val="003C0AFD"/>
    <w:rsid w:val="003C502E"/>
    <w:rsid w:val="003C6F01"/>
    <w:rsid w:val="003D0F8B"/>
    <w:rsid w:val="003D1A11"/>
    <w:rsid w:val="003D3AFD"/>
    <w:rsid w:val="003E0DB6"/>
    <w:rsid w:val="003F0F8E"/>
    <w:rsid w:val="003F4832"/>
    <w:rsid w:val="003F4F11"/>
    <w:rsid w:val="004003EF"/>
    <w:rsid w:val="00403799"/>
    <w:rsid w:val="00412A12"/>
    <w:rsid w:val="0041348E"/>
    <w:rsid w:val="00414A8D"/>
    <w:rsid w:val="00416F22"/>
    <w:rsid w:val="00420873"/>
    <w:rsid w:val="00423635"/>
    <w:rsid w:val="00426B44"/>
    <w:rsid w:val="00432713"/>
    <w:rsid w:val="00442493"/>
    <w:rsid w:val="0044788E"/>
    <w:rsid w:val="00455855"/>
    <w:rsid w:val="00456354"/>
    <w:rsid w:val="00460390"/>
    <w:rsid w:val="0046262E"/>
    <w:rsid w:val="00465798"/>
    <w:rsid w:val="00466C49"/>
    <w:rsid w:val="00471235"/>
    <w:rsid w:val="00471BDA"/>
    <w:rsid w:val="004771BA"/>
    <w:rsid w:val="00477CE4"/>
    <w:rsid w:val="00480CB7"/>
    <w:rsid w:val="00485FA5"/>
    <w:rsid w:val="00490D5B"/>
    <w:rsid w:val="00492075"/>
    <w:rsid w:val="004950A5"/>
    <w:rsid w:val="004969AD"/>
    <w:rsid w:val="00496FB3"/>
    <w:rsid w:val="004A26C4"/>
    <w:rsid w:val="004B1302"/>
    <w:rsid w:val="004B13CB"/>
    <w:rsid w:val="004C2F4F"/>
    <w:rsid w:val="004C54CD"/>
    <w:rsid w:val="004C613E"/>
    <w:rsid w:val="004C6862"/>
    <w:rsid w:val="004D0990"/>
    <w:rsid w:val="004D26EA"/>
    <w:rsid w:val="004D2BFB"/>
    <w:rsid w:val="004D4D8E"/>
    <w:rsid w:val="004D5A3C"/>
    <w:rsid w:val="004D5B30"/>
    <w:rsid w:val="004D5D5C"/>
    <w:rsid w:val="004D6567"/>
    <w:rsid w:val="004E001C"/>
    <w:rsid w:val="004E5AF9"/>
    <w:rsid w:val="004E7599"/>
    <w:rsid w:val="004F0876"/>
    <w:rsid w:val="004F2D7A"/>
    <w:rsid w:val="0050139F"/>
    <w:rsid w:val="0050156A"/>
    <w:rsid w:val="005070F6"/>
    <w:rsid w:val="0051091F"/>
    <w:rsid w:val="005200C2"/>
    <w:rsid w:val="0052492F"/>
    <w:rsid w:val="0053381D"/>
    <w:rsid w:val="00535ACA"/>
    <w:rsid w:val="005431D5"/>
    <w:rsid w:val="00550775"/>
    <w:rsid w:val="0055140B"/>
    <w:rsid w:val="005546D1"/>
    <w:rsid w:val="00556E1F"/>
    <w:rsid w:val="00573312"/>
    <w:rsid w:val="005777AF"/>
    <w:rsid w:val="005842AA"/>
    <w:rsid w:val="00585E07"/>
    <w:rsid w:val="00586937"/>
    <w:rsid w:val="00596255"/>
    <w:rsid w:val="005964AB"/>
    <w:rsid w:val="005A0A42"/>
    <w:rsid w:val="005A2F3D"/>
    <w:rsid w:val="005A3174"/>
    <w:rsid w:val="005A50BD"/>
    <w:rsid w:val="005B3827"/>
    <w:rsid w:val="005C099A"/>
    <w:rsid w:val="005C31A5"/>
    <w:rsid w:val="005C3BB8"/>
    <w:rsid w:val="005C7472"/>
    <w:rsid w:val="005D08FD"/>
    <w:rsid w:val="005D0A88"/>
    <w:rsid w:val="005D246C"/>
    <w:rsid w:val="005D3BD7"/>
    <w:rsid w:val="005D4285"/>
    <w:rsid w:val="005E10C9"/>
    <w:rsid w:val="005E290B"/>
    <w:rsid w:val="005E33EE"/>
    <w:rsid w:val="005E61DD"/>
    <w:rsid w:val="005E7472"/>
    <w:rsid w:val="005E767B"/>
    <w:rsid w:val="005F0E4A"/>
    <w:rsid w:val="005F2FA6"/>
    <w:rsid w:val="005F4CA1"/>
    <w:rsid w:val="005F57C7"/>
    <w:rsid w:val="006023DF"/>
    <w:rsid w:val="00603E46"/>
    <w:rsid w:val="00616219"/>
    <w:rsid w:val="00621CAF"/>
    <w:rsid w:val="006230EE"/>
    <w:rsid w:val="006235FA"/>
    <w:rsid w:val="00625899"/>
    <w:rsid w:val="00631EC8"/>
    <w:rsid w:val="00640534"/>
    <w:rsid w:val="00640E48"/>
    <w:rsid w:val="00642126"/>
    <w:rsid w:val="006447DD"/>
    <w:rsid w:val="00644BAD"/>
    <w:rsid w:val="00646714"/>
    <w:rsid w:val="00651244"/>
    <w:rsid w:val="00657DE0"/>
    <w:rsid w:val="00660338"/>
    <w:rsid w:val="006642EB"/>
    <w:rsid w:val="00667DB8"/>
    <w:rsid w:val="00670B67"/>
    <w:rsid w:val="00683115"/>
    <w:rsid w:val="00683901"/>
    <w:rsid w:val="00685313"/>
    <w:rsid w:val="006903BC"/>
    <w:rsid w:val="00692833"/>
    <w:rsid w:val="006929F9"/>
    <w:rsid w:val="00695CE8"/>
    <w:rsid w:val="00697633"/>
    <w:rsid w:val="00697E34"/>
    <w:rsid w:val="00697E60"/>
    <w:rsid w:val="006A3C3D"/>
    <w:rsid w:val="006A6E9B"/>
    <w:rsid w:val="006A7CAE"/>
    <w:rsid w:val="006B3180"/>
    <w:rsid w:val="006B6EA2"/>
    <w:rsid w:val="006B7C2A"/>
    <w:rsid w:val="006C1623"/>
    <w:rsid w:val="006C18CB"/>
    <w:rsid w:val="006C23DA"/>
    <w:rsid w:val="006C7349"/>
    <w:rsid w:val="006E02CC"/>
    <w:rsid w:val="006E107A"/>
    <w:rsid w:val="006E3D45"/>
    <w:rsid w:val="006F13EC"/>
    <w:rsid w:val="006F59E1"/>
    <w:rsid w:val="006F5CAF"/>
    <w:rsid w:val="006F5EBD"/>
    <w:rsid w:val="00702DEA"/>
    <w:rsid w:val="00704EAF"/>
    <w:rsid w:val="00706C7B"/>
    <w:rsid w:val="00710409"/>
    <w:rsid w:val="007149F9"/>
    <w:rsid w:val="00714ABF"/>
    <w:rsid w:val="00715B21"/>
    <w:rsid w:val="00721217"/>
    <w:rsid w:val="0072306D"/>
    <w:rsid w:val="00731A6C"/>
    <w:rsid w:val="00732270"/>
    <w:rsid w:val="00732A09"/>
    <w:rsid w:val="00733A30"/>
    <w:rsid w:val="007353A1"/>
    <w:rsid w:val="00735EC3"/>
    <w:rsid w:val="0073790A"/>
    <w:rsid w:val="0074119F"/>
    <w:rsid w:val="00745AEE"/>
    <w:rsid w:val="007506E2"/>
    <w:rsid w:val="00750C79"/>
    <w:rsid w:val="00750F10"/>
    <w:rsid w:val="007539C0"/>
    <w:rsid w:val="00756A7F"/>
    <w:rsid w:val="00764146"/>
    <w:rsid w:val="00764BF1"/>
    <w:rsid w:val="00765017"/>
    <w:rsid w:val="007742CA"/>
    <w:rsid w:val="007821A3"/>
    <w:rsid w:val="00782258"/>
    <w:rsid w:val="00790D70"/>
    <w:rsid w:val="00793226"/>
    <w:rsid w:val="00794046"/>
    <w:rsid w:val="00795919"/>
    <w:rsid w:val="007A5653"/>
    <w:rsid w:val="007A6F1F"/>
    <w:rsid w:val="007B0226"/>
    <w:rsid w:val="007B18A1"/>
    <w:rsid w:val="007B490A"/>
    <w:rsid w:val="007B7697"/>
    <w:rsid w:val="007C08CC"/>
    <w:rsid w:val="007C2860"/>
    <w:rsid w:val="007D5320"/>
    <w:rsid w:val="007D770C"/>
    <w:rsid w:val="007F0FE9"/>
    <w:rsid w:val="00800972"/>
    <w:rsid w:val="00802ABC"/>
    <w:rsid w:val="00804475"/>
    <w:rsid w:val="00811633"/>
    <w:rsid w:val="00824BC3"/>
    <w:rsid w:val="00833096"/>
    <w:rsid w:val="00835262"/>
    <w:rsid w:val="0083602F"/>
    <w:rsid w:val="00841216"/>
    <w:rsid w:val="0084642C"/>
    <w:rsid w:val="00846519"/>
    <w:rsid w:val="0084792D"/>
    <w:rsid w:val="00850F8B"/>
    <w:rsid w:val="0086457F"/>
    <w:rsid w:val="00871F2A"/>
    <w:rsid w:val="00872D5D"/>
    <w:rsid w:val="00872FC8"/>
    <w:rsid w:val="0088180E"/>
    <w:rsid w:val="00881EA8"/>
    <w:rsid w:val="00883D44"/>
    <w:rsid w:val="00884154"/>
    <w:rsid w:val="008845D0"/>
    <w:rsid w:val="00884D60"/>
    <w:rsid w:val="0089484F"/>
    <w:rsid w:val="0089620D"/>
    <w:rsid w:val="00896D5D"/>
    <w:rsid w:val="00896E69"/>
    <w:rsid w:val="00896E90"/>
    <w:rsid w:val="008A0FFE"/>
    <w:rsid w:val="008B43F2"/>
    <w:rsid w:val="008B6C2A"/>
    <w:rsid w:val="008B6CFF"/>
    <w:rsid w:val="008C03DA"/>
    <w:rsid w:val="008C1456"/>
    <w:rsid w:val="008C61E6"/>
    <w:rsid w:val="008C7C1C"/>
    <w:rsid w:val="008D5F85"/>
    <w:rsid w:val="008F6D29"/>
    <w:rsid w:val="008F759B"/>
    <w:rsid w:val="00901D15"/>
    <w:rsid w:val="00904DFB"/>
    <w:rsid w:val="00906B01"/>
    <w:rsid w:val="00906B58"/>
    <w:rsid w:val="00910151"/>
    <w:rsid w:val="009134A5"/>
    <w:rsid w:val="009223A8"/>
    <w:rsid w:val="0092309E"/>
    <w:rsid w:val="009273D4"/>
    <w:rsid w:val="009274B4"/>
    <w:rsid w:val="009332CB"/>
    <w:rsid w:val="0093352C"/>
    <w:rsid w:val="00934EA2"/>
    <w:rsid w:val="009403EF"/>
    <w:rsid w:val="00944A5C"/>
    <w:rsid w:val="00950431"/>
    <w:rsid w:val="00952A66"/>
    <w:rsid w:val="0095673B"/>
    <w:rsid w:val="00957A38"/>
    <w:rsid w:val="009607F6"/>
    <w:rsid w:val="009621CA"/>
    <w:rsid w:val="009632A0"/>
    <w:rsid w:val="00965821"/>
    <w:rsid w:val="009668A3"/>
    <w:rsid w:val="00970B4D"/>
    <w:rsid w:val="00970DB0"/>
    <w:rsid w:val="009755EC"/>
    <w:rsid w:val="00976CD4"/>
    <w:rsid w:val="009829DB"/>
    <w:rsid w:val="0098330E"/>
    <w:rsid w:val="009836DF"/>
    <w:rsid w:val="009877FA"/>
    <w:rsid w:val="00993264"/>
    <w:rsid w:val="00995FAC"/>
    <w:rsid w:val="009A641B"/>
    <w:rsid w:val="009A748D"/>
    <w:rsid w:val="009B4171"/>
    <w:rsid w:val="009B41C4"/>
    <w:rsid w:val="009B7C9A"/>
    <w:rsid w:val="009C0F95"/>
    <w:rsid w:val="009C56E5"/>
    <w:rsid w:val="009C5E0A"/>
    <w:rsid w:val="009C683D"/>
    <w:rsid w:val="009D274D"/>
    <w:rsid w:val="009D2E9F"/>
    <w:rsid w:val="009E1528"/>
    <w:rsid w:val="009E3DC5"/>
    <w:rsid w:val="009E4077"/>
    <w:rsid w:val="009E4375"/>
    <w:rsid w:val="009E5FC8"/>
    <w:rsid w:val="009E687A"/>
    <w:rsid w:val="009F5F85"/>
    <w:rsid w:val="009F7CF1"/>
    <w:rsid w:val="00A01A89"/>
    <w:rsid w:val="00A0310B"/>
    <w:rsid w:val="00A066F1"/>
    <w:rsid w:val="00A141AF"/>
    <w:rsid w:val="00A16D29"/>
    <w:rsid w:val="00A30305"/>
    <w:rsid w:val="00A31D2D"/>
    <w:rsid w:val="00A36781"/>
    <w:rsid w:val="00A45394"/>
    <w:rsid w:val="00A4600A"/>
    <w:rsid w:val="00A51D5C"/>
    <w:rsid w:val="00A51EB2"/>
    <w:rsid w:val="00A538A6"/>
    <w:rsid w:val="00A54823"/>
    <w:rsid w:val="00A54C25"/>
    <w:rsid w:val="00A601F9"/>
    <w:rsid w:val="00A61308"/>
    <w:rsid w:val="00A64D7D"/>
    <w:rsid w:val="00A710E7"/>
    <w:rsid w:val="00A7131F"/>
    <w:rsid w:val="00A7372E"/>
    <w:rsid w:val="00A8414E"/>
    <w:rsid w:val="00A90FEC"/>
    <w:rsid w:val="00A92813"/>
    <w:rsid w:val="00A935A8"/>
    <w:rsid w:val="00A93B85"/>
    <w:rsid w:val="00AA0B18"/>
    <w:rsid w:val="00AA176E"/>
    <w:rsid w:val="00AA2F4E"/>
    <w:rsid w:val="00AA3C65"/>
    <w:rsid w:val="00AA3F04"/>
    <w:rsid w:val="00AA666F"/>
    <w:rsid w:val="00AB0367"/>
    <w:rsid w:val="00AC20D1"/>
    <w:rsid w:val="00AC273C"/>
    <w:rsid w:val="00AE2365"/>
    <w:rsid w:val="00AE2E8A"/>
    <w:rsid w:val="00AE5857"/>
    <w:rsid w:val="00AE5E41"/>
    <w:rsid w:val="00AF1683"/>
    <w:rsid w:val="00AF2651"/>
    <w:rsid w:val="00AF2D49"/>
    <w:rsid w:val="00AF3408"/>
    <w:rsid w:val="00AF5E9A"/>
    <w:rsid w:val="00B03111"/>
    <w:rsid w:val="00B0321A"/>
    <w:rsid w:val="00B07016"/>
    <w:rsid w:val="00B16534"/>
    <w:rsid w:val="00B165D2"/>
    <w:rsid w:val="00B37DDF"/>
    <w:rsid w:val="00B40137"/>
    <w:rsid w:val="00B401FC"/>
    <w:rsid w:val="00B451D9"/>
    <w:rsid w:val="00B459C4"/>
    <w:rsid w:val="00B5268D"/>
    <w:rsid w:val="00B53B39"/>
    <w:rsid w:val="00B571B2"/>
    <w:rsid w:val="00B637BC"/>
    <w:rsid w:val="00B639E9"/>
    <w:rsid w:val="00B6447D"/>
    <w:rsid w:val="00B650B1"/>
    <w:rsid w:val="00B817CD"/>
    <w:rsid w:val="00B81A7D"/>
    <w:rsid w:val="00B81C96"/>
    <w:rsid w:val="00B82523"/>
    <w:rsid w:val="00B91766"/>
    <w:rsid w:val="00B93793"/>
    <w:rsid w:val="00B94AD0"/>
    <w:rsid w:val="00B960A9"/>
    <w:rsid w:val="00BA18BB"/>
    <w:rsid w:val="00BA2C28"/>
    <w:rsid w:val="00BA5DED"/>
    <w:rsid w:val="00BB0775"/>
    <w:rsid w:val="00BB2326"/>
    <w:rsid w:val="00BB3A95"/>
    <w:rsid w:val="00BC1EB8"/>
    <w:rsid w:val="00BD1D0E"/>
    <w:rsid w:val="00BD596D"/>
    <w:rsid w:val="00BD6CCE"/>
    <w:rsid w:val="00BE23FF"/>
    <w:rsid w:val="00BE3C70"/>
    <w:rsid w:val="00BF07B3"/>
    <w:rsid w:val="00BF3902"/>
    <w:rsid w:val="00BF705D"/>
    <w:rsid w:val="00C0018F"/>
    <w:rsid w:val="00C10717"/>
    <w:rsid w:val="00C120F2"/>
    <w:rsid w:val="00C128E8"/>
    <w:rsid w:val="00C156F2"/>
    <w:rsid w:val="00C15AF4"/>
    <w:rsid w:val="00C15D67"/>
    <w:rsid w:val="00C16A5A"/>
    <w:rsid w:val="00C20466"/>
    <w:rsid w:val="00C214ED"/>
    <w:rsid w:val="00C22EDC"/>
    <w:rsid w:val="00C234E6"/>
    <w:rsid w:val="00C24CAC"/>
    <w:rsid w:val="00C324A8"/>
    <w:rsid w:val="00C37254"/>
    <w:rsid w:val="00C41BDB"/>
    <w:rsid w:val="00C44745"/>
    <w:rsid w:val="00C500F8"/>
    <w:rsid w:val="00C50D64"/>
    <w:rsid w:val="00C54517"/>
    <w:rsid w:val="00C5577A"/>
    <w:rsid w:val="00C64CD8"/>
    <w:rsid w:val="00C67B82"/>
    <w:rsid w:val="00C71810"/>
    <w:rsid w:val="00C75A6B"/>
    <w:rsid w:val="00C80AD8"/>
    <w:rsid w:val="00C82870"/>
    <w:rsid w:val="00C84A8F"/>
    <w:rsid w:val="00C93C2D"/>
    <w:rsid w:val="00C93FDC"/>
    <w:rsid w:val="00C94051"/>
    <w:rsid w:val="00C97C68"/>
    <w:rsid w:val="00CA1A47"/>
    <w:rsid w:val="00CA3407"/>
    <w:rsid w:val="00CA50D3"/>
    <w:rsid w:val="00CA7C7A"/>
    <w:rsid w:val="00CA7D5E"/>
    <w:rsid w:val="00CB44E5"/>
    <w:rsid w:val="00CB4DAC"/>
    <w:rsid w:val="00CC247A"/>
    <w:rsid w:val="00CD4930"/>
    <w:rsid w:val="00CD494C"/>
    <w:rsid w:val="00CE388F"/>
    <w:rsid w:val="00CE4757"/>
    <w:rsid w:val="00CE5E47"/>
    <w:rsid w:val="00CF020F"/>
    <w:rsid w:val="00CF17E8"/>
    <w:rsid w:val="00CF2745"/>
    <w:rsid w:val="00CF2B5B"/>
    <w:rsid w:val="00D03194"/>
    <w:rsid w:val="00D0488B"/>
    <w:rsid w:val="00D07564"/>
    <w:rsid w:val="00D07754"/>
    <w:rsid w:val="00D10A63"/>
    <w:rsid w:val="00D120E7"/>
    <w:rsid w:val="00D14CE0"/>
    <w:rsid w:val="00D21D64"/>
    <w:rsid w:val="00D21E53"/>
    <w:rsid w:val="00D26438"/>
    <w:rsid w:val="00D268B3"/>
    <w:rsid w:val="00D324C5"/>
    <w:rsid w:val="00D36534"/>
    <w:rsid w:val="00D41A61"/>
    <w:rsid w:val="00D43452"/>
    <w:rsid w:val="00D4389D"/>
    <w:rsid w:val="00D54009"/>
    <w:rsid w:val="00D5651D"/>
    <w:rsid w:val="00D57A34"/>
    <w:rsid w:val="00D7207D"/>
    <w:rsid w:val="00D74898"/>
    <w:rsid w:val="00D75CF9"/>
    <w:rsid w:val="00D801ED"/>
    <w:rsid w:val="00D80DFF"/>
    <w:rsid w:val="00D82F6D"/>
    <w:rsid w:val="00D85653"/>
    <w:rsid w:val="00D85705"/>
    <w:rsid w:val="00D930E8"/>
    <w:rsid w:val="00D936BC"/>
    <w:rsid w:val="00D956AF"/>
    <w:rsid w:val="00D96530"/>
    <w:rsid w:val="00DA37ED"/>
    <w:rsid w:val="00DA3E1A"/>
    <w:rsid w:val="00DA55AD"/>
    <w:rsid w:val="00DB2ED6"/>
    <w:rsid w:val="00DC5072"/>
    <w:rsid w:val="00DC6A73"/>
    <w:rsid w:val="00DD11BE"/>
    <w:rsid w:val="00DD2AF7"/>
    <w:rsid w:val="00DD44AF"/>
    <w:rsid w:val="00DD5B3B"/>
    <w:rsid w:val="00DE2729"/>
    <w:rsid w:val="00DE2AC3"/>
    <w:rsid w:val="00DE45FA"/>
    <w:rsid w:val="00DE549F"/>
    <w:rsid w:val="00DE5692"/>
    <w:rsid w:val="00DE7159"/>
    <w:rsid w:val="00DF0902"/>
    <w:rsid w:val="00DF2B13"/>
    <w:rsid w:val="00DF3473"/>
    <w:rsid w:val="00DF4BC6"/>
    <w:rsid w:val="00DF751A"/>
    <w:rsid w:val="00E0029F"/>
    <w:rsid w:val="00E03C94"/>
    <w:rsid w:val="00E205BC"/>
    <w:rsid w:val="00E24AFD"/>
    <w:rsid w:val="00E26226"/>
    <w:rsid w:val="00E27155"/>
    <w:rsid w:val="00E30839"/>
    <w:rsid w:val="00E3195E"/>
    <w:rsid w:val="00E45D05"/>
    <w:rsid w:val="00E50017"/>
    <w:rsid w:val="00E55816"/>
    <w:rsid w:val="00E55AEF"/>
    <w:rsid w:val="00E617B0"/>
    <w:rsid w:val="00E65C14"/>
    <w:rsid w:val="00E66322"/>
    <w:rsid w:val="00E73942"/>
    <w:rsid w:val="00E74BA1"/>
    <w:rsid w:val="00E74FAA"/>
    <w:rsid w:val="00E808F1"/>
    <w:rsid w:val="00E8386F"/>
    <w:rsid w:val="00E86438"/>
    <w:rsid w:val="00E930F2"/>
    <w:rsid w:val="00E941DC"/>
    <w:rsid w:val="00E95A38"/>
    <w:rsid w:val="00E976C1"/>
    <w:rsid w:val="00EA12E5"/>
    <w:rsid w:val="00EA3EBF"/>
    <w:rsid w:val="00EA471D"/>
    <w:rsid w:val="00EA65BF"/>
    <w:rsid w:val="00EA6880"/>
    <w:rsid w:val="00EB1658"/>
    <w:rsid w:val="00EB3C5C"/>
    <w:rsid w:val="00EB3D7F"/>
    <w:rsid w:val="00EB55C6"/>
    <w:rsid w:val="00EB5E69"/>
    <w:rsid w:val="00EB67A2"/>
    <w:rsid w:val="00EC07D0"/>
    <w:rsid w:val="00EC2DA2"/>
    <w:rsid w:val="00ED1174"/>
    <w:rsid w:val="00ED3DF2"/>
    <w:rsid w:val="00ED42B6"/>
    <w:rsid w:val="00ED4772"/>
    <w:rsid w:val="00EE0F09"/>
    <w:rsid w:val="00EE2A9A"/>
    <w:rsid w:val="00EE5C65"/>
    <w:rsid w:val="00EE5E45"/>
    <w:rsid w:val="00EF1932"/>
    <w:rsid w:val="00EF43C2"/>
    <w:rsid w:val="00F02766"/>
    <w:rsid w:val="00F05BD4"/>
    <w:rsid w:val="00F06FE1"/>
    <w:rsid w:val="00F10D93"/>
    <w:rsid w:val="00F136B6"/>
    <w:rsid w:val="00F17EA3"/>
    <w:rsid w:val="00F21B44"/>
    <w:rsid w:val="00F23295"/>
    <w:rsid w:val="00F24B9B"/>
    <w:rsid w:val="00F309B9"/>
    <w:rsid w:val="00F30D8C"/>
    <w:rsid w:val="00F4311A"/>
    <w:rsid w:val="00F505AD"/>
    <w:rsid w:val="00F51E15"/>
    <w:rsid w:val="00F547BA"/>
    <w:rsid w:val="00F55405"/>
    <w:rsid w:val="00F6155B"/>
    <w:rsid w:val="00F63118"/>
    <w:rsid w:val="00F64815"/>
    <w:rsid w:val="00F6558E"/>
    <w:rsid w:val="00F656A4"/>
    <w:rsid w:val="00F65C19"/>
    <w:rsid w:val="00F7052D"/>
    <w:rsid w:val="00F74ED5"/>
    <w:rsid w:val="00F7518B"/>
    <w:rsid w:val="00F80EDE"/>
    <w:rsid w:val="00F82A7F"/>
    <w:rsid w:val="00F9008E"/>
    <w:rsid w:val="00F914C2"/>
    <w:rsid w:val="00FA0433"/>
    <w:rsid w:val="00FB120B"/>
    <w:rsid w:val="00FC0498"/>
    <w:rsid w:val="00FC0C12"/>
    <w:rsid w:val="00FC50A4"/>
    <w:rsid w:val="00FC6AB6"/>
    <w:rsid w:val="00FD1879"/>
    <w:rsid w:val="00FD18DA"/>
    <w:rsid w:val="00FD2546"/>
    <w:rsid w:val="00FD69DD"/>
    <w:rsid w:val="00FD772E"/>
    <w:rsid w:val="00FE08C0"/>
    <w:rsid w:val="00FE142F"/>
    <w:rsid w:val="00FE29B4"/>
    <w:rsid w:val="00FE78C7"/>
    <w:rsid w:val="00FF0E2B"/>
    <w:rsid w:val="00FF0F91"/>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6245F71A-A57A-45B8-8DED-A6DA9C5A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FDC"/>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8C1456"/>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5200C2"/>
    <w:rPr>
      <w:rFonts w:ascii="Times New Roman" w:hAnsi="Times New Roman"/>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D930E8"/>
    <w:pPr>
      <w:tabs>
        <w:tab w:val="clear" w:pos="1134"/>
        <w:tab w:val="clear" w:pos="1871"/>
        <w:tab w:val="clear" w:pos="2268"/>
        <w:tab w:val="left" w:pos="5954"/>
        <w:tab w:val="right" w:pos="9639"/>
      </w:tabs>
      <w:spacing w:before="0"/>
      <w:jc w:val="center"/>
    </w:pPr>
    <w:rPr>
      <w:b/>
      <w:caps/>
      <w:noProof/>
    </w:rPr>
  </w:style>
  <w:style w:type="character" w:customStyle="1" w:styleId="FooterChar">
    <w:name w:val="Footer Char"/>
    <w:basedOn w:val="DefaultParagraphFont"/>
    <w:link w:val="Footer"/>
    <w:uiPriority w:val="99"/>
    <w:rsid w:val="00D930E8"/>
    <w:rPr>
      <w:rFonts w:ascii="Times New Roman" w:hAnsi="Times New Roman"/>
      <w:b/>
      <w:caps/>
      <w:noProof/>
      <w:sz w:val="24"/>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C75A6B"/>
    <w:pPr>
      <w:keepLines/>
      <w:tabs>
        <w:tab w:val="left" w:pos="255"/>
      </w:tabs>
    </w:pPr>
    <w:rPr>
      <w:sz w:val="20"/>
    </w:rPr>
  </w:style>
  <w:style w:type="character" w:customStyle="1" w:styleId="FootnoteTextChar">
    <w:name w:val="Footnote Text Char"/>
    <w:basedOn w:val="DefaultParagraphFont"/>
    <w:link w:val="FootnoteText"/>
    <w:rsid w:val="00C75A6B"/>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8C1456"/>
    <w:pPr>
      <w:spacing w:before="280"/>
    </w:pPr>
  </w:style>
  <w:style w:type="character" w:customStyle="1" w:styleId="NormalaftertitleChar">
    <w:name w:val="Normal after title Char"/>
    <w:basedOn w:val="DefaultParagraphFont"/>
    <w:link w:val="Normalaftertitle"/>
    <w:rsid w:val="008C1456"/>
    <w:rPr>
      <w:rFonts w:ascii="Times New Roman" w:hAnsi="Times New Roman"/>
      <w:sz w:val="24"/>
      <w:lang w:val="en-GB" w:eastAsia="en-US"/>
    </w:r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B3720"/>
    <w:pPr>
      <w:keepLines/>
      <w:tabs>
        <w:tab w:val="clear" w:pos="1134"/>
        <w:tab w:val="clear" w:pos="1871"/>
        <w:tab w:val="clear" w:pos="2268"/>
        <w:tab w:val="left" w:pos="2835"/>
        <w:tab w:val="right" w:leader="dot" w:pos="9072"/>
        <w:tab w:val="right" w:pos="9639"/>
      </w:tabs>
      <w:spacing w:before="240"/>
      <w:ind w:left="2835" w:right="567" w:hanging="2835"/>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1F3789"/>
    <w:pPr>
      <w:tabs>
        <w:tab w:val="left" w:pos="284"/>
      </w:tabs>
      <w:spacing w:before="80"/>
    </w:pPr>
    <w:rPr>
      <w:sz w:val="20"/>
    </w:r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477CE4"/>
    <w:pPr>
      <w:keepNext/>
      <w:keepLines/>
      <w:spacing w:before="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C24CAC"/>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character" w:styleId="Hyperlink">
    <w:name w:val="Hyperlink"/>
    <w:basedOn w:val="DefaultParagraphFont"/>
    <w:uiPriority w:val="99"/>
    <w:unhideWhenUsed/>
    <w:rsid w:val="00277248"/>
    <w:rPr>
      <w:color w:val="0000FF" w:themeColor="hyperlink"/>
      <w:u w:val="single"/>
    </w:rPr>
  </w:style>
  <w:style w:type="paragraph" w:customStyle="1" w:styleId="Tablefin">
    <w:name w:val="Table_fin"/>
    <w:basedOn w:val="Normal"/>
    <w:rsid w:val="002048A5"/>
    <w:pPr>
      <w:spacing w:before="0"/>
    </w:pPr>
    <w:rPr>
      <w:sz w:val="20"/>
      <w:lang w:eastAsia="zh-CN"/>
    </w:rPr>
  </w:style>
  <w:style w:type="character" w:styleId="Emphasis">
    <w:name w:val="Emphasis"/>
    <w:basedOn w:val="DefaultParagraphFont"/>
    <w:uiPriority w:val="20"/>
    <w:qFormat/>
    <w:rsid w:val="00E361E9"/>
    <w:rPr>
      <w:i/>
      <w:iCs/>
    </w:rPr>
  </w:style>
  <w:style w:type="paragraph" w:customStyle="1" w:styleId="MainTitle">
    <w:name w:val="Main_Title"/>
    <w:basedOn w:val="Header"/>
    <w:rsid w:val="005200C2"/>
    <w:pPr>
      <w:tabs>
        <w:tab w:val="clear" w:pos="1134"/>
        <w:tab w:val="clear" w:pos="1871"/>
        <w:tab w:val="clear" w:pos="2268"/>
        <w:tab w:val="right" w:pos="9639"/>
      </w:tabs>
      <w:overflowPunct/>
      <w:autoSpaceDE/>
      <w:autoSpaceDN/>
      <w:adjustRightInd/>
      <w:spacing w:before="500" w:line="540" w:lineRule="exact"/>
      <w:textAlignment w:val="auto"/>
    </w:pPr>
    <w:rPr>
      <w:rFonts w:ascii="Times New Roman Bold" w:eastAsia="'宋体" w:hAnsi="Times New Roman Bold"/>
      <w:b/>
      <w:bCs/>
      <w:smallCaps/>
      <w:sz w:val="36"/>
      <w:szCs w:val="36"/>
      <w:lang w:eastAsia="zh-CN"/>
    </w:rPr>
  </w:style>
  <w:style w:type="paragraph" w:customStyle="1" w:styleId="TableHead0">
    <w:name w:val="Table_Head"/>
    <w:basedOn w:val="Normal"/>
    <w:next w:val="Normal"/>
    <w:rsid w:val="005200C2"/>
    <w:pPr>
      <w:tabs>
        <w:tab w:val="clear" w:pos="1134"/>
        <w:tab w:val="clear" w:pos="1871"/>
        <w:tab w:val="clear" w:pos="2268"/>
      </w:tabs>
      <w:spacing w:before="80" w:after="80"/>
      <w:jc w:val="center"/>
    </w:pPr>
    <w:rPr>
      <w:b/>
      <w:bCs/>
      <w:noProof/>
      <w:sz w:val="20"/>
      <w:lang w:val="fr-FR"/>
    </w:rPr>
  </w:style>
  <w:style w:type="paragraph" w:customStyle="1" w:styleId="TableText0">
    <w:name w:val="Table_Text"/>
    <w:basedOn w:val="Normal"/>
    <w:rsid w:val="005200C2"/>
    <w:pPr>
      <w:spacing w:before="40" w:after="40"/>
    </w:pPr>
    <w:rPr>
      <w:noProof/>
      <w:sz w:val="20"/>
      <w:lang w:val="fr-FR"/>
    </w:rPr>
  </w:style>
  <w:style w:type="paragraph" w:customStyle="1" w:styleId="VolumeTitle0">
    <w:name w:val="VolumeTitle"/>
    <w:basedOn w:val="Normal"/>
    <w:qFormat/>
    <w:rsid w:val="00015567"/>
    <w:pPr>
      <w:keepNext/>
      <w:keepLines/>
      <w:spacing w:before="240"/>
      <w:jc w:val="center"/>
    </w:pPr>
    <w:rPr>
      <w:b/>
      <w:sz w:val="48"/>
      <w:szCs w:val="48"/>
    </w:rPr>
  </w:style>
  <w:style w:type="paragraph" w:styleId="TOC9">
    <w:name w:val="toc 9"/>
    <w:basedOn w:val="Normal"/>
    <w:next w:val="Normal"/>
    <w:autoRedefine/>
    <w:uiPriority w:val="39"/>
    <w:unhideWhenUsed/>
    <w:rsid w:val="00A01A89"/>
    <w:pPr>
      <w:tabs>
        <w:tab w:val="clear" w:pos="1134"/>
        <w:tab w:val="clear" w:pos="1871"/>
        <w:tab w:val="clear" w:pos="2268"/>
      </w:tabs>
      <w:overflowPunct/>
      <w:autoSpaceDE/>
      <w:autoSpaceDN/>
      <w:adjustRightInd/>
      <w:spacing w:before="0" w:after="100" w:line="259" w:lineRule="auto"/>
      <w:ind w:left="1760"/>
      <w:jc w:val="left"/>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737">
      <w:bodyDiv w:val="1"/>
      <w:marLeft w:val="0"/>
      <w:marRight w:val="0"/>
      <w:marTop w:val="0"/>
      <w:marBottom w:val="0"/>
      <w:divBdr>
        <w:top w:val="none" w:sz="0" w:space="0" w:color="auto"/>
        <w:left w:val="none" w:sz="0" w:space="0" w:color="auto"/>
        <w:bottom w:val="none" w:sz="0" w:space="0" w:color="auto"/>
        <w:right w:val="none" w:sz="0" w:space="0" w:color="auto"/>
      </w:divBdr>
    </w:div>
    <w:div w:id="47847252">
      <w:bodyDiv w:val="1"/>
      <w:marLeft w:val="0"/>
      <w:marRight w:val="0"/>
      <w:marTop w:val="0"/>
      <w:marBottom w:val="0"/>
      <w:divBdr>
        <w:top w:val="none" w:sz="0" w:space="0" w:color="auto"/>
        <w:left w:val="none" w:sz="0" w:space="0" w:color="auto"/>
        <w:bottom w:val="none" w:sz="0" w:space="0" w:color="auto"/>
        <w:right w:val="none" w:sz="0" w:space="0" w:color="auto"/>
      </w:divBdr>
    </w:div>
    <w:div w:id="53313012">
      <w:bodyDiv w:val="1"/>
      <w:marLeft w:val="0"/>
      <w:marRight w:val="0"/>
      <w:marTop w:val="0"/>
      <w:marBottom w:val="0"/>
      <w:divBdr>
        <w:top w:val="none" w:sz="0" w:space="0" w:color="auto"/>
        <w:left w:val="none" w:sz="0" w:space="0" w:color="auto"/>
        <w:bottom w:val="none" w:sz="0" w:space="0" w:color="auto"/>
        <w:right w:val="none" w:sz="0" w:space="0" w:color="auto"/>
      </w:divBdr>
    </w:div>
    <w:div w:id="107117868">
      <w:bodyDiv w:val="1"/>
      <w:marLeft w:val="0"/>
      <w:marRight w:val="0"/>
      <w:marTop w:val="0"/>
      <w:marBottom w:val="0"/>
      <w:divBdr>
        <w:top w:val="none" w:sz="0" w:space="0" w:color="auto"/>
        <w:left w:val="none" w:sz="0" w:space="0" w:color="auto"/>
        <w:bottom w:val="none" w:sz="0" w:space="0" w:color="auto"/>
        <w:right w:val="none" w:sz="0" w:space="0" w:color="auto"/>
      </w:divBdr>
    </w:div>
    <w:div w:id="107244039">
      <w:bodyDiv w:val="1"/>
      <w:marLeft w:val="0"/>
      <w:marRight w:val="0"/>
      <w:marTop w:val="0"/>
      <w:marBottom w:val="0"/>
      <w:divBdr>
        <w:top w:val="none" w:sz="0" w:space="0" w:color="auto"/>
        <w:left w:val="none" w:sz="0" w:space="0" w:color="auto"/>
        <w:bottom w:val="none" w:sz="0" w:space="0" w:color="auto"/>
        <w:right w:val="none" w:sz="0" w:space="0" w:color="auto"/>
      </w:divBdr>
    </w:div>
    <w:div w:id="113059950">
      <w:bodyDiv w:val="1"/>
      <w:marLeft w:val="0"/>
      <w:marRight w:val="0"/>
      <w:marTop w:val="0"/>
      <w:marBottom w:val="0"/>
      <w:divBdr>
        <w:top w:val="none" w:sz="0" w:space="0" w:color="auto"/>
        <w:left w:val="none" w:sz="0" w:space="0" w:color="auto"/>
        <w:bottom w:val="none" w:sz="0" w:space="0" w:color="auto"/>
        <w:right w:val="none" w:sz="0" w:space="0" w:color="auto"/>
      </w:divBdr>
    </w:div>
    <w:div w:id="115952151">
      <w:bodyDiv w:val="1"/>
      <w:marLeft w:val="0"/>
      <w:marRight w:val="0"/>
      <w:marTop w:val="0"/>
      <w:marBottom w:val="0"/>
      <w:divBdr>
        <w:top w:val="none" w:sz="0" w:space="0" w:color="auto"/>
        <w:left w:val="none" w:sz="0" w:space="0" w:color="auto"/>
        <w:bottom w:val="none" w:sz="0" w:space="0" w:color="auto"/>
        <w:right w:val="none" w:sz="0" w:space="0" w:color="auto"/>
      </w:divBdr>
    </w:div>
    <w:div w:id="149643524">
      <w:bodyDiv w:val="1"/>
      <w:marLeft w:val="0"/>
      <w:marRight w:val="0"/>
      <w:marTop w:val="0"/>
      <w:marBottom w:val="0"/>
      <w:divBdr>
        <w:top w:val="none" w:sz="0" w:space="0" w:color="auto"/>
        <w:left w:val="none" w:sz="0" w:space="0" w:color="auto"/>
        <w:bottom w:val="none" w:sz="0" w:space="0" w:color="auto"/>
        <w:right w:val="none" w:sz="0" w:space="0" w:color="auto"/>
      </w:divBdr>
    </w:div>
    <w:div w:id="149684278">
      <w:bodyDiv w:val="1"/>
      <w:marLeft w:val="0"/>
      <w:marRight w:val="0"/>
      <w:marTop w:val="0"/>
      <w:marBottom w:val="0"/>
      <w:divBdr>
        <w:top w:val="none" w:sz="0" w:space="0" w:color="auto"/>
        <w:left w:val="none" w:sz="0" w:space="0" w:color="auto"/>
        <w:bottom w:val="none" w:sz="0" w:space="0" w:color="auto"/>
        <w:right w:val="none" w:sz="0" w:space="0" w:color="auto"/>
      </w:divBdr>
    </w:div>
    <w:div w:id="154954290">
      <w:bodyDiv w:val="1"/>
      <w:marLeft w:val="0"/>
      <w:marRight w:val="0"/>
      <w:marTop w:val="0"/>
      <w:marBottom w:val="0"/>
      <w:divBdr>
        <w:top w:val="none" w:sz="0" w:space="0" w:color="auto"/>
        <w:left w:val="none" w:sz="0" w:space="0" w:color="auto"/>
        <w:bottom w:val="none" w:sz="0" w:space="0" w:color="auto"/>
        <w:right w:val="none" w:sz="0" w:space="0" w:color="auto"/>
      </w:divBdr>
    </w:div>
    <w:div w:id="156114307">
      <w:bodyDiv w:val="1"/>
      <w:marLeft w:val="0"/>
      <w:marRight w:val="0"/>
      <w:marTop w:val="0"/>
      <w:marBottom w:val="0"/>
      <w:divBdr>
        <w:top w:val="none" w:sz="0" w:space="0" w:color="auto"/>
        <w:left w:val="none" w:sz="0" w:space="0" w:color="auto"/>
        <w:bottom w:val="none" w:sz="0" w:space="0" w:color="auto"/>
        <w:right w:val="none" w:sz="0" w:space="0" w:color="auto"/>
      </w:divBdr>
    </w:div>
    <w:div w:id="217009191">
      <w:bodyDiv w:val="1"/>
      <w:marLeft w:val="0"/>
      <w:marRight w:val="0"/>
      <w:marTop w:val="0"/>
      <w:marBottom w:val="0"/>
      <w:divBdr>
        <w:top w:val="none" w:sz="0" w:space="0" w:color="auto"/>
        <w:left w:val="none" w:sz="0" w:space="0" w:color="auto"/>
        <w:bottom w:val="none" w:sz="0" w:space="0" w:color="auto"/>
        <w:right w:val="none" w:sz="0" w:space="0" w:color="auto"/>
      </w:divBdr>
    </w:div>
    <w:div w:id="222378920">
      <w:bodyDiv w:val="1"/>
      <w:marLeft w:val="0"/>
      <w:marRight w:val="0"/>
      <w:marTop w:val="0"/>
      <w:marBottom w:val="0"/>
      <w:divBdr>
        <w:top w:val="none" w:sz="0" w:space="0" w:color="auto"/>
        <w:left w:val="none" w:sz="0" w:space="0" w:color="auto"/>
        <w:bottom w:val="none" w:sz="0" w:space="0" w:color="auto"/>
        <w:right w:val="none" w:sz="0" w:space="0" w:color="auto"/>
      </w:divBdr>
    </w:div>
    <w:div w:id="247158504">
      <w:bodyDiv w:val="1"/>
      <w:marLeft w:val="0"/>
      <w:marRight w:val="0"/>
      <w:marTop w:val="0"/>
      <w:marBottom w:val="0"/>
      <w:divBdr>
        <w:top w:val="none" w:sz="0" w:space="0" w:color="auto"/>
        <w:left w:val="none" w:sz="0" w:space="0" w:color="auto"/>
        <w:bottom w:val="none" w:sz="0" w:space="0" w:color="auto"/>
        <w:right w:val="none" w:sz="0" w:space="0" w:color="auto"/>
      </w:divBdr>
    </w:div>
    <w:div w:id="268317361">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276910545">
      <w:bodyDiv w:val="1"/>
      <w:marLeft w:val="0"/>
      <w:marRight w:val="0"/>
      <w:marTop w:val="0"/>
      <w:marBottom w:val="0"/>
      <w:divBdr>
        <w:top w:val="none" w:sz="0" w:space="0" w:color="auto"/>
        <w:left w:val="none" w:sz="0" w:space="0" w:color="auto"/>
        <w:bottom w:val="none" w:sz="0" w:space="0" w:color="auto"/>
        <w:right w:val="none" w:sz="0" w:space="0" w:color="auto"/>
      </w:divBdr>
    </w:div>
    <w:div w:id="282229362">
      <w:bodyDiv w:val="1"/>
      <w:marLeft w:val="0"/>
      <w:marRight w:val="0"/>
      <w:marTop w:val="0"/>
      <w:marBottom w:val="0"/>
      <w:divBdr>
        <w:top w:val="none" w:sz="0" w:space="0" w:color="auto"/>
        <w:left w:val="none" w:sz="0" w:space="0" w:color="auto"/>
        <w:bottom w:val="none" w:sz="0" w:space="0" w:color="auto"/>
        <w:right w:val="none" w:sz="0" w:space="0" w:color="auto"/>
      </w:divBdr>
    </w:div>
    <w:div w:id="290863870">
      <w:bodyDiv w:val="1"/>
      <w:marLeft w:val="0"/>
      <w:marRight w:val="0"/>
      <w:marTop w:val="0"/>
      <w:marBottom w:val="0"/>
      <w:divBdr>
        <w:top w:val="none" w:sz="0" w:space="0" w:color="auto"/>
        <w:left w:val="none" w:sz="0" w:space="0" w:color="auto"/>
        <w:bottom w:val="none" w:sz="0" w:space="0" w:color="auto"/>
        <w:right w:val="none" w:sz="0" w:space="0" w:color="auto"/>
      </w:divBdr>
    </w:div>
    <w:div w:id="292561954">
      <w:bodyDiv w:val="1"/>
      <w:marLeft w:val="0"/>
      <w:marRight w:val="0"/>
      <w:marTop w:val="0"/>
      <w:marBottom w:val="0"/>
      <w:divBdr>
        <w:top w:val="none" w:sz="0" w:space="0" w:color="auto"/>
        <w:left w:val="none" w:sz="0" w:space="0" w:color="auto"/>
        <w:bottom w:val="none" w:sz="0" w:space="0" w:color="auto"/>
        <w:right w:val="none" w:sz="0" w:space="0" w:color="auto"/>
      </w:divBdr>
    </w:div>
    <w:div w:id="296106927">
      <w:bodyDiv w:val="1"/>
      <w:marLeft w:val="0"/>
      <w:marRight w:val="0"/>
      <w:marTop w:val="0"/>
      <w:marBottom w:val="0"/>
      <w:divBdr>
        <w:top w:val="none" w:sz="0" w:space="0" w:color="auto"/>
        <w:left w:val="none" w:sz="0" w:space="0" w:color="auto"/>
        <w:bottom w:val="none" w:sz="0" w:space="0" w:color="auto"/>
        <w:right w:val="none" w:sz="0" w:space="0" w:color="auto"/>
      </w:divBdr>
    </w:div>
    <w:div w:id="311176467">
      <w:bodyDiv w:val="1"/>
      <w:marLeft w:val="0"/>
      <w:marRight w:val="0"/>
      <w:marTop w:val="0"/>
      <w:marBottom w:val="0"/>
      <w:divBdr>
        <w:top w:val="none" w:sz="0" w:space="0" w:color="auto"/>
        <w:left w:val="none" w:sz="0" w:space="0" w:color="auto"/>
        <w:bottom w:val="none" w:sz="0" w:space="0" w:color="auto"/>
        <w:right w:val="none" w:sz="0" w:space="0" w:color="auto"/>
      </w:divBdr>
    </w:div>
    <w:div w:id="314069922">
      <w:bodyDiv w:val="1"/>
      <w:marLeft w:val="0"/>
      <w:marRight w:val="0"/>
      <w:marTop w:val="0"/>
      <w:marBottom w:val="0"/>
      <w:divBdr>
        <w:top w:val="none" w:sz="0" w:space="0" w:color="auto"/>
        <w:left w:val="none" w:sz="0" w:space="0" w:color="auto"/>
        <w:bottom w:val="none" w:sz="0" w:space="0" w:color="auto"/>
        <w:right w:val="none" w:sz="0" w:space="0" w:color="auto"/>
      </w:divBdr>
    </w:div>
    <w:div w:id="315228898">
      <w:bodyDiv w:val="1"/>
      <w:marLeft w:val="0"/>
      <w:marRight w:val="0"/>
      <w:marTop w:val="0"/>
      <w:marBottom w:val="0"/>
      <w:divBdr>
        <w:top w:val="none" w:sz="0" w:space="0" w:color="auto"/>
        <w:left w:val="none" w:sz="0" w:space="0" w:color="auto"/>
        <w:bottom w:val="none" w:sz="0" w:space="0" w:color="auto"/>
        <w:right w:val="none" w:sz="0" w:space="0" w:color="auto"/>
      </w:divBdr>
    </w:div>
    <w:div w:id="325861727">
      <w:bodyDiv w:val="1"/>
      <w:marLeft w:val="0"/>
      <w:marRight w:val="0"/>
      <w:marTop w:val="0"/>
      <w:marBottom w:val="0"/>
      <w:divBdr>
        <w:top w:val="none" w:sz="0" w:space="0" w:color="auto"/>
        <w:left w:val="none" w:sz="0" w:space="0" w:color="auto"/>
        <w:bottom w:val="none" w:sz="0" w:space="0" w:color="auto"/>
        <w:right w:val="none" w:sz="0" w:space="0" w:color="auto"/>
      </w:divBdr>
    </w:div>
    <w:div w:id="327488177">
      <w:bodyDiv w:val="1"/>
      <w:marLeft w:val="0"/>
      <w:marRight w:val="0"/>
      <w:marTop w:val="0"/>
      <w:marBottom w:val="0"/>
      <w:divBdr>
        <w:top w:val="none" w:sz="0" w:space="0" w:color="auto"/>
        <w:left w:val="none" w:sz="0" w:space="0" w:color="auto"/>
        <w:bottom w:val="none" w:sz="0" w:space="0" w:color="auto"/>
        <w:right w:val="none" w:sz="0" w:space="0" w:color="auto"/>
      </w:divBdr>
    </w:div>
    <w:div w:id="338773534">
      <w:bodyDiv w:val="1"/>
      <w:marLeft w:val="0"/>
      <w:marRight w:val="0"/>
      <w:marTop w:val="0"/>
      <w:marBottom w:val="0"/>
      <w:divBdr>
        <w:top w:val="none" w:sz="0" w:space="0" w:color="auto"/>
        <w:left w:val="none" w:sz="0" w:space="0" w:color="auto"/>
        <w:bottom w:val="none" w:sz="0" w:space="0" w:color="auto"/>
        <w:right w:val="none" w:sz="0" w:space="0" w:color="auto"/>
      </w:divBdr>
    </w:div>
    <w:div w:id="346908962">
      <w:bodyDiv w:val="1"/>
      <w:marLeft w:val="0"/>
      <w:marRight w:val="0"/>
      <w:marTop w:val="0"/>
      <w:marBottom w:val="0"/>
      <w:divBdr>
        <w:top w:val="none" w:sz="0" w:space="0" w:color="auto"/>
        <w:left w:val="none" w:sz="0" w:space="0" w:color="auto"/>
        <w:bottom w:val="none" w:sz="0" w:space="0" w:color="auto"/>
        <w:right w:val="none" w:sz="0" w:space="0" w:color="auto"/>
      </w:divBdr>
    </w:div>
    <w:div w:id="361520768">
      <w:bodyDiv w:val="1"/>
      <w:marLeft w:val="0"/>
      <w:marRight w:val="0"/>
      <w:marTop w:val="0"/>
      <w:marBottom w:val="0"/>
      <w:divBdr>
        <w:top w:val="none" w:sz="0" w:space="0" w:color="auto"/>
        <w:left w:val="none" w:sz="0" w:space="0" w:color="auto"/>
        <w:bottom w:val="none" w:sz="0" w:space="0" w:color="auto"/>
        <w:right w:val="none" w:sz="0" w:space="0" w:color="auto"/>
      </w:divBdr>
    </w:div>
    <w:div w:id="365066500">
      <w:bodyDiv w:val="1"/>
      <w:marLeft w:val="0"/>
      <w:marRight w:val="0"/>
      <w:marTop w:val="0"/>
      <w:marBottom w:val="0"/>
      <w:divBdr>
        <w:top w:val="none" w:sz="0" w:space="0" w:color="auto"/>
        <w:left w:val="none" w:sz="0" w:space="0" w:color="auto"/>
        <w:bottom w:val="none" w:sz="0" w:space="0" w:color="auto"/>
        <w:right w:val="none" w:sz="0" w:space="0" w:color="auto"/>
      </w:divBdr>
    </w:div>
    <w:div w:id="380135983">
      <w:bodyDiv w:val="1"/>
      <w:marLeft w:val="0"/>
      <w:marRight w:val="0"/>
      <w:marTop w:val="0"/>
      <w:marBottom w:val="0"/>
      <w:divBdr>
        <w:top w:val="none" w:sz="0" w:space="0" w:color="auto"/>
        <w:left w:val="none" w:sz="0" w:space="0" w:color="auto"/>
        <w:bottom w:val="none" w:sz="0" w:space="0" w:color="auto"/>
        <w:right w:val="none" w:sz="0" w:space="0" w:color="auto"/>
      </w:divBdr>
    </w:div>
    <w:div w:id="384061565">
      <w:bodyDiv w:val="1"/>
      <w:marLeft w:val="0"/>
      <w:marRight w:val="0"/>
      <w:marTop w:val="0"/>
      <w:marBottom w:val="0"/>
      <w:divBdr>
        <w:top w:val="none" w:sz="0" w:space="0" w:color="auto"/>
        <w:left w:val="none" w:sz="0" w:space="0" w:color="auto"/>
        <w:bottom w:val="none" w:sz="0" w:space="0" w:color="auto"/>
        <w:right w:val="none" w:sz="0" w:space="0" w:color="auto"/>
      </w:divBdr>
    </w:div>
    <w:div w:id="385491844">
      <w:bodyDiv w:val="1"/>
      <w:marLeft w:val="0"/>
      <w:marRight w:val="0"/>
      <w:marTop w:val="0"/>
      <w:marBottom w:val="0"/>
      <w:divBdr>
        <w:top w:val="none" w:sz="0" w:space="0" w:color="auto"/>
        <w:left w:val="none" w:sz="0" w:space="0" w:color="auto"/>
        <w:bottom w:val="none" w:sz="0" w:space="0" w:color="auto"/>
        <w:right w:val="none" w:sz="0" w:space="0" w:color="auto"/>
      </w:divBdr>
    </w:div>
    <w:div w:id="389615419">
      <w:bodyDiv w:val="1"/>
      <w:marLeft w:val="0"/>
      <w:marRight w:val="0"/>
      <w:marTop w:val="0"/>
      <w:marBottom w:val="0"/>
      <w:divBdr>
        <w:top w:val="none" w:sz="0" w:space="0" w:color="auto"/>
        <w:left w:val="none" w:sz="0" w:space="0" w:color="auto"/>
        <w:bottom w:val="none" w:sz="0" w:space="0" w:color="auto"/>
        <w:right w:val="none" w:sz="0" w:space="0" w:color="auto"/>
      </w:divBdr>
    </w:div>
    <w:div w:id="398555030">
      <w:bodyDiv w:val="1"/>
      <w:marLeft w:val="0"/>
      <w:marRight w:val="0"/>
      <w:marTop w:val="0"/>
      <w:marBottom w:val="0"/>
      <w:divBdr>
        <w:top w:val="none" w:sz="0" w:space="0" w:color="auto"/>
        <w:left w:val="none" w:sz="0" w:space="0" w:color="auto"/>
        <w:bottom w:val="none" w:sz="0" w:space="0" w:color="auto"/>
        <w:right w:val="none" w:sz="0" w:space="0" w:color="auto"/>
      </w:divBdr>
    </w:div>
    <w:div w:id="411321057">
      <w:bodyDiv w:val="1"/>
      <w:marLeft w:val="0"/>
      <w:marRight w:val="0"/>
      <w:marTop w:val="0"/>
      <w:marBottom w:val="0"/>
      <w:divBdr>
        <w:top w:val="none" w:sz="0" w:space="0" w:color="auto"/>
        <w:left w:val="none" w:sz="0" w:space="0" w:color="auto"/>
        <w:bottom w:val="none" w:sz="0" w:space="0" w:color="auto"/>
        <w:right w:val="none" w:sz="0" w:space="0" w:color="auto"/>
      </w:divBdr>
    </w:div>
    <w:div w:id="426122878">
      <w:bodyDiv w:val="1"/>
      <w:marLeft w:val="0"/>
      <w:marRight w:val="0"/>
      <w:marTop w:val="0"/>
      <w:marBottom w:val="0"/>
      <w:divBdr>
        <w:top w:val="none" w:sz="0" w:space="0" w:color="auto"/>
        <w:left w:val="none" w:sz="0" w:space="0" w:color="auto"/>
        <w:bottom w:val="none" w:sz="0" w:space="0" w:color="auto"/>
        <w:right w:val="none" w:sz="0" w:space="0" w:color="auto"/>
      </w:divBdr>
    </w:div>
    <w:div w:id="432238763">
      <w:bodyDiv w:val="1"/>
      <w:marLeft w:val="0"/>
      <w:marRight w:val="0"/>
      <w:marTop w:val="0"/>
      <w:marBottom w:val="0"/>
      <w:divBdr>
        <w:top w:val="none" w:sz="0" w:space="0" w:color="auto"/>
        <w:left w:val="none" w:sz="0" w:space="0" w:color="auto"/>
        <w:bottom w:val="none" w:sz="0" w:space="0" w:color="auto"/>
        <w:right w:val="none" w:sz="0" w:space="0" w:color="auto"/>
      </w:divBdr>
    </w:div>
    <w:div w:id="437994599">
      <w:bodyDiv w:val="1"/>
      <w:marLeft w:val="0"/>
      <w:marRight w:val="0"/>
      <w:marTop w:val="0"/>
      <w:marBottom w:val="0"/>
      <w:divBdr>
        <w:top w:val="none" w:sz="0" w:space="0" w:color="auto"/>
        <w:left w:val="none" w:sz="0" w:space="0" w:color="auto"/>
        <w:bottom w:val="none" w:sz="0" w:space="0" w:color="auto"/>
        <w:right w:val="none" w:sz="0" w:space="0" w:color="auto"/>
      </w:divBdr>
    </w:div>
    <w:div w:id="446895637">
      <w:bodyDiv w:val="1"/>
      <w:marLeft w:val="0"/>
      <w:marRight w:val="0"/>
      <w:marTop w:val="0"/>
      <w:marBottom w:val="0"/>
      <w:divBdr>
        <w:top w:val="none" w:sz="0" w:space="0" w:color="auto"/>
        <w:left w:val="none" w:sz="0" w:space="0" w:color="auto"/>
        <w:bottom w:val="none" w:sz="0" w:space="0" w:color="auto"/>
        <w:right w:val="none" w:sz="0" w:space="0" w:color="auto"/>
      </w:divBdr>
    </w:div>
    <w:div w:id="485631392">
      <w:bodyDiv w:val="1"/>
      <w:marLeft w:val="0"/>
      <w:marRight w:val="0"/>
      <w:marTop w:val="0"/>
      <w:marBottom w:val="0"/>
      <w:divBdr>
        <w:top w:val="none" w:sz="0" w:space="0" w:color="auto"/>
        <w:left w:val="none" w:sz="0" w:space="0" w:color="auto"/>
        <w:bottom w:val="none" w:sz="0" w:space="0" w:color="auto"/>
        <w:right w:val="none" w:sz="0" w:space="0" w:color="auto"/>
      </w:divBdr>
    </w:div>
    <w:div w:id="489717349">
      <w:bodyDiv w:val="1"/>
      <w:marLeft w:val="0"/>
      <w:marRight w:val="0"/>
      <w:marTop w:val="0"/>
      <w:marBottom w:val="0"/>
      <w:divBdr>
        <w:top w:val="none" w:sz="0" w:space="0" w:color="auto"/>
        <w:left w:val="none" w:sz="0" w:space="0" w:color="auto"/>
        <w:bottom w:val="none" w:sz="0" w:space="0" w:color="auto"/>
        <w:right w:val="none" w:sz="0" w:space="0" w:color="auto"/>
      </w:divBdr>
    </w:div>
    <w:div w:id="506796967">
      <w:bodyDiv w:val="1"/>
      <w:marLeft w:val="0"/>
      <w:marRight w:val="0"/>
      <w:marTop w:val="0"/>
      <w:marBottom w:val="0"/>
      <w:divBdr>
        <w:top w:val="none" w:sz="0" w:space="0" w:color="auto"/>
        <w:left w:val="none" w:sz="0" w:space="0" w:color="auto"/>
        <w:bottom w:val="none" w:sz="0" w:space="0" w:color="auto"/>
        <w:right w:val="none" w:sz="0" w:space="0" w:color="auto"/>
      </w:divBdr>
    </w:div>
    <w:div w:id="512688523">
      <w:bodyDiv w:val="1"/>
      <w:marLeft w:val="0"/>
      <w:marRight w:val="0"/>
      <w:marTop w:val="0"/>
      <w:marBottom w:val="0"/>
      <w:divBdr>
        <w:top w:val="none" w:sz="0" w:space="0" w:color="auto"/>
        <w:left w:val="none" w:sz="0" w:space="0" w:color="auto"/>
        <w:bottom w:val="none" w:sz="0" w:space="0" w:color="auto"/>
        <w:right w:val="none" w:sz="0" w:space="0" w:color="auto"/>
      </w:divBdr>
    </w:div>
    <w:div w:id="518740157">
      <w:bodyDiv w:val="1"/>
      <w:marLeft w:val="0"/>
      <w:marRight w:val="0"/>
      <w:marTop w:val="0"/>
      <w:marBottom w:val="0"/>
      <w:divBdr>
        <w:top w:val="none" w:sz="0" w:space="0" w:color="auto"/>
        <w:left w:val="none" w:sz="0" w:space="0" w:color="auto"/>
        <w:bottom w:val="none" w:sz="0" w:space="0" w:color="auto"/>
        <w:right w:val="none" w:sz="0" w:space="0" w:color="auto"/>
      </w:divBdr>
    </w:div>
    <w:div w:id="524253767">
      <w:bodyDiv w:val="1"/>
      <w:marLeft w:val="0"/>
      <w:marRight w:val="0"/>
      <w:marTop w:val="0"/>
      <w:marBottom w:val="0"/>
      <w:divBdr>
        <w:top w:val="none" w:sz="0" w:space="0" w:color="auto"/>
        <w:left w:val="none" w:sz="0" w:space="0" w:color="auto"/>
        <w:bottom w:val="none" w:sz="0" w:space="0" w:color="auto"/>
        <w:right w:val="none" w:sz="0" w:space="0" w:color="auto"/>
      </w:divBdr>
    </w:div>
    <w:div w:id="525404917">
      <w:bodyDiv w:val="1"/>
      <w:marLeft w:val="0"/>
      <w:marRight w:val="0"/>
      <w:marTop w:val="0"/>
      <w:marBottom w:val="0"/>
      <w:divBdr>
        <w:top w:val="none" w:sz="0" w:space="0" w:color="auto"/>
        <w:left w:val="none" w:sz="0" w:space="0" w:color="auto"/>
        <w:bottom w:val="none" w:sz="0" w:space="0" w:color="auto"/>
        <w:right w:val="none" w:sz="0" w:space="0" w:color="auto"/>
      </w:divBdr>
    </w:div>
    <w:div w:id="525486843">
      <w:bodyDiv w:val="1"/>
      <w:marLeft w:val="0"/>
      <w:marRight w:val="0"/>
      <w:marTop w:val="0"/>
      <w:marBottom w:val="0"/>
      <w:divBdr>
        <w:top w:val="none" w:sz="0" w:space="0" w:color="auto"/>
        <w:left w:val="none" w:sz="0" w:space="0" w:color="auto"/>
        <w:bottom w:val="none" w:sz="0" w:space="0" w:color="auto"/>
        <w:right w:val="none" w:sz="0" w:space="0" w:color="auto"/>
      </w:divBdr>
    </w:div>
    <w:div w:id="540362833">
      <w:bodyDiv w:val="1"/>
      <w:marLeft w:val="0"/>
      <w:marRight w:val="0"/>
      <w:marTop w:val="0"/>
      <w:marBottom w:val="0"/>
      <w:divBdr>
        <w:top w:val="none" w:sz="0" w:space="0" w:color="auto"/>
        <w:left w:val="none" w:sz="0" w:space="0" w:color="auto"/>
        <w:bottom w:val="none" w:sz="0" w:space="0" w:color="auto"/>
        <w:right w:val="none" w:sz="0" w:space="0" w:color="auto"/>
      </w:divBdr>
    </w:div>
    <w:div w:id="548033219">
      <w:bodyDiv w:val="1"/>
      <w:marLeft w:val="0"/>
      <w:marRight w:val="0"/>
      <w:marTop w:val="0"/>
      <w:marBottom w:val="0"/>
      <w:divBdr>
        <w:top w:val="none" w:sz="0" w:space="0" w:color="auto"/>
        <w:left w:val="none" w:sz="0" w:space="0" w:color="auto"/>
        <w:bottom w:val="none" w:sz="0" w:space="0" w:color="auto"/>
        <w:right w:val="none" w:sz="0" w:space="0" w:color="auto"/>
      </w:divBdr>
    </w:div>
    <w:div w:id="638612045">
      <w:bodyDiv w:val="1"/>
      <w:marLeft w:val="0"/>
      <w:marRight w:val="0"/>
      <w:marTop w:val="0"/>
      <w:marBottom w:val="0"/>
      <w:divBdr>
        <w:top w:val="none" w:sz="0" w:space="0" w:color="auto"/>
        <w:left w:val="none" w:sz="0" w:space="0" w:color="auto"/>
        <w:bottom w:val="none" w:sz="0" w:space="0" w:color="auto"/>
        <w:right w:val="none" w:sz="0" w:space="0" w:color="auto"/>
      </w:divBdr>
    </w:div>
    <w:div w:id="673654336">
      <w:bodyDiv w:val="1"/>
      <w:marLeft w:val="0"/>
      <w:marRight w:val="0"/>
      <w:marTop w:val="0"/>
      <w:marBottom w:val="0"/>
      <w:divBdr>
        <w:top w:val="none" w:sz="0" w:space="0" w:color="auto"/>
        <w:left w:val="none" w:sz="0" w:space="0" w:color="auto"/>
        <w:bottom w:val="none" w:sz="0" w:space="0" w:color="auto"/>
        <w:right w:val="none" w:sz="0" w:space="0" w:color="auto"/>
      </w:divBdr>
    </w:div>
    <w:div w:id="684021250">
      <w:bodyDiv w:val="1"/>
      <w:marLeft w:val="0"/>
      <w:marRight w:val="0"/>
      <w:marTop w:val="0"/>
      <w:marBottom w:val="0"/>
      <w:divBdr>
        <w:top w:val="none" w:sz="0" w:space="0" w:color="auto"/>
        <w:left w:val="none" w:sz="0" w:space="0" w:color="auto"/>
        <w:bottom w:val="none" w:sz="0" w:space="0" w:color="auto"/>
        <w:right w:val="none" w:sz="0" w:space="0" w:color="auto"/>
      </w:divBdr>
    </w:div>
    <w:div w:id="691346725">
      <w:bodyDiv w:val="1"/>
      <w:marLeft w:val="0"/>
      <w:marRight w:val="0"/>
      <w:marTop w:val="0"/>
      <w:marBottom w:val="0"/>
      <w:divBdr>
        <w:top w:val="none" w:sz="0" w:space="0" w:color="auto"/>
        <w:left w:val="none" w:sz="0" w:space="0" w:color="auto"/>
        <w:bottom w:val="none" w:sz="0" w:space="0" w:color="auto"/>
        <w:right w:val="none" w:sz="0" w:space="0" w:color="auto"/>
      </w:divBdr>
    </w:div>
    <w:div w:id="694039049">
      <w:bodyDiv w:val="1"/>
      <w:marLeft w:val="0"/>
      <w:marRight w:val="0"/>
      <w:marTop w:val="0"/>
      <w:marBottom w:val="0"/>
      <w:divBdr>
        <w:top w:val="none" w:sz="0" w:space="0" w:color="auto"/>
        <w:left w:val="none" w:sz="0" w:space="0" w:color="auto"/>
        <w:bottom w:val="none" w:sz="0" w:space="0" w:color="auto"/>
        <w:right w:val="none" w:sz="0" w:space="0" w:color="auto"/>
      </w:divBdr>
    </w:div>
    <w:div w:id="712928232">
      <w:bodyDiv w:val="1"/>
      <w:marLeft w:val="0"/>
      <w:marRight w:val="0"/>
      <w:marTop w:val="0"/>
      <w:marBottom w:val="0"/>
      <w:divBdr>
        <w:top w:val="none" w:sz="0" w:space="0" w:color="auto"/>
        <w:left w:val="none" w:sz="0" w:space="0" w:color="auto"/>
        <w:bottom w:val="none" w:sz="0" w:space="0" w:color="auto"/>
        <w:right w:val="none" w:sz="0" w:space="0" w:color="auto"/>
      </w:divBdr>
    </w:div>
    <w:div w:id="716704592">
      <w:bodyDiv w:val="1"/>
      <w:marLeft w:val="0"/>
      <w:marRight w:val="0"/>
      <w:marTop w:val="0"/>
      <w:marBottom w:val="0"/>
      <w:divBdr>
        <w:top w:val="none" w:sz="0" w:space="0" w:color="auto"/>
        <w:left w:val="none" w:sz="0" w:space="0" w:color="auto"/>
        <w:bottom w:val="none" w:sz="0" w:space="0" w:color="auto"/>
        <w:right w:val="none" w:sz="0" w:space="0" w:color="auto"/>
      </w:divBdr>
    </w:div>
    <w:div w:id="719133132">
      <w:bodyDiv w:val="1"/>
      <w:marLeft w:val="0"/>
      <w:marRight w:val="0"/>
      <w:marTop w:val="0"/>
      <w:marBottom w:val="0"/>
      <w:divBdr>
        <w:top w:val="none" w:sz="0" w:space="0" w:color="auto"/>
        <w:left w:val="none" w:sz="0" w:space="0" w:color="auto"/>
        <w:bottom w:val="none" w:sz="0" w:space="0" w:color="auto"/>
        <w:right w:val="none" w:sz="0" w:space="0" w:color="auto"/>
      </w:divBdr>
    </w:div>
    <w:div w:id="731121863">
      <w:bodyDiv w:val="1"/>
      <w:marLeft w:val="0"/>
      <w:marRight w:val="0"/>
      <w:marTop w:val="0"/>
      <w:marBottom w:val="0"/>
      <w:divBdr>
        <w:top w:val="none" w:sz="0" w:space="0" w:color="auto"/>
        <w:left w:val="none" w:sz="0" w:space="0" w:color="auto"/>
        <w:bottom w:val="none" w:sz="0" w:space="0" w:color="auto"/>
        <w:right w:val="none" w:sz="0" w:space="0" w:color="auto"/>
      </w:divBdr>
    </w:div>
    <w:div w:id="735787115">
      <w:bodyDiv w:val="1"/>
      <w:marLeft w:val="0"/>
      <w:marRight w:val="0"/>
      <w:marTop w:val="0"/>
      <w:marBottom w:val="0"/>
      <w:divBdr>
        <w:top w:val="none" w:sz="0" w:space="0" w:color="auto"/>
        <w:left w:val="none" w:sz="0" w:space="0" w:color="auto"/>
        <w:bottom w:val="none" w:sz="0" w:space="0" w:color="auto"/>
        <w:right w:val="none" w:sz="0" w:space="0" w:color="auto"/>
      </w:divBdr>
    </w:div>
    <w:div w:id="751774316">
      <w:bodyDiv w:val="1"/>
      <w:marLeft w:val="0"/>
      <w:marRight w:val="0"/>
      <w:marTop w:val="0"/>
      <w:marBottom w:val="0"/>
      <w:divBdr>
        <w:top w:val="none" w:sz="0" w:space="0" w:color="auto"/>
        <w:left w:val="none" w:sz="0" w:space="0" w:color="auto"/>
        <w:bottom w:val="none" w:sz="0" w:space="0" w:color="auto"/>
        <w:right w:val="none" w:sz="0" w:space="0" w:color="auto"/>
      </w:divBdr>
    </w:div>
    <w:div w:id="760028966">
      <w:bodyDiv w:val="1"/>
      <w:marLeft w:val="0"/>
      <w:marRight w:val="0"/>
      <w:marTop w:val="0"/>
      <w:marBottom w:val="0"/>
      <w:divBdr>
        <w:top w:val="none" w:sz="0" w:space="0" w:color="auto"/>
        <w:left w:val="none" w:sz="0" w:space="0" w:color="auto"/>
        <w:bottom w:val="none" w:sz="0" w:space="0" w:color="auto"/>
        <w:right w:val="none" w:sz="0" w:space="0" w:color="auto"/>
      </w:divBdr>
    </w:div>
    <w:div w:id="783571502">
      <w:bodyDiv w:val="1"/>
      <w:marLeft w:val="0"/>
      <w:marRight w:val="0"/>
      <w:marTop w:val="0"/>
      <w:marBottom w:val="0"/>
      <w:divBdr>
        <w:top w:val="none" w:sz="0" w:space="0" w:color="auto"/>
        <w:left w:val="none" w:sz="0" w:space="0" w:color="auto"/>
        <w:bottom w:val="none" w:sz="0" w:space="0" w:color="auto"/>
        <w:right w:val="none" w:sz="0" w:space="0" w:color="auto"/>
      </w:divBdr>
    </w:div>
    <w:div w:id="787629293">
      <w:bodyDiv w:val="1"/>
      <w:marLeft w:val="0"/>
      <w:marRight w:val="0"/>
      <w:marTop w:val="0"/>
      <w:marBottom w:val="0"/>
      <w:divBdr>
        <w:top w:val="none" w:sz="0" w:space="0" w:color="auto"/>
        <w:left w:val="none" w:sz="0" w:space="0" w:color="auto"/>
        <w:bottom w:val="none" w:sz="0" w:space="0" w:color="auto"/>
        <w:right w:val="none" w:sz="0" w:space="0" w:color="auto"/>
      </w:divBdr>
    </w:div>
    <w:div w:id="793254085">
      <w:bodyDiv w:val="1"/>
      <w:marLeft w:val="0"/>
      <w:marRight w:val="0"/>
      <w:marTop w:val="0"/>
      <w:marBottom w:val="0"/>
      <w:divBdr>
        <w:top w:val="none" w:sz="0" w:space="0" w:color="auto"/>
        <w:left w:val="none" w:sz="0" w:space="0" w:color="auto"/>
        <w:bottom w:val="none" w:sz="0" w:space="0" w:color="auto"/>
        <w:right w:val="none" w:sz="0" w:space="0" w:color="auto"/>
      </w:divBdr>
    </w:div>
    <w:div w:id="796994332">
      <w:bodyDiv w:val="1"/>
      <w:marLeft w:val="0"/>
      <w:marRight w:val="0"/>
      <w:marTop w:val="0"/>
      <w:marBottom w:val="0"/>
      <w:divBdr>
        <w:top w:val="none" w:sz="0" w:space="0" w:color="auto"/>
        <w:left w:val="none" w:sz="0" w:space="0" w:color="auto"/>
        <w:bottom w:val="none" w:sz="0" w:space="0" w:color="auto"/>
        <w:right w:val="none" w:sz="0" w:space="0" w:color="auto"/>
      </w:divBdr>
    </w:div>
    <w:div w:id="801845188">
      <w:bodyDiv w:val="1"/>
      <w:marLeft w:val="0"/>
      <w:marRight w:val="0"/>
      <w:marTop w:val="0"/>
      <w:marBottom w:val="0"/>
      <w:divBdr>
        <w:top w:val="none" w:sz="0" w:space="0" w:color="auto"/>
        <w:left w:val="none" w:sz="0" w:space="0" w:color="auto"/>
        <w:bottom w:val="none" w:sz="0" w:space="0" w:color="auto"/>
        <w:right w:val="none" w:sz="0" w:space="0" w:color="auto"/>
      </w:divBdr>
    </w:div>
    <w:div w:id="815537940">
      <w:bodyDiv w:val="1"/>
      <w:marLeft w:val="0"/>
      <w:marRight w:val="0"/>
      <w:marTop w:val="0"/>
      <w:marBottom w:val="0"/>
      <w:divBdr>
        <w:top w:val="none" w:sz="0" w:space="0" w:color="auto"/>
        <w:left w:val="none" w:sz="0" w:space="0" w:color="auto"/>
        <w:bottom w:val="none" w:sz="0" w:space="0" w:color="auto"/>
        <w:right w:val="none" w:sz="0" w:space="0" w:color="auto"/>
      </w:divBdr>
    </w:div>
    <w:div w:id="815877843">
      <w:bodyDiv w:val="1"/>
      <w:marLeft w:val="0"/>
      <w:marRight w:val="0"/>
      <w:marTop w:val="0"/>
      <w:marBottom w:val="0"/>
      <w:divBdr>
        <w:top w:val="none" w:sz="0" w:space="0" w:color="auto"/>
        <w:left w:val="none" w:sz="0" w:space="0" w:color="auto"/>
        <w:bottom w:val="none" w:sz="0" w:space="0" w:color="auto"/>
        <w:right w:val="none" w:sz="0" w:space="0" w:color="auto"/>
      </w:divBdr>
    </w:div>
    <w:div w:id="829903741">
      <w:bodyDiv w:val="1"/>
      <w:marLeft w:val="0"/>
      <w:marRight w:val="0"/>
      <w:marTop w:val="0"/>
      <w:marBottom w:val="0"/>
      <w:divBdr>
        <w:top w:val="none" w:sz="0" w:space="0" w:color="auto"/>
        <w:left w:val="none" w:sz="0" w:space="0" w:color="auto"/>
        <w:bottom w:val="none" w:sz="0" w:space="0" w:color="auto"/>
        <w:right w:val="none" w:sz="0" w:space="0" w:color="auto"/>
      </w:divBdr>
    </w:div>
    <w:div w:id="839270679">
      <w:bodyDiv w:val="1"/>
      <w:marLeft w:val="0"/>
      <w:marRight w:val="0"/>
      <w:marTop w:val="0"/>
      <w:marBottom w:val="0"/>
      <w:divBdr>
        <w:top w:val="none" w:sz="0" w:space="0" w:color="auto"/>
        <w:left w:val="none" w:sz="0" w:space="0" w:color="auto"/>
        <w:bottom w:val="none" w:sz="0" w:space="0" w:color="auto"/>
        <w:right w:val="none" w:sz="0" w:space="0" w:color="auto"/>
      </w:divBdr>
    </w:div>
    <w:div w:id="840245047">
      <w:bodyDiv w:val="1"/>
      <w:marLeft w:val="0"/>
      <w:marRight w:val="0"/>
      <w:marTop w:val="0"/>
      <w:marBottom w:val="0"/>
      <w:divBdr>
        <w:top w:val="none" w:sz="0" w:space="0" w:color="auto"/>
        <w:left w:val="none" w:sz="0" w:space="0" w:color="auto"/>
        <w:bottom w:val="none" w:sz="0" w:space="0" w:color="auto"/>
        <w:right w:val="none" w:sz="0" w:space="0" w:color="auto"/>
      </w:divBdr>
    </w:div>
    <w:div w:id="852761733">
      <w:bodyDiv w:val="1"/>
      <w:marLeft w:val="0"/>
      <w:marRight w:val="0"/>
      <w:marTop w:val="0"/>
      <w:marBottom w:val="0"/>
      <w:divBdr>
        <w:top w:val="none" w:sz="0" w:space="0" w:color="auto"/>
        <w:left w:val="none" w:sz="0" w:space="0" w:color="auto"/>
        <w:bottom w:val="none" w:sz="0" w:space="0" w:color="auto"/>
        <w:right w:val="none" w:sz="0" w:space="0" w:color="auto"/>
      </w:divBdr>
    </w:div>
    <w:div w:id="865562603">
      <w:bodyDiv w:val="1"/>
      <w:marLeft w:val="0"/>
      <w:marRight w:val="0"/>
      <w:marTop w:val="0"/>
      <w:marBottom w:val="0"/>
      <w:divBdr>
        <w:top w:val="none" w:sz="0" w:space="0" w:color="auto"/>
        <w:left w:val="none" w:sz="0" w:space="0" w:color="auto"/>
        <w:bottom w:val="none" w:sz="0" w:space="0" w:color="auto"/>
        <w:right w:val="none" w:sz="0" w:space="0" w:color="auto"/>
      </w:divBdr>
    </w:div>
    <w:div w:id="897087104">
      <w:bodyDiv w:val="1"/>
      <w:marLeft w:val="0"/>
      <w:marRight w:val="0"/>
      <w:marTop w:val="0"/>
      <w:marBottom w:val="0"/>
      <w:divBdr>
        <w:top w:val="none" w:sz="0" w:space="0" w:color="auto"/>
        <w:left w:val="none" w:sz="0" w:space="0" w:color="auto"/>
        <w:bottom w:val="none" w:sz="0" w:space="0" w:color="auto"/>
        <w:right w:val="none" w:sz="0" w:space="0" w:color="auto"/>
      </w:divBdr>
    </w:div>
    <w:div w:id="897326356">
      <w:bodyDiv w:val="1"/>
      <w:marLeft w:val="0"/>
      <w:marRight w:val="0"/>
      <w:marTop w:val="0"/>
      <w:marBottom w:val="0"/>
      <w:divBdr>
        <w:top w:val="none" w:sz="0" w:space="0" w:color="auto"/>
        <w:left w:val="none" w:sz="0" w:space="0" w:color="auto"/>
        <w:bottom w:val="none" w:sz="0" w:space="0" w:color="auto"/>
        <w:right w:val="none" w:sz="0" w:space="0" w:color="auto"/>
      </w:divBdr>
    </w:div>
    <w:div w:id="916401926">
      <w:bodyDiv w:val="1"/>
      <w:marLeft w:val="0"/>
      <w:marRight w:val="0"/>
      <w:marTop w:val="0"/>
      <w:marBottom w:val="0"/>
      <w:divBdr>
        <w:top w:val="none" w:sz="0" w:space="0" w:color="auto"/>
        <w:left w:val="none" w:sz="0" w:space="0" w:color="auto"/>
        <w:bottom w:val="none" w:sz="0" w:space="0" w:color="auto"/>
        <w:right w:val="none" w:sz="0" w:space="0" w:color="auto"/>
      </w:divBdr>
    </w:div>
    <w:div w:id="917903104">
      <w:bodyDiv w:val="1"/>
      <w:marLeft w:val="0"/>
      <w:marRight w:val="0"/>
      <w:marTop w:val="0"/>
      <w:marBottom w:val="0"/>
      <w:divBdr>
        <w:top w:val="none" w:sz="0" w:space="0" w:color="auto"/>
        <w:left w:val="none" w:sz="0" w:space="0" w:color="auto"/>
        <w:bottom w:val="none" w:sz="0" w:space="0" w:color="auto"/>
        <w:right w:val="none" w:sz="0" w:space="0" w:color="auto"/>
      </w:divBdr>
    </w:div>
    <w:div w:id="929462652">
      <w:bodyDiv w:val="1"/>
      <w:marLeft w:val="0"/>
      <w:marRight w:val="0"/>
      <w:marTop w:val="0"/>
      <w:marBottom w:val="0"/>
      <w:divBdr>
        <w:top w:val="none" w:sz="0" w:space="0" w:color="auto"/>
        <w:left w:val="none" w:sz="0" w:space="0" w:color="auto"/>
        <w:bottom w:val="none" w:sz="0" w:space="0" w:color="auto"/>
        <w:right w:val="none" w:sz="0" w:space="0" w:color="auto"/>
      </w:divBdr>
    </w:div>
    <w:div w:id="931669311">
      <w:bodyDiv w:val="1"/>
      <w:marLeft w:val="0"/>
      <w:marRight w:val="0"/>
      <w:marTop w:val="0"/>
      <w:marBottom w:val="0"/>
      <w:divBdr>
        <w:top w:val="none" w:sz="0" w:space="0" w:color="auto"/>
        <w:left w:val="none" w:sz="0" w:space="0" w:color="auto"/>
        <w:bottom w:val="none" w:sz="0" w:space="0" w:color="auto"/>
        <w:right w:val="none" w:sz="0" w:space="0" w:color="auto"/>
      </w:divBdr>
    </w:div>
    <w:div w:id="940189746">
      <w:bodyDiv w:val="1"/>
      <w:marLeft w:val="0"/>
      <w:marRight w:val="0"/>
      <w:marTop w:val="0"/>
      <w:marBottom w:val="0"/>
      <w:divBdr>
        <w:top w:val="none" w:sz="0" w:space="0" w:color="auto"/>
        <w:left w:val="none" w:sz="0" w:space="0" w:color="auto"/>
        <w:bottom w:val="none" w:sz="0" w:space="0" w:color="auto"/>
        <w:right w:val="none" w:sz="0" w:space="0" w:color="auto"/>
      </w:divBdr>
    </w:div>
    <w:div w:id="950355192">
      <w:bodyDiv w:val="1"/>
      <w:marLeft w:val="0"/>
      <w:marRight w:val="0"/>
      <w:marTop w:val="0"/>
      <w:marBottom w:val="0"/>
      <w:divBdr>
        <w:top w:val="none" w:sz="0" w:space="0" w:color="auto"/>
        <w:left w:val="none" w:sz="0" w:space="0" w:color="auto"/>
        <w:bottom w:val="none" w:sz="0" w:space="0" w:color="auto"/>
        <w:right w:val="none" w:sz="0" w:space="0" w:color="auto"/>
      </w:divBdr>
    </w:div>
    <w:div w:id="958800541">
      <w:bodyDiv w:val="1"/>
      <w:marLeft w:val="0"/>
      <w:marRight w:val="0"/>
      <w:marTop w:val="0"/>
      <w:marBottom w:val="0"/>
      <w:divBdr>
        <w:top w:val="none" w:sz="0" w:space="0" w:color="auto"/>
        <w:left w:val="none" w:sz="0" w:space="0" w:color="auto"/>
        <w:bottom w:val="none" w:sz="0" w:space="0" w:color="auto"/>
        <w:right w:val="none" w:sz="0" w:space="0" w:color="auto"/>
      </w:divBdr>
    </w:div>
    <w:div w:id="961764377">
      <w:bodyDiv w:val="1"/>
      <w:marLeft w:val="0"/>
      <w:marRight w:val="0"/>
      <w:marTop w:val="0"/>
      <w:marBottom w:val="0"/>
      <w:divBdr>
        <w:top w:val="none" w:sz="0" w:space="0" w:color="auto"/>
        <w:left w:val="none" w:sz="0" w:space="0" w:color="auto"/>
        <w:bottom w:val="none" w:sz="0" w:space="0" w:color="auto"/>
        <w:right w:val="none" w:sz="0" w:space="0" w:color="auto"/>
      </w:divBdr>
    </w:div>
    <w:div w:id="970862631">
      <w:bodyDiv w:val="1"/>
      <w:marLeft w:val="0"/>
      <w:marRight w:val="0"/>
      <w:marTop w:val="0"/>
      <w:marBottom w:val="0"/>
      <w:divBdr>
        <w:top w:val="none" w:sz="0" w:space="0" w:color="auto"/>
        <w:left w:val="none" w:sz="0" w:space="0" w:color="auto"/>
        <w:bottom w:val="none" w:sz="0" w:space="0" w:color="auto"/>
        <w:right w:val="none" w:sz="0" w:space="0" w:color="auto"/>
      </w:divBdr>
    </w:div>
    <w:div w:id="974215567">
      <w:bodyDiv w:val="1"/>
      <w:marLeft w:val="0"/>
      <w:marRight w:val="0"/>
      <w:marTop w:val="0"/>
      <w:marBottom w:val="0"/>
      <w:divBdr>
        <w:top w:val="none" w:sz="0" w:space="0" w:color="auto"/>
        <w:left w:val="none" w:sz="0" w:space="0" w:color="auto"/>
        <w:bottom w:val="none" w:sz="0" w:space="0" w:color="auto"/>
        <w:right w:val="none" w:sz="0" w:space="0" w:color="auto"/>
      </w:divBdr>
    </w:div>
    <w:div w:id="977491612">
      <w:bodyDiv w:val="1"/>
      <w:marLeft w:val="0"/>
      <w:marRight w:val="0"/>
      <w:marTop w:val="0"/>
      <w:marBottom w:val="0"/>
      <w:divBdr>
        <w:top w:val="none" w:sz="0" w:space="0" w:color="auto"/>
        <w:left w:val="none" w:sz="0" w:space="0" w:color="auto"/>
        <w:bottom w:val="none" w:sz="0" w:space="0" w:color="auto"/>
        <w:right w:val="none" w:sz="0" w:space="0" w:color="auto"/>
      </w:divBdr>
    </w:div>
    <w:div w:id="988050891">
      <w:bodyDiv w:val="1"/>
      <w:marLeft w:val="0"/>
      <w:marRight w:val="0"/>
      <w:marTop w:val="0"/>
      <w:marBottom w:val="0"/>
      <w:divBdr>
        <w:top w:val="none" w:sz="0" w:space="0" w:color="auto"/>
        <w:left w:val="none" w:sz="0" w:space="0" w:color="auto"/>
        <w:bottom w:val="none" w:sz="0" w:space="0" w:color="auto"/>
        <w:right w:val="none" w:sz="0" w:space="0" w:color="auto"/>
      </w:divBdr>
    </w:div>
    <w:div w:id="989479175">
      <w:bodyDiv w:val="1"/>
      <w:marLeft w:val="0"/>
      <w:marRight w:val="0"/>
      <w:marTop w:val="0"/>
      <w:marBottom w:val="0"/>
      <w:divBdr>
        <w:top w:val="none" w:sz="0" w:space="0" w:color="auto"/>
        <w:left w:val="none" w:sz="0" w:space="0" w:color="auto"/>
        <w:bottom w:val="none" w:sz="0" w:space="0" w:color="auto"/>
        <w:right w:val="none" w:sz="0" w:space="0" w:color="auto"/>
      </w:divBdr>
    </w:div>
    <w:div w:id="1024289215">
      <w:bodyDiv w:val="1"/>
      <w:marLeft w:val="0"/>
      <w:marRight w:val="0"/>
      <w:marTop w:val="0"/>
      <w:marBottom w:val="0"/>
      <w:divBdr>
        <w:top w:val="none" w:sz="0" w:space="0" w:color="auto"/>
        <w:left w:val="none" w:sz="0" w:space="0" w:color="auto"/>
        <w:bottom w:val="none" w:sz="0" w:space="0" w:color="auto"/>
        <w:right w:val="none" w:sz="0" w:space="0" w:color="auto"/>
      </w:divBdr>
    </w:div>
    <w:div w:id="1036394090">
      <w:bodyDiv w:val="1"/>
      <w:marLeft w:val="0"/>
      <w:marRight w:val="0"/>
      <w:marTop w:val="0"/>
      <w:marBottom w:val="0"/>
      <w:divBdr>
        <w:top w:val="none" w:sz="0" w:space="0" w:color="auto"/>
        <w:left w:val="none" w:sz="0" w:space="0" w:color="auto"/>
        <w:bottom w:val="none" w:sz="0" w:space="0" w:color="auto"/>
        <w:right w:val="none" w:sz="0" w:space="0" w:color="auto"/>
      </w:divBdr>
    </w:div>
    <w:div w:id="1047493218">
      <w:bodyDiv w:val="1"/>
      <w:marLeft w:val="0"/>
      <w:marRight w:val="0"/>
      <w:marTop w:val="0"/>
      <w:marBottom w:val="0"/>
      <w:divBdr>
        <w:top w:val="none" w:sz="0" w:space="0" w:color="auto"/>
        <w:left w:val="none" w:sz="0" w:space="0" w:color="auto"/>
        <w:bottom w:val="none" w:sz="0" w:space="0" w:color="auto"/>
        <w:right w:val="none" w:sz="0" w:space="0" w:color="auto"/>
      </w:divBdr>
    </w:div>
    <w:div w:id="1050959196">
      <w:bodyDiv w:val="1"/>
      <w:marLeft w:val="0"/>
      <w:marRight w:val="0"/>
      <w:marTop w:val="0"/>
      <w:marBottom w:val="0"/>
      <w:divBdr>
        <w:top w:val="none" w:sz="0" w:space="0" w:color="auto"/>
        <w:left w:val="none" w:sz="0" w:space="0" w:color="auto"/>
        <w:bottom w:val="none" w:sz="0" w:space="0" w:color="auto"/>
        <w:right w:val="none" w:sz="0" w:space="0" w:color="auto"/>
      </w:divBdr>
    </w:div>
    <w:div w:id="1054548411">
      <w:bodyDiv w:val="1"/>
      <w:marLeft w:val="0"/>
      <w:marRight w:val="0"/>
      <w:marTop w:val="0"/>
      <w:marBottom w:val="0"/>
      <w:divBdr>
        <w:top w:val="none" w:sz="0" w:space="0" w:color="auto"/>
        <w:left w:val="none" w:sz="0" w:space="0" w:color="auto"/>
        <w:bottom w:val="none" w:sz="0" w:space="0" w:color="auto"/>
        <w:right w:val="none" w:sz="0" w:space="0" w:color="auto"/>
      </w:divBdr>
    </w:div>
    <w:div w:id="1056662296">
      <w:bodyDiv w:val="1"/>
      <w:marLeft w:val="0"/>
      <w:marRight w:val="0"/>
      <w:marTop w:val="0"/>
      <w:marBottom w:val="0"/>
      <w:divBdr>
        <w:top w:val="none" w:sz="0" w:space="0" w:color="auto"/>
        <w:left w:val="none" w:sz="0" w:space="0" w:color="auto"/>
        <w:bottom w:val="none" w:sz="0" w:space="0" w:color="auto"/>
        <w:right w:val="none" w:sz="0" w:space="0" w:color="auto"/>
      </w:divBdr>
    </w:div>
    <w:div w:id="1071611864">
      <w:bodyDiv w:val="1"/>
      <w:marLeft w:val="0"/>
      <w:marRight w:val="0"/>
      <w:marTop w:val="0"/>
      <w:marBottom w:val="0"/>
      <w:divBdr>
        <w:top w:val="none" w:sz="0" w:space="0" w:color="auto"/>
        <w:left w:val="none" w:sz="0" w:space="0" w:color="auto"/>
        <w:bottom w:val="none" w:sz="0" w:space="0" w:color="auto"/>
        <w:right w:val="none" w:sz="0" w:space="0" w:color="auto"/>
      </w:divBdr>
    </w:div>
    <w:div w:id="1095634227">
      <w:bodyDiv w:val="1"/>
      <w:marLeft w:val="0"/>
      <w:marRight w:val="0"/>
      <w:marTop w:val="0"/>
      <w:marBottom w:val="0"/>
      <w:divBdr>
        <w:top w:val="none" w:sz="0" w:space="0" w:color="auto"/>
        <w:left w:val="none" w:sz="0" w:space="0" w:color="auto"/>
        <w:bottom w:val="none" w:sz="0" w:space="0" w:color="auto"/>
        <w:right w:val="none" w:sz="0" w:space="0" w:color="auto"/>
      </w:divBdr>
    </w:div>
    <w:div w:id="1124734855">
      <w:bodyDiv w:val="1"/>
      <w:marLeft w:val="0"/>
      <w:marRight w:val="0"/>
      <w:marTop w:val="0"/>
      <w:marBottom w:val="0"/>
      <w:divBdr>
        <w:top w:val="none" w:sz="0" w:space="0" w:color="auto"/>
        <w:left w:val="none" w:sz="0" w:space="0" w:color="auto"/>
        <w:bottom w:val="none" w:sz="0" w:space="0" w:color="auto"/>
        <w:right w:val="none" w:sz="0" w:space="0" w:color="auto"/>
      </w:divBdr>
    </w:div>
    <w:div w:id="1137989933">
      <w:bodyDiv w:val="1"/>
      <w:marLeft w:val="0"/>
      <w:marRight w:val="0"/>
      <w:marTop w:val="0"/>
      <w:marBottom w:val="0"/>
      <w:divBdr>
        <w:top w:val="none" w:sz="0" w:space="0" w:color="auto"/>
        <w:left w:val="none" w:sz="0" w:space="0" w:color="auto"/>
        <w:bottom w:val="none" w:sz="0" w:space="0" w:color="auto"/>
        <w:right w:val="none" w:sz="0" w:space="0" w:color="auto"/>
      </w:divBdr>
    </w:div>
    <w:div w:id="1156841950">
      <w:bodyDiv w:val="1"/>
      <w:marLeft w:val="0"/>
      <w:marRight w:val="0"/>
      <w:marTop w:val="0"/>
      <w:marBottom w:val="0"/>
      <w:divBdr>
        <w:top w:val="none" w:sz="0" w:space="0" w:color="auto"/>
        <w:left w:val="none" w:sz="0" w:space="0" w:color="auto"/>
        <w:bottom w:val="none" w:sz="0" w:space="0" w:color="auto"/>
        <w:right w:val="none" w:sz="0" w:space="0" w:color="auto"/>
      </w:divBdr>
    </w:div>
    <w:div w:id="1159270898">
      <w:bodyDiv w:val="1"/>
      <w:marLeft w:val="0"/>
      <w:marRight w:val="0"/>
      <w:marTop w:val="0"/>
      <w:marBottom w:val="0"/>
      <w:divBdr>
        <w:top w:val="none" w:sz="0" w:space="0" w:color="auto"/>
        <w:left w:val="none" w:sz="0" w:space="0" w:color="auto"/>
        <w:bottom w:val="none" w:sz="0" w:space="0" w:color="auto"/>
        <w:right w:val="none" w:sz="0" w:space="0" w:color="auto"/>
      </w:divBdr>
    </w:div>
    <w:div w:id="1207597424">
      <w:bodyDiv w:val="1"/>
      <w:marLeft w:val="0"/>
      <w:marRight w:val="0"/>
      <w:marTop w:val="0"/>
      <w:marBottom w:val="0"/>
      <w:divBdr>
        <w:top w:val="none" w:sz="0" w:space="0" w:color="auto"/>
        <w:left w:val="none" w:sz="0" w:space="0" w:color="auto"/>
        <w:bottom w:val="none" w:sz="0" w:space="0" w:color="auto"/>
        <w:right w:val="none" w:sz="0" w:space="0" w:color="auto"/>
      </w:divBdr>
    </w:div>
    <w:div w:id="1216622849">
      <w:bodyDiv w:val="1"/>
      <w:marLeft w:val="0"/>
      <w:marRight w:val="0"/>
      <w:marTop w:val="0"/>
      <w:marBottom w:val="0"/>
      <w:divBdr>
        <w:top w:val="none" w:sz="0" w:space="0" w:color="auto"/>
        <w:left w:val="none" w:sz="0" w:space="0" w:color="auto"/>
        <w:bottom w:val="none" w:sz="0" w:space="0" w:color="auto"/>
        <w:right w:val="none" w:sz="0" w:space="0" w:color="auto"/>
      </w:divBdr>
    </w:div>
    <w:div w:id="1247543603">
      <w:bodyDiv w:val="1"/>
      <w:marLeft w:val="0"/>
      <w:marRight w:val="0"/>
      <w:marTop w:val="0"/>
      <w:marBottom w:val="0"/>
      <w:divBdr>
        <w:top w:val="none" w:sz="0" w:space="0" w:color="auto"/>
        <w:left w:val="none" w:sz="0" w:space="0" w:color="auto"/>
        <w:bottom w:val="none" w:sz="0" w:space="0" w:color="auto"/>
        <w:right w:val="none" w:sz="0" w:space="0" w:color="auto"/>
      </w:divBdr>
    </w:div>
    <w:div w:id="1261644844">
      <w:bodyDiv w:val="1"/>
      <w:marLeft w:val="0"/>
      <w:marRight w:val="0"/>
      <w:marTop w:val="0"/>
      <w:marBottom w:val="0"/>
      <w:divBdr>
        <w:top w:val="none" w:sz="0" w:space="0" w:color="auto"/>
        <w:left w:val="none" w:sz="0" w:space="0" w:color="auto"/>
        <w:bottom w:val="none" w:sz="0" w:space="0" w:color="auto"/>
        <w:right w:val="none" w:sz="0" w:space="0" w:color="auto"/>
      </w:divBdr>
    </w:div>
    <w:div w:id="1263413631">
      <w:bodyDiv w:val="1"/>
      <w:marLeft w:val="0"/>
      <w:marRight w:val="0"/>
      <w:marTop w:val="0"/>
      <w:marBottom w:val="0"/>
      <w:divBdr>
        <w:top w:val="none" w:sz="0" w:space="0" w:color="auto"/>
        <w:left w:val="none" w:sz="0" w:space="0" w:color="auto"/>
        <w:bottom w:val="none" w:sz="0" w:space="0" w:color="auto"/>
        <w:right w:val="none" w:sz="0" w:space="0" w:color="auto"/>
      </w:divBdr>
    </w:div>
    <w:div w:id="1268386258">
      <w:bodyDiv w:val="1"/>
      <w:marLeft w:val="0"/>
      <w:marRight w:val="0"/>
      <w:marTop w:val="0"/>
      <w:marBottom w:val="0"/>
      <w:divBdr>
        <w:top w:val="none" w:sz="0" w:space="0" w:color="auto"/>
        <w:left w:val="none" w:sz="0" w:space="0" w:color="auto"/>
        <w:bottom w:val="none" w:sz="0" w:space="0" w:color="auto"/>
        <w:right w:val="none" w:sz="0" w:space="0" w:color="auto"/>
      </w:divBdr>
    </w:div>
    <w:div w:id="1279027937">
      <w:bodyDiv w:val="1"/>
      <w:marLeft w:val="0"/>
      <w:marRight w:val="0"/>
      <w:marTop w:val="0"/>
      <w:marBottom w:val="0"/>
      <w:divBdr>
        <w:top w:val="none" w:sz="0" w:space="0" w:color="auto"/>
        <w:left w:val="none" w:sz="0" w:space="0" w:color="auto"/>
        <w:bottom w:val="none" w:sz="0" w:space="0" w:color="auto"/>
        <w:right w:val="none" w:sz="0" w:space="0" w:color="auto"/>
      </w:divBdr>
    </w:div>
    <w:div w:id="1294561227">
      <w:bodyDiv w:val="1"/>
      <w:marLeft w:val="0"/>
      <w:marRight w:val="0"/>
      <w:marTop w:val="0"/>
      <w:marBottom w:val="0"/>
      <w:divBdr>
        <w:top w:val="none" w:sz="0" w:space="0" w:color="auto"/>
        <w:left w:val="none" w:sz="0" w:space="0" w:color="auto"/>
        <w:bottom w:val="none" w:sz="0" w:space="0" w:color="auto"/>
        <w:right w:val="none" w:sz="0" w:space="0" w:color="auto"/>
      </w:divBdr>
    </w:div>
    <w:div w:id="1299996085">
      <w:bodyDiv w:val="1"/>
      <w:marLeft w:val="0"/>
      <w:marRight w:val="0"/>
      <w:marTop w:val="0"/>
      <w:marBottom w:val="0"/>
      <w:divBdr>
        <w:top w:val="none" w:sz="0" w:space="0" w:color="auto"/>
        <w:left w:val="none" w:sz="0" w:space="0" w:color="auto"/>
        <w:bottom w:val="none" w:sz="0" w:space="0" w:color="auto"/>
        <w:right w:val="none" w:sz="0" w:space="0" w:color="auto"/>
      </w:divBdr>
    </w:div>
    <w:div w:id="1315063440">
      <w:bodyDiv w:val="1"/>
      <w:marLeft w:val="0"/>
      <w:marRight w:val="0"/>
      <w:marTop w:val="0"/>
      <w:marBottom w:val="0"/>
      <w:divBdr>
        <w:top w:val="none" w:sz="0" w:space="0" w:color="auto"/>
        <w:left w:val="none" w:sz="0" w:space="0" w:color="auto"/>
        <w:bottom w:val="none" w:sz="0" w:space="0" w:color="auto"/>
        <w:right w:val="none" w:sz="0" w:space="0" w:color="auto"/>
      </w:divBdr>
    </w:div>
    <w:div w:id="1319067209">
      <w:bodyDiv w:val="1"/>
      <w:marLeft w:val="0"/>
      <w:marRight w:val="0"/>
      <w:marTop w:val="0"/>
      <w:marBottom w:val="0"/>
      <w:divBdr>
        <w:top w:val="none" w:sz="0" w:space="0" w:color="auto"/>
        <w:left w:val="none" w:sz="0" w:space="0" w:color="auto"/>
        <w:bottom w:val="none" w:sz="0" w:space="0" w:color="auto"/>
        <w:right w:val="none" w:sz="0" w:space="0" w:color="auto"/>
      </w:divBdr>
    </w:div>
    <w:div w:id="1322931009">
      <w:bodyDiv w:val="1"/>
      <w:marLeft w:val="0"/>
      <w:marRight w:val="0"/>
      <w:marTop w:val="0"/>
      <w:marBottom w:val="0"/>
      <w:divBdr>
        <w:top w:val="none" w:sz="0" w:space="0" w:color="auto"/>
        <w:left w:val="none" w:sz="0" w:space="0" w:color="auto"/>
        <w:bottom w:val="none" w:sz="0" w:space="0" w:color="auto"/>
        <w:right w:val="none" w:sz="0" w:space="0" w:color="auto"/>
      </w:divBdr>
    </w:div>
    <w:div w:id="1326711743">
      <w:bodyDiv w:val="1"/>
      <w:marLeft w:val="0"/>
      <w:marRight w:val="0"/>
      <w:marTop w:val="0"/>
      <w:marBottom w:val="0"/>
      <w:divBdr>
        <w:top w:val="none" w:sz="0" w:space="0" w:color="auto"/>
        <w:left w:val="none" w:sz="0" w:space="0" w:color="auto"/>
        <w:bottom w:val="none" w:sz="0" w:space="0" w:color="auto"/>
        <w:right w:val="none" w:sz="0" w:space="0" w:color="auto"/>
      </w:divBdr>
    </w:div>
    <w:div w:id="1329141065">
      <w:bodyDiv w:val="1"/>
      <w:marLeft w:val="0"/>
      <w:marRight w:val="0"/>
      <w:marTop w:val="0"/>
      <w:marBottom w:val="0"/>
      <w:divBdr>
        <w:top w:val="none" w:sz="0" w:space="0" w:color="auto"/>
        <w:left w:val="none" w:sz="0" w:space="0" w:color="auto"/>
        <w:bottom w:val="none" w:sz="0" w:space="0" w:color="auto"/>
        <w:right w:val="none" w:sz="0" w:space="0" w:color="auto"/>
      </w:divBdr>
    </w:div>
    <w:div w:id="1374502489">
      <w:bodyDiv w:val="1"/>
      <w:marLeft w:val="0"/>
      <w:marRight w:val="0"/>
      <w:marTop w:val="0"/>
      <w:marBottom w:val="0"/>
      <w:divBdr>
        <w:top w:val="none" w:sz="0" w:space="0" w:color="auto"/>
        <w:left w:val="none" w:sz="0" w:space="0" w:color="auto"/>
        <w:bottom w:val="none" w:sz="0" w:space="0" w:color="auto"/>
        <w:right w:val="none" w:sz="0" w:space="0" w:color="auto"/>
      </w:divBdr>
    </w:div>
    <w:div w:id="1388725084">
      <w:bodyDiv w:val="1"/>
      <w:marLeft w:val="0"/>
      <w:marRight w:val="0"/>
      <w:marTop w:val="0"/>
      <w:marBottom w:val="0"/>
      <w:divBdr>
        <w:top w:val="none" w:sz="0" w:space="0" w:color="auto"/>
        <w:left w:val="none" w:sz="0" w:space="0" w:color="auto"/>
        <w:bottom w:val="none" w:sz="0" w:space="0" w:color="auto"/>
        <w:right w:val="none" w:sz="0" w:space="0" w:color="auto"/>
      </w:divBdr>
    </w:div>
    <w:div w:id="1399865343">
      <w:bodyDiv w:val="1"/>
      <w:marLeft w:val="0"/>
      <w:marRight w:val="0"/>
      <w:marTop w:val="0"/>
      <w:marBottom w:val="0"/>
      <w:divBdr>
        <w:top w:val="none" w:sz="0" w:space="0" w:color="auto"/>
        <w:left w:val="none" w:sz="0" w:space="0" w:color="auto"/>
        <w:bottom w:val="none" w:sz="0" w:space="0" w:color="auto"/>
        <w:right w:val="none" w:sz="0" w:space="0" w:color="auto"/>
      </w:divBdr>
    </w:div>
    <w:div w:id="1433864401">
      <w:bodyDiv w:val="1"/>
      <w:marLeft w:val="0"/>
      <w:marRight w:val="0"/>
      <w:marTop w:val="0"/>
      <w:marBottom w:val="0"/>
      <w:divBdr>
        <w:top w:val="none" w:sz="0" w:space="0" w:color="auto"/>
        <w:left w:val="none" w:sz="0" w:space="0" w:color="auto"/>
        <w:bottom w:val="none" w:sz="0" w:space="0" w:color="auto"/>
        <w:right w:val="none" w:sz="0" w:space="0" w:color="auto"/>
      </w:divBdr>
    </w:div>
    <w:div w:id="1451632793">
      <w:bodyDiv w:val="1"/>
      <w:marLeft w:val="0"/>
      <w:marRight w:val="0"/>
      <w:marTop w:val="0"/>
      <w:marBottom w:val="0"/>
      <w:divBdr>
        <w:top w:val="none" w:sz="0" w:space="0" w:color="auto"/>
        <w:left w:val="none" w:sz="0" w:space="0" w:color="auto"/>
        <w:bottom w:val="none" w:sz="0" w:space="0" w:color="auto"/>
        <w:right w:val="none" w:sz="0" w:space="0" w:color="auto"/>
      </w:divBdr>
    </w:div>
    <w:div w:id="1452826330">
      <w:bodyDiv w:val="1"/>
      <w:marLeft w:val="0"/>
      <w:marRight w:val="0"/>
      <w:marTop w:val="0"/>
      <w:marBottom w:val="0"/>
      <w:divBdr>
        <w:top w:val="none" w:sz="0" w:space="0" w:color="auto"/>
        <w:left w:val="none" w:sz="0" w:space="0" w:color="auto"/>
        <w:bottom w:val="none" w:sz="0" w:space="0" w:color="auto"/>
        <w:right w:val="none" w:sz="0" w:space="0" w:color="auto"/>
      </w:divBdr>
    </w:div>
    <w:div w:id="1458529943">
      <w:bodyDiv w:val="1"/>
      <w:marLeft w:val="0"/>
      <w:marRight w:val="0"/>
      <w:marTop w:val="0"/>
      <w:marBottom w:val="0"/>
      <w:divBdr>
        <w:top w:val="none" w:sz="0" w:space="0" w:color="auto"/>
        <w:left w:val="none" w:sz="0" w:space="0" w:color="auto"/>
        <w:bottom w:val="none" w:sz="0" w:space="0" w:color="auto"/>
        <w:right w:val="none" w:sz="0" w:space="0" w:color="auto"/>
      </w:divBdr>
    </w:div>
    <w:div w:id="1467046493">
      <w:bodyDiv w:val="1"/>
      <w:marLeft w:val="0"/>
      <w:marRight w:val="0"/>
      <w:marTop w:val="0"/>
      <w:marBottom w:val="0"/>
      <w:divBdr>
        <w:top w:val="none" w:sz="0" w:space="0" w:color="auto"/>
        <w:left w:val="none" w:sz="0" w:space="0" w:color="auto"/>
        <w:bottom w:val="none" w:sz="0" w:space="0" w:color="auto"/>
        <w:right w:val="none" w:sz="0" w:space="0" w:color="auto"/>
      </w:divBdr>
    </w:div>
    <w:div w:id="1512186329">
      <w:bodyDiv w:val="1"/>
      <w:marLeft w:val="0"/>
      <w:marRight w:val="0"/>
      <w:marTop w:val="0"/>
      <w:marBottom w:val="0"/>
      <w:divBdr>
        <w:top w:val="none" w:sz="0" w:space="0" w:color="auto"/>
        <w:left w:val="none" w:sz="0" w:space="0" w:color="auto"/>
        <w:bottom w:val="none" w:sz="0" w:space="0" w:color="auto"/>
        <w:right w:val="none" w:sz="0" w:space="0" w:color="auto"/>
      </w:divBdr>
    </w:div>
    <w:div w:id="1524828857">
      <w:bodyDiv w:val="1"/>
      <w:marLeft w:val="0"/>
      <w:marRight w:val="0"/>
      <w:marTop w:val="0"/>
      <w:marBottom w:val="0"/>
      <w:divBdr>
        <w:top w:val="none" w:sz="0" w:space="0" w:color="auto"/>
        <w:left w:val="none" w:sz="0" w:space="0" w:color="auto"/>
        <w:bottom w:val="none" w:sz="0" w:space="0" w:color="auto"/>
        <w:right w:val="none" w:sz="0" w:space="0" w:color="auto"/>
      </w:divBdr>
    </w:div>
    <w:div w:id="1526940601">
      <w:bodyDiv w:val="1"/>
      <w:marLeft w:val="0"/>
      <w:marRight w:val="0"/>
      <w:marTop w:val="0"/>
      <w:marBottom w:val="0"/>
      <w:divBdr>
        <w:top w:val="none" w:sz="0" w:space="0" w:color="auto"/>
        <w:left w:val="none" w:sz="0" w:space="0" w:color="auto"/>
        <w:bottom w:val="none" w:sz="0" w:space="0" w:color="auto"/>
        <w:right w:val="none" w:sz="0" w:space="0" w:color="auto"/>
      </w:divBdr>
    </w:div>
    <w:div w:id="1531642756">
      <w:bodyDiv w:val="1"/>
      <w:marLeft w:val="0"/>
      <w:marRight w:val="0"/>
      <w:marTop w:val="0"/>
      <w:marBottom w:val="0"/>
      <w:divBdr>
        <w:top w:val="none" w:sz="0" w:space="0" w:color="auto"/>
        <w:left w:val="none" w:sz="0" w:space="0" w:color="auto"/>
        <w:bottom w:val="none" w:sz="0" w:space="0" w:color="auto"/>
        <w:right w:val="none" w:sz="0" w:space="0" w:color="auto"/>
      </w:divBdr>
    </w:div>
    <w:div w:id="1536966968">
      <w:bodyDiv w:val="1"/>
      <w:marLeft w:val="0"/>
      <w:marRight w:val="0"/>
      <w:marTop w:val="0"/>
      <w:marBottom w:val="0"/>
      <w:divBdr>
        <w:top w:val="none" w:sz="0" w:space="0" w:color="auto"/>
        <w:left w:val="none" w:sz="0" w:space="0" w:color="auto"/>
        <w:bottom w:val="none" w:sz="0" w:space="0" w:color="auto"/>
        <w:right w:val="none" w:sz="0" w:space="0" w:color="auto"/>
      </w:divBdr>
    </w:div>
    <w:div w:id="1544561294">
      <w:bodyDiv w:val="1"/>
      <w:marLeft w:val="0"/>
      <w:marRight w:val="0"/>
      <w:marTop w:val="0"/>
      <w:marBottom w:val="0"/>
      <w:divBdr>
        <w:top w:val="none" w:sz="0" w:space="0" w:color="auto"/>
        <w:left w:val="none" w:sz="0" w:space="0" w:color="auto"/>
        <w:bottom w:val="none" w:sz="0" w:space="0" w:color="auto"/>
        <w:right w:val="none" w:sz="0" w:space="0" w:color="auto"/>
      </w:divBdr>
    </w:div>
    <w:div w:id="1567885429">
      <w:bodyDiv w:val="1"/>
      <w:marLeft w:val="0"/>
      <w:marRight w:val="0"/>
      <w:marTop w:val="0"/>
      <w:marBottom w:val="0"/>
      <w:divBdr>
        <w:top w:val="none" w:sz="0" w:space="0" w:color="auto"/>
        <w:left w:val="none" w:sz="0" w:space="0" w:color="auto"/>
        <w:bottom w:val="none" w:sz="0" w:space="0" w:color="auto"/>
        <w:right w:val="none" w:sz="0" w:space="0" w:color="auto"/>
      </w:divBdr>
    </w:div>
    <w:div w:id="1592008145">
      <w:bodyDiv w:val="1"/>
      <w:marLeft w:val="0"/>
      <w:marRight w:val="0"/>
      <w:marTop w:val="0"/>
      <w:marBottom w:val="0"/>
      <w:divBdr>
        <w:top w:val="none" w:sz="0" w:space="0" w:color="auto"/>
        <w:left w:val="none" w:sz="0" w:space="0" w:color="auto"/>
        <w:bottom w:val="none" w:sz="0" w:space="0" w:color="auto"/>
        <w:right w:val="none" w:sz="0" w:space="0" w:color="auto"/>
      </w:divBdr>
    </w:div>
    <w:div w:id="1595823372">
      <w:bodyDiv w:val="1"/>
      <w:marLeft w:val="0"/>
      <w:marRight w:val="0"/>
      <w:marTop w:val="0"/>
      <w:marBottom w:val="0"/>
      <w:divBdr>
        <w:top w:val="none" w:sz="0" w:space="0" w:color="auto"/>
        <w:left w:val="none" w:sz="0" w:space="0" w:color="auto"/>
        <w:bottom w:val="none" w:sz="0" w:space="0" w:color="auto"/>
        <w:right w:val="none" w:sz="0" w:space="0" w:color="auto"/>
      </w:divBdr>
    </w:div>
    <w:div w:id="1604680074">
      <w:bodyDiv w:val="1"/>
      <w:marLeft w:val="0"/>
      <w:marRight w:val="0"/>
      <w:marTop w:val="0"/>
      <w:marBottom w:val="0"/>
      <w:divBdr>
        <w:top w:val="none" w:sz="0" w:space="0" w:color="auto"/>
        <w:left w:val="none" w:sz="0" w:space="0" w:color="auto"/>
        <w:bottom w:val="none" w:sz="0" w:space="0" w:color="auto"/>
        <w:right w:val="none" w:sz="0" w:space="0" w:color="auto"/>
      </w:divBdr>
    </w:div>
    <w:div w:id="1607272528">
      <w:bodyDiv w:val="1"/>
      <w:marLeft w:val="0"/>
      <w:marRight w:val="0"/>
      <w:marTop w:val="0"/>
      <w:marBottom w:val="0"/>
      <w:divBdr>
        <w:top w:val="none" w:sz="0" w:space="0" w:color="auto"/>
        <w:left w:val="none" w:sz="0" w:space="0" w:color="auto"/>
        <w:bottom w:val="none" w:sz="0" w:space="0" w:color="auto"/>
        <w:right w:val="none" w:sz="0" w:space="0" w:color="auto"/>
      </w:divBdr>
    </w:div>
    <w:div w:id="1609463058">
      <w:bodyDiv w:val="1"/>
      <w:marLeft w:val="0"/>
      <w:marRight w:val="0"/>
      <w:marTop w:val="0"/>
      <w:marBottom w:val="0"/>
      <w:divBdr>
        <w:top w:val="none" w:sz="0" w:space="0" w:color="auto"/>
        <w:left w:val="none" w:sz="0" w:space="0" w:color="auto"/>
        <w:bottom w:val="none" w:sz="0" w:space="0" w:color="auto"/>
        <w:right w:val="none" w:sz="0" w:space="0" w:color="auto"/>
      </w:divBdr>
    </w:div>
    <w:div w:id="1618295635">
      <w:bodyDiv w:val="1"/>
      <w:marLeft w:val="0"/>
      <w:marRight w:val="0"/>
      <w:marTop w:val="0"/>
      <w:marBottom w:val="0"/>
      <w:divBdr>
        <w:top w:val="none" w:sz="0" w:space="0" w:color="auto"/>
        <w:left w:val="none" w:sz="0" w:space="0" w:color="auto"/>
        <w:bottom w:val="none" w:sz="0" w:space="0" w:color="auto"/>
        <w:right w:val="none" w:sz="0" w:space="0" w:color="auto"/>
      </w:divBdr>
    </w:div>
    <w:div w:id="1624311464">
      <w:bodyDiv w:val="1"/>
      <w:marLeft w:val="0"/>
      <w:marRight w:val="0"/>
      <w:marTop w:val="0"/>
      <w:marBottom w:val="0"/>
      <w:divBdr>
        <w:top w:val="none" w:sz="0" w:space="0" w:color="auto"/>
        <w:left w:val="none" w:sz="0" w:space="0" w:color="auto"/>
        <w:bottom w:val="none" w:sz="0" w:space="0" w:color="auto"/>
        <w:right w:val="none" w:sz="0" w:space="0" w:color="auto"/>
      </w:divBdr>
    </w:div>
    <w:div w:id="1634172822">
      <w:bodyDiv w:val="1"/>
      <w:marLeft w:val="0"/>
      <w:marRight w:val="0"/>
      <w:marTop w:val="0"/>
      <w:marBottom w:val="0"/>
      <w:divBdr>
        <w:top w:val="none" w:sz="0" w:space="0" w:color="auto"/>
        <w:left w:val="none" w:sz="0" w:space="0" w:color="auto"/>
        <w:bottom w:val="none" w:sz="0" w:space="0" w:color="auto"/>
        <w:right w:val="none" w:sz="0" w:space="0" w:color="auto"/>
      </w:divBdr>
    </w:div>
    <w:div w:id="1655405837">
      <w:bodyDiv w:val="1"/>
      <w:marLeft w:val="0"/>
      <w:marRight w:val="0"/>
      <w:marTop w:val="0"/>
      <w:marBottom w:val="0"/>
      <w:divBdr>
        <w:top w:val="none" w:sz="0" w:space="0" w:color="auto"/>
        <w:left w:val="none" w:sz="0" w:space="0" w:color="auto"/>
        <w:bottom w:val="none" w:sz="0" w:space="0" w:color="auto"/>
        <w:right w:val="none" w:sz="0" w:space="0" w:color="auto"/>
      </w:divBdr>
    </w:div>
    <w:div w:id="1661231647">
      <w:bodyDiv w:val="1"/>
      <w:marLeft w:val="0"/>
      <w:marRight w:val="0"/>
      <w:marTop w:val="0"/>
      <w:marBottom w:val="0"/>
      <w:divBdr>
        <w:top w:val="none" w:sz="0" w:space="0" w:color="auto"/>
        <w:left w:val="none" w:sz="0" w:space="0" w:color="auto"/>
        <w:bottom w:val="none" w:sz="0" w:space="0" w:color="auto"/>
        <w:right w:val="none" w:sz="0" w:space="0" w:color="auto"/>
      </w:divBdr>
    </w:div>
    <w:div w:id="1661810938">
      <w:bodyDiv w:val="1"/>
      <w:marLeft w:val="0"/>
      <w:marRight w:val="0"/>
      <w:marTop w:val="0"/>
      <w:marBottom w:val="0"/>
      <w:divBdr>
        <w:top w:val="none" w:sz="0" w:space="0" w:color="auto"/>
        <w:left w:val="none" w:sz="0" w:space="0" w:color="auto"/>
        <w:bottom w:val="none" w:sz="0" w:space="0" w:color="auto"/>
        <w:right w:val="none" w:sz="0" w:space="0" w:color="auto"/>
      </w:divBdr>
    </w:div>
    <w:div w:id="1684286348">
      <w:bodyDiv w:val="1"/>
      <w:marLeft w:val="0"/>
      <w:marRight w:val="0"/>
      <w:marTop w:val="0"/>
      <w:marBottom w:val="0"/>
      <w:divBdr>
        <w:top w:val="none" w:sz="0" w:space="0" w:color="auto"/>
        <w:left w:val="none" w:sz="0" w:space="0" w:color="auto"/>
        <w:bottom w:val="none" w:sz="0" w:space="0" w:color="auto"/>
        <w:right w:val="none" w:sz="0" w:space="0" w:color="auto"/>
      </w:divBdr>
    </w:div>
    <w:div w:id="1698845962">
      <w:bodyDiv w:val="1"/>
      <w:marLeft w:val="0"/>
      <w:marRight w:val="0"/>
      <w:marTop w:val="0"/>
      <w:marBottom w:val="0"/>
      <w:divBdr>
        <w:top w:val="none" w:sz="0" w:space="0" w:color="auto"/>
        <w:left w:val="none" w:sz="0" w:space="0" w:color="auto"/>
        <w:bottom w:val="none" w:sz="0" w:space="0" w:color="auto"/>
        <w:right w:val="none" w:sz="0" w:space="0" w:color="auto"/>
      </w:divBdr>
    </w:div>
    <w:div w:id="1712655384">
      <w:bodyDiv w:val="1"/>
      <w:marLeft w:val="0"/>
      <w:marRight w:val="0"/>
      <w:marTop w:val="0"/>
      <w:marBottom w:val="0"/>
      <w:divBdr>
        <w:top w:val="none" w:sz="0" w:space="0" w:color="auto"/>
        <w:left w:val="none" w:sz="0" w:space="0" w:color="auto"/>
        <w:bottom w:val="none" w:sz="0" w:space="0" w:color="auto"/>
        <w:right w:val="none" w:sz="0" w:space="0" w:color="auto"/>
      </w:divBdr>
    </w:div>
    <w:div w:id="1714041758">
      <w:bodyDiv w:val="1"/>
      <w:marLeft w:val="0"/>
      <w:marRight w:val="0"/>
      <w:marTop w:val="0"/>
      <w:marBottom w:val="0"/>
      <w:divBdr>
        <w:top w:val="none" w:sz="0" w:space="0" w:color="auto"/>
        <w:left w:val="none" w:sz="0" w:space="0" w:color="auto"/>
        <w:bottom w:val="none" w:sz="0" w:space="0" w:color="auto"/>
        <w:right w:val="none" w:sz="0" w:space="0" w:color="auto"/>
      </w:divBdr>
    </w:div>
    <w:div w:id="1729571375">
      <w:bodyDiv w:val="1"/>
      <w:marLeft w:val="0"/>
      <w:marRight w:val="0"/>
      <w:marTop w:val="0"/>
      <w:marBottom w:val="0"/>
      <w:divBdr>
        <w:top w:val="none" w:sz="0" w:space="0" w:color="auto"/>
        <w:left w:val="none" w:sz="0" w:space="0" w:color="auto"/>
        <w:bottom w:val="none" w:sz="0" w:space="0" w:color="auto"/>
        <w:right w:val="none" w:sz="0" w:space="0" w:color="auto"/>
      </w:divBdr>
    </w:div>
    <w:div w:id="1741899350">
      <w:bodyDiv w:val="1"/>
      <w:marLeft w:val="0"/>
      <w:marRight w:val="0"/>
      <w:marTop w:val="0"/>
      <w:marBottom w:val="0"/>
      <w:divBdr>
        <w:top w:val="none" w:sz="0" w:space="0" w:color="auto"/>
        <w:left w:val="none" w:sz="0" w:space="0" w:color="auto"/>
        <w:bottom w:val="none" w:sz="0" w:space="0" w:color="auto"/>
        <w:right w:val="none" w:sz="0" w:space="0" w:color="auto"/>
      </w:divBdr>
    </w:div>
    <w:div w:id="1761022903">
      <w:bodyDiv w:val="1"/>
      <w:marLeft w:val="0"/>
      <w:marRight w:val="0"/>
      <w:marTop w:val="0"/>
      <w:marBottom w:val="0"/>
      <w:divBdr>
        <w:top w:val="none" w:sz="0" w:space="0" w:color="auto"/>
        <w:left w:val="none" w:sz="0" w:space="0" w:color="auto"/>
        <w:bottom w:val="none" w:sz="0" w:space="0" w:color="auto"/>
        <w:right w:val="none" w:sz="0" w:space="0" w:color="auto"/>
      </w:divBdr>
    </w:div>
    <w:div w:id="1764298985">
      <w:bodyDiv w:val="1"/>
      <w:marLeft w:val="0"/>
      <w:marRight w:val="0"/>
      <w:marTop w:val="0"/>
      <w:marBottom w:val="0"/>
      <w:divBdr>
        <w:top w:val="none" w:sz="0" w:space="0" w:color="auto"/>
        <w:left w:val="none" w:sz="0" w:space="0" w:color="auto"/>
        <w:bottom w:val="none" w:sz="0" w:space="0" w:color="auto"/>
        <w:right w:val="none" w:sz="0" w:space="0" w:color="auto"/>
      </w:divBdr>
    </w:div>
    <w:div w:id="1779833979">
      <w:bodyDiv w:val="1"/>
      <w:marLeft w:val="0"/>
      <w:marRight w:val="0"/>
      <w:marTop w:val="0"/>
      <w:marBottom w:val="0"/>
      <w:divBdr>
        <w:top w:val="none" w:sz="0" w:space="0" w:color="auto"/>
        <w:left w:val="none" w:sz="0" w:space="0" w:color="auto"/>
        <w:bottom w:val="none" w:sz="0" w:space="0" w:color="auto"/>
        <w:right w:val="none" w:sz="0" w:space="0" w:color="auto"/>
      </w:divBdr>
    </w:div>
    <w:div w:id="1791704730">
      <w:bodyDiv w:val="1"/>
      <w:marLeft w:val="0"/>
      <w:marRight w:val="0"/>
      <w:marTop w:val="0"/>
      <w:marBottom w:val="0"/>
      <w:divBdr>
        <w:top w:val="none" w:sz="0" w:space="0" w:color="auto"/>
        <w:left w:val="none" w:sz="0" w:space="0" w:color="auto"/>
        <w:bottom w:val="none" w:sz="0" w:space="0" w:color="auto"/>
        <w:right w:val="none" w:sz="0" w:space="0" w:color="auto"/>
      </w:divBdr>
    </w:div>
    <w:div w:id="1830973737">
      <w:bodyDiv w:val="1"/>
      <w:marLeft w:val="0"/>
      <w:marRight w:val="0"/>
      <w:marTop w:val="0"/>
      <w:marBottom w:val="0"/>
      <w:divBdr>
        <w:top w:val="none" w:sz="0" w:space="0" w:color="auto"/>
        <w:left w:val="none" w:sz="0" w:space="0" w:color="auto"/>
        <w:bottom w:val="none" w:sz="0" w:space="0" w:color="auto"/>
        <w:right w:val="none" w:sz="0" w:space="0" w:color="auto"/>
      </w:divBdr>
    </w:div>
    <w:div w:id="1848711386">
      <w:bodyDiv w:val="1"/>
      <w:marLeft w:val="0"/>
      <w:marRight w:val="0"/>
      <w:marTop w:val="0"/>
      <w:marBottom w:val="0"/>
      <w:divBdr>
        <w:top w:val="none" w:sz="0" w:space="0" w:color="auto"/>
        <w:left w:val="none" w:sz="0" w:space="0" w:color="auto"/>
        <w:bottom w:val="none" w:sz="0" w:space="0" w:color="auto"/>
        <w:right w:val="none" w:sz="0" w:space="0" w:color="auto"/>
      </w:divBdr>
    </w:div>
    <w:div w:id="1883862484">
      <w:bodyDiv w:val="1"/>
      <w:marLeft w:val="0"/>
      <w:marRight w:val="0"/>
      <w:marTop w:val="0"/>
      <w:marBottom w:val="0"/>
      <w:divBdr>
        <w:top w:val="none" w:sz="0" w:space="0" w:color="auto"/>
        <w:left w:val="none" w:sz="0" w:space="0" w:color="auto"/>
        <w:bottom w:val="none" w:sz="0" w:space="0" w:color="auto"/>
        <w:right w:val="none" w:sz="0" w:space="0" w:color="auto"/>
      </w:divBdr>
    </w:div>
    <w:div w:id="1885746674">
      <w:bodyDiv w:val="1"/>
      <w:marLeft w:val="0"/>
      <w:marRight w:val="0"/>
      <w:marTop w:val="0"/>
      <w:marBottom w:val="0"/>
      <w:divBdr>
        <w:top w:val="none" w:sz="0" w:space="0" w:color="auto"/>
        <w:left w:val="none" w:sz="0" w:space="0" w:color="auto"/>
        <w:bottom w:val="none" w:sz="0" w:space="0" w:color="auto"/>
        <w:right w:val="none" w:sz="0" w:space="0" w:color="auto"/>
      </w:divBdr>
    </w:div>
    <w:div w:id="1890416257">
      <w:bodyDiv w:val="1"/>
      <w:marLeft w:val="0"/>
      <w:marRight w:val="0"/>
      <w:marTop w:val="0"/>
      <w:marBottom w:val="0"/>
      <w:divBdr>
        <w:top w:val="none" w:sz="0" w:space="0" w:color="auto"/>
        <w:left w:val="none" w:sz="0" w:space="0" w:color="auto"/>
        <w:bottom w:val="none" w:sz="0" w:space="0" w:color="auto"/>
        <w:right w:val="none" w:sz="0" w:space="0" w:color="auto"/>
      </w:divBdr>
    </w:div>
    <w:div w:id="1892302174">
      <w:bodyDiv w:val="1"/>
      <w:marLeft w:val="0"/>
      <w:marRight w:val="0"/>
      <w:marTop w:val="0"/>
      <w:marBottom w:val="0"/>
      <w:divBdr>
        <w:top w:val="none" w:sz="0" w:space="0" w:color="auto"/>
        <w:left w:val="none" w:sz="0" w:space="0" w:color="auto"/>
        <w:bottom w:val="none" w:sz="0" w:space="0" w:color="auto"/>
        <w:right w:val="none" w:sz="0" w:space="0" w:color="auto"/>
      </w:divBdr>
    </w:div>
    <w:div w:id="1910379445">
      <w:bodyDiv w:val="1"/>
      <w:marLeft w:val="0"/>
      <w:marRight w:val="0"/>
      <w:marTop w:val="0"/>
      <w:marBottom w:val="0"/>
      <w:divBdr>
        <w:top w:val="none" w:sz="0" w:space="0" w:color="auto"/>
        <w:left w:val="none" w:sz="0" w:space="0" w:color="auto"/>
        <w:bottom w:val="none" w:sz="0" w:space="0" w:color="auto"/>
        <w:right w:val="none" w:sz="0" w:space="0" w:color="auto"/>
      </w:divBdr>
    </w:div>
    <w:div w:id="1930233089">
      <w:bodyDiv w:val="1"/>
      <w:marLeft w:val="0"/>
      <w:marRight w:val="0"/>
      <w:marTop w:val="0"/>
      <w:marBottom w:val="0"/>
      <w:divBdr>
        <w:top w:val="none" w:sz="0" w:space="0" w:color="auto"/>
        <w:left w:val="none" w:sz="0" w:space="0" w:color="auto"/>
        <w:bottom w:val="none" w:sz="0" w:space="0" w:color="auto"/>
        <w:right w:val="none" w:sz="0" w:space="0" w:color="auto"/>
      </w:divBdr>
    </w:div>
    <w:div w:id="1951815167">
      <w:bodyDiv w:val="1"/>
      <w:marLeft w:val="0"/>
      <w:marRight w:val="0"/>
      <w:marTop w:val="0"/>
      <w:marBottom w:val="0"/>
      <w:divBdr>
        <w:top w:val="none" w:sz="0" w:space="0" w:color="auto"/>
        <w:left w:val="none" w:sz="0" w:space="0" w:color="auto"/>
        <w:bottom w:val="none" w:sz="0" w:space="0" w:color="auto"/>
        <w:right w:val="none" w:sz="0" w:space="0" w:color="auto"/>
      </w:divBdr>
    </w:div>
    <w:div w:id="1969234608">
      <w:bodyDiv w:val="1"/>
      <w:marLeft w:val="0"/>
      <w:marRight w:val="0"/>
      <w:marTop w:val="0"/>
      <w:marBottom w:val="0"/>
      <w:divBdr>
        <w:top w:val="none" w:sz="0" w:space="0" w:color="auto"/>
        <w:left w:val="none" w:sz="0" w:space="0" w:color="auto"/>
        <w:bottom w:val="none" w:sz="0" w:space="0" w:color="auto"/>
        <w:right w:val="none" w:sz="0" w:space="0" w:color="auto"/>
      </w:divBdr>
    </w:div>
    <w:div w:id="1971205356">
      <w:bodyDiv w:val="1"/>
      <w:marLeft w:val="0"/>
      <w:marRight w:val="0"/>
      <w:marTop w:val="0"/>
      <w:marBottom w:val="0"/>
      <w:divBdr>
        <w:top w:val="none" w:sz="0" w:space="0" w:color="auto"/>
        <w:left w:val="none" w:sz="0" w:space="0" w:color="auto"/>
        <w:bottom w:val="none" w:sz="0" w:space="0" w:color="auto"/>
        <w:right w:val="none" w:sz="0" w:space="0" w:color="auto"/>
      </w:divBdr>
    </w:div>
    <w:div w:id="1979069036">
      <w:bodyDiv w:val="1"/>
      <w:marLeft w:val="0"/>
      <w:marRight w:val="0"/>
      <w:marTop w:val="0"/>
      <w:marBottom w:val="0"/>
      <w:divBdr>
        <w:top w:val="none" w:sz="0" w:space="0" w:color="auto"/>
        <w:left w:val="none" w:sz="0" w:space="0" w:color="auto"/>
        <w:bottom w:val="none" w:sz="0" w:space="0" w:color="auto"/>
        <w:right w:val="none" w:sz="0" w:space="0" w:color="auto"/>
      </w:divBdr>
    </w:div>
    <w:div w:id="2005620532">
      <w:bodyDiv w:val="1"/>
      <w:marLeft w:val="0"/>
      <w:marRight w:val="0"/>
      <w:marTop w:val="0"/>
      <w:marBottom w:val="0"/>
      <w:divBdr>
        <w:top w:val="none" w:sz="0" w:space="0" w:color="auto"/>
        <w:left w:val="none" w:sz="0" w:space="0" w:color="auto"/>
        <w:bottom w:val="none" w:sz="0" w:space="0" w:color="auto"/>
        <w:right w:val="none" w:sz="0" w:space="0" w:color="auto"/>
      </w:divBdr>
    </w:div>
    <w:div w:id="2022855750">
      <w:bodyDiv w:val="1"/>
      <w:marLeft w:val="0"/>
      <w:marRight w:val="0"/>
      <w:marTop w:val="0"/>
      <w:marBottom w:val="0"/>
      <w:divBdr>
        <w:top w:val="none" w:sz="0" w:space="0" w:color="auto"/>
        <w:left w:val="none" w:sz="0" w:space="0" w:color="auto"/>
        <w:bottom w:val="none" w:sz="0" w:space="0" w:color="auto"/>
        <w:right w:val="none" w:sz="0" w:space="0" w:color="auto"/>
      </w:divBdr>
    </w:div>
    <w:div w:id="2029141357">
      <w:bodyDiv w:val="1"/>
      <w:marLeft w:val="0"/>
      <w:marRight w:val="0"/>
      <w:marTop w:val="0"/>
      <w:marBottom w:val="0"/>
      <w:divBdr>
        <w:top w:val="none" w:sz="0" w:space="0" w:color="auto"/>
        <w:left w:val="none" w:sz="0" w:space="0" w:color="auto"/>
        <w:bottom w:val="none" w:sz="0" w:space="0" w:color="auto"/>
        <w:right w:val="none" w:sz="0" w:space="0" w:color="auto"/>
      </w:divBdr>
    </w:div>
    <w:div w:id="2063938107">
      <w:bodyDiv w:val="1"/>
      <w:marLeft w:val="0"/>
      <w:marRight w:val="0"/>
      <w:marTop w:val="0"/>
      <w:marBottom w:val="0"/>
      <w:divBdr>
        <w:top w:val="none" w:sz="0" w:space="0" w:color="auto"/>
        <w:left w:val="none" w:sz="0" w:space="0" w:color="auto"/>
        <w:bottom w:val="none" w:sz="0" w:space="0" w:color="auto"/>
        <w:right w:val="none" w:sz="0" w:space="0" w:color="auto"/>
      </w:divBdr>
    </w:div>
    <w:div w:id="2088108347">
      <w:bodyDiv w:val="1"/>
      <w:marLeft w:val="0"/>
      <w:marRight w:val="0"/>
      <w:marTop w:val="0"/>
      <w:marBottom w:val="0"/>
      <w:divBdr>
        <w:top w:val="none" w:sz="0" w:space="0" w:color="auto"/>
        <w:left w:val="none" w:sz="0" w:space="0" w:color="auto"/>
        <w:bottom w:val="none" w:sz="0" w:space="0" w:color="auto"/>
        <w:right w:val="none" w:sz="0" w:space="0" w:color="auto"/>
      </w:divBdr>
    </w:div>
    <w:div w:id="2097628415">
      <w:bodyDiv w:val="1"/>
      <w:marLeft w:val="0"/>
      <w:marRight w:val="0"/>
      <w:marTop w:val="0"/>
      <w:marBottom w:val="0"/>
      <w:divBdr>
        <w:top w:val="none" w:sz="0" w:space="0" w:color="auto"/>
        <w:left w:val="none" w:sz="0" w:space="0" w:color="auto"/>
        <w:bottom w:val="none" w:sz="0" w:space="0" w:color="auto"/>
        <w:right w:val="none" w:sz="0" w:space="0" w:color="auto"/>
      </w:divBdr>
    </w:div>
    <w:div w:id="2106340700">
      <w:bodyDiv w:val="1"/>
      <w:marLeft w:val="0"/>
      <w:marRight w:val="0"/>
      <w:marTop w:val="0"/>
      <w:marBottom w:val="0"/>
      <w:divBdr>
        <w:top w:val="none" w:sz="0" w:space="0" w:color="auto"/>
        <w:left w:val="none" w:sz="0" w:space="0" w:color="auto"/>
        <w:bottom w:val="none" w:sz="0" w:space="0" w:color="auto"/>
        <w:right w:val="none" w:sz="0" w:space="0" w:color="auto"/>
      </w:divBdr>
    </w:div>
    <w:div w:id="2120178870">
      <w:bodyDiv w:val="1"/>
      <w:marLeft w:val="0"/>
      <w:marRight w:val="0"/>
      <w:marTop w:val="0"/>
      <w:marBottom w:val="0"/>
      <w:divBdr>
        <w:top w:val="none" w:sz="0" w:space="0" w:color="auto"/>
        <w:left w:val="none" w:sz="0" w:space="0" w:color="auto"/>
        <w:bottom w:val="none" w:sz="0" w:space="0" w:color="auto"/>
        <w:right w:val="none" w:sz="0" w:space="0" w:color="auto"/>
      </w:divBdr>
    </w:div>
    <w:div w:id="2126264335">
      <w:bodyDiv w:val="1"/>
      <w:marLeft w:val="0"/>
      <w:marRight w:val="0"/>
      <w:marTop w:val="0"/>
      <w:marBottom w:val="0"/>
      <w:divBdr>
        <w:top w:val="none" w:sz="0" w:space="0" w:color="auto"/>
        <w:left w:val="none" w:sz="0" w:space="0" w:color="auto"/>
        <w:bottom w:val="none" w:sz="0" w:space="0" w:color="auto"/>
        <w:right w:val="none" w:sz="0" w:space="0" w:color="auto"/>
      </w:divBdr>
    </w:div>
    <w:div w:id="2137022270">
      <w:bodyDiv w:val="1"/>
      <w:marLeft w:val="0"/>
      <w:marRight w:val="0"/>
      <w:marTop w:val="0"/>
      <w:marBottom w:val="0"/>
      <w:divBdr>
        <w:top w:val="none" w:sz="0" w:space="0" w:color="auto"/>
        <w:left w:val="none" w:sz="0" w:space="0" w:color="auto"/>
        <w:bottom w:val="none" w:sz="0" w:space="0" w:color="auto"/>
        <w:right w:val="none" w:sz="0" w:space="0" w:color="auto"/>
      </w:divBdr>
    </w:div>
    <w:div w:id="21428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R15-WRC15-C-0000!!MSW-E</DPM_x0020_File_x0020_name>
    <DPM_x0020_Author xmlns="32a1a8c5-2265-4ebc-b7a0-2071e2c5c9bb" xsi:nil="false">Documents Proposals Manager (DPM)</DPM_x0020_Author>
    <DPM_x0020_Version xmlns="32a1a8c5-2265-4ebc-b7a0-2071e2c5c9bb" xsi:nil="false">DPM_v2016.4.25.1_prod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BBDADDE8-24EE-40CB-9590-CFA34052D5DB}">
  <ds:schemaRefs>
    <ds:schemaRef ds:uri="http://purl.org/dc/elements/1.1/"/>
    <ds:schemaRef ds:uri="http://purl.org/dc/terms/"/>
    <ds:schemaRef ds:uri="http://schemas.microsoft.com/office/2006/metadata/properties"/>
    <ds:schemaRef ds:uri="32a1a8c5-2265-4ebc-b7a0-2071e2c5c9bb"/>
    <ds:schemaRef ds:uri="http://purl.org/dc/dcmitype/"/>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6E1592-76FB-4619-9E11-55D5297D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5</Pages>
  <Words>1870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R15-WRC15-C-0000!!MSW-E</vt:lpstr>
    </vt:vector>
  </TitlesOfParts>
  <Manager>General Secretariat - Pool</Manager>
  <Company>International Telecommunication Union (ITU)</Company>
  <LinksUpToDate>false</LinksUpToDate>
  <CharactersWithSpaces>13078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R15-WRC15-C-0000!!MSW-E</dc:title>
  <dc:subject>World Radiocommunication Conference - 2015</dc:subject>
  <dc:creator>Documents Proposals Manager (DPM)</dc:creator>
  <cp:keywords>DPM_v2016.4.25.1_prod</cp:keywords>
  <dc:description>Uploaded on 2015.07.06</dc:description>
  <cp:lastModifiedBy>ITU</cp:lastModifiedBy>
  <cp:revision>6</cp:revision>
  <cp:lastPrinted>2016-08-30T09:49:00Z</cp:lastPrinted>
  <dcterms:created xsi:type="dcterms:W3CDTF">2016-12-01T10:03:00Z</dcterms:created>
  <dcterms:modified xsi:type="dcterms:W3CDTF">2016-12-01T10:14:00Z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