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3CA" w:rsidRPr="00BE49B5" w:rsidRDefault="00E903CA" w:rsidP="00E62E03">
      <w:pPr>
        <w:pStyle w:val="ResolutionNo"/>
        <w:rPr>
          <w:rtl/>
          <w:lang w:bidi="ar-EG"/>
        </w:rPr>
      </w:pPr>
      <w:r>
        <w:rPr>
          <w:rFonts w:hint="cs"/>
          <w:rtl/>
        </w:rPr>
        <w:t>القـرار</w:t>
      </w:r>
      <w:r w:rsidRPr="003C30ED">
        <w:rPr>
          <w:rtl/>
        </w:rPr>
        <w:t xml:space="preserve"> </w:t>
      </w:r>
      <w:r w:rsidRPr="003C30ED">
        <w:t>ITU-R </w:t>
      </w:r>
      <w:r>
        <w:t>57</w:t>
      </w:r>
      <w:r>
        <w:noBreakHyphen/>
      </w:r>
      <w:r w:rsidR="00E62E03">
        <w:t>2</w:t>
      </w:r>
    </w:p>
    <w:p w:rsidR="00E903CA" w:rsidRDefault="00E903CA" w:rsidP="00E62E03">
      <w:pPr>
        <w:pStyle w:val="Resolutiontitle"/>
      </w:pPr>
      <w:r w:rsidRPr="00267FF0">
        <w:rPr>
          <w:rFonts w:hint="cs"/>
          <w:rtl/>
        </w:rPr>
        <w:t>مبادئ عملية تطوير الاتصالات المتنقلة الدولية-المتقدمة</w:t>
      </w:r>
    </w:p>
    <w:p w:rsidR="00E903CA" w:rsidRPr="001E0ED5" w:rsidRDefault="00E903CA" w:rsidP="00E62E03">
      <w:pPr>
        <w:pStyle w:val="Date"/>
        <w:rPr>
          <w:i/>
          <w:rtl/>
          <w:lang w:bidi="ar-EG"/>
        </w:rPr>
      </w:pPr>
      <w:r>
        <w:t>(</w:t>
      </w:r>
      <w:r w:rsidR="00E62E03">
        <w:t>2015-</w:t>
      </w:r>
      <w:r>
        <w:t>2012-2007)</w:t>
      </w:r>
    </w:p>
    <w:p w:rsidR="00E903CA" w:rsidRDefault="00E903CA" w:rsidP="00E903CA">
      <w:pPr>
        <w:pStyle w:val="Normalaftertitle0"/>
        <w:rPr>
          <w:rtl/>
          <w:lang w:bidi="ar-EG"/>
        </w:rPr>
      </w:pPr>
      <w:r>
        <w:rPr>
          <w:rFonts w:hint="cs"/>
          <w:rtl/>
          <w:lang w:bidi="ar-EG"/>
        </w:rPr>
        <w:t>إن جمعية الاتصالات الراديوية للاتحاد الدولي للاتصالات،</w:t>
      </w:r>
    </w:p>
    <w:p w:rsidR="00E903CA" w:rsidRPr="000D15B8" w:rsidRDefault="00E903CA" w:rsidP="00E903CA">
      <w:pPr>
        <w:pStyle w:val="Call"/>
        <w:rPr>
          <w:rtl/>
        </w:rPr>
      </w:pPr>
      <w:r w:rsidRPr="000D15B8">
        <w:rPr>
          <w:rFonts w:hint="cs"/>
          <w:rtl/>
        </w:rPr>
        <w:t>إذ تضع في اعتبارها</w:t>
      </w:r>
    </w:p>
    <w:p w:rsidR="00E903CA" w:rsidRDefault="00E62E03" w:rsidP="00E903CA">
      <w:pPr>
        <w:rPr>
          <w:rtl/>
          <w:lang w:val="en-US" w:bidi="ar-EG"/>
        </w:rPr>
      </w:pPr>
      <w:r>
        <w:rPr>
          <w:rFonts w:hint="cs"/>
          <w:i/>
          <w:iCs/>
          <w:rtl/>
          <w:lang w:val="en-US" w:bidi="ar-EG"/>
        </w:rPr>
        <w:t xml:space="preserve"> أ </w:t>
      </w:r>
      <w:r w:rsidR="00E903CA" w:rsidRPr="00DE5EEA">
        <w:rPr>
          <w:rFonts w:hint="cs"/>
          <w:i/>
          <w:iCs/>
          <w:rtl/>
          <w:lang w:val="en-US" w:bidi="ar-EG"/>
        </w:rPr>
        <w:t>)</w:t>
      </w:r>
      <w:r w:rsidR="00E903CA">
        <w:rPr>
          <w:rFonts w:hint="cs"/>
          <w:rtl/>
          <w:lang w:val="en-US" w:bidi="ar-EG"/>
        </w:rPr>
        <w:tab/>
        <w:t xml:space="preserve">أن المسألة </w:t>
      </w:r>
      <w:r w:rsidR="00E903CA">
        <w:rPr>
          <w:lang w:val="en-US" w:bidi="ar-EG"/>
        </w:rPr>
        <w:t>ITU</w:t>
      </w:r>
      <w:r w:rsidR="00E903CA">
        <w:rPr>
          <w:lang w:val="en-US" w:bidi="ar-EG"/>
        </w:rPr>
        <w:noBreakHyphen/>
        <w:t>R 229/5</w:t>
      </w:r>
      <w:r w:rsidR="00E903CA">
        <w:rPr>
          <w:rFonts w:hint="cs"/>
          <w:rtl/>
          <w:lang w:val="en-US" w:bidi="ar-EG"/>
        </w:rPr>
        <w:t xml:space="preserve"> تتناول تطوير المكون الأرضي للاتصالات المتنقلة الدولية في</w:t>
      </w:r>
      <w:r w:rsidR="00E903CA">
        <w:rPr>
          <w:rFonts w:hint="eastAsia"/>
          <w:rtl/>
          <w:lang w:val="en-US" w:bidi="ar-EG"/>
        </w:rPr>
        <w:t> </w:t>
      </w:r>
      <w:r w:rsidR="00E903CA">
        <w:rPr>
          <w:rFonts w:hint="cs"/>
          <w:rtl/>
          <w:lang w:val="en-US" w:bidi="ar-EG"/>
        </w:rPr>
        <w:t>المستقبل؛</w:t>
      </w:r>
    </w:p>
    <w:p w:rsidR="00E903CA" w:rsidRDefault="00E62E03" w:rsidP="00E903CA">
      <w:pPr>
        <w:rPr>
          <w:rtl/>
          <w:lang w:val="en-US" w:bidi="ar-EG"/>
        </w:rPr>
      </w:pPr>
      <w:r>
        <w:rPr>
          <w:rFonts w:hint="cs"/>
          <w:i/>
          <w:iCs/>
          <w:rtl/>
          <w:lang w:val="en-US" w:bidi="ar-EG"/>
        </w:rPr>
        <w:t>ب</w:t>
      </w:r>
      <w:r w:rsidR="00E903CA" w:rsidRPr="00DE5EEA">
        <w:rPr>
          <w:rFonts w:hint="cs"/>
          <w:i/>
          <w:iCs/>
          <w:rtl/>
          <w:lang w:val="en-US" w:bidi="ar-EG"/>
        </w:rPr>
        <w:t>)</w:t>
      </w:r>
      <w:r w:rsidR="00E903CA">
        <w:rPr>
          <w:rFonts w:hint="cs"/>
          <w:rtl/>
          <w:lang w:val="en-US" w:bidi="ar-EG"/>
        </w:rPr>
        <w:tab/>
        <w:t xml:space="preserve">أن التوصية </w:t>
      </w:r>
      <w:r w:rsidR="00E903CA">
        <w:rPr>
          <w:lang w:val="en-US" w:bidi="ar-EG"/>
        </w:rPr>
        <w:t>ITU</w:t>
      </w:r>
      <w:r w:rsidR="00E903CA">
        <w:rPr>
          <w:lang w:val="en-US" w:bidi="ar-EG"/>
        </w:rPr>
        <w:noBreakHyphen/>
        <w:t>R M.1645</w:t>
      </w:r>
      <w:r w:rsidR="00E903CA">
        <w:rPr>
          <w:rFonts w:hint="cs"/>
          <w:rtl/>
          <w:lang w:val="en-US" w:bidi="ar-EG"/>
        </w:rPr>
        <w:t xml:space="preserve"> تحدد الإطار والأهداف الشاملة لتطوير الاتصالات المتنقلة الدولية-</w:t>
      </w:r>
      <w:r w:rsidR="00E903CA">
        <w:rPr>
          <w:lang w:val="en-US" w:bidi="ar-EG"/>
        </w:rPr>
        <w:t>2000</w:t>
      </w:r>
      <w:r w:rsidR="00E903CA">
        <w:rPr>
          <w:rFonts w:hint="cs"/>
          <w:rtl/>
          <w:lang w:val="en-US" w:bidi="ar-EG"/>
        </w:rPr>
        <w:t xml:space="preserve"> وما بعدها من أنظمة الاتصالات المتنقلة الدولية-</w:t>
      </w:r>
      <w:r w:rsidR="00E903CA">
        <w:rPr>
          <w:lang w:val="en-US" w:bidi="ar-EG"/>
        </w:rPr>
        <w:t>2000</w:t>
      </w:r>
      <w:r w:rsidR="00E903CA">
        <w:rPr>
          <w:rFonts w:hint="cs"/>
          <w:rtl/>
          <w:lang w:val="en-US" w:bidi="ar-EG"/>
        </w:rPr>
        <w:t xml:space="preserve"> لشبكات النفاذ الراديوي على أساس الاتجاهات العالمية في مجالي المستعمِل والتكنولوجيا، وعلى أساس احتياجات البلدان النامية؛</w:t>
      </w:r>
    </w:p>
    <w:p w:rsidR="00E903CA" w:rsidRDefault="00E62E03" w:rsidP="00E903CA">
      <w:pPr>
        <w:rPr>
          <w:rtl/>
          <w:lang w:val="en-US" w:bidi="ar-EG"/>
        </w:rPr>
      </w:pPr>
      <w:r>
        <w:rPr>
          <w:rFonts w:hint="cs"/>
          <w:i/>
          <w:iCs/>
          <w:rtl/>
          <w:lang w:val="en-US" w:bidi="ar-EG"/>
        </w:rPr>
        <w:t>ج</w:t>
      </w:r>
      <w:r w:rsidR="00E903CA" w:rsidRPr="00DE5EEA">
        <w:rPr>
          <w:rFonts w:hint="cs"/>
          <w:i/>
          <w:iCs/>
          <w:rtl/>
          <w:lang w:val="en-US" w:bidi="ar-EG"/>
        </w:rPr>
        <w:t>)</w:t>
      </w:r>
      <w:r w:rsidR="00E903CA">
        <w:rPr>
          <w:rFonts w:hint="cs"/>
          <w:rtl/>
          <w:lang w:val="en-US" w:bidi="ar-EG"/>
        </w:rPr>
        <w:tab/>
        <w:t xml:space="preserve">أن القرار </w:t>
      </w:r>
      <w:r w:rsidR="00E903CA">
        <w:rPr>
          <w:lang w:val="en-US" w:bidi="ar-EG"/>
        </w:rPr>
        <w:t>ITU</w:t>
      </w:r>
      <w:r w:rsidR="00E903CA">
        <w:rPr>
          <w:lang w:val="en-US" w:bidi="ar-EG"/>
        </w:rPr>
        <w:noBreakHyphen/>
        <w:t>R 56</w:t>
      </w:r>
      <w:r w:rsidR="00E903CA">
        <w:rPr>
          <w:rFonts w:hint="cs"/>
          <w:rtl/>
          <w:lang w:val="en-US" w:bidi="ar-EG"/>
        </w:rPr>
        <w:t xml:space="preserve"> ينص على التسمية الخاصة بتطوير الاتصالات المتنقلة الدولية-</w:t>
      </w:r>
      <w:r w:rsidR="00E903CA">
        <w:rPr>
          <w:lang w:val="en-US" w:bidi="ar-EG"/>
        </w:rPr>
        <w:t>2000</w:t>
      </w:r>
      <w:r w:rsidR="00E903CA">
        <w:rPr>
          <w:rFonts w:hint="cs"/>
          <w:rtl/>
          <w:lang w:val="en-US" w:bidi="ar-EG"/>
        </w:rPr>
        <w:t xml:space="preserve"> في المستقبل والأنظمة التي ستليها من خلال أسماء ترتبط على وجه الحصر بتقديم الاتصالات المتنقلة الدولية </w:t>
      </w:r>
      <w:r w:rsidR="00E903CA">
        <w:rPr>
          <w:lang w:val="en-US" w:bidi="ar-EG"/>
        </w:rPr>
        <w:t>(IMT)</w:t>
      </w:r>
      <w:r w:rsidR="00E903CA">
        <w:rPr>
          <w:rFonts w:hint="cs"/>
          <w:rtl/>
          <w:lang w:val="en-US" w:bidi="ar-EG"/>
        </w:rPr>
        <w:t xml:space="preserve"> واستمرارها؛</w:t>
      </w:r>
    </w:p>
    <w:p w:rsidR="00E903CA" w:rsidRDefault="00E62E03" w:rsidP="00E903CA">
      <w:pPr>
        <w:rPr>
          <w:rtl/>
          <w:lang w:val="en-US" w:bidi="ar-EG"/>
        </w:rPr>
      </w:pPr>
      <w:r>
        <w:rPr>
          <w:rFonts w:hint="cs"/>
          <w:i/>
          <w:iCs/>
          <w:rtl/>
          <w:lang w:val="en-US" w:bidi="ar-EG"/>
        </w:rPr>
        <w:t xml:space="preserve">د </w:t>
      </w:r>
      <w:r w:rsidR="00E903CA" w:rsidRPr="00DE5EEA">
        <w:rPr>
          <w:rFonts w:hint="cs"/>
          <w:i/>
          <w:iCs/>
          <w:rtl/>
          <w:lang w:val="en-US" w:bidi="ar-EG"/>
        </w:rPr>
        <w:t>)</w:t>
      </w:r>
      <w:r w:rsidR="00E903CA">
        <w:rPr>
          <w:rtl/>
          <w:lang w:val="en-US" w:bidi="ar-EG"/>
        </w:rPr>
        <w:tab/>
      </w:r>
      <w:r w:rsidR="00E903CA">
        <w:rPr>
          <w:rFonts w:hint="cs"/>
          <w:rtl/>
          <w:lang w:val="en-US" w:bidi="ar-EG"/>
        </w:rPr>
        <w:t>أنه من المنتظر أن ينصبّ التطوير المقبل للاتصالات المتنقلة الدولية-</w:t>
      </w:r>
      <w:r w:rsidR="00E903CA">
        <w:rPr>
          <w:lang w:val="en-US" w:bidi="ar-EG"/>
        </w:rPr>
        <w:t>2000</w:t>
      </w:r>
      <w:r w:rsidR="00E903CA">
        <w:rPr>
          <w:rFonts w:hint="cs"/>
          <w:rtl/>
          <w:lang w:val="en-US" w:bidi="ar-EG"/>
        </w:rPr>
        <w:t xml:space="preserve"> والاتصالات المتنقلة الدولية-المتقدمة على ضرورة تحقيق معدلات بيانات أعلى من المعدلات التي توفِّرها أنظمة الاتصالات المتنقلة الدولية-</w:t>
      </w:r>
      <w:r w:rsidR="00E903CA">
        <w:rPr>
          <w:lang w:val="en-US" w:bidi="ar-EG"/>
        </w:rPr>
        <w:t>2000</w:t>
      </w:r>
      <w:r w:rsidR="00E903CA">
        <w:rPr>
          <w:rFonts w:hint="cs"/>
          <w:rtl/>
          <w:lang w:val="en-US" w:bidi="ar-EG"/>
        </w:rPr>
        <w:t xml:space="preserve"> المقامة حالياً؛</w:t>
      </w:r>
    </w:p>
    <w:p w:rsidR="00E903CA" w:rsidRPr="00F638B0" w:rsidRDefault="00E62E03" w:rsidP="00E903CA">
      <w:pPr>
        <w:rPr>
          <w:spacing w:val="2"/>
          <w:rtl/>
          <w:lang w:val="en-US" w:bidi="ar-EG"/>
        </w:rPr>
      </w:pPr>
      <w:r w:rsidRPr="00DE5EEA">
        <w:rPr>
          <w:i/>
          <w:iCs/>
          <w:rtl/>
          <w:lang w:val="en-US" w:bidi="ar-EG"/>
        </w:rPr>
        <w:t>ﻫ</w:t>
      </w:r>
      <w:r w:rsidR="00E903CA" w:rsidRPr="00DE5EEA">
        <w:rPr>
          <w:rFonts w:hint="cs"/>
          <w:i/>
          <w:iCs/>
          <w:spacing w:val="2"/>
          <w:rtl/>
          <w:lang w:val="en-US" w:bidi="ar-EG"/>
        </w:rPr>
        <w:t xml:space="preserve"> )</w:t>
      </w:r>
      <w:r w:rsidR="00E903CA" w:rsidRPr="00F638B0">
        <w:rPr>
          <w:rFonts w:hint="cs"/>
          <w:spacing w:val="2"/>
          <w:rtl/>
          <w:lang w:val="en-US" w:bidi="ar-EG"/>
        </w:rPr>
        <w:tab/>
        <w:t>أنه من المستصوب، لأغراض التشغيل العالمي ووفورات الحجم، وهما شرطان أساسيان لنجاح أنظمة الاتصالات المتنقلة، أن يتم الاتفاق على إطار زمني منسَّق لتطوير المعالم المشتركة في هذه الأجهزة على الأصعدة التقنية والتشغيلية والمعالم المتصلة بالطيف، مع مراعاة ما يتصل بذلك من الخبرة المكتسبة في مجال الاتصالات المتنقلة الدولية-</w:t>
      </w:r>
      <w:r w:rsidR="00E903CA" w:rsidRPr="00F638B0">
        <w:rPr>
          <w:spacing w:val="2"/>
          <w:lang w:val="en-US" w:bidi="ar-EG"/>
        </w:rPr>
        <w:t>2000</w:t>
      </w:r>
      <w:r w:rsidR="00E903CA" w:rsidRPr="00F638B0">
        <w:rPr>
          <w:rFonts w:hint="cs"/>
          <w:spacing w:val="2"/>
          <w:rtl/>
          <w:lang w:val="en-US" w:bidi="ar-EG"/>
        </w:rPr>
        <w:t xml:space="preserve"> وغير ذلك من الخبرات؛</w:t>
      </w:r>
    </w:p>
    <w:p w:rsidR="00E903CA" w:rsidRDefault="00E62E03" w:rsidP="009946EC">
      <w:pPr>
        <w:rPr>
          <w:rtl/>
          <w:lang w:val="en-US" w:bidi="ar-EG"/>
        </w:rPr>
      </w:pPr>
      <w:r>
        <w:rPr>
          <w:rFonts w:hint="cs"/>
          <w:i/>
          <w:iCs/>
          <w:rtl/>
          <w:lang w:val="en-US" w:bidi="ar-EG"/>
        </w:rPr>
        <w:t>و</w:t>
      </w:r>
      <w:r w:rsidR="00E903CA" w:rsidRPr="00DE5EEA">
        <w:rPr>
          <w:rFonts w:hint="cs"/>
          <w:i/>
          <w:iCs/>
          <w:rtl/>
          <w:lang w:val="en-US" w:bidi="ar-EG"/>
        </w:rPr>
        <w:t xml:space="preserve"> )</w:t>
      </w:r>
      <w:r w:rsidR="00E903CA">
        <w:rPr>
          <w:rFonts w:hint="cs"/>
          <w:rtl/>
          <w:lang w:val="en-US" w:bidi="ar-EG"/>
        </w:rPr>
        <w:tab/>
        <w:t>أن تعظيم نقاط الاشتراك بين السطوح البينية الجوية للاتصالات المتنقلة الدولية-المتقدمة قد يؤدي إلى تقليل التعقيد في</w:t>
      </w:r>
      <w:r w:rsidR="009946EC">
        <w:rPr>
          <w:rFonts w:hint="eastAsia"/>
          <w:rtl/>
          <w:lang w:val="en-US" w:bidi="ar-EG"/>
        </w:rPr>
        <w:t> </w:t>
      </w:r>
      <w:r w:rsidR="00E903CA">
        <w:rPr>
          <w:rFonts w:hint="cs"/>
          <w:rtl/>
          <w:lang w:val="en-US" w:bidi="ar-EG"/>
        </w:rPr>
        <w:t>الأجهزة الطرفية المتعددة الأساليب وانخفاض تكلفة الوحدة؛</w:t>
      </w:r>
    </w:p>
    <w:p w:rsidR="00E903CA" w:rsidRDefault="00E62E03" w:rsidP="00E903CA">
      <w:pPr>
        <w:rPr>
          <w:rtl/>
          <w:lang w:val="en-US" w:bidi="ar-EG"/>
        </w:rPr>
      </w:pPr>
      <w:r>
        <w:rPr>
          <w:rFonts w:hint="cs"/>
          <w:i/>
          <w:iCs/>
          <w:rtl/>
          <w:lang w:val="en-US" w:bidi="ar-EG"/>
        </w:rPr>
        <w:t xml:space="preserve">ز </w:t>
      </w:r>
      <w:r w:rsidR="00E903CA" w:rsidRPr="00DE5EEA">
        <w:rPr>
          <w:rFonts w:hint="cs"/>
          <w:i/>
          <w:iCs/>
          <w:rtl/>
          <w:lang w:val="en-US" w:bidi="ar-EG"/>
        </w:rPr>
        <w:t>)</w:t>
      </w:r>
      <w:r w:rsidR="00E903CA">
        <w:rPr>
          <w:rFonts w:hint="cs"/>
          <w:rtl/>
          <w:lang w:val="en-US" w:bidi="ar-EG"/>
        </w:rPr>
        <w:tab/>
        <w:t>أن بناء توافق الآراء أداة لتسهيل الاتفاق داخل قطاع الاتصالات الراديوية،</w:t>
      </w:r>
    </w:p>
    <w:p w:rsidR="00E903CA" w:rsidRPr="000D15B8" w:rsidRDefault="00E903CA" w:rsidP="00E903CA">
      <w:pPr>
        <w:pStyle w:val="Call"/>
        <w:rPr>
          <w:rtl/>
        </w:rPr>
      </w:pPr>
      <w:r w:rsidRPr="000D15B8">
        <w:rPr>
          <w:rFonts w:hint="cs"/>
          <w:rtl/>
        </w:rPr>
        <w:t>وإذ تلاحظ</w:t>
      </w:r>
    </w:p>
    <w:p w:rsidR="00E903CA" w:rsidRDefault="00E903CA" w:rsidP="00E903CA">
      <w:pPr>
        <w:rPr>
          <w:rtl/>
          <w:lang w:val="en-US" w:bidi="ar-EG"/>
        </w:rPr>
      </w:pPr>
      <w:r w:rsidRPr="00DE5EEA">
        <w:rPr>
          <w:rFonts w:hint="cs"/>
          <w:i/>
          <w:iCs/>
          <w:rtl/>
        </w:rPr>
        <w:t xml:space="preserve"> أ )</w:t>
      </w:r>
      <w:r>
        <w:rPr>
          <w:rFonts w:hint="cs"/>
          <w:rtl/>
        </w:rPr>
        <w:tab/>
        <w:t xml:space="preserve">أن الدول الأعضاء تسعى، عملاً بالمادة </w:t>
      </w:r>
      <w:r>
        <w:rPr>
          <w:lang w:val="en-US"/>
        </w:rPr>
        <w:t>44</w:t>
      </w:r>
      <w:r>
        <w:rPr>
          <w:rFonts w:hint="cs"/>
          <w:rtl/>
          <w:lang w:val="en-US" w:bidi="ar-EG"/>
        </w:rPr>
        <w:t xml:space="preserve"> من دستور الاتحاد، إلى تطبيق أحدث التطورات التقنية بأسرع ما</w:t>
      </w:r>
      <w:r>
        <w:rPr>
          <w:rFonts w:hint="eastAsia"/>
          <w:rtl/>
          <w:lang w:val="en-US" w:bidi="ar-EG"/>
        </w:rPr>
        <w:t> </w:t>
      </w:r>
      <w:r>
        <w:rPr>
          <w:rFonts w:hint="cs"/>
          <w:rtl/>
          <w:lang w:val="en-US" w:bidi="ar-EG"/>
        </w:rPr>
        <w:t>يمكن؛</w:t>
      </w:r>
    </w:p>
    <w:p w:rsidR="00E903CA" w:rsidRDefault="00E903CA" w:rsidP="00E903CA">
      <w:pPr>
        <w:rPr>
          <w:rtl/>
          <w:lang w:val="en-US" w:bidi="ar-EG"/>
        </w:rPr>
      </w:pPr>
      <w:r w:rsidRPr="00DE5EEA">
        <w:rPr>
          <w:rFonts w:hint="cs"/>
          <w:i/>
          <w:iCs/>
          <w:rtl/>
          <w:lang w:val="en-US" w:bidi="ar-EG"/>
        </w:rPr>
        <w:t>ب)</w:t>
      </w:r>
      <w:r>
        <w:rPr>
          <w:rFonts w:hint="cs"/>
          <w:rtl/>
          <w:lang w:val="en-US" w:bidi="ar-EG"/>
        </w:rPr>
        <w:tab/>
        <w:t>أن الطيف المنسَّق عالمياً للاتصالات المتنقلة الدولية-المتقدمة أمر مستصوب؛</w:t>
      </w:r>
    </w:p>
    <w:p w:rsidR="00E903CA" w:rsidRPr="00D57CBA" w:rsidRDefault="00E903CA" w:rsidP="00E903CA">
      <w:pPr>
        <w:rPr>
          <w:spacing w:val="6"/>
          <w:rtl/>
          <w:lang w:val="en-US" w:bidi="ar-EG"/>
        </w:rPr>
      </w:pPr>
      <w:r w:rsidRPr="00D57CBA">
        <w:rPr>
          <w:rFonts w:hint="cs"/>
          <w:i/>
          <w:iCs/>
          <w:spacing w:val="6"/>
          <w:rtl/>
          <w:lang w:val="en-US" w:bidi="ar-EG"/>
        </w:rPr>
        <w:t>ج)</w:t>
      </w:r>
      <w:r w:rsidRPr="00D57CBA">
        <w:rPr>
          <w:rFonts w:hint="cs"/>
          <w:spacing w:val="6"/>
          <w:rtl/>
          <w:lang w:val="en-US" w:bidi="ar-EG"/>
        </w:rPr>
        <w:tab/>
        <w:t>أن عملية الاتحاد الدولي للاتصالات في تقييس الاتصالات المتنقلة الدولية كانت في جوهرها مفيدة لتطوير الاتصالات المتنقلة،</w:t>
      </w:r>
    </w:p>
    <w:p w:rsidR="00E903CA" w:rsidRPr="000D15B8" w:rsidRDefault="00E903CA" w:rsidP="00E903CA">
      <w:pPr>
        <w:pStyle w:val="Call"/>
        <w:rPr>
          <w:rtl/>
        </w:rPr>
      </w:pPr>
      <w:r w:rsidRPr="000D15B8">
        <w:rPr>
          <w:rFonts w:hint="cs"/>
          <w:rtl/>
        </w:rPr>
        <w:t>وإذ تعترف</w:t>
      </w:r>
    </w:p>
    <w:p w:rsidR="00E903CA" w:rsidRPr="00DE5EEA" w:rsidRDefault="00E903CA" w:rsidP="00D57CBA">
      <w:pPr>
        <w:rPr>
          <w:rtl/>
          <w:lang w:val="en-US" w:bidi="ar-EG"/>
        </w:rPr>
      </w:pPr>
      <w:r w:rsidRPr="00DE5EEA">
        <w:rPr>
          <w:rFonts w:hint="cs"/>
          <w:i/>
          <w:iCs/>
          <w:rtl/>
        </w:rPr>
        <w:t xml:space="preserve"> أ )</w:t>
      </w:r>
      <w:r w:rsidRPr="00DE5EEA">
        <w:rPr>
          <w:rFonts w:hint="cs"/>
          <w:rtl/>
        </w:rPr>
        <w:tab/>
        <w:t xml:space="preserve">بأن قطاع الاتصالات الراديوية يعتنق سياسات تتعلق بحقوق الملكية الفكرية كما جاء في القرار </w:t>
      </w:r>
      <w:r w:rsidRPr="00DE5EEA">
        <w:rPr>
          <w:lang w:val="en-US"/>
        </w:rPr>
        <w:t>ITU</w:t>
      </w:r>
      <w:r>
        <w:rPr>
          <w:lang w:val="en-US"/>
        </w:rPr>
        <w:noBreakHyphen/>
      </w:r>
      <w:r w:rsidRPr="00DE5EEA">
        <w:rPr>
          <w:lang w:val="en-US"/>
        </w:rPr>
        <w:t>R 1</w:t>
      </w:r>
      <w:r w:rsidRPr="00DE5EEA">
        <w:rPr>
          <w:rFonts w:hint="cs"/>
          <w:rtl/>
          <w:lang w:val="en-US"/>
        </w:rPr>
        <w:t xml:space="preserve"> وفي</w:t>
      </w:r>
      <w:r w:rsidRPr="00DE5EEA">
        <w:rPr>
          <w:rFonts w:hint="eastAsia"/>
          <w:rtl/>
          <w:lang w:val="en-US"/>
        </w:rPr>
        <w:t> </w:t>
      </w:r>
      <w:r w:rsidRPr="00DE5EEA">
        <w:rPr>
          <w:rFonts w:hint="cs"/>
          <w:rtl/>
          <w:lang w:val="en-US"/>
        </w:rPr>
        <w:t xml:space="preserve">النشرة </w:t>
      </w:r>
      <w:r w:rsidRPr="00DE5EEA">
        <w:rPr>
          <w:rFonts w:hint="cs"/>
          <w:rtl/>
          <w:lang w:val="en-US" w:bidi="ar-EG"/>
        </w:rPr>
        <w:t xml:space="preserve">الإدارية </w:t>
      </w:r>
      <w:r w:rsidRPr="00DE5EEA">
        <w:rPr>
          <w:lang w:val="en-US" w:bidi="ar-EG"/>
        </w:rPr>
        <w:t>CA/148</w:t>
      </w:r>
      <w:r w:rsidRPr="00DE5EEA">
        <w:rPr>
          <w:rFonts w:hint="cs"/>
          <w:rtl/>
          <w:lang w:val="en-US" w:bidi="ar-EG"/>
        </w:rPr>
        <w:t xml:space="preserve"> (المؤرَّخة في </w:t>
      </w:r>
      <w:r w:rsidRPr="00DE5EEA">
        <w:rPr>
          <w:lang w:val="en-US" w:bidi="ar-EG"/>
        </w:rPr>
        <w:t>15</w:t>
      </w:r>
      <w:r w:rsidRPr="00DE5EEA">
        <w:rPr>
          <w:rFonts w:hint="cs"/>
          <w:rtl/>
          <w:lang w:val="en-US" w:bidi="ar-EG"/>
        </w:rPr>
        <w:t xml:space="preserve"> أبريل </w:t>
      </w:r>
      <w:r w:rsidRPr="00DE5EEA">
        <w:rPr>
          <w:lang w:val="en-US" w:bidi="ar-EG"/>
        </w:rPr>
        <w:t>2005</w:t>
      </w:r>
      <w:r w:rsidRPr="00DE5EEA">
        <w:rPr>
          <w:rFonts w:hint="cs"/>
          <w:rtl/>
          <w:lang w:val="en-US" w:bidi="ar-EG"/>
        </w:rPr>
        <w:t>) التي جاء فيها "يُسترعى الانتباه إلى أهمية الكشف المبكر والإعلان عن البراءات في</w:t>
      </w:r>
      <w:r>
        <w:rPr>
          <w:rFonts w:hint="eastAsia"/>
          <w:rtl/>
          <w:lang w:val="en-US" w:bidi="ar-EG"/>
        </w:rPr>
        <w:t> </w:t>
      </w:r>
      <w:r w:rsidRPr="00DE5EEA">
        <w:rPr>
          <w:rFonts w:hint="cs"/>
          <w:rtl/>
          <w:lang w:val="en-US" w:bidi="ar-EG"/>
        </w:rPr>
        <w:t>وقت مبكر لتجنب المشاكل الممكنة في الموافقة على توصيات قطاع الاتصالات الراديوية وتطبيقها في نهاية الأمر"؛</w:t>
      </w:r>
    </w:p>
    <w:p w:rsidR="00E903CA" w:rsidRPr="00B6142C" w:rsidRDefault="00E903CA" w:rsidP="00D57CBA">
      <w:pPr>
        <w:rPr>
          <w:rtl/>
          <w:lang w:val="en-US" w:bidi="ar-EG"/>
        </w:rPr>
      </w:pPr>
      <w:r w:rsidRPr="00DE5EEA">
        <w:rPr>
          <w:rFonts w:hint="cs"/>
          <w:i/>
          <w:iCs/>
          <w:rtl/>
          <w:lang w:val="en-US" w:bidi="ar-EG"/>
        </w:rPr>
        <w:t>ب)</w:t>
      </w:r>
      <w:r>
        <w:rPr>
          <w:rFonts w:hint="cs"/>
          <w:rtl/>
          <w:lang w:val="en-US" w:bidi="ar-EG"/>
        </w:rPr>
        <w:tab/>
      </w:r>
      <w:r w:rsidRPr="00B6142C">
        <w:rPr>
          <w:rFonts w:hint="cs"/>
          <w:rtl/>
          <w:lang w:val="en-US" w:bidi="ar-EG"/>
        </w:rPr>
        <w:t>أن أي عملية لبناء التوافق ينبغي أن تكفل وجود إمكانية للدعم الواسع من جانب الصناعة للسطوح البينية الراديوية التي يجري تطويرها للاتصالات المتنقلة الدولية-المتقدمة وأن هناك توقعاً بأن تؤخذ الأهداف الموصى بها في</w:t>
      </w:r>
      <w:r w:rsidRPr="00B6142C">
        <w:rPr>
          <w:rFonts w:hint="eastAsia"/>
          <w:rtl/>
          <w:lang w:val="en-US" w:bidi="ar-EG"/>
        </w:rPr>
        <w:t> </w:t>
      </w:r>
      <w:r w:rsidRPr="00B6142C">
        <w:rPr>
          <w:rFonts w:hint="cs"/>
          <w:rtl/>
          <w:lang w:val="en-US" w:bidi="ar-EG"/>
        </w:rPr>
        <w:t>التوصية</w:t>
      </w:r>
      <w:r w:rsidRPr="00B6142C">
        <w:rPr>
          <w:rFonts w:hint="eastAsia"/>
          <w:rtl/>
          <w:lang w:val="en-US" w:bidi="ar-EG"/>
        </w:rPr>
        <w:t> </w:t>
      </w:r>
      <w:r w:rsidRPr="00B6142C">
        <w:rPr>
          <w:lang w:val="en-US" w:bidi="ar-EG"/>
        </w:rPr>
        <w:t>ITU</w:t>
      </w:r>
      <w:r w:rsidRPr="00B6142C">
        <w:rPr>
          <w:lang w:val="en-US" w:bidi="ar-EG"/>
        </w:rPr>
        <w:noBreakHyphen/>
        <w:t>R M.1645</w:t>
      </w:r>
      <w:r w:rsidRPr="00B6142C">
        <w:rPr>
          <w:rFonts w:hint="cs"/>
          <w:rtl/>
          <w:lang w:val="en-US" w:bidi="ar-EG"/>
        </w:rPr>
        <w:t xml:space="preserve"> بعين الاعتبار في تطوير التكنولوجيات المرشحة للسطوح البينية الراديوية؛</w:t>
      </w:r>
    </w:p>
    <w:p w:rsidR="00E903CA" w:rsidRDefault="00E903CA" w:rsidP="00E903CA">
      <w:pPr>
        <w:rPr>
          <w:rtl/>
          <w:lang w:val="en-US" w:bidi="ar-EG"/>
        </w:rPr>
      </w:pPr>
      <w:r w:rsidRPr="00DE5EEA">
        <w:rPr>
          <w:rFonts w:hint="cs"/>
          <w:i/>
          <w:iCs/>
          <w:rtl/>
          <w:lang w:val="en-US" w:bidi="ar-EG"/>
        </w:rPr>
        <w:lastRenderedPageBreak/>
        <w:t>ج)</w:t>
      </w:r>
      <w:r>
        <w:rPr>
          <w:rFonts w:hint="cs"/>
          <w:rtl/>
          <w:lang w:val="en-US" w:bidi="ar-EG"/>
        </w:rPr>
        <w:tab/>
        <w:t>أهمية تسهيل التداول العالمي؛</w:t>
      </w:r>
    </w:p>
    <w:p w:rsidR="00E903CA" w:rsidRDefault="00E903CA" w:rsidP="00E903CA">
      <w:pPr>
        <w:rPr>
          <w:rtl/>
          <w:lang w:val="en-US" w:bidi="ar-EG"/>
        </w:rPr>
      </w:pPr>
      <w:r w:rsidRPr="00DE5EEA">
        <w:rPr>
          <w:rFonts w:hint="cs"/>
          <w:i/>
          <w:iCs/>
          <w:rtl/>
          <w:lang w:val="en-US" w:bidi="ar-EG"/>
        </w:rPr>
        <w:t>د )</w:t>
      </w:r>
      <w:r>
        <w:rPr>
          <w:rFonts w:hint="cs"/>
          <w:rtl/>
          <w:lang w:val="en-US" w:bidi="ar-EG"/>
        </w:rPr>
        <w:tab/>
        <w:t>أنه ينبغي تكييف عملية تقييس الاتصالات المتنقلة الدولية-المتقدمة لتدخل فيها أحدث الابتكارات التكنولوجية لمعالجة احتياجات المستعمل؛</w:t>
      </w:r>
    </w:p>
    <w:p w:rsidR="00E903CA" w:rsidRPr="003E4005" w:rsidRDefault="00E903CA" w:rsidP="00D57CBA">
      <w:pPr>
        <w:rPr>
          <w:rtl/>
          <w:lang w:val="en-US" w:bidi="ar-EG"/>
        </w:rPr>
      </w:pPr>
      <w:r w:rsidRPr="00DE5EEA">
        <w:rPr>
          <w:rFonts w:hint="cs"/>
          <w:i/>
          <w:iCs/>
          <w:rtl/>
          <w:lang w:val="en-US" w:bidi="ar-EG"/>
        </w:rPr>
        <w:t>ﻫ )</w:t>
      </w:r>
      <w:r>
        <w:rPr>
          <w:rFonts w:hint="cs"/>
          <w:rtl/>
          <w:lang w:val="en-US" w:bidi="ar-EG"/>
        </w:rPr>
        <w:tab/>
        <w:t>بأن يتم تطبيق مصطلح "الاتصالات الدولية المتنقلة-المتقدمة" على تلك الأنظمة وعناصر الأنظمة والجوانب المتصلة التي تشمل السطح البيني الراديوي الجديد (السطوح البينية الراديوية الجديدة) التي تدعم القدرات الجديدة لأنظمة ما</w:t>
      </w:r>
      <w:r>
        <w:rPr>
          <w:rFonts w:hint="eastAsia"/>
          <w:rtl/>
          <w:lang w:val="en-US" w:bidi="ar-EG"/>
        </w:rPr>
        <w:t> </w:t>
      </w:r>
      <w:r>
        <w:rPr>
          <w:rFonts w:hint="cs"/>
          <w:rtl/>
          <w:lang w:val="en-US" w:bidi="ar-EG"/>
        </w:rPr>
        <w:t>بعد الاتصالات المتنقلة الدولية</w:t>
      </w:r>
      <w:r w:rsidR="00D57CBA">
        <w:rPr>
          <w:rFonts w:hint="cs"/>
          <w:rtl/>
          <w:lang w:val="en-US" w:bidi="ar-EG"/>
        </w:rPr>
        <w:t>-</w:t>
      </w:r>
      <w:r>
        <w:rPr>
          <w:rStyle w:val="FootnoteReference"/>
          <w:lang w:val="en-US" w:bidi="ar-EG"/>
        </w:rPr>
        <w:footnoteReference w:id="1"/>
      </w:r>
      <w:r>
        <w:rPr>
          <w:lang w:val="en-US" w:bidi="ar-EG"/>
        </w:rPr>
        <w:t>2000</w:t>
      </w:r>
      <w:r>
        <w:rPr>
          <w:rFonts w:hint="cs"/>
          <w:rtl/>
          <w:lang w:val="en-US" w:bidi="ar-EG"/>
        </w:rPr>
        <w:t>؛</w:t>
      </w:r>
    </w:p>
    <w:p w:rsidR="00E903CA" w:rsidRPr="00414CBD" w:rsidRDefault="00E903CA" w:rsidP="00E903CA">
      <w:pPr>
        <w:rPr>
          <w:spacing w:val="-2"/>
          <w:rtl/>
        </w:rPr>
      </w:pPr>
      <w:r w:rsidRPr="00414CBD">
        <w:rPr>
          <w:rFonts w:hint="cs"/>
          <w:i/>
          <w:iCs/>
          <w:spacing w:val="-2"/>
          <w:rtl/>
        </w:rPr>
        <w:t>و )</w:t>
      </w:r>
      <w:r w:rsidRPr="00414CBD">
        <w:rPr>
          <w:rFonts w:hint="cs"/>
          <w:spacing w:val="-2"/>
          <w:rtl/>
        </w:rPr>
        <w:tab/>
        <w:t>أن الاتحاد الدولي للاتصالات هو المنظمة المعترف بها دولياً التي تضطلع وحدها بالمسؤولية عن تحديد المعايير وترتيبات التردد لأنظمة الاتصالات المتنقلة الدولية والتوصية بها، بالتعاون مع المنظمات الأخرى ذات الصلة مثل منظمات وضع المعايير والجامعات ومنظمات الصناعة وبالتعاون مع مشاريع الشراكة والمنتديات والاتحادات الصناعية وأعمال التعاون البحثي؛</w:t>
      </w:r>
    </w:p>
    <w:p w:rsidR="00E903CA" w:rsidRDefault="00E903CA" w:rsidP="00E903CA">
      <w:pPr>
        <w:rPr>
          <w:rtl/>
          <w:lang w:val="en-US" w:bidi="ar-EG"/>
        </w:rPr>
      </w:pPr>
      <w:r w:rsidRPr="00DE5EEA">
        <w:rPr>
          <w:rFonts w:hint="cs"/>
          <w:i/>
          <w:iCs/>
          <w:rtl/>
        </w:rPr>
        <w:t>ز )</w:t>
      </w:r>
      <w:r>
        <w:rPr>
          <w:rFonts w:hint="cs"/>
          <w:rtl/>
        </w:rPr>
        <w:tab/>
        <w:t>أنه قد تم أو يجري تطوير تكنولوجيات النفاذ اللاسلكي التي يمكن أن تعالج بعض قدرات الأنظمة بعد الاتصالات المتنقلة الدولية-</w:t>
      </w:r>
      <w:r>
        <w:rPr>
          <w:lang w:val="en-US"/>
        </w:rPr>
        <w:t>2000</w:t>
      </w:r>
      <w:r>
        <w:rPr>
          <w:rFonts w:hint="cs"/>
          <w:rtl/>
          <w:lang w:val="en-US" w:bidi="ar-EG"/>
        </w:rPr>
        <w:t xml:space="preserve"> لنشرها في حدود الإطار الزمني المذكور في التوصية </w:t>
      </w:r>
      <w:r>
        <w:rPr>
          <w:lang w:val="en-US" w:bidi="ar-EG"/>
        </w:rPr>
        <w:t>ITU</w:t>
      </w:r>
      <w:r>
        <w:rPr>
          <w:lang w:val="en-US" w:bidi="ar-EG"/>
        </w:rPr>
        <w:noBreakHyphen/>
        <w:t>R M.1645</w:t>
      </w:r>
      <w:r>
        <w:rPr>
          <w:rFonts w:hint="cs"/>
          <w:rtl/>
          <w:lang w:val="en-US" w:bidi="ar-EG"/>
        </w:rPr>
        <w:t xml:space="preserve"> أو قبل ذلك الإطار الزمني؛</w:t>
      </w:r>
    </w:p>
    <w:p w:rsidR="00E903CA" w:rsidRDefault="00E903CA" w:rsidP="009946EC">
      <w:pPr>
        <w:rPr>
          <w:rtl/>
          <w:lang w:val="en-US" w:bidi="ar-EG"/>
        </w:rPr>
      </w:pPr>
      <w:r w:rsidRPr="00DE5EEA">
        <w:rPr>
          <w:rFonts w:hint="cs"/>
          <w:i/>
          <w:iCs/>
          <w:rtl/>
          <w:lang w:val="en-US" w:bidi="ar-EG"/>
        </w:rPr>
        <w:t>ح)</w:t>
      </w:r>
      <w:r>
        <w:rPr>
          <w:rFonts w:hint="cs"/>
          <w:rtl/>
          <w:lang w:val="en-US" w:bidi="ar-EG"/>
        </w:rPr>
        <w:tab/>
        <w:t>أن تحديد الطيف الكافي على أساس عالمي شرط مسبق لنجاح التطوير المقبل لأنظمة الاتصالات المتنقلة الدولية</w:t>
      </w:r>
      <w:r w:rsidR="009946EC">
        <w:rPr>
          <w:rFonts w:hint="cs"/>
          <w:rtl/>
          <w:lang w:val="en-US" w:bidi="ar-EG"/>
        </w:rPr>
        <w:t>-</w:t>
      </w:r>
      <w:r>
        <w:rPr>
          <w:lang w:val="en-US" w:bidi="ar-EG"/>
        </w:rPr>
        <w:t>2000</w:t>
      </w:r>
      <w:r>
        <w:rPr>
          <w:rFonts w:hint="cs"/>
          <w:rtl/>
          <w:lang w:val="en-US" w:bidi="ar-EG"/>
        </w:rPr>
        <w:t xml:space="preserve"> وما بعدها، على الرغم من أن التكنولوجيات الجديدة قد تساعد في أداء هذه المهمة؛</w:t>
      </w:r>
    </w:p>
    <w:p w:rsidR="00E903CA" w:rsidRDefault="00E903CA" w:rsidP="00D57CBA">
      <w:pPr>
        <w:rPr>
          <w:rtl/>
          <w:lang w:val="en-US" w:bidi="ar-EG"/>
        </w:rPr>
      </w:pPr>
      <w:r w:rsidRPr="00DE5EEA">
        <w:rPr>
          <w:rFonts w:hint="cs"/>
          <w:i/>
          <w:iCs/>
          <w:rtl/>
          <w:lang w:val="en-US" w:bidi="ar-EG"/>
        </w:rPr>
        <w:t>ط)</w:t>
      </w:r>
      <w:r>
        <w:rPr>
          <w:rFonts w:hint="cs"/>
          <w:rtl/>
          <w:lang w:val="en-US" w:bidi="ar-EG"/>
        </w:rPr>
        <w:tab/>
        <w:t>أنه سيتم النص على التفاصيل المتعلقة بالاتصالات المتنقلة الدولية</w:t>
      </w:r>
      <w:r w:rsidR="00D57CBA">
        <w:rPr>
          <w:rFonts w:hint="cs"/>
          <w:rtl/>
          <w:lang w:val="en-US" w:bidi="ar-EG"/>
        </w:rPr>
        <w:t>-</w:t>
      </w:r>
      <w:r>
        <w:rPr>
          <w:lang w:val="en-US" w:bidi="ar-EG"/>
        </w:rPr>
        <w:t>2000</w:t>
      </w:r>
      <w:r>
        <w:rPr>
          <w:rFonts w:hint="cs"/>
          <w:rtl/>
          <w:lang w:val="en-US" w:bidi="ar-EG"/>
        </w:rPr>
        <w:t xml:space="preserve"> والتطوير المقبل لأنظمة الاتصالات المتنقلة الدولية</w:t>
      </w:r>
      <w:r>
        <w:rPr>
          <w:rtl/>
          <w:lang w:val="en-US" w:bidi="ar-EG"/>
        </w:rPr>
        <w:noBreakHyphen/>
      </w:r>
      <w:r>
        <w:rPr>
          <w:lang w:val="en-US" w:bidi="ar-EG"/>
        </w:rPr>
        <w:t>2000</w:t>
      </w:r>
      <w:r>
        <w:rPr>
          <w:rFonts w:hint="cs"/>
          <w:rtl/>
          <w:lang w:val="en-US" w:bidi="ar-EG"/>
        </w:rPr>
        <w:t xml:space="preserve"> وما بعدها في التوصيات والتقارير التي سيتم صياغتها بمراعاة الإطار الزمني المحدد في التوصية </w:t>
      </w:r>
      <w:r>
        <w:rPr>
          <w:lang w:val="en-US" w:bidi="ar-EG"/>
        </w:rPr>
        <w:t>ITU</w:t>
      </w:r>
      <w:r>
        <w:rPr>
          <w:lang w:val="en-US" w:bidi="ar-EG"/>
        </w:rPr>
        <w:noBreakHyphen/>
        <w:t>R M.1645</w:t>
      </w:r>
      <w:r>
        <w:rPr>
          <w:rFonts w:hint="cs"/>
          <w:rtl/>
          <w:lang w:val="en-US" w:bidi="ar-EG"/>
        </w:rPr>
        <w:t>، "الإطار والأهداف الإجمالية لتطوير الاتصالات المتنقلة الدولية</w:t>
      </w:r>
      <w:r w:rsidR="00D57CBA">
        <w:rPr>
          <w:rFonts w:hint="cs"/>
          <w:rtl/>
          <w:lang w:val="en-US" w:bidi="ar-EG"/>
        </w:rPr>
        <w:t>-</w:t>
      </w:r>
      <w:r>
        <w:rPr>
          <w:lang w:val="en-US" w:bidi="ar-EG"/>
        </w:rPr>
        <w:t>2000</w:t>
      </w:r>
      <w:r>
        <w:rPr>
          <w:rFonts w:hint="cs"/>
          <w:rtl/>
          <w:lang w:val="en-US" w:bidi="ar-EG"/>
        </w:rPr>
        <w:t xml:space="preserve"> وما بعدها"؛</w:t>
      </w:r>
    </w:p>
    <w:p w:rsidR="00E903CA" w:rsidRPr="00C70A3E" w:rsidRDefault="00E903CA" w:rsidP="00E903CA">
      <w:pPr>
        <w:rPr>
          <w:rtl/>
          <w:lang w:val="en-US" w:bidi="ar-EG"/>
        </w:rPr>
      </w:pPr>
      <w:r w:rsidRPr="00DE5EEA">
        <w:rPr>
          <w:rFonts w:hint="cs"/>
          <w:i/>
          <w:iCs/>
          <w:rtl/>
          <w:lang w:val="en-US" w:bidi="ar-EG"/>
        </w:rPr>
        <w:t>ي)</w:t>
      </w:r>
      <w:r>
        <w:rPr>
          <w:rFonts w:hint="cs"/>
          <w:rtl/>
          <w:lang w:val="en-US" w:bidi="ar-EG"/>
        </w:rPr>
        <w:tab/>
        <w:t>أنه يجب دراسة الاحتياجات الخاصة للبلدان النامية بغرض سد الفجوة الرقمية القائمة، من أجل تسهيل التشغيل البيني للسطوح البينية الراديوية المختلفة،</w:t>
      </w:r>
    </w:p>
    <w:p w:rsidR="00E903CA" w:rsidRPr="000D15B8" w:rsidRDefault="00E903CA" w:rsidP="00E903CA">
      <w:pPr>
        <w:pStyle w:val="Call"/>
        <w:rPr>
          <w:rtl/>
          <w:lang w:bidi="ar-EG"/>
        </w:rPr>
      </w:pPr>
      <w:r w:rsidRPr="000D15B8">
        <w:rPr>
          <w:rFonts w:hint="cs"/>
          <w:rtl/>
        </w:rPr>
        <w:t>تقـرر</w:t>
      </w:r>
    </w:p>
    <w:p w:rsidR="00E903CA" w:rsidRDefault="00E903CA" w:rsidP="00E903CA">
      <w:pPr>
        <w:rPr>
          <w:rtl/>
          <w:lang w:val="en-US" w:bidi="ar-EG"/>
        </w:rPr>
      </w:pPr>
      <w:r w:rsidRPr="00C70466">
        <w:rPr>
          <w:lang w:val="en-US" w:bidi="ar-EG"/>
        </w:rPr>
        <w:t>1</w:t>
      </w:r>
      <w:r>
        <w:rPr>
          <w:rFonts w:hint="cs"/>
          <w:rtl/>
          <w:lang w:val="en-US" w:bidi="ar-EG"/>
        </w:rPr>
        <w:tab/>
        <w:t>صياغة التوصيات والتقارير الخاصة بالاتصالات المتنقلة الدولية-المتقدمة، بما في ذلك التوصية (التوصيات) الخاصة بمواصفات السطح البيني الراديوي؛</w:t>
      </w:r>
    </w:p>
    <w:p w:rsidR="00E903CA" w:rsidRDefault="00E903CA" w:rsidP="00E903CA">
      <w:pPr>
        <w:rPr>
          <w:rtl/>
          <w:lang w:val="en-US" w:bidi="ar-EG"/>
        </w:rPr>
      </w:pPr>
      <w:r w:rsidRPr="00C70466">
        <w:rPr>
          <w:lang w:val="en-US" w:bidi="ar-EG"/>
        </w:rPr>
        <w:t>2</w:t>
      </w:r>
      <w:r>
        <w:rPr>
          <w:rFonts w:hint="cs"/>
          <w:rtl/>
          <w:lang w:val="en-US" w:bidi="ar-EG"/>
        </w:rPr>
        <w:tab/>
        <w:t>أن تكون عملية صياغة التوصيات والتقارير الخاصة بالاتصالات المتنقلة الدولية-المتقدمة عملية مستمرة وتجري دون تأخير بنواتج محدَّدة تراعي التطورات الحاصلة خارج قطاع الاتصالات الراديوية؛</w:t>
      </w:r>
    </w:p>
    <w:p w:rsidR="00E903CA" w:rsidRDefault="00E903CA" w:rsidP="00E903CA">
      <w:pPr>
        <w:rPr>
          <w:rtl/>
          <w:lang w:val="en-US" w:bidi="ar-EG"/>
        </w:rPr>
      </w:pPr>
      <w:r w:rsidRPr="00C70466">
        <w:rPr>
          <w:lang w:val="en-US" w:bidi="ar-EG"/>
        </w:rPr>
        <w:t>3</w:t>
      </w:r>
      <w:r>
        <w:rPr>
          <w:rFonts w:hint="cs"/>
          <w:rtl/>
          <w:lang w:val="en-US" w:bidi="ar-EG"/>
        </w:rPr>
        <w:tab/>
        <w:t>أن يكون تطوير تكنولوجيات السطح الراديوي التي يُقترَح النظر فيها لأغراض الاتصالات المتنقلة الدولية-المتقدمة استناداً إلى ما تقدمه الدول الأعضاء وأعضاء القطاع والمنتسبون في لجان دراسات الاتصالات الراديوية المعنية، ويمكن أن يستند، بالإضافة إلى ذلك، إلى المساهمات التي تُدعى إلى تقديمها المنظمات الخارجية، وفقاً للمبدأ المحدد في القرار</w:t>
      </w:r>
      <w:r>
        <w:rPr>
          <w:rFonts w:hint="eastAsia"/>
          <w:rtl/>
          <w:lang w:val="en-US" w:bidi="ar-EG"/>
        </w:rPr>
        <w:t> </w:t>
      </w:r>
      <w:r>
        <w:rPr>
          <w:lang w:val="en-US" w:bidi="ar-EG"/>
        </w:rPr>
        <w:t>ITU</w:t>
      </w:r>
      <w:r>
        <w:rPr>
          <w:lang w:val="en-US" w:bidi="ar-EG"/>
        </w:rPr>
        <w:noBreakHyphen/>
        <w:t>R 9</w:t>
      </w:r>
      <w:r>
        <w:rPr>
          <w:rFonts w:hint="cs"/>
          <w:rtl/>
          <w:lang w:val="en-US" w:bidi="ar-EG"/>
        </w:rPr>
        <w:t>؛</w:t>
      </w:r>
    </w:p>
    <w:p w:rsidR="00E903CA" w:rsidRDefault="00E903CA" w:rsidP="00E903CA">
      <w:pPr>
        <w:rPr>
          <w:rtl/>
          <w:lang w:val="en-US" w:bidi="ar-EG"/>
        </w:rPr>
      </w:pPr>
      <w:r w:rsidRPr="00C70466">
        <w:rPr>
          <w:lang w:val="en-US" w:bidi="ar-EG"/>
        </w:rPr>
        <w:t>4</w:t>
      </w:r>
      <w:r>
        <w:rPr>
          <w:rFonts w:hint="cs"/>
          <w:rtl/>
          <w:lang w:val="en-US" w:bidi="ar-EG"/>
        </w:rPr>
        <w:tab/>
        <w:t>أن تعطي عملية صياغة التوصيات والتقارير الخاصة بالاتصالات المتنقلة الدولية-المتقدمة فرصة متساوية لجميع التكنولوجيات المقترحة من أجل تقييمها على أساس متطلبات الاتصالات المتنقلة الدولية-المتقدمة؛</w:t>
      </w:r>
    </w:p>
    <w:p w:rsidR="00E903CA" w:rsidRDefault="00E903CA" w:rsidP="00E903CA">
      <w:pPr>
        <w:rPr>
          <w:rtl/>
          <w:lang w:val="en-US" w:bidi="ar-EG"/>
        </w:rPr>
      </w:pPr>
      <w:r w:rsidRPr="00C70466">
        <w:rPr>
          <w:lang w:val="en-US" w:bidi="ar-EG"/>
        </w:rPr>
        <w:t>5</w:t>
      </w:r>
      <w:r>
        <w:rPr>
          <w:rFonts w:hint="cs"/>
          <w:rtl/>
          <w:lang w:val="en-US" w:bidi="ar-EG"/>
        </w:rPr>
        <w:tab/>
        <w:t>أن يتم النظر في السطوح البينية الراديوية الجديدة التي يجري صياغتها مع مرور الوقت لإدراجها في الاتصالات المتنقلة الدولية-المتقدمة في وقت مناسب وأن يتم، حسب الاقتضاء، تنقيح التوصيات ذات الصلة؛</w:t>
      </w:r>
    </w:p>
    <w:p w:rsidR="00E903CA" w:rsidRDefault="00E903CA" w:rsidP="00855333">
      <w:pPr>
        <w:keepNext/>
        <w:keepLines/>
        <w:rPr>
          <w:rtl/>
          <w:lang w:val="en-US" w:bidi="ar-EG"/>
        </w:rPr>
      </w:pPr>
      <w:r w:rsidRPr="00C70466">
        <w:rPr>
          <w:lang w:val="en-US" w:bidi="ar-EG"/>
        </w:rPr>
        <w:lastRenderedPageBreak/>
        <w:t>6</w:t>
      </w:r>
      <w:r>
        <w:rPr>
          <w:rtl/>
          <w:lang w:val="en-US" w:bidi="ar-EG"/>
        </w:rPr>
        <w:tab/>
      </w:r>
      <w:r>
        <w:rPr>
          <w:rFonts w:hint="cs"/>
          <w:rtl/>
          <w:lang w:val="en-US" w:bidi="ar-EG"/>
        </w:rPr>
        <w:t xml:space="preserve">أن تشمل العملية ما يلي، في ضوء الفقرات أعلاه تحت </w:t>
      </w:r>
      <w:r>
        <w:rPr>
          <w:rFonts w:hint="cs"/>
          <w:i/>
          <w:iCs/>
          <w:rtl/>
          <w:lang w:val="en-US" w:bidi="ar-EG"/>
        </w:rPr>
        <w:t>يقرر</w:t>
      </w:r>
      <w:r>
        <w:rPr>
          <w:rFonts w:hint="cs"/>
          <w:rtl/>
          <w:lang w:val="en-US" w:bidi="ar-EG"/>
        </w:rPr>
        <w:t>:</w:t>
      </w:r>
    </w:p>
    <w:p w:rsidR="00E903CA" w:rsidRDefault="00E903CA" w:rsidP="00E903CA">
      <w:pPr>
        <w:pStyle w:val="enumlev10"/>
        <w:rPr>
          <w:rtl/>
          <w:lang w:val="en-US" w:bidi="ar-EG"/>
        </w:rPr>
      </w:pPr>
      <w:r w:rsidRPr="00DE5EEA">
        <w:rPr>
          <w:rFonts w:hint="cs"/>
          <w:i/>
          <w:iCs/>
          <w:rtl/>
          <w:lang w:val="en-US" w:bidi="ar-EG"/>
        </w:rPr>
        <w:t xml:space="preserve"> أ )</w:t>
      </w:r>
      <w:r>
        <w:rPr>
          <w:rFonts w:hint="cs"/>
          <w:rtl/>
          <w:lang w:val="en-US" w:bidi="ar-EG"/>
        </w:rPr>
        <w:tab/>
        <w:t xml:space="preserve">تعريف الحد الأدنى من المتطلبات التقنية ومعايير التقييم استناداً إلى الإطار والأهداف الإجمالية للاتصالات المتنقلة الدولية-المتقدمة، لدعم القدرات الجديدة التي تعبِّر عنها التوصية </w:t>
      </w:r>
      <w:r>
        <w:rPr>
          <w:lang w:val="en-US" w:bidi="ar-EG"/>
        </w:rPr>
        <w:t>ITU</w:t>
      </w:r>
      <w:r>
        <w:rPr>
          <w:lang w:val="en-US" w:bidi="ar-EG"/>
        </w:rPr>
        <w:noBreakHyphen/>
        <w:t>R M.1645</w:t>
      </w:r>
      <w:r>
        <w:rPr>
          <w:rFonts w:hint="cs"/>
          <w:rtl/>
          <w:lang w:val="en-US" w:bidi="ar-EG"/>
        </w:rPr>
        <w:t>، مع مراعاة متطلبات المستعمل النهائي وبدون اقتضاء متطلبات غير ضرورية للأنظمة الموروثة؛</w:t>
      </w:r>
    </w:p>
    <w:p w:rsidR="00E903CA" w:rsidRDefault="00E903CA" w:rsidP="00E903CA">
      <w:pPr>
        <w:pStyle w:val="enumlev10"/>
        <w:rPr>
          <w:rtl/>
          <w:lang w:val="en-US" w:bidi="ar-EG"/>
        </w:rPr>
      </w:pPr>
      <w:r w:rsidRPr="00DE5EEA">
        <w:rPr>
          <w:rFonts w:hint="cs"/>
          <w:i/>
          <w:iCs/>
          <w:rtl/>
          <w:lang w:val="en-US" w:bidi="ar-EG"/>
        </w:rPr>
        <w:t>ب)</w:t>
      </w:r>
      <w:r>
        <w:rPr>
          <w:rFonts w:hint="cs"/>
          <w:rtl/>
          <w:lang w:val="en-US" w:bidi="ar-EG"/>
        </w:rPr>
        <w:tab/>
        <w:t>إرسال دعوة إلى أعضاء قطاع الاتصالات الراديوية في شكل رسالة معممة تطلب منهم اقتراح تكنولوجيات مرشحة للسطح الراديوي للاتصالات المتنقلة الدولية-المتقدمة؛</w:t>
      </w:r>
    </w:p>
    <w:p w:rsidR="00E903CA" w:rsidRDefault="00E903CA" w:rsidP="00E903CA">
      <w:pPr>
        <w:pStyle w:val="enumlev10"/>
        <w:rPr>
          <w:rtl/>
          <w:lang w:val="en-US" w:bidi="ar-EG"/>
        </w:rPr>
      </w:pPr>
      <w:r w:rsidRPr="00DE5EEA">
        <w:rPr>
          <w:rFonts w:hint="cs"/>
          <w:i/>
          <w:iCs/>
          <w:rtl/>
          <w:lang w:val="en-US" w:bidi="ar-EG"/>
        </w:rPr>
        <w:t>ج)</w:t>
      </w:r>
      <w:r>
        <w:rPr>
          <w:rFonts w:hint="cs"/>
          <w:rtl/>
          <w:lang w:val="en-US" w:bidi="ar-EG"/>
        </w:rPr>
        <w:tab/>
        <w:t xml:space="preserve">وبالإضافة إلى ذلك، إرسال دعوة إلى منظمات أخرى لتقترح تكنولوجيات مرشحة للسطح البيني الراديوي لأغراض الاتصالات المتنقلة الدولية-المتقدمة، في إطار الاتصالات والتعاون مع هذه المنظمات الأخرى من خلال القرار </w:t>
      </w:r>
      <w:r>
        <w:rPr>
          <w:lang w:val="en-US" w:bidi="ar-EG"/>
        </w:rPr>
        <w:t>ITU</w:t>
      </w:r>
      <w:r>
        <w:rPr>
          <w:lang w:val="en-US" w:bidi="ar-EG"/>
        </w:rPr>
        <w:noBreakHyphen/>
        <w:t>R 9</w:t>
      </w:r>
      <w:r>
        <w:rPr>
          <w:rFonts w:hint="cs"/>
          <w:rtl/>
          <w:lang w:val="en-US" w:bidi="ar-EG"/>
        </w:rPr>
        <w:t>. وتوجِّه هذه الدعوات انتباه هذه المنظمات إلى السياسات الحالية لقطاع الاتصالات الراديوية في</w:t>
      </w:r>
      <w:r>
        <w:rPr>
          <w:rFonts w:hint="eastAsia"/>
          <w:rtl/>
          <w:lang w:val="en-US" w:bidi="ar-EG"/>
        </w:rPr>
        <w:t> </w:t>
      </w:r>
      <w:r>
        <w:rPr>
          <w:rFonts w:hint="cs"/>
          <w:rtl/>
          <w:lang w:val="en-US" w:bidi="ar-EG"/>
        </w:rPr>
        <w:t>موضوع حقوق الملكية الفكرية؛</w:t>
      </w:r>
    </w:p>
    <w:p w:rsidR="00E903CA" w:rsidRDefault="00E903CA" w:rsidP="00C96345">
      <w:pPr>
        <w:pStyle w:val="enumlev10"/>
        <w:rPr>
          <w:rtl/>
          <w:lang w:val="en-US" w:bidi="ar-EG"/>
        </w:rPr>
      </w:pPr>
      <w:r w:rsidRPr="00DE5EEA">
        <w:rPr>
          <w:rFonts w:hint="cs"/>
          <w:i/>
          <w:iCs/>
          <w:rtl/>
          <w:lang w:val="en-US" w:bidi="ar-EG"/>
        </w:rPr>
        <w:t>د )</w:t>
      </w:r>
      <w:r>
        <w:rPr>
          <w:rFonts w:hint="cs"/>
          <w:rtl/>
          <w:lang w:val="en-US" w:bidi="ar-EG"/>
        </w:rPr>
        <w:tab/>
        <w:t>قيام قطاع الاتصالات الراديوية بتقييم لتكنولوجيات السطح البيني الراديوي المقترح للاتصالات المتنقلة الدولية</w:t>
      </w:r>
      <w:r w:rsidR="00C96345">
        <w:rPr>
          <w:rFonts w:hint="cs"/>
          <w:rtl/>
          <w:lang w:val="en-US" w:bidi="ar-EG"/>
        </w:rPr>
        <w:t>-</w:t>
      </w:r>
      <w:r>
        <w:rPr>
          <w:rFonts w:hint="cs"/>
          <w:rtl/>
          <w:lang w:val="en-US" w:bidi="ar-EG"/>
        </w:rPr>
        <w:t xml:space="preserve">المتقدمة لكفالة وفائها بالمتطلبات والمعايير المحددة في الفقرة </w:t>
      </w:r>
      <w:r>
        <w:rPr>
          <w:lang w:val="en-US" w:bidi="ar-EG"/>
        </w:rPr>
        <w:t>6</w:t>
      </w:r>
      <w:r>
        <w:rPr>
          <w:rFonts w:hint="cs"/>
          <w:i/>
          <w:iCs/>
          <w:rtl/>
          <w:lang w:val="en-US" w:bidi="ar-EG"/>
        </w:rPr>
        <w:t xml:space="preserve"> </w:t>
      </w:r>
      <w:r w:rsidRPr="00C70466">
        <w:rPr>
          <w:rFonts w:hint="eastAsia"/>
          <w:i/>
          <w:iCs/>
          <w:rtl/>
          <w:lang w:val="en-US" w:bidi="ar-EG"/>
        </w:rPr>
        <w:t> أ )</w:t>
      </w:r>
      <w:r>
        <w:rPr>
          <w:rFonts w:hint="eastAsia"/>
          <w:rtl/>
          <w:lang w:val="en-US" w:bidi="ar-EG"/>
        </w:rPr>
        <w:t xml:space="preserve"> أعلاه</w:t>
      </w:r>
      <w:r>
        <w:rPr>
          <w:rFonts w:hint="cs"/>
          <w:rtl/>
          <w:lang w:val="en-US" w:bidi="ar-EG"/>
        </w:rPr>
        <w:t>. ويمكن أن يستفيد هذا التقييم من</w:t>
      </w:r>
      <w:r>
        <w:rPr>
          <w:rFonts w:hint="eastAsia"/>
          <w:rtl/>
          <w:lang w:val="en-US" w:bidi="ar-EG"/>
        </w:rPr>
        <w:t> </w:t>
      </w:r>
      <w:r>
        <w:rPr>
          <w:rFonts w:hint="cs"/>
          <w:rtl/>
          <w:lang w:val="en-US" w:bidi="ar-EG"/>
        </w:rPr>
        <w:t xml:space="preserve">مبادئ تفاعل قطاع الاتصالات الراديوية مع المنظمات الأخرى على النحو المفصَّل في القرار </w:t>
      </w:r>
      <w:r>
        <w:rPr>
          <w:lang w:val="en-US" w:bidi="ar-EG"/>
        </w:rPr>
        <w:t>ITU-R 9</w:t>
      </w:r>
      <w:r>
        <w:rPr>
          <w:rFonts w:hint="cs"/>
          <w:rtl/>
          <w:lang w:val="en-US" w:bidi="ar-EG"/>
        </w:rPr>
        <w:t>؛</w:t>
      </w:r>
    </w:p>
    <w:p w:rsidR="00E903CA" w:rsidRPr="00855333" w:rsidRDefault="00E903CA" w:rsidP="00E903CA">
      <w:pPr>
        <w:pStyle w:val="enumlev10"/>
        <w:rPr>
          <w:spacing w:val="-2"/>
          <w:rtl/>
          <w:lang w:val="en-US" w:bidi="ar-EG"/>
        </w:rPr>
      </w:pPr>
      <w:r w:rsidRPr="00855333">
        <w:rPr>
          <w:i/>
          <w:iCs/>
          <w:spacing w:val="-2"/>
          <w:rtl/>
          <w:lang w:val="en-US" w:bidi="ar-EG"/>
        </w:rPr>
        <w:t>ﻫ</w:t>
      </w:r>
      <w:r w:rsidRPr="00855333">
        <w:rPr>
          <w:rFonts w:hint="cs"/>
          <w:i/>
          <w:iCs/>
          <w:spacing w:val="-2"/>
          <w:rtl/>
          <w:lang w:val="en-US" w:bidi="ar-EG"/>
        </w:rPr>
        <w:t xml:space="preserve"> )</w:t>
      </w:r>
      <w:r w:rsidRPr="00855333">
        <w:rPr>
          <w:rFonts w:hint="cs"/>
          <w:spacing w:val="-2"/>
          <w:rtl/>
          <w:lang w:val="en-US" w:bidi="ar-EG"/>
        </w:rPr>
        <w:tab/>
        <w:t>بناء توافق الآراء بهدف إحراز الاتساق، استجابة للفقرتين "</w:t>
      </w:r>
      <w:r w:rsidRPr="00855333">
        <w:rPr>
          <w:rFonts w:hint="cs"/>
          <w:i/>
          <w:iCs/>
          <w:spacing w:val="-2"/>
          <w:rtl/>
          <w:lang w:val="en-US" w:bidi="ar-EG"/>
        </w:rPr>
        <w:t>إذ تضع في اعتبارها</w:t>
      </w:r>
      <w:r w:rsidRPr="00855333">
        <w:rPr>
          <w:rFonts w:hint="cs"/>
          <w:spacing w:val="-2"/>
          <w:rtl/>
          <w:lang w:val="en-US" w:bidi="ar-EG"/>
        </w:rPr>
        <w:t>" و"</w:t>
      </w:r>
      <w:r w:rsidRPr="00855333">
        <w:rPr>
          <w:rFonts w:hint="cs"/>
          <w:i/>
          <w:iCs/>
          <w:spacing w:val="-2"/>
          <w:rtl/>
          <w:lang w:val="en-US" w:bidi="ar-EG"/>
        </w:rPr>
        <w:t>إذ تدرك</w:t>
      </w:r>
      <w:r w:rsidRPr="00855333">
        <w:rPr>
          <w:rFonts w:hint="cs"/>
          <w:spacing w:val="-2"/>
          <w:rtl/>
          <w:lang w:val="en-US" w:bidi="ar-EG"/>
        </w:rPr>
        <w:t>" من هذا القرار، وهو ما ينطوي على إمكانية دعم واسع من الصناعة للسطوح البينية الراديوية التي تجري صياغتها للاتصالات المتنقلة الدولية-المتقدمة؛</w:t>
      </w:r>
    </w:p>
    <w:p w:rsidR="00E903CA" w:rsidRPr="00E21CE6" w:rsidRDefault="00E903CA" w:rsidP="00E21CE6">
      <w:pPr>
        <w:pStyle w:val="enumlev10"/>
        <w:rPr>
          <w:spacing w:val="4"/>
          <w:rtl/>
          <w:lang w:val="en-US" w:bidi="ar-EG"/>
        </w:rPr>
      </w:pPr>
      <w:r w:rsidRPr="00E21CE6">
        <w:rPr>
          <w:rFonts w:hint="cs"/>
          <w:i/>
          <w:iCs/>
          <w:spacing w:val="4"/>
          <w:rtl/>
          <w:lang w:val="en-US" w:bidi="ar-EG"/>
        </w:rPr>
        <w:t>و )</w:t>
      </w:r>
      <w:r w:rsidRPr="00E21CE6">
        <w:rPr>
          <w:rFonts w:hint="cs"/>
          <w:spacing w:val="4"/>
          <w:rtl/>
          <w:lang w:val="en-US" w:bidi="ar-EG"/>
        </w:rPr>
        <w:tab/>
        <w:t xml:space="preserve">مرحلة تقييس يقوم فيها قطاع الاتصالات الراديوية بصياغة توصية (توصيات) لمواصفات السطح البيني الراديوي للاتصالات المتنقلة الدولية-المتقدمة على أساس نتائج تقرير التقييم (المذكور في الفقرة </w:t>
      </w:r>
      <w:r w:rsidRPr="00E21CE6">
        <w:rPr>
          <w:spacing w:val="4"/>
          <w:lang w:val="en-US" w:bidi="ar-EG"/>
        </w:rPr>
        <w:t>6</w:t>
      </w:r>
      <w:r w:rsidRPr="00E21CE6">
        <w:rPr>
          <w:rFonts w:hint="cs"/>
          <w:spacing w:val="4"/>
          <w:rtl/>
          <w:lang w:val="en-US" w:bidi="ar-EG"/>
        </w:rPr>
        <w:t xml:space="preserve"> </w:t>
      </w:r>
      <w:r w:rsidRPr="00E21CE6">
        <w:rPr>
          <w:rFonts w:hint="cs"/>
          <w:i/>
          <w:iCs/>
          <w:spacing w:val="4"/>
          <w:rtl/>
          <w:lang w:val="en-US" w:bidi="ar-EG"/>
        </w:rPr>
        <w:t>د)</w:t>
      </w:r>
      <w:r w:rsidRPr="00E21CE6">
        <w:rPr>
          <w:rFonts w:hint="cs"/>
          <w:spacing w:val="4"/>
          <w:rtl/>
          <w:lang w:val="en-US" w:bidi="ar-EG"/>
        </w:rPr>
        <w:t xml:space="preserve"> من </w:t>
      </w:r>
      <w:r w:rsidRPr="00E21CE6">
        <w:rPr>
          <w:rFonts w:hint="cs"/>
          <w:i/>
          <w:iCs/>
          <w:spacing w:val="4"/>
          <w:rtl/>
          <w:lang w:val="en-US" w:bidi="ar-EG"/>
        </w:rPr>
        <w:t>تقـرر</w:t>
      </w:r>
      <w:r w:rsidRPr="00E21CE6">
        <w:rPr>
          <w:rFonts w:hint="cs"/>
          <w:spacing w:val="4"/>
          <w:rtl/>
          <w:lang w:val="en-US" w:bidi="ar-EG"/>
        </w:rPr>
        <w:t xml:space="preserve">) وعلى أساس توافق الآراء (المحدد في الفقرة </w:t>
      </w:r>
      <w:r w:rsidRPr="00E21CE6">
        <w:rPr>
          <w:spacing w:val="4"/>
          <w:lang w:val="en-US" w:bidi="ar-EG"/>
        </w:rPr>
        <w:t>6</w:t>
      </w:r>
      <w:r w:rsidRPr="00E21CE6">
        <w:rPr>
          <w:rFonts w:hint="cs"/>
          <w:spacing w:val="4"/>
          <w:rtl/>
          <w:lang w:val="en-US" w:bidi="ar-EG"/>
        </w:rPr>
        <w:t xml:space="preserve"> </w:t>
      </w:r>
      <w:r w:rsidRPr="00E21CE6">
        <w:rPr>
          <w:i/>
          <w:iCs/>
          <w:spacing w:val="4"/>
          <w:rtl/>
          <w:lang w:val="en-US" w:bidi="ar-EG"/>
        </w:rPr>
        <w:t>ﻫ</w:t>
      </w:r>
      <w:r w:rsidRPr="00E21CE6">
        <w:rPr>
          <w:rFonts w:hint="cs"/>
          <w:i/>
          <w:iCs/>
          <w:spacing w:val="4"/>
          <w:rtl/>
          <w:lang w:val="en-US" w:bidi="ar-EG"/>
        </w:rPr>
        <w:t>)</w:t>
      </w:r>
      <w:r w:rsidRPr="00E21CE6">
        <w:rPr>
          <w:rFonts w:hint="cs"/>
          <w:spacing w:val="4"/>
          <w:rtl/>
          <w:lang w:val="en-US" w:bidi="ar-EG"/>
        </w:rPr>
        <w:t xml:space="preserve"> من </w:t>
      </w:r>
      <w:r w:rsidRPr="00E21CE6">
        <w:rPr>
          <w:rFonts w:hint="cs"/>
          <w:i/>
          <w:iCs/>
          <w:spacing w:val="4"/>
          <w:rtl/>
          <w:lang w:val="en-US" w:bidi="ar-EG"/>
        </w:rPr>
        <w:t>تقـرر</w:t>
      </w:r>
      <w:r w:rsidRPr="00E21CE6">
        <w:rPr>
          <w:rFonts w:hint="cs"/>
          <w:spacing w:val="4"/>
          <w:rtl/>
          <w:lang w:val="en-US" w:bidi="ar-EG"/>
        </w:rPr>
        <w:t>) مع التأكد من أن المواصفات تفي بالمتطلبات التقنية ومعايير التقييم المحدَّدة في</w:t>
      </w:r>
      <w:r w:rsidR="00E21CE6" w:rsidRPr="00E21CE6">
        <w:rPr>
          <w:rFonts w:hint="eastAsia"/>
          <w:spacing w:val="4"/>
          <w:rtl/>
          <w:lang w:val="en-US" w:bidi="ar-EG"/>
        </w:rPr>
        <w:t> </w:t>
      </w:r>
      <w:r w:rsidRPr="00E21CE6">
        <w:rPr>
          <w:rFonts w:hint="cs"/>
          <w:spacing w:val="4"/>
          <w:rtl/>
          <w:lang w:val="en-US" w:bidi="ar-EG"/>
        </w:rPr>
        <w:t xml:space="preserve">الفقرة </w:t>
      </w:r>
      <w:r w:rsidRPr="00E21CE6">
        <w:rPr>
          <w:spacing w:val="4"/>
          <w:lang w:val="en-US" w:bidi="ar-EG"/>
        </w:rPr>
        <w:t>6</w:t>
      </w:r>
      <w:r w:rsidRPr="00E21CE6">
        <w:rPr>
          <w:rFonts w:hint="cs"/>
          <w:spacing w:val="4"/>
          <w:rtl/>
          <w:lang w:val="en-US" w:bidi="ar-EG"/>
        </w:rPr>
        <w:t xml:space="preserve"> </w:t>
      </w:r>
      <w:r w:rsidRPr="00E21CE6">
        <w:rPr>
          <w:rFonts w:hint="cs"/>
          <w:i/>
          <w:iCs/>
          <w:spacing w:val="4"/>
          <w:rtl/>
          <w:lang w:val="en-US" w:bidi="ar-EG"/>
        </w:rPr>
        <w:t>أ)</w:t>
      </w:r>
      <w:r w:rsidRPr="00E21CE6">
        <w:rPr>
          <w:rFonts w:hint="cs"/>
          <w:spacing w:val="4"/>
          <w:rtl/>
          <w:lang w:val="en-US" w:bidi="ar-EG"/>
        </w:rPr>
        <w:t xml:space="preserve"> أو </w:t>
      </w:r>
      <w:r w:rsidRPr="00E21CE6">
        <w:rPr>
          <w:spacing w:val="4"/>
          <w:lang w:val="en-US" w:bidi="ar-EG"/>
        </w:rPr>
        <w:t>6</w:t>
      </w:r>
      <w:r w:rsidRPr="00E21CE6">
        <w:rPr>
          <w:rFonts w:hint="cs"/>
          <w:spacing w:val="4"/>
          <w:rtl/>
          <w:lang w:val="en-US" w:bidi="ar-EG"/>
        </w:rPr>
        <w:t xml:space="preserve"> </w:t>
      </w:r>
      <w:r w:rsidRPr="00E21CE6">
        <w:rPr>
          <w:rFonts w:hint="cs"/>
          <w:i/>
          <w:iCs/>
          <w:spacing w:val="4"/>
          <w:rtl/>
          <w:lang w:val="en-US" w:bidi="ar-EG"/>
        </w:rPr>
        <w:t>ز).</w:t>
      </w:r>
      <w:r w:rsidRPr="00E21CE6">
        <w:rPr>
          <w:rFonts w:hint="cs"/>
          <w:spacing w:val="4"/>
          <w:rtl/>
          <w:lang w:val="en-US" w:bidi="ar-EG"/>
        </w:rPr>
        <w:t xml:space="preserve"> وفي هذه المرحلة التقييسية، يمكن أن يسير العمل بالتعاون مع المنظمات ذات الصلة الخارجة عن الاتحاد لاستكمال الأعمال الجارية داخل قطاع الاتصالات الراديوية باستعمال المبادئ المعروضة في</w:t>
      </w:r>
      <w:r w:rsidRPr="00E21CE6">
        <w:rPr>
          <w:rFonts w:hint="eastAsia"/>
          <w:spacing w:val="4"/>
          <w:rtl/>
          <w:lang w:val="en-US" w:bidi="ar-EG"/>
        </w:rPr>
        <w:t> </w:t>
      </w:r>
      <w:r w:rsidRPr="00E21CE6">
        <w:rPr>
          <w:rFonts w:hint="cs"/>
          <w:spacing w:val="4"/>
          <w:rtl/>
          <w:lang w:val="en-US" w:bidi="ar-EG"/>
        </w:rPr>
        <w:t xml:space="preserve">القرار </w:t>
      </w:r>
      <w:r w:rsidRPr="00E21CE6">
        <w:rPr>
          <w:spacing w:val="4"/>
          <w:lang w:val="en-US" w:bidi="ar-EG"/>
        </w:rPr>
        <w:t>ITU-R 9</w:t>
      </w:r>
      <w:r w:rsidRPr="00E21CE6">
        <w:rPr>
          <w:rFonts w:hint="cs"/>
          <w:spacing w:val="4"/>
          <w:rtl/>
          <w:lang w:val="en-US" w:bidi="ar-EG"/>
        </w:rPr>
        <w:t>؛</w:t>
      </w:r>
    </w:p>
    <w:p w:rsidR="00E903CA" w:rsidRDefault="00E903CA" w:rsidP="00E903CA">
      <w:pPr>
        <w:pStyle w:val="enumlev10"/>
        <w:rPr>
          <w:rtl/>
          <w:lang w:val="en-US" w:bidi="ar-EG"/>
        </w:rPr>
      </w:pPr>
      <w:r w:rsidRPr="00DE5EEA">
        <w:rPr>
          <w:rFonts w:hint="cs"/>
          <w:i/>
          <w:iCs/>
          <w:rtl/>
          <w:lang w:val="en-US" w:bidi="ar-EG"/>
        </w:rPr>
        <w:t>ز )</w:t>
      </w:r>
      <w:r>
        <w:rPr>
          <w:rFonts w:hint="cs"/>
          <w:rtl/>
          <w:lang w:val="en-US" w:bidi="ar-EG"/>
        </w:rPr>
        <w:tab/>
        <w:t xml:space="preserve">استعراض الحد الأدنى من المتطلبات التقنية ومعايير التطبيق المحدَّدة في الفقرة </w:t>
      </w:r>
      <w:r>
        <w:rPr>
          <w:lang w:val="en-US" w:bidi="ar-EG"/>
        </w:rPr>
        <w:t>6</w:t>
      </w:r>
      <w:r>
        <w:rPr>
          <w:rFonts w:hint="cs"/>
          <w:rtl/>
          <w:lang w:val="en-US" w:bidi="ar-EG"/>
        </w:rPr>
        <w:t xml:space="preserve"> </w:t>
      </w:r>
      <w:r>
        <w:rPr>
          <w:rFonts w:hint="eastAsia"/>
          <w:rtl/>
          <w:lang w:val="en-US" w:bidi="ar-EG"/>
        </w:rPr>
        <w:t> </w:t>
      </w:r>
      <w:r w:rsidRPr="00C70466">
        <w:rPr>
          <w:rFonts w:hint="eastAsia"/>
          <w:i/>
          <w:iCs/>
          <w:rtl/>
          <w:lang w:val="en-US" w:bidi="ar-EG"/>
        </w:rPr>
        <w:t>أ</w:t>
      </w:r>
      <w:r w:rsidR="00ED2A2D">
        <w:rPr>
          <w:rFonts w:hint="cs"/>
          <w:i/>
          <w:iCs/>
          <w:rtl/>
          <w:lang w:val="en-US" w:bidi="ar-EG"/>
        </w:rPr>
        <w:t> </w:t>
      </w:r>
      <w:r w:rsidRPr="00C70466">
        <w:rPr>
          <w:rFonts w:hint="eastAsia"/>
          <w:i/>
          <w:iCs/>
          <w:rtl/>
          <w:lang w:val="en-US" w:bidi="ar-EG"/>
        </w:rPr>
        <w:t>)</w:t>
      </w:r>
      <w:r>
        <w:rPr>
          <w:rFonts w:hint="eastAsia"/>
          <w:rtl/>
          <w:lang w:val="en-US" w:bidi="ar-EG"/>
        </w:rPr>
        <w:t xml:space="preserve">، مع مراعاة التطورات التكنولوجية </w:t>
      </w:r>
      <w:r>
        <w:rPr>
          <w:rFonts w:hint="cs"/>
          <w:rtl/>
          <w:lang w:val="en-US" w:bidi="ar-EG"/>
        </w:rPr>
        <w:t>ومتطلبات المستعمل النهائي التي تتغيَّر مع مرور الوقت. ونظراً لتغير الحد الأدنى من المتطلبات التقنية ومعايير التقييم، فيتم توصيف هذه المتطلبات والمعايير في صيغ منفصلة للاتصالات المتنقلة الدولية-المتقدمة، وتشمل هذه العملية استعراض الصيغ الحالية لمعرفة ما إن كان ينبغي أن تظل سارية أم لا؛</w:t>
      </w:r>
    </w:p>
    <w:p w:rsidR="00E903CA" w:rsidRDefault="00E903CA" w:rsidP="00E903CA">
      <w:pPr>
        <w:pStyle w:val="enumlev10"/>
        <w:rPr>
          <w:rtl/>
          <w:lang w:val="en-US" w:bidi="ar-EG"/>
        </w:rPr>
      </w:pPr>
      <w:r w:rsidRPr="00DE5EEA">
        <w:rPr>
          <w:rFonts w:hint="cs"/>
          <w:i/>
          <w:iCs/>
          <w:rtl/>
          <w:lang w:val="en-US" w:bidi="ar-EG"/>
        </w:rPr>
        <w:t>ح)</w:t>
      </w:r>
      <w:r>
        <w:rPr>
          <w:rFonts w:hint="cs"/>
          <w:rtl/>
          <w:lang w:val="en-US" w:bidi="ar-EG"/>
        </w:rPr>
        <w:tab/>
        <w:t>عملية مستمرة وسريعة يمكن في إطارها تقديم اقتراحات جديدة بشأن تكنولوجيا السطح البيني الراديوي وتحديث المواصفات الجارية للسطح البيني الراديوي. وينبغي أن تتسم هذه العملية بالمرونة للسماح لمقدِّمي الاقتراحات بالتماس التقييم على أساس أي صيغة من المعايير المعتمدة السارية في المرحلة المعنية،</w:t>
      </w:r>
    </w:p>
    <w:p w:rsidR="00E903CA" w:rsidRPr="000D15B8" w:rsidRDefault="00E903CA" w:rsidP="00E903CA">
      <w:pPr>
        <w:pStyle w:val="Call"/>
        <w:rPr>
          <w:rtl/>
        </w:rPr>
      </w:pPr>
      <w:r w:rsidRPr="000D15B8">
        <w:rPr>
          <w:rFonts w:hint="cs"/>
          <w:rtl/>
        </w:rPr>
        <w:t>تكلِّف مدير مكتب الاتصالات الراديوية</w:t>
      </w:r>
    </w:p>
    <w:p w:rsidR="00E903CA" w:rsidRDefault="00E903CA" w:rsidP="00E903CA">
      <w:pPr>
        <w:rPr>
          <w:rtl/>
          <w:lang w:val="en-US" w:bidi="ar-EG"/>
        </w:rPr>
      </w:pPr>
      <w:r w:rsidRPr="00C70466">
        <w:rPr>
          <w:lang w:val="en-US" w:bidi="ar-EG"/>
        </w:rPr>
        <w:t>1</w:t>
      </w:r>
      <w:r>
        <w:rPr>
          <w:rFonts w:hint="cs"/>
          <w:rtl/>
          <w:lang w:val="en-US" w:bidi="ar-EG"/>
        </w:rPr>
        <w:tab/>
        <w:t xml:space="preserve">بأن يكفل إحاطة أنصار تكنولوجيات السطوح البينية الراديوية للاتصالات المتنقلة الدولية-المتقدمة ومعاييرها، بسياسة حقوق الملكية الفكرية في قطاع الاتصالات الراديوية عملاً بالقرار </w:t>
      </w:r>
      <w:r>
        <w:rPr>
          <w:lang w:val="en-US" w:bidi="ar-EG"/>
        </w:rPr>
        <w:t>ITU</w:t>
      </w:r>
      <w:r>
        <w:rPr>
          <w:lang w:val="en-US" w:bidi="ar-EG"/>
        </w:rPr>
        <w:noBreakHyphen/>
        <w:t>R 1</w:t>
      </w:r>
      <w:r w:rsidR="004A1269">
        <w:rPr>
          <w:lang w:val="en-US" w:bidi="ar-EG"/>
        </w:rPr>
        <w:t>-6</w:t>
      </w:r>
      <w:r>
        <w:rPr>
          <w:rFonts w:hint="cs"/>
          <w:rtl/>
          <w:lang w:val="en-US" w:bidi="ar-EG"/>
        </w:rPr>
        <w:t>؛</w:t>
      </w:r>
    </w:p>
    <w:p w:rsidR="00E903CA" w:rsidRPr="000A7369" w:rsidRDefault="00E903CA" w:rsidP="00E903CA">
      <w:pPr>
        <w:rPr>
          <w:rtl/>
          <w:lang w:val="en-US" w:bidi="ar-EG"/>
        </w:rPr>
      </w:pPr>
      <w:r w:rsidRPr="00C70466">
        <w:rPr>
          <w:lang w:val="en-US" w:bidi="ar-EG"/>
        </w:rPr>
        <w:t>2</w:t>
      </w:r>
      <w:r>
        <w:rPr>
          <w:rFonts w:hint="cs"/>
          <w:rtl/>
          <w:lang w:val="en-US" w:bidi="ar-EG"/>
        </w:rPr>
        <w:tab/>
        <w:t>بتقديم الدعم اللازم وتنفيذ الإجراءات الملائمة للوفاء بمتطلبات فقرات "</w:t>
      </w:r>
      <w:r>
        <w:rPr>
          <w:rFonts w:hint="cs"/>
          <w:i/>
          <w:iCs/>
          <w:rtl/>
          <w:lang w:val="en-US" w:bidi="ar-EG"/>
        </w:rPr>
        <w:t>يقـرر</w:t>
      </w:r>
      <w:r>
        <w:rPr>
          <w:rFonts w:hint="cs"/>
          <w:rtl/>
          <w:lang w:val="en-US" w:bidi="ar-EG"/>
        </w:rPr>
        <w:t>" أعلاه، بما في ذلك إرسال رسالة معممة تدعو إلى تقديم اقتراحات بشأن تكنولوجيات السطوح البينية الراديوية.</w:t>
      </w:r>
    </w:p>
    <w:sectPr w:rsidR="00E903CA" w:rsidRPr="000A7369" w:rsidSect="006A644C">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3CA" w:rsidRDefault="00E903CA" w:rsidP="00F9134D">
      <w:pPr>
        <w:spacing w:before="0" w:line="240" w:lineRule="auto"/>
      </w:pPr>
      <w:r>
        <w:separator/>
      </w:r>
    </w:p>
  </w:endnote>
  <w:endnote w:type="continuationSeparator" w:id="0">
    <w:p w:rsidR="00E903CA" w:rsidRDefault="00E903CA"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FD8" w:rsidRDefault="002E2F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AC" w:rsidRPr="002E2FD8" w:rsidRDefault="00591AAC" w:rsidP="002E2FD8">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2E2FD8" w:rsidRDefault="006A644C" w:rsidP="002E2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3CA" w:rsidRDefault="00E903CA" w:rsidP="00F9134D">
      <w:pPr>
        <w:spacing w:before="0" w:line="240" w:lineRule="auto"/>
      </w:pPr>
      <w:r>
        <w:separator/>
      </w:r>
    </w:p>
  </w:footnote>
  <w:footnote w:type="continuationSeparator" w:id="0">
    <w:p w:rsidR="00E903CA" w:rsidRDefault="00E903CA" w:rsidP="00F9134D">
      <w:pPr>
        <w:spacing w:before="0" w:line="240" w:lineRule="auto"/>
      </w:pPr>
      <w:r>
        <w:continuationSeparator/>
      </w:r>
    </w:p>
  </w:footnote>
  <w:footnote w:id="1">
    <w:p w:rsidR="00E903CA" w:rsidRPr="00031006" w:rsidRDefault="00E903CA" w:rsidP="00D57CBA">
      <w:pPr>
        <w:pStyle w:val="Footnotetexte"/>
      </w:pPr>
      <w:r>
        <w:rPr>
          <w:rStyle w:val="FootnoteReference"/>
        </w:rPr>
        <w:footnoteRef/>
      </w:r>
      <w:r>
        <w:rPr>
          <w:rFonts w:hint="cs"/>
          <w:rtl/>
        </w:rPr>
        <w:tab/>
      </w:r>
      <w:r>
        <w:rPr>
          <w:rFonts w:hint="cs"/>
          <w:rtl/>
          <w:lang w:bidi="ar-EG"/>
        </w:rPr>
        <w:t>ستشمل أنظمة ما بعد الاتصالات المتنقلة الدولية-</w:t>
      </w:r>
      <w:r>
        <w:rPr>
          <w:lang w:bidi="ar-EG"/>
        </w:rPr>
        <w:t>2000</w:t>
      </w:r>
      <w:r>
        <w:rPr>
          <w:rFonts w:hint="cs"/>
          <w:rtl/>
          <w:lang w:bidi="ar-EG"/>
        </w:rPr>
        <w:t xml:space="preserve">، كما يرد وصفها في التوصية </w:t>
      </w:r>
      <w:r>
        <w:rPr>
          <w:lang w:bidi="ar-EG"/>
        </w:rPr>
        <w:t>ITU</w:t>
      </w:r>
      <w:r>
        <w:rPr>
          <w:lang w:bidi="ar-EG"/>
        </w:rPr>
        <w:noBreakHyphen/>
        <w:t>R M.1645</w:t>
      </w:r>
      <w:r>
        <w:rPr>
          <w:rFonts w:hint="cs"/>
          <w:rtl/>
          <w:lang w:bidi="ar-EG"/>
        </w:rPr>
        <w:t>، قدرات الأنظمة السابقة، ويمكن أيضاً أن يكون تعزيز الاتصالات المتنقلة الدولية-</w:t>
      </w:r>
      <w:r>
        <w:rPr>
          <w:lang w:bidi="ar-EG"/>
        </w:rPr>
        <w:t>2000</w:t>
      </w:r>
      <w:r>
        <w:rPr>
          <w:rFonts w:hint="cs"/>
          <w:rtl/>
          <w:lang w:bidi="ar-EG"/>
        </w:rPr>
        <w:t xml:space="preserve"> وتطوراتها المقبلة التي تفي بالمعايير الواردة في الفقرة </w:t>
      </w:r>
      <w:r>
        <w:rPr>
          <w:lang w:bidi="ar-EG"/>
        </w:rPr>
        <w:t>2</w:t>
      </w:r>
      <w:r>
        <w:rPr>
          <w:rFonts w:hint="cs"/>
          <w:rtl/>
          <w:lang w:bidi="ar-EG"/>
        </w:rPr>
        <w:t xml:space="preserve"> من </w:t>
      </w:r>
      <w:r w:rsidRPr="009C56E4">
        <w:rPr>
          <w:rFonts w:hint="cs"/>
          <w:i/>
          <w:iCs/>
          <w:rtl/>
          <w:lang w:bidi="ar-EG"/>
        </w:rPr>
        <w:t>يقرر</w:t>
      </w:r>
      <w:r>
        <w:rPr>
          <w:rFonts w:hint="cs"/>
          <w:rtl/>
          <w:lang w:bidi="ar-EG"/>
        </w:rPr>
        <w:t xml:space="preserve"> في القرار </w:t>
      </w:r>
      <w:r>
        <w:rPr>
          <w:lang w:bidi="ar-EG"/>
        </w:rPr>
        <w:t>ITU</w:t>
      </w:r>
      <w:r>
        <w:rPr>
          <w:lang w:bidi="ar-EG"/>
        </w:rPr>
        <w:noBreakHyphen/>
        <w:t>R 56</w:t>
      </w:r>
      <w:r>
        <w:rPr>
          <w:rFonts w:hint="cs"/>
          <w:rtl/>
          <w:lang w:bidi="ar-EG"/>
        </w:rPr>
        <w:t xml:space="preserve"> جزءاً من الاتصالات المتنقلة الدولية-المتقدمة.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FD8" w:rsidRDefault="002E2F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EA5738">
    <w:pPr>
      <w:pStyle w:val="Header"/>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2E2FD8">
      <w:rPr>
        <w:rFonts w:cs="Times New Roman"/>
        <w:noProof/>
        <w:sz w:val="20"/>
        <w:szCs w:val="20"/>
        <w:rtl/>
      </w:rPr>
      <w:t>2</w:t>
    </w:r>
    <w:r w:rsidRPr="006A644C">
      <w:rPr>
        <w:rFonts w:cs="Times New Roman"/>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FD8" w:rsidRDefault="002E2F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CA"/>
    <w:rsid w:val="000041EF"/>
    <w:rsid w:val="00006471"/>
    <w:rsid w:val="00090574"/>
    <w:rsid w:val="000A7B06"/>
    <w:rsid w:val="00160530"/>
    <w:rsid w:val="001608E8"/>
    <w:rsid w:val="00173915"/>
    <w:rsid w:val="001952E0"/>
    <w:rsid w:val="001D17A2"/>
    <w:rsid w:val="0023283D"/>
    <w:rsid w:val="002978F4"/>
    <w:rsid w:val="002B028D"/>
    <w:rsid w:val="002C116F"/>
    <w:rsid w:val="002E2FD8"/>
    <w:rsid w:val="002E625E"/>
    <w:rsid w:val="002E6541"/>
    <w:rsid w:val="00357185"/>
    <w:rsid w:val="003F678F"/>
    <w:rsid w:val="0042686F"/>
    <w:rsid w:val="00443869"/>
    <w:rsid w:val="00485E39"/>
    <w:rsid w:val="004A1269"/>
    <w:rsid w:val="004E7162"/>
    <w:rsid w:val="00501E0E"/>
    <w:rsid w:val="0055516A"/>
    <w:rsid w:val="00583FE7"/>
    <w:rsid w:val="00585C67"/>
    <w:rsid w:val="00591AAC"/>
    <w:rsid w:val="0060468A"/>
    <w:rsid w:val="006A644C"/>
    <w:rsid w:val="006B7027"/>
    <w:rsid w:val="006C51D4"/>
    <w:rsid w:val="006F63F7"/>
    <w:rsid w:val="00706D7A"/>
    <w:rsid w:val="007E24ED"/>
    <w:rsid w:val="00803F08"/>
    <w:rsid w:val="008235CD"/>
    <w:rsid w:val="00850B5D"/>
    <w:rsid w:val="008513CB"/>
    <w:rsid w:val="00855333"/>
    <w:rsid w:val="00951C29"/>
    <w:rsid w:val="00952D2C"/>
    <w:rsid w:val="00982B28"/>
    <w:rsid w:val="009946EC"/>
    <w:rsid w:val="009B581E"/>
    <w:rsid w:val="00A8197E"/>
    <w:rsid w:val="00A90068"/>
    <w:rsid w:val="00A97F94"/>
    <w:rsid w:val="00B23259"/>
    <w:rsid w:val="00B507B5"/>
    <w:rsid w:val="00B60766"/>
    <w:rsid w:val="00BF2C38"/>
    <w:rsid w:val="00C51DAD"/>
    <w:rsid w:val="00C674FE"/>
    <w:rsid w:val="00C75633"/>
    <w:rsid w:val="00C95648"/>
    <w:rsid w:val="00C96345"/>
    <w:rsid w:val="00CD4F4A"/>
    <w:rsid w:val="00CE2EE1"/>
    <w:rsid w:val="00CF3FFD"/>
    <w:rsid w:val="00D01BDF"/>
    <w:rsid w:val="00D57CBA"/>
    <w:rsid w:val="00D77D0F"/>
    <w:rsid w:val="00DA1CF0"/>
    <w:rsid w:val="00DC24B4"/>
    <w:rsid w:val="00DC4055"/>
    <w:rsid w:val="00DE7D8E"/>
    <w:rsid w:val="00DF16DC"/>
    <w:rsid w:val="00E17033"/>
    <w:rsid w:val="00E21CE6"/>
    <w:rsid w:val="00E45211"/>
    <w:rsid w:val="00E62E03"/>
    <w:rsid w:val="00E903CA"/>
    <w:rsid w:val="00EA5738"/>
    <w:rsid w:val="00ED2A2D"/>
    <w:rsid w:val="00F00A41"/>
    <w:rsid w:val="00F401D0"/>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5E2C52E-AD85-45FD-B593-72A59773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3CA"/>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raditional Arabic"/>
      <w:szCs w:val="30"/>
      <w:lang w:val="en-GB" w:eastAsia="en-US"/>
    </w:rPr>
  </w:style>
  <w:style w:type="paragraph" w:styleId="Heading1">
    <w:name w:val="heading 1"/>
    <w:basedOn w:val="Normal"/>
    <w:next w:val="Normal"/>
    <w:link w:val="Heading1Char"/>
    <w:uiPriority w:val="9"/>
    <w:qFormat/>
    <w:rsid w:val="00B60766"/>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ind w:left="794" w:hanging="794"/>
      <w:textAlignment w:val="auto"/>
      <w:outlineLvl w:val="0"/>
    </w:pPr>
    <w:rPr>
      <w:rFonts w:eastAsiaTheme="majorEastAsia"/>
      <w:b/>
      <w:bCs/>
      <w:sz w:val="26"/>
      <w:szCs w:val="36"/>
      <w:lang w:val="en-US" w:eastAsia="zh-CN"/>
    </w:rPr>
  </w:style>
  <w:style w:type="paragraph" w:styleId="Heading2">
    <w:name w:val="heading 2"/>
    <w:basedOn w:val="Normal"/>
    <w:next w:val="Normal"/>
    <w:link w:val="Heading2Char"/>
    <w:uiPriority w:val="9"/>
    <w:unhideWhenUsed/>
    <w:qFormat/>
    <w:rsid w:val="0016053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00"/>
      <w:ind w:left="794" w:hanging="794"/>
      <w:textAlignment w:val="auto"/>
      <w:outlineLvl w:val="1"/>
    </w:pPr>
    <w:rPr>
      <w:rFonts w:eastAsiaTheme="majorEastAsia"/>
      <w:b/>
      <w:bCs/>
      <w:sz w:val="24"/>
      <w:szCs w:val="32"/>
      <w:lang w:val="en-US" w:eastAsia="zh-CN"/>
    </w:rPr>
  </w:style>
  <w:style w:type="paragraph" w:styleId="Heading3">
    <w:name w:val="heading 3"/>
    <w:basedOn w:val="Normal"/>
    <w:next w:val="Normal"/>
    <w:link w:val="Heading3Char"/>
    <w:uiPriority w:val="9"/>
    <w:unhideWhenUsed/>
    <w:qFormat/>
    <w:rsid w:val="0016053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ind w:left="794" w:hanging="794"/>
      <w:textAlignment w:val="auto"/>
      <w:outlineLvl w:val="2"/>
    </w:pPr>
    <w:rPr>
      <w:rFonts w:eastAsiaTheme="majorEastAsia"/>
      <w:b/>
      <w:bCs/>
      <w:lang w:val="en-US" w:eastAsia="zh-CN"/>
    </w:rPr>
  </w:style>
  <w:style w:type="paragraph" w:styleId="Heading4">
    <w:name w:val="heading 4"/>
    <w:basedOn w:val="Normal"/>
    <w:next w:val="Normal"/>
    <w:link w:val="Heading4Char"/>
    <w:uiPriority w:val="9"/>
    <w:unhideWhenUsed/>
    <w:qFormat/>
    <w:rsid w:val="0016053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ind w:left="794" w:hanging="794"/>
      <w:textAlignment w:val="auto"/>
      <w:outlineLvl w:val="3"/>
    </w:pPr>
    <w:rPr>
      <w:rFonts w:eastAsiaTheme="majorEastAsia"/>
      <w:b/>
      <w:bCs/>
      <w:lang w:val="en-US" w:eastAsia="zh-CN"/>
    </w:rPr>
  </w:style>
  <w:style w:type="paragraph" w:styleId="Heading5">
    <w:name w:val="heading 5"/>
    <w:basedOn w:val="Normal"/>
    <w:next w:val="Normal"/>
    <w:link w:val="Heading5Char"/>
    <w:uiPriority w:val="9"/>
    <w:unhideWhenUsed/>
    <w:qFormat/>
    <w:rsid w:val="0016053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ind w:left="794" w:hanging="794"/>
      <w:textAlignment w:val="auto"/>
      <w:outlineLvl w:val="4"/>
    </w:pPr>
    <w:rPr>
      <w:rFonts w:eastAsiaTheme="majorEastAsia"/>
      <w:b/>
      <w:bCs/>
      <w:lang w:val="en-US" w:eastAsia="zh-CN"/>
    </w:rPr>
  </w:style>
  <w:style w:type="paragraph" w:styleId="Heading6">
    <w:name w:val="heading 6"/>
    <w:basedOn w:val="Normal"/>
    <w:next w:val="Normal"/>
    <w:link w:val="Heading6Char"/>
    <w:uiPriority w:val="9"/>
    <w:unhideWhenUsed/>
    <w:qFormat/>
    <w:rsid w:val="0016053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ind w:left="794" w:hanging="794"/>
      <w:textAlignment w:val="auto"/>
      <w:outlineLvl w:val="5"/>
    </w:pPr>
    <w:rPr>
      <w:rFonts w:eastAsiaTheme="majorEastAsia"/>
      <w:b/>
      <w:bCs/>
      <w:lang w:val="en-US" w:eastAsia="zh-CN"/>
    </w:rPr>
  </w:style>
  <w:style w:type="paragraph" w:styleId="Heading7">
    <w:name w:val="heading 7"/>
    <w:basedOn w:val="Normal"/>
    <w:next w:val="Normal"/>
    <w:link w:val="Heading7Char"/>
    <w:uiPriority w:val="9"/>
    <w:unhideWhenUsed/>
    <w:qFormat/>
    <w:rsid w:val="0016053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ind w:left="794" w:hanging="794"/>
      <w:textAlignment w:val="auto"/>
      <w:outlineLvl w:val="6"/>
    </w:pPr>
    <w:rPr>
      <w:rFonts w:eastAsiaTheme="majorEastAsia"/>
      <w:b/>
      <w:bCs/>
      <w:lang w:val="en-US" w:eastAsia="zh-CN"/>
    </w:rPr>
  </w:style>
  <w:style w:type="paragraph" w:styleId="Heading8">
    <w:name w:val="heading 8"/>
    <w:basedOn w:val="Normal"/>
    <w:next w:val="Normal"/>
    <w:link w:val="Heading8Char"/>
    <w:uiPriority w:val="9"/>
    <w:unhideWhenUsed/>
    <w:qFormat/>
    <w:rsid w:val="0016053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ind w:left="794" w:hanging="794"/>
      <w:textAlignment w:val="auto"/>
      <w:outlineLvl w:val="7"/>
    </w:pPr>
    <w:rPr>
      <w:rFonts w:eastAsiaTheme="majorEastAsia"/>
      <w:b/>
      <w:bCs/>
      <w:lang w:val="en-US" w:eastAsia="zh-CN"/>
    </w:rPr>
  </w:style>
  <w:style w:type="paragraph" w:styleId="Heading9">
    <w:name w:val="heading 9"/>
    <w:basedOn w:val="Normal"/>
    <w:next w:val="Normal"/>
    <w:link w:val="Heading9Char"/>
    <w:uiPriority w:val="9"/>
    <w:unhideWhenUsed/>
    <w:qFormat/>
    <w:rsid w:val="0016053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ind w:left="794" w:hanging="794"/>
      <w:textAlignment w:val="auto"/>
      <w:outlineLvl w:val="8"/>
    </w:pPr>
    <w:rPr>
      <w:rFonts w:eastAsiaTheme="majorEastAsia"/>
      <w:b/>
      <w:b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textAlignment w:val="auto"/>
    </w:pPr>
    <w:rPr>
      <w:rFonts w:eastAsiaTheme="minorEastAsia"/>
      <w:i/>
      <w:iCs/>
      <w:lang w:val="en-US" w:eastAsia="zh-CN"/>
    </w:rPr>
  </w:style>
  <w:style w:type="paragraph" w:customStyle="1" w:styleId="AgendaItem">
    <w:name w:val="Agenda Item"/>
    <w:basedOn w:val="Normal"/>
    <w:qFormat/>
    <w:rsid w:val="00B60766"/>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360"/>
      <w:jc w:val="center"/>
      <w:textAlignment w:val="auto"/>
    </w:pPr>
    <w:rPr>
      <w:rFonts w:eastAsiaTheme="minorEastAsia"/>
      <w:sz w:val="26"/>
      <w:szCs w:val="36"/>
      <w:lang w:val="en-US" w:eastAsia="zh-CN"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191"/>
        <w:tab w:val="clear" w:pos="1588"/>
        <w:tab w:val="clear" w:pos="1985"/>
        <w:tab w:val="center" w:pos="4153"/>
        <w:tab w:val="right" w:pos="8306"/>
      </w:tabs>
      <w:overflowPunct/>
      <w:autoSpaceDE/>
      <w:autoSpaceDN/>
      <w:bidi w:val="0"/>
      <w:adjustRightInd/>
      <w:spacing w:before="0" w:line="240" w:lineRule="auto"/>
      <w:jc w:val="left"/>
      <w:textAlignment w:val="auto"/>
    </w:pPr>
    <w:rPr>
      <w:rFonts w:eastAsia="Times New Roman" w:cs="Times New Roman"/>
      <w:sz w:val="24"/>
      <w:szCs w:val="20"/>
      <w:lang w:val="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lang w:val="en-US" w:eastAsia="zh-CN" w:bidi="ar-SY"/>
    </w:rPr>
  </w:style>
  <w:style w:type="paragraph" w:customStyle="1" w:styleId="AppendixNo">
    <w:name w:val="Appendix 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Appendixtitle">
    <w:name w:val="Appendix title"/>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rPr>
  </w:style>
  <w:style w:type="paragraph" w:customStyle="1" w:styleId="ArticleNo">
    <w:name w:val="Article 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sz w:val="26"/>
      <w:szCs w:val="36"/>
      <w:lang w:val="en-US" w:eastAsia="zh-CN"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ind w:left="1588" w:hanging="794"/>
      <w:textAlignment w:val="auto"/>
    </w:pPr>
    <w:rPr>
      <w:rFonts w:eastAsiaTheme="minorEastAsia"/>
      <w:i/>
      <w:iCs/>
      <w:lang w:val="en-US" w:eastAsia="zh-CN"/>
    </w:rPr>
  </w:style>
  <w:style w:type="paragraph" w:customStyle="1" w:styleId="ChapterNo">
    <w:name w:val="Chapter 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0" w:after="120"/>
      <w:jc w:val="center"/>
      <w:textAlignment w:val="auto"/>
    </w:pPr>
    <w:rPr>
      <w:rFonts w:eastAsiaTheme="minorEastAsia"/>
      <w:sz w:val="28"/>
      <w:szCs w:val="40"/>
      <w:lang w:val="en-US" w:eastAsia="zh-CN"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eastAsiaTheme="minorEastAsia"/>
      <w:lang w:val="en-US" w:eastAsia="zh-CN"/>
    </w:r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outlineLvl w:val="0"/>
    </w:pPr>
    <w:rPr>
      <w:rFonts w:eastAsiaTheme="minorEastAsia"/>
      <w:lang w:val="en-US" w:eastAsia="zh-CN" w:bidi="ar-SY"/>
    </w:rPr>
  </w:style>
  <w:style w:type="paragraph" w:customStyle="1" w:styleId="enumlev2">
    <w:name w:val="enumlev 2"/>
    <w:basedOn w:val="Normal"/>
    <w:qFormat/>
    <w:rsid w:val="00501E0E"/>
    <w:pPr>
      <w:tabs>
        <w:tab w:val="clear" w:pos="1191"/>
        <w:tab w:val="clear" w:pos="1588"/>
        <w:tab w:val="clear" w:pos="1985"/>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1588" w:hanging="794"/>
      <w:textAlignment w:val="auto"/>
      <w:outlineLvl w:val="1"/>
    </w:pPr>
    <w:rPr>
      <w:rFonts w:eastAsiaTheme="minorEastAsia"/>
      <w:lang w:val="en-US" w:eastAsia="zh-CN"/>
    </w:rPr>
  </w:style>
  <w:style w:type="paragraph" w:customStyle="1" w:styleId="enumlev3">
    <w:name w:val="enumlev 3"/>
    <w:basedOn w:val="Normal"/>
    <w:qFormat/>
    <w:rsid w:val="00501E0E"/>
    <w:pPr>
      <w:tabs>
        <w:tab w:val="clear" w:pos="794"/>
        <w:tab w:val="clear" w:pos="1191"/>
        <w:tab w:val="clear" w:pos="1588"/>
        <w:tab w:val="clear" w:pos="198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2382" w:hanging="794"/>
      <w:textAlignment w:val="auto"/>
      <w:outlineLvl w:val="2"/>
    </w:pPr>
    <w:rPr>
      <w:rFonts w:eastAsiaTheme="minorEastAsia"/>
      <w:lang w:val="en-US" w:eastAsia="zh-CN" w:bidi="ar-SY"/>
    </w:rPr>
  </w:style>
  <w:style w:type="paragraph" w:customStyle="1" w:styleId="Figurelegend">
    <w:name w:val="Figure legend"/>
    <w:basedOn w:val="Normal"/>
    <w:qFormat/>
    <w:rsid w:val="00501E0E"/>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textAlignment w:val="auto"/>
    </w:pPr>
    <w:rPr>
      <w:rFonts w:eastAsiaTheme="minorEastAsia"/>
      <w:lang w:val="en-US" w:eastAsia="zh-CN" w:bidi="ar-SY"/>
    </w:rPr>
  </w:style>
  <w:style w:type="paragraph" w:styleId="FootnoteText">
    <w:name w:val="footnote text"/>
    <w:basedOn w:val="Normal"/>
    <w:link w:val="FootnoteTextChar"/>
    <w:unhideWhenUsed/>
    <w:qFormat/>
    <w:rsid w:val="002E6541"/>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textAlignment w:val="auto"/>
    </w:pPr>
    <w:rPr>
      <w:rFonts w:eastAsiaTheme="minorEastAsia"/>
      <w:sz w:val="20"/>
      <w:szCs w:val="26"/>
      <w:lang w:val="en-US" w:eastAsia="zh-CN"/>
    </w:rPr>
  </w:style>
  <w:style w:type="character" w:styleId="FootnoteReference">
    <w:name w:val="footnote reference"/>
    <w:basedOn w:val="DefaultParagraphFont"/>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val="en-US" w:eastAsia="zh-CN" w:bidi="ar-SY"/>
    </w:rPr>
  </w:style>
  <w:style w:type="paragraph" w:customStyle="1" w:styleId="Note">
    <w:name w:val="Note"/>
    <w:basedOn w:val="Normal"/>
    <w:qFormat/>
    <w:rsid w:val="00501E0E"/>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textAlignment w:val="auto"/>
    </w:pPr>
    <w:rPr>
      <w:rFonts w:eastAsiaTheme="minorEastAsia"/>
      <w:lang w:val="en-US" w:eastAsia="zh-CN"/>
    </w:r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lang w:val="en-US" w:eastAsia="zh-CN"/>
    </w:rPr>
  </w:style>
  <w:style w:type="paragraph" w:customStyle="1" w:styleId="RecNo">
    <w:name w:val="Rec_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Rectitle">
    <w:name w:val="Rec_title"/>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rPr>
  </w:style>
  <w:style w:type="paragraph" w:customStyle="1" w:styleId="Referencetexte">
    <w:name w:val="Reference texte"/>
    <w:basedOn w:val="Normal"/>
    <w:qFormat/>
    <w:rsid w:val="00501E0E"/>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lang w:val="en-US" w:eastAsia="zh-CN"/>
    </w:rPr>
  </w:style>
  <w:style w:type="paragraph" w:customStyle="1" w:styleId="PartNo">
    <w:name w:val="Part 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80" w:after="240"/>
      <w:jc w:val="center"/>
      <w:textAlignment w:val="auto"/>
    </w:pPr>
    <w:rPr>
      <w:rFonts w:eastAsiaTheme="minorEastAsia"/>
      <w:b/>
      <w:bCs/>
      <w:sz w:val="28"/>
      <w:szCs w:val="40"/>
      <w:lang w:val="en-US" w:eastAsia="zh-CN"/>
    </w:rPr>
  </w:style>
  <w:style w:type="paragraph" w:customStyle="1" w:styleId="Section1">
    <w:name w:val="Section 1"/>
    <w:basedOn w:val="Normal"/>
    <w:qFormat/>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240"/>
      <w:jc w:val="center"/>
      <w:textAlignment w:val="auto"/>
    </w:pPr>
    <w:rPr>
      <w:rFonts w:eastAsiaTheme="minorEastAsia"/>
      <w:b/>
      <w:bCs/>
      <w:sz w:val="26"/>
      <w:szCs w:val="36"/>
      <w:lang w:val="en-US" w:eastAsia="zh-CN"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Sectiontitle">
    <w:name w:val="Section title"/>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Y"/>
    </w:rPr>
  </w:style>
  <w:style w:type="paragraph" w:customStyle="1" w:styleId="Source">
    <w:name w:val="Source"/>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40" w:after="240"/>
      <w:jc w:val="center"/>
      <w:textAlignment w:val="auto"/>
    </w:pPr>
    <w:rPr>
      <w:rFonts w:eastAsiaTheme="minorEastAsia"/>
      <w:b/>
      <w:bCs/>
      <w:sz w:val="32"/>
      <w:szCs w:val="44"/>
      <w:lang w:val="en-US" w:eastAsia="zh-CN"/>
    </w:rPr>
  </w:style>
  <w:style w:type="paragraph" w:customStyle="1" w:styleId="FigureNo">
    <w:name w:val="Figure No"/>
    <w:basedOn w:val="Normal"/>
    <w:qFormat/>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lang w:val="en-US" w:eastAsia="zh-CN" w:bidi="ar-SY"/>
    </w:rPr>
  </w:style>
  <w:style w:type="paragraph" w:customStyle="1" w:styleId="Figuretitle">
    <w:name w:val="Figure title"/>
    <w:basedOn w:val="Normal"/>
    <w:qFormat/>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240"/>
      <w:jc w:val="center"/>
      <w:textAlignment w:val="auto"/>
    </w:pPr>
    <w:rPr>
      <w:rFonts w:eastAsiaTheme="minorEastAsia"/>
      <w:b/>
      <w:bCs/>
      <w:lang w:val="en-US" w:eastAsia="zh-CN"/>
    </w:rPr>
  </w:style>
  <w:style w:type="paragraph" w:customStyle="1" w:styleId="TableNo">
    <w:name w:val="Table No"/>
    <w:basedOn w:val="Normal"/>
    <w:qFormat/>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lang w:val="en-US" w:eastAsia="zh-CN"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pPr>
    <w:rPr>
      <w:rFonts w:eastAsiaTheme="minorEastAsia"/>
      <w:b/>
      <w:bCs/>
      <w:sz w:val="20"/>
      <w:szCs w:val="26"/>
      <w:lang w:val="en-US" w:eastAsia="zh-CN"/>
    </w:rPr>
  </w:style>
  <w:style w:type="paragraph" w:customStyle="1" w:styleId="Tabletexte">
    <w:name w:val="Table texte"/>
    <w:basedOn w:val="Normal"/>
    <w:qFormat/>
    <w:rsid w:val="00952D2C"/>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pPr>
    <w:rPr>
      <w:rFonts w:eastAsiaTheme="minorEastAsia"/>
      <w:sz w:val="20"/>
      <w:szCs w:val="26"/>
      <w:lang w:val="en-US" w:eastAsia="zh-CN" w:bidi="ar-SY"/>
    </w:rPr>
  </w:style>
  <w:style w:type="paragraph" w:customStyle="1" w:styleId="Title1">
    <w:name w:val="Title 1"/>
    <w:basedOn w:val="Normal"/>
    <w:qFormat/>
    <w:rsid w:val="00B60766"/>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jc w:val="center"/>
      <w:textAlignment w:val="auto"/>
    </w:pPr>
    <w:rPr>
      <w:rFonts w:eastAsiaTheme="minorEastAsia"/>
      <w:w w:val="110"/>
      <w:sz w:val="28"/>
      <w:szCs w:val="40"/>
      <w:lang w:val="en-US" w:eastAsia="zh-CN"/>
    </w:rPr>
  </w:style>
  <w:style w:type="paragraph" w:customStyle="1" w:styleId="Title2">
    <w:name w:val="Title 2"/>
    <w:basedOn w:val="Normal"/>
    <w:qFormat/>
    <w:rsid w:val="00951C29"/>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jc w:val="center"/>
      <w:textAlignment w:val="auto"/>
    </w:pPr>
    <w:rPr>
      <w:rFonts w:eastAsiaTheme="minorEastAsia"/>
      <w:sz w:val="26"/>
      <w:szCs w:val="36"/>
      <w:lang w:val="en-US" w:eastAsia="zh-CN"/>
    </w:rPr>
  </w:style>
  <w:style w:type="paragraph" w:customStyle="1" w:styleId="Title3">
    <w:name w:val="Title 3"/>
    <w:basedOn w:val="Normal"/>
    <w:qFormat/>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240"/>
      <w:jc w:val="center"/>
      <w:textAlignment w:val="auto"/>
    </w:pPr>
    <w:rPr>
      <w:rFonts w:eastAsiaTheme="minorEastAsia"/>
      <w:sz w:val="26"/>
      <w:szCs w:val="36"/>
      <w:lang w:val="en-US" w:eastAsia="zh-CN"/>
    </w:rPr>
  </w:style>
  <w:style w:type="paragraph" w:styleId="TOC1">
    <w:name w:val="toc 1"/>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720" w:hanging="720"/>
      <w:textAlignment w:val="auto"/>
    </w:pPr>
    <w:rPr>
      <w:rFonts w:eastAsiaTheme="minorEastAsia"/>
      <w:lang w:val="en-US" w:eastAsia="zh-CN"/>
    </w:rPr>
  </w:style>
  <w:style w:type="paragraph" w:styleId="TOC2">
    <w:name w:val="toc 2"/>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1514" w:hanging="720"/>
      <w:textAlignment w:val="auto"/>
    </w:pPr>
    <w:rPr>
      <w:rFonts w:eastAsiaTheme="minorEastAsia"/>
      <w:lang w:val="en-US" w:eastAsia="zh-CN"/>
    </w:rPr>
  </w:style>
  <w:style w:type="paragraph" w:styleId="TOC3">
    <w:name w:val="toc 3"/>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2308" w:hanging="720"/>
      <w:textAlignment w:val="auto"/>
    </w:pPr>
    <w:rPr>
      <w:rFonts w:eastAsiaTheme="minorEastAsia"/>
      <w:lang w:val="en-US" w:eastAsia="zh-CN"/>
    </w:rPr>
  </w:style>
  <w:style w:type="paragraph" w:styleId="TOC4">
    <w:name w:val="toc 4"/>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3045" w:hanging="720"/>
      <w:textAlignment w:val="auto"/>
    </w:pPr>
    <w:rPr>
      <w:rFonts w:eastAsiaTheme="minorEastAsia"/>
      <w:lang w:val="en-US" w:eastAsia="zh-CN"/>
    </w:rPr>
  </w:style>
  <w:style w:type="paragraph" w:styleId="TOC5">
    <w:name w:val="toc 5"/>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3782" w:hanging="720"/>
      <w:textAlignment w:val="auto"/>
    </w:pPr>
    <w:rPr>
      <w:rFonts w:eastAsiaTheme="minorEastAsia"/>
      <w:lang w:val="en-US" w:eastAsia="zh-CN"/>
    </w:rPr>
  </w:style>
  <w:style w:type="paragraph" w:styleId="TOC6">
    <w:name w:val="toc 6"/>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4519" w:hanging="720"/>
      <w:textAlignment w:val="auto"/>
    </w:pPr>
    <w:rPr>
      <w:rFonts w:eastAsiaTheme="minorEastAsia"/>
      <w:lang w:val="en-US" w:eastAsia="zh-CN"/>
    </w:rPr>
  </w:style>
  <w:style w:type="paragraph" w:styleId="TOC7">
    <w:name w:val="toc 7"/>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5256" w:hanging="720"/>
      <w:textAlignment w:val="auto"/>
    </w:pPr>
    <w:rPr>
      <w:rFonts w:eastAsiaTheme="minorEastAsia"/>
      <w:lang w:val="en-US" w:eastAsia="zh-CN"/>
    </w:rPr>
  </w:style>
  <w:style w:type="paragraph" w:styleId="TOC8">
    <w:name w:val="toc 8"/>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6050" w:hanging="720"/>
      <w:textAlignment w:val="auto"/>
    </w:pPr>
    <w:rPr>
      <w:rFonts w:eastAsiaTheme="minorEastAsia"/>
      <w:lang w:val="en-US" w:eastAsia="zh-CN" w:bidi="ar-SY"/>
    </w:rPr>
  </w:style>
  <w:style w:type="paragraph" w:styleId="TOC9">
    <w:name w:val="toc 9"/>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6787" w:hanging="720"/>
      <w:textAlignment w:val="auto"/>
    </w:pPr>
    <w:rPr>
      <w:rFonts w:eastAsiaTheme="minorEastAsia"/>
      <w:lang w:val="en-US" w:eastAsia="zh-CN"/>
    </w:rPr>
  </w:style>
  <w:style w:type="paragraph" w:customStyle="1" w:styleId="VolumeNo">
    <w:name w:val="Volume No"/>
    <w:basedOn w:val="Normal"/>
    <w:qFormat/>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textAlignment w:val="auto"/>
    </w:pPr>
    <w:rPr>
      <w:rFonts w:eastAsiaTheme="majorEastAsia"/>
      <w:b/>
      <w:bCs/>
      <w:color w:val="FF0000"/>
      <w:kern w:val="28"/>
      <w:sz w:val="28"/>
      <w:szCs w:val="40"/>
      <w:lang w:val="en-US" w:eastAsia="zh-CN"/>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Resolutiontitle">
    <w:name w:val="Resolution title"/>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Y"/>
    </w:rPr>
  </w:style>
  <w:style w:type="paragraph" w:customStyle="1" w:styleId="OpinionNo">
    <w:name w:val="Opinion 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Opiniontitle">
    <w:name w:val="Opinion title"/>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rPr>
  </w:style>
  <w:style w:type="paragraph" w:styleId="Signature">
    <w:name w:val="Signature"/>
    <w:basedOn w:val="Normal"/>
    <w:link w:val="SignatureChar"/>
    <w:uiPriority w:val="99"/>
    <w:semiHidden/>
    <w:unhideWhenUsed/>
    <w:qFormat/>
    <w:rsid w:val="008235CD"/>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440"/>
      <w:jc w:val="left"/>
      <w:textAlignment w:val="auto"/>
    </w:pPr>
    <w:rPr>
      <w:rFonts w:eastAsiaTheme="minorEastAsia"/>
      <w:lang w:val="en-US" w:eastAsia="zh-CN"/>
    </w:r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191"/>
        <w:tab w:val="clear" w:pos="1588"/>
        <w:tab w:val="clear" w:pos="1985"/>
        <w:tab w:val="center" w:pos="4680"/>
        <w:tab w:val="right" w:pos="9360"/>
      </w:tabs>
      <w:overflowPunct/>
      <w:autoSpaceDE/>
      <w:autoSpaceDN/>
      <w:adjustRightInd/>
      <w:spacing w:before="0" w:line="240" w:lineRule="auto"/>
      <w:textAlignment w:val="auto"/>
    </w:pPr>
    <w:rPr>
      <w:rFonts w:eastAsiaTheme="minorEastAsia"/>
      <w:lang w:val="en-US" w:eastAsia="zh-CN"/>
    </w:r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360"/>
      <w:ind w:left="864" w:right="864"/>
      <w:jc w:val="center"/>
      <w:textAlignment w:val="auto"/>
    </w:pPr>
    <w:rPr>
      <w:rFonts w:eastAsiaTheme="minorEastAsia"/>
      <w:i/>
      <w:iCs/>
      <w:color w:val="FF0000"/>
      <w:lang w:val="en-US" w:eastAsia="zh-CN"/>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00" w:after="160"/>
      <w:ind w:left="864" w:right="864"/>
      <w:jc w:val="center"/>
      <w:textAlignment w:val="auto"/>
    </w:pPr>
    <w:rPr>
      <w:rFonts w:eastAsiaTheme="minorEastAsia"/>
      <w:i/>
      <w:iCs/>
      <w:color w:val="FF0000"/>
      <w:lang w:val="en-US" w:eastAsia="zh-CN"/>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60"/>
      <w:textAlignment w:val="auto"/>
    </w:pPr>
    <w:rPr>
      <w:rFonts w:asciiTheme="minorHAnsi" w:eastAsiaTheme="minorEastAsia" w:hAnsiTheme="minorHAnsi" w:cstheme="minorBidi"/>
      <w:color w:val="FF0000"/>
      <w:spacing w:val="15"/>
      <w:szCs w:val="22"/>
      <w:lang w:val="en-US" w:eastAsia="zh-CN"/>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ind w:left="794" w:hanging="794"/>
      <w:textAlignment w:val="auto"/>
    </w:pPr>
    <w:rPr>
      <w:rFonts w:ascii="Times New Roman Bold" w:eastAsiaTheme="minorEastAsia" w:hAnsi="Times New Roman Bold"/>
      <w:b/>
      <w:bCs/>
      <w:lang w:val="en-US" w:eastAsia="zh-CN" w:bidi="ar-SY"/>
    </w:rPr>
  </w:style>
  <w:style w:type="paragraph" w:customStyle="1" w:styleId="Footnotetexte">
    <w:name w:val="Footnote texte"/>
    <w:basedOn w:val="Normal"/>
    <w:qFormat/>
    <w:rsid w:val="002C116F"/>
    <w:pPr>
      <w:tabs>
        <w:tab w:val="clear" w:pos="1191"/>
        <w:tab w:val="clear" w:pos="1588"/>
        <w:tab w:val="clear" w:pos="1985"/>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textAlignment w:val="auto"/>
    </w:pPr>
    <w:rPr>
      <w:rFonts w:eastAsiaTheme="minorEastAsia"/>
      <w:sz w:val="20"/>
      <w:szCs w:val="26"/>
      <w:lang w:val="en-US" w:eastAsia="zh-CN"/>
    </w:rPr>
  </w:style>
  <w:style w:type="paragraph" w:customStyle="1" w:styleId="Tablelegend">
    <w:name w:val="Table legend"/>
    <w:basedOn w:val="Normal"/>
    <w:qFormat/>
    <w:rsid w:val="002C116F"/>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textAlignment w:val="auto"/>
    </w:pPr>
    <w:rPr>
      <w:rFonts w:eastAsiaTheme="minorEastAsia"/>
      <w:lang w:val="en-US" w:eastAsia="zh-CN" w:bidi="ar-SY"/>
    </w:rPr>
  </w:style>
  <w:style w:type="paragraph" w:customStyle="1" w:styleId="Firstpageheader">
    <w:name w:val="First page header"/>
    <w:basedOn w:val="Normal"/>
    <w:qFormat/>
    <w:rsid w:val="00C51DAD"/>
    <w:pPr>
      <w:framePr w:hSpace="181" w:wrap="around" w:vAnchor="page" w:hAnchor="text" w:xAlign="center" w:y="721"/>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jc w:val="left"/>
      <w:textAlignment w:val="auto"/>
    </w:pPr>
    <w:rPr>
      <w:rFonts w:ascii="Verdana Bold" w:eastAsiaTheme="minorEastAsia" w:hAnsi="Verdana Bold"/>
      <w:b/>
      <w:bCs/>
      <w:sz w:val="19"/>
      <w:lang w:val="en-US" w:eastAsia="zh-CN" w:bidi="ar-EG"/>
    </w:rPr>
  </w:style>
  <w:style w:type="paragraph" w:customStyle="1" w:styleId="QuestionNo">
    <w:name w:val="Question_No"/>
    <w:basedOn w:val="Normal"/>
    <w:qFormat/>
    <w:rsid w:val="00C51DAD"/>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Normalaftertitle0">
    <w:name w:val="Normal_after_title"/>
    <w:basedOn w:val="Normal"/>
    <w:next w:val="Normal"/>
    <w:rsid w:val="00E903CA"/>
    <w:pPr>
      <w:spacing w:before="360"/>
    </w:pPr>
  </w:style>
  <w:style w:type="character" w:customStyle="1" w:styleId="CallChar">
    <w:name w:val="Call Char"/>
    <w:basedOn w:val="DefaultParagraphFont"/>
    <w:link w:val="Call"/>
    <w:rsid w:val="00E903CA"/>
    <w:rPr>
      <w:rFonts w:ascii="Times New Roman" w:hAnsi="Times New Roman" w:cs="Traditional Arabic"/>
      <w:i/>
      <w:iCs/>
      <w:szCs w:val="30"/>
    </w:rPr>
  </w:style>
  <w:style w:type="paragraph" w:customStyle="1" w:styleId="enumlev10">
    <w:name w:val="enumlev1"/>
    <w:basedOn w:val="Normal"/>
    <w:link w:val="enumlev1Char"/>
    <w:qFormat/>
    <w:rsid w:val="00E903CA"/>
    <w:pPr>
      <w:spacing w:before="80"/>
      <w:ind w:left="794" w:hanging="794"/>
    </w:pPr>
    <w:rPr>
      <w:rFonts w:eastAsia="Batang"/>
    </w:rPr>
  </w:style>
  <w:style w:type="paragraph" w:customStyle="1" w:styleId="ResNo">
    <w:name w:val="Res_No"/>
    <w:basedOn w:val="Normal"/>
    <w:next w:val="Normal"/>
    <w:link w:val="ResNoChar"/>
    <w:rsid w:val="00E903CA"/>
    <w:pPr>
      <w:spacing w:before="240"/>
      <w:jc w:val="center"/>
    </w:pPr>
    <w:rPr>
      <w:sz w:val="28"/>
      <w:szCs w:val="40"/>
    </w:rPr>
  </w:style>
  <w:style w:type="character" w:customStyle="1" w:styleId="ResNoChar">
    <w:name w:val="Res_No Char"/>
    <w:basedOn w:val="DefaultParagraphFont"/>
    <w:link w:val="ResNo"/>
    <w:rsid w:val="00E903CA"/>
    <w:rPr>
      <w:rFonts w:ascii="Times New Roman" w:eastAsia="SimSun" w:hAnsi="Times New Roman" w:cs="Traditional Arabic"/>
      <w:sz w:val="28"/>
      <w:szCs w:val="40"/>
      <w:lang w:val="en-GB" w:eastAsia="en-US"/>
    </w:rPr>
  </w:style>
  <w:style w:type="character" w:customStyle="1" w:styleId="enumlev1Char">
    <w:name w:val="enumlev1 Char"/>
    <w:basedOn w:val="DefaultParagraphFont"/>
    <w:link w:val="enumlev10"/>
    <w:rsid w:val="00E903CA"/>
    <w:rPr>
      <w:rFonts w:ascii="Times New Roman" w:eastAsia="Batang" w:hAnsi="Times New Roman" w:cs="Traditional Arabic"/>
      <w:szCs w:val="30"/>
      <w:lang w:val="en-GB" w:eastAsia="en-US"/>
    </w:rPr>
  </w:style>
  <w:style w:type="paragraph" w:customStyle="1" w:styleId="Restitel">
    <w:name w:val="Res_titel"/>
    <w:basedOn w:val="Normal"/>
    <w:next w:val="Normal"/>
    <w:link w:val="RestitelChar"/>
    <w:rsid w:val="00E903CA"/>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E903CA"/>
    <w:rPr>
      <w:rFonts w:ascii="Times New Roman Bold" w:eastAsia="Times New Roman" w:hAnsi="Times New Roman Bold" w:cs="Traditional Arabic"/>
      <w:b/>
      <w:bCs/>
      <w:sz w:val="2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Desktop\FINRE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4E17A-8DA3-4939-9186-9C0F5EFDA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FINRES_RA15.dotx</Template>
  <TotalTime>39</TotalTime>
  <Pages>3</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Santa Rita Fernandes, Augusto Cesar</cp:lastModifiedBy>
  <cp:revision>14</cp:revision>
  <dcterms:created xsi:type="dcterms:W3CDTF">2015-11-04T16:11:00Z</dcterms:created>
  <dcterms:modified xsi:type="dcterms:W3CDTF">2015-11-06T11:21:00Z</dcterms:modified>
</cp:coreProperties>
</file>