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5F" w:rsidRDefault="0007725F" w:rsidP="00A261A4">
      <w:pPr>
        <w:pStyle w:val="ResNo"/>
        <w:rPr>
          <w:lang w:val="fr-FR" w:eastAsia="zh-CN"/>
        </w:rPr>
      </w:pPr>
      <w:bookmarkStart w:id="0" w:name="_GoBack"/>
      <w:r>
        <w:rPr>
          <w:lang w:val="fr-FR" w:eastAsia="zh-CN"/>
        </w:rPr>
        <w:t>ITU-R</w:t>
      </w:r>
      <w:r w:rsidRPr="00623D22">
        <w:rPr>
          <w:rStyle w:val="hrefChar"/>
          <w:rFonts w:hint="eastAsia"/>
          <w:lang w:eastAsia="zh-CN"/>
        </w:rPr>
        <w:t>第</w:t>
      </w:r>
      <w:r w:rsidRPr="00623D22">
        <w:rPr>
          <w:rStyle w:val="hrefChar"/>
          <w:lang w:eastAsia="zh-CN"/>
        </w:rPr>
        <w:t>43</w:t>
      </w:r>
      <w:r w:rsidRPr="00623D22">
        <w:rPr>
          <w:rStyle w:val="hrefChar"/>
          <w:rFonts w:hint="eastAsia"/>
          <w:lang w:eastAsia="zh-CN"/>
        </w:rPr>
        <w:t>号决议</w:t>
      </w:r>
    </w:p>
    <w:bookmarkEnd w:id="0"/>
    <w:p w:rsidR="0007725F" w:rsidRDefault="0007725F" w:rsidP="0007725F">
      <w:pPr>
        <w:pStyle w:val="Restitle"/>
        <w:rPr>
          <w:lang w:eastAsia="zh-CN"/>
        </w:rPr>
      </w:pPr>
      <w:r>
        <w:rPr>
          <w:rFonts w:hint="eastAsia"/>
          <w:lang w:eastAsia="zh-CN"/>
        </w:rPr>
        <w:t>部门准成员的权利</w:t>
      </w:r>
    </w:p>
    <w:p w:rsidR="0007725F" w:rsidRDefault="0007725F" w:rsidP="0007725F">
      <w:pPr>
        <w:pStyle w:val="Resdate"/>
        <w:rPr>
          <w:lang w:eastAsia="zh-CN"/>
        </w:rPr>
      </w:pPr>
      <w:r>
        <w:rPr>
          <w:rFonts w:hint="eastAsia"/>
          <w:lang w:eastAsia="zh-CN"/>
        </w:rPr>
        <w:t>（</w:t>
      </w:r>
      <w:r>
        <w:rPr>
          <w:lang w:eastAsia="zh-CN"/>
        </w:rPr>
        <w:t>2000</w:t>
      </w:r>
      <w:r>
        <w:rPr>
          <w:rFonts w:hint="eastAsia"/>
          <w:lang w:eastAsia="zh-CN"/>
        </w:rPr>
        <w:t>年）</w:t>
      </w:r>
    </w:p>
    <w:p w:rsidR="0007725F" w:rsidRDefault="0007725F" w:rsidP="0007725F">
      <w:pPr>
        <w:pStyle w:val="Normalaftertitle0"/>
        <w:rPr>
          <w:lang w:eastAsia="zh-CN"/>
        </w:rPr>
      </w:pPr>
      <w:r>
        <w:rPr>
          <w:rFonts w:hint="eastAsia"/>
          <w:lang w:eastAsia="zh-CN"/>
        </w:rPr>
        <w:t>国际电联无线电通信全会，</w:t>
      </w:r>
    </w:p>
    <w:p w:rsidR="0007725F" w:rsidRDefault="0007725F" w:rsidP="0007725F">
      <w:pPr>
        <w:pStyle w:val="Call"/>
        <w:rPr>
          <w:lang w:eastAsia="zh-CN"/>
        </w:rPr>
      </w:pPr>
      <w:r>
        <w:rPr>
          <w:rFonts w:hint="eastAsia"/>
          <w:iCs/>
          <w:lang w:eastAsia="zh-CN"/>
        </w:rPr>
        <w:t>考虑到</w:t>
      </w:r>
    </w:p>
    <w:p w:rsidR="0007725F" w:rsidRDefault="0007725F" w:rsidP="0007725F">
      <w:pPr>
        <w:spacing w:after="60" w:line="360" w:lineRule="atLeast"/>
        <w:jc w:val="both"/>
        <w:rPr>
          <w:lang w:eastAsia="zh-CN"/>
        </w:rPr>
      </w:pPr>
      <w:r w:rsidRPr="00312062">
        <w:rPr>
          <w:i/>
          <w:iCs/>
          <w:lang w:val="fr-FR" w:eastAsia="zh-CN"/>
        </w:rPr>
        <w:t>a)</w:t>
      </w:r>
      <w:r>
        <w:rPr>
          <w:lang w:eastAsia="zh-CN"/>
        </w:rPr>
        <w:tab/>
      </w:r>
      <w:r>
        <w:rPr>
          <w:rFonts w:hint="eastAsia"/>
          <w:lang w:eastAsia="zh-CN"/>
        </w:rPr>
        <w:t>无线电通信环境及无线电通信产业界的变化的步伐很快，这鼓励了相关实体和组织对无线电通信活动的参与；</w:t>
      </w:r>
    </w:p>
    <w:p w:rsidR="0007725F" w:rsidRDefault="0007725F" w:rsidP="0007725F">
      <w:pPr>
        <w:spacing w:after="60" w:line="360" w:lineRule="atLeast"/>
        <w:jc w:val="both"/>
        <w:rPr>
          <w:lang w:eastAsia="zh-CN"/>
        </w:rPr>
      </w:pPr>
      <w:r w:rsidRPr="00312062">
        <w:rPr>
          <w:i/>
          <w:iCs/>
          <w:lang w:val="fr-FR" w:eastAsia="zh-CN"/>
        </w:rPr>
        <w:t>b)</w:t>
      </w:r>
      <w:r>
        <w:rPr>
          <w:lang w:eastAsia="zh-CN"/>
        </w:rPr>
        <w:tab/>
      </w:r>
      <w:r>
        <w:rPr>
          <w:rFonts w:hint="eastAsia"/>
          <w:spacing w:val="6"/>
          <w:lang w:eastAsia="zh-CN"/>
        </w:rPr>
        <w:t>那些集中在某一领域活动的实体或组织可能仅对无线电通信活动的一小部分感兴趣</w:t>
      </w:r>
      <w:r>
        <w:rPr>
          <w:rFonts w:hint="eastAsia"/>
          <w:lang w:eastAsia="zh-CN"/>
        </w:rPr>
        <w:t>，但却可能因部门成员所需承担的财务义务而使其积极性受到打击；</w:t>
      </w:r>
    </w:p>
    <w:p w:rsidR="0007725F" w:rsidRDefault="0007725F" w:rsidP="0007725F">
      <w:pPr>
        <w:spacing w:after="60" w:line="360" w:lineRule="atLeast"/>
        <w:jc w:val="both"/>
        <w:rPr>
          <w:lang w:eastAsia="zh-CN"/>
        </w:rPr>
      </w:pPr>
      <w:r w:rsidRPr="00312062">
        <w:rPr>
          <w:i/>
          <w:iCs/>
          <w:lang w:val="fr-FR" w:eastAsia="zh-CN"/>
        </w:rPr>
        <w:t>c)</w:t>
      </w:r>
      <w:r>
        <w:rPr>
          <w:lang w:eastAsia="zh-CN"/>
        </w:rPr>
        <w:tab/>
      </w:r>
      <w:r>
        <w:rPr>
          <w:rFonts w:hint="eastAsia"/>
          <w:lang w:eastAsia="zh-CN"/>
        </w:rPr>
        <w:t>国际电联《公约》第</w:t>
      </w:r>
      <w:r>
        <w:rPr>
          <w:lang w:eastAsia="zh-CN"/>
        </w:rPr>
        <w:t>19</w:t>
      </w:r>
      <w:r>
        <w:rPr>
          <w:rFonts w:hint="eastAsia"/>
          <w:lang w:eastAsia="zh-CN"/>
        </w:rPr>
        <w:t>条规定了无线电通信部门可以接受实体或组织以部门准成员的名义参加一个指定的研究组或其附属小组的工作；</w:t>
      </w:r>
    </w:p>
    <w:p w:rsidR="0007725F" w:rsidRDefault="0007725F" w:rsidP="0007725F">
      <w:pPr>
        <w:spacing w:after="60" w:line="360" w:lineRule="atLeast"/>
        <w:jc w:val="both"/>
        <w:rPr>
          <w:lang w:eastAsia="zh-CN"/>
        </w:rPr>
      </w:pPr>
      <w:r w:rsidRPr="00312062">
        <w:rPr>
          <w:i/>
          <w:iCs/>
          <w:lang w:val="fr-FR" w:eastAsia="zh-CN"/>
        </w:rPr>
        <w:t>d)</w:t>
      </w:r>
      <w:r>
        <w:rPr>
          <w:lang w:eastAsia="zh-CN"/>
        </w:rPr>
        <w:tab/>
      </w:r>
      <w:r>
        <w:rPr>
          <w:rFonts w:hint="eastAsia"/>
          <w:lang w:eastAsia="zh-CN"/>
        </w:rPr>
        <w:t>《公约》第</w:t>
      </w:r>
      <w:r>
        <w:rPr>
          <w:lang w:eastAsia="zh-CN"/>
        </w:rPr>
        <w:t>19</w:t>
      </w:r>
      <w:r>
        <w:rPr>
          <w:rFonts w:hint="eastAsia"/>
          <w:lang w:eastAsia="zh-CN"/>
        </w:rPr>
        <w:t>、</w:t>
      </w:r>
      <w:r>
        <w:rPr>
          <w:lang w:eastAsia="zh-CN"/>
        </w:rPr>
        <w:t>20</w:t>
      </w:r>
      <w:r>
        <w:rPr>
          <w:rFonts w:hint="eastAsia"/>
          <w:lang w:eastAsia="zh-CN"/>
        </w:rPr>
        <w:t>和</w:t>
      </w:r>
      <w:r>
        <w:rPr>
          <w:lang w:eastAsia="zh-CN"/>
        </w:rPr>
        <w:t>33</w:t>
      </w:r>
      <w:r>
        <w:rPr>
          <w:rFonts w:hint="eastAsia"/>
          <w:lang w:eastAsia="zh-CN"/>
        </w:rPr>
        <w:t>条包含了有关部门准成员参与的条款，</w:t>
      </w:r>
    </w:p>
    <w:p w:rsidR="0007725F" w:rsidRDefault="0007725F" w:rsidP="0007725F">
      <w:pPr>
        <w:pStyle w:val="Call"/>
        <w:spacing w:before="120" w:after="60" w:line="360" w:lineRule="atLeast"/>
        <w:rPr>
          <w:lang w:eastAsia="zh-CN"/>
        </w:rPr>
      </w:pPr>
      <w:r>
        <w:rPr>
          <w:rFonts w:hint="eastAsia"/>
          <w:iCs/>
          <w:lang w:eastAsia="zh-CN"/>
        </w:rPr>
        <w:t>做出决议</w:t>
      </w:r>
    </w:p>
    <w:p w:rsidR="0007725F" w:rsidRDefault="0007725F" w:rsidP="0007725F">
      <w:pPr>
        <w:spacing w:after="60" w:line="360" w:lineRule="atLeast"/>
        <w:jc w:val="both"/>
        <w:rPr>
          <w:lang w:eastAsia="zh-CN"/>
        </w:rPr>
      </w:pPr>
      <w:r w:rsidRPr="00312062">
        <w:rPr>
          <w:szCs w:val="24"/>
          <w:lang w:eastAsia="zh-CN"/>
        </w:rPr>
        <w:t>1</w:t>
      </w:r>
      <w:r>
        <w:rPr>
          <w:lang w:eastAsia="zh-CN"/>
        </w:rPr>
        <w:tab/>
      </w:r>
      <w:r>
        <w:rPr>
          <w:rFonts w:hint="eastAsia"/>
          <w:lang w:eastAsia="zh-CN"/>
        </w:rPr>
        <w:t>感兴趣的实体或组织可以以部门准成员身份加入无线电通信部门，并有权参加一个选定的研究组及其附属小组的工作；</w:t>
      </w:r>
    </w:p>
    <w:p w:rsidR="0007725F" w:rsidRDefault="0007725F" w:rsidP="0007725F">
      <w:pPr>
        <w:spacing w:after="60" w:line="360" w:lineRule="atLeast"/>
        <w:jc w:val="both"/>
        <w:rPr>
          <w:lang w:eastAsia="zh-CN"/>
        </w:rPr>
      </w:pPr>
      <w:r w:rsidRPr="00312062">
        <w:rPr>
          <w:szCs w:val="24"/>
          <w:lang w:eastAsia="zh-CN"/>
        </w:rPr>
        <w:t>2</w:t>
      </w:r>
      <w:r>
        <w:rPr>
          <w:lang w:eastAsia="zh-CN"/>
        </w:rPr>
        <w:tab/>
      </w:r>
      <w:r>
        <w:rPr>
          <w:rFonts w:hint="eastAsia"/>
          <w:lang w:eastAsia="zh-CN"/>
        </w:rPr>
        <w:t>部门准成员可以在一个研究组的范围内参与建议的准备过程，包括参加会议、提交文稿和必要时在建议通过之前对其提出意见；</w:t>
      </w:r>
    </w:p>
    <w:p w:rsidR="0007725F" w:rsidRDefault="0007725F" w:rsidP="0007725F">
      <w:pPr>
        <w:spacing w:after="60" w:line="360" w:lineRule="atLeast"/>
        <w:jc w:val="both"/>
        <w:rPr>
          <w:lang w:eastAsia="zh-CN"/>
        </w:rPr>
      </w:pPr>
      <w:r w:rsidRPr="00312062">
        <w:rPr>
          <w:szCs w:val="24"/>
          <w:lang w:eastAsia="zh-CN"/>
        </w:rPr>
        <w:t>3</w:t>
      </w:r>
      <w:r>
        <w:rPr>
          <w:lang w:eastAsia="zh-CN"/>
        </w:rPr>
        <w:tab/>
      </w:r>
      <w:r>
        <w:rPr>
          <w:rFonts w:hint="eastAsia"/>
          <w:lang w:eastAsia="zh-CN"/>
        </w:rPr>
        <w:t>部门准成员应被允许使用其所选择的研究组以及工作项目要求的其他研究组的所有文件；</w:t>
      </w:r>
    </w:p>
    <w:p w:rsidR="0007725F" w:rsidRDefault="0007725F" w:rsidP="0007725F">
      <w:pPr>
        <w:jc w:val="both"/>
        <w:rPr>
          <w:lang w:eastAsia="zh-CN"/>
        </w:rPr>
      </w:pPr>
      <w:r w:rsidRPr="00312062">
        <w:rPr>
          <w:szCs w:val="24"/>
          <w:lang w:eastAsia="zh-CN"/>
        </w:rPr>
        <w:t>4</w:t>
      </w:r>
      <w:r>
        <w:rPr>
          <w:lang w:eastAsia="zh-CN"/>
        </w:rPr>
        <w:tab/>
      </w:r>
      <w:r>
        <w:rPr>
          <w:rFonts w:hint="eastAsia"/>
          <w:lang w:eastAsia="zh-CN"/>
        </w:rPr>
        <w:t>部门准成员不得获准参与课题和建议书的表决或批准；</w:t>
      </w:r>
    </w:p>
    <w:p w:rsidR="0007725F" w:rsidRDefault="0007725F" w:rsidP="0007725F">
      <w:pPr>
        <w:jc w:val="both"/>
        <w:rPr>
          <w:lang w:eastAsia="zh-CN"/>
        </w:rPr>
      </w:pPr>
      <w:r w:rsidRPr="00312062">
        <w:rPr>
          <w:szCs w:val="24"/>
          <w:lang w:eastAsia="zh-CN"/>
        </w:rPr>
        <w:t>5</w:t>
      </w:r>
      <w:r>
        <w:rPr>
          <w:lang w:eastAsia="zh-CN"/>
        </w:rPr>
        <w:tab/>
      </w:r>
      <w:r>
        <w:rPr>
          <w:rFonts w:hint="eastAsia"/>
          <w:lang w:eastAsia="zh-CN"/>
        </w:rPr>
        <w:t>部门准成员可以作为其选择的研究组的那些除需单独处理的联络活动以外的活动的报告人（见</w:t>
      </w:r>
      <w:r>
        <w:rPr>
          <w:lang w:eastAsia="zh-CN"/>
        </w:rPr>
        <w:t>ITU-R 1</w:t>
      </w:r>
      <w:r>
        <w:rPr>
          <w:rFonts w:hint="eastAsia"/>
          <w:lang w:eastAsia="zh-CN"/>
        </w:rPr>
        <w:t>号决议第</w:t>
      </w:r>
      <w:r>
        <w:rPr>
          <w:lang w:eastAsia="zh-CN"/>
        </w:rPr>
        <w:t>2.11</w:t>
      </w:r>
      <w:r>
        <w:rPr>
          <w:rFonts w:hint="eastAsia"/>
          <w:lang w:eastAsia="zh-CN"/>
        </w:rPr>
        <w:t>节），</w:t>
      </w:r>
    </w:p>
    <w:p w:rsidR="0007725F" w:rsidRDefault="0007725F" w:rsidP="0007725F">
      <w:pPr>
        <w:pStyle w:val="Call"/>
        <w:rPr>
          <w:lang w:eastAsia="zh-CN"/>
        </w:rPr>
      </w:pPr>
      <w:r>
        <w:rPr>
          <w:rFonts w:hint="eastAsia"/>
          <w:iCs/>
          <w:lang w:eastAsia="zh-CN"/>
        </w:rPr>
        <w:t>敦请</w:t>
      </w:r>
    </w:p>
    <w:p w:rsidR="0007725F" w:rsidRDefault="0007725F" w:rsidP="0007725F">
      <w:pPr>
        <w:jc w:val="both"/>
        <w:rPr>
          <w:lang w:eastAsia="zh-CN"/>
        </w:rPr>
      </w:pPr>
      <w:r w:rsidRPr="00312062">
        <w:rPr>
          <w:szCs w:val="24"/>
          <w:lang w:eastAsia="zh-CN"/>
        </w:rPr>
        <w:t>1</w:t>
      </w:r>
      <w:r>
        <w:rPr>
          <w:lang w:eastAsia="zh-CN"/>
        </w:rPr>
        <w:tab/>
      </w:r>
      <w:r>
        <w:rPr>
          <w:rFonts w:hint="eastAsia"/>
          <w:lang w:eastAsia="zh-CN"/>
        </w:rPr>
        <w:t>理事会来确定部门准成员类别的会费等级，以根据公约第</w:t>
      </w:r>
      <w:r>
        <w:rPr>
          <w:lang w:eastAsia="zh-CN"/>
        </w:rPr>
        <w:t>33</w:t>
      </w:r>
      <w:r>
        <w:rPr>
          <w:rFonts w:hint="eastAsia"/>
          <w:lang w:eastAsia="zh-CN"/>
        </w:rPr>
        <w:t>条的规定并为促进更广泛的参与而共同分摊无线电通信部门及相关研究组的费用，</w:t>
      </w:r>
    </w:p>
    <w:p w:rsidR="0007725F" w:rsidRDefault="0007725F" w:rsidP="0007725F">
      <w:pPr>
        <w:pStyle w:val="Call"/>
        <w:rPr>
          <w:lang w:eastAsia="zh-CN"/>
        </w:rPr>
      </w:pPr>
      <w:r>
        <w:rPr>
          <w:rFonts w:hint="eastAsia"/>
          <w:iCs/>
          <w:lang w:eastAsia="zh-CN"/>
        </w:rPr>
        <w:t>责成无线电通信局主任</w:t>
      </w:r>
    </w:p>
    <w:p w:rsidR="0007725F" w:rsidRPr="009503D9" w:rsidRDefault="0007725F" w:rsidP="0007725F">
      <w:pPr>
        <w:rPr>
          <w:lang w:eastAsia="zh-CN"/>
        </w:rPr>
      </w:pPr>
      <w:r w:rsidRPr="00312062">
        <w:rPr>
          <w:szCs w:val="24"/>
          <w:lang w:eastAsia="zh-CN"/>
        </w:rPr>
        <w:t>1</w:t>
      </w:r>
      <w:r w:rsidRPr="009503D9">
        <w:rPr>
          <w:lang w:eastAsia="zh-CN"/>
        </w:rPr>
        <w:tab/>
      </w:r>
      <w:r w:rsidRPr="009503D9">
        <w:rPr>
          <w:rFonts w:hint="eastAsia"/>
          <w:lang w:eastAsia="zh-CN"/>
        </w:rPr>
        <w:t>采取必要步骤以尽早实施本决议。</w:t>
      </w:r>
    </w:p>
    <w:p w:rsidR="0007725F" w:rsidRDefault="0007725F" w:rsidP="0032202E">
      <w:pPr>
        <w:pStyle w:val="Reasons"/>
        <w:rPr>
          <w:lang w:eastAsia="zh-CN"/>
        </w:rPr>
      </w:pPr>
    </w:p>
    <w:p w:rsidR="00ED2807" w:rsidRDefault="00ED2807" w:rsidP="0032202E">
      <w:pPr>
        <w:pStyle w:val="Reasons"/>
        <w:rPr>
          <w:lang w:eastAsia="zh-CN"/>
        </w:rPr>
      </w:pPr>
    </w:p>
    <w:p w:rsidR="00ED2807" w:rsidRDefault="00ED2807">
      <w:pPr>
        <w:jc w:val="center"/>
      </w:pPr>
      <w:r>
        <w:t>______________</w:t>
      </w:r>
    </w:p>
    <w:p w:rsidR="00970B63" w:rsidRPr="0007725F" w:rsidRDefault="00970B63" w:rsidP="0007725F"/>
    <w:sectPr w:rsidR="00970B63" w:rsidRPr="0007725F" w:rsidSect="009447A3">
      <w:headerReference w:type="default" r:id="rId8"/>
      <w:footerReference w:type="even" r:id="rId9"/>
      <w:footerReference w:type="defaul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5F" w:rsidRDefault="0007725F">
      <w:r>
        <w:separator/>
      </w:r>
    </w:p>
  </w:endnote>
  <w:endnote w:type="continuationSeparator" w:id="0">
    <w:p w:rsidR="0007725F" w:rsidRDefault="0007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7725F">
      <w:rPr>
        <w:noProof/>
        <w:lang w:val="fr-FR"/>
      </w:rPr>
      <w:t>Document1</w:t>
    </w:r>
    <w:r>
      <w:fldChar w:fldCharType="end"/>
    </w:r>
    <w:r w:rsidRPr="00877D12">
      <w:rPr>
        <w:lang w:val="fr-FR"/>
      </w:rPr>
      <w:tab/>
    </w:r>
    <w:r>
      <w:fldChar w:fldCharType="begin"/>
    </w:r>
    <w:r>
      <w:instrText xml:space="preserve"> SAVEDATE \@ DD.MM.YY </w:instrText>
    </w:r>
    <w:r>
      <w:fldChar w:fldCharType="separate"/>
    </w:r>
    <w:r w:rsidR="00A261A4">
      <w:rPr>
        <w:noProof/>
      </w:rPr>
      <w:t>20.01.12</w:t>
    </w:r>
    <w:r>
      <w:fldChar w:fldCharType="end"/>
    </w:r>
    <w:r w:rsidRPr="00877D12">
      <w:rPr>
        <w:lang w:val="fr-FR"/>
      </w:rPr>
      <w:tab/>
    </w:r>
    <w:r>
      <w:fldChar w:fldCharType="begin"/>
    </w:r>
    <w:r>
      <w:instrText xml:space="preserve"> PRINTDATE \@ DD.MM.YY </w:instrText>
    </w:r>
    <w:r>
      <w:fldChar w:fldCharType="separate"/>
    </w:r>
    <w:r w:rsidR="0007725F">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07725F">
      <w:rPr>
        <w:lang w:val="en-US"/>
      </w:rPr>
      <w:t>Document1</w:t>
    </w:r>
    <w:r>
      <w:fldChar w:fldCharType="end"/>
    </w:r>
    <w:r w:rsidRPr="006462D9">
      <w:rPr>
        <w:lang w:val="en-US"/>
      </w:rPr>
      <w:tab/>
    </w:r>
    <w:r>
      <w:fldChar w:fldCharType="begin"/>
    </w:r>
    <w:r>
      <w:instrText xml:space="preserve"> SAVEDATE \@ DD.MM.YY </w:instrText>
    </w:r>
    <w:r>
      <w:fldChar w:fldCharType="separate"/>
    </w:r>
    <w:r w:rsidR="00A261A4">
      <w:t>20.01.12</w:t>
    </w:r>
    <w:r>
      <w:fldChar w:fldCharType="end"/>
    </w:r>
    <w:r w:rsidRPr="006462D9">
      <w:rPr>
        <w:lang w:val="en-US"/>
      </w:rPr>
      <w:tab/>
    </w:r>
    <w:r>
      <w:fldChar w:fldCharType="begin"/>
    </w:r>
    <w:r>
      <w:instrText xml:space="preserve"> PRINTDATE \@ DD.MM.YY </w:instrText>
    </w:r>
    <w:r>
      <w:fldChar w:fldCharType="separate"/>
    </w:r>
    <w:r w:rsidR="0007725F">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5F" w:rsidRDefault="0007725F">
      <w:r>
        <w:rPr>
          <w:b/>
        </w:rPr>
        <w:t>_______________</w:t>
      </w:r>
    </w:p>
  </w:footnote>
  <w:footnote w:type="continuationSeparator" w:id="0">
    <w:p w:rsidR="0007725F" w:rsidRDefault="0007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D2807">
      <w:rPr>
        <w:noProof/>
        <w:lang w:val="en-US"/>
      </w:rPr>
      <w:t>2</w:t>
    </w:r>
    <w:r>
      <w:rPr>
        <w:lang w:val="en-US"/>
      </w:rPr>
      <w:fldChar w:fldCharType="end"/>
    </w:r>
  </w:p>
  <w:p w:rsidR="00586689" w:rsidRPr="009447A3" w:rsidRDefault="00877D12" w:rsidP="006462D9">
    <w:pPr>
      <w:pStyle w:val="Header"/>
      <w:rPr>
        <w:lang w:val="en-US"/>
      </w:rPr>
    </w:pPr>
    <w:r>
      <w:rPr>
        <w:lang w:val="en-US"/>
      </w:rPr>
      <w:t>RA</w:t>
    </w:r>
    <w:r w:rsidR="00FF7A70">
      <w:rPr>
        <w:lang w:val="en-US"/>
      </w:rPr>
      <w:t>12</w:t>
    </w:r>
    <w:r>
      <w:rPr>
        <w:lang w:val="en-US"/>
      </w:rPr>
      <w: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5F"/>
    <w:rsid w:val="0007725F"/>
    <w:rsid w:val="001A41DD"/>
    <w:rsid w:val="001B225D"/>
    <w:rsid w:val="00213F8F"/>
    <w:rsid w:val="003322FF"/>
    <w:rsid w:val="004844C1"/>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261A4"/>
    <w:rsid w:val="00BD2389"/>
    <w:rsid w:val="00BE5003"/>
    <w:rsid w:val="00D471A9"/>
    <w:rsid w:val="00ED2807"/>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25F"/>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eastAsia="SimSun"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eastAsia="SimSun"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rFonts w:eastAsia="SimSun"/>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rPr>
      <w:rFonts w:eastAsia="SimSun"/>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rPr>
      <w:rFonts w:eastAsia="SimSun"/>
    </w:r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rFonts w:eastAsia="SimSun"/>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eastAsia="SimSun"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rFonts w:eastAsia="SimSun"/>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eastAsia="SimSun"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rPr>
      <w:rFonts w:eastAsia="SimSun"/>
    </w:rPr>
  </w:style>
  <w:style w:type="paragraph" w:customStyle="1" w:styleId="Normalaftertitle0">
    <w:name w:val="Normal_after_title"/>
    <w:basedOn w:val="Normal"/>
    <w:next w:val="Normal"/>
    <w:rsid w:val="00FF7A70"/>
    <w:pPr>
      <w:spacing w:before="360"/>
    </w:pPr>
    <w:rPr>
      <w:rFonts w:eastAsia="SimSun"/>
    </w:r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rPr>
      <w:rFonts w:eastAsia="SimSun"/>
    </w:r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eastAsia="SimSun" w:hAnsi="Times New Roman Bold" w:cs="Times New Roman Bold"/>
      <w:b/>
    </w:rPr>
  </w:style>
  <w:style w:type="paragraph" w:customStyle="1" w:styleId="RecNo">
    <w:name w:val="Rec_No"/>
    <w:basedOn w:val="Normal"/>
    <w:next w:val="Normal"/>
    <w:rsid w:val="00FF7A70"/>
    <w:pPr>
      <w:keepNext/>
      <w:keepLines/>
      <w:spacing w:before="480"/>
      <w:jc w:val="center"/>
    </w:pPr>
    <w:rPr>
      <w:rFonts w:eastAsia="SimSun"/>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rPr>
      <w:rFonts w:eastAsia="SimSun"/>
    </w:r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rPr>
      <w:rFonts w:eastAsia="SimSun"/>
    </w:rPr>
  </w:style>
  <w:style w:type="paragraph" w:customStyle="1" w:styleId="Reftitle">
    <w:name w:val="Ref_title"/>
    <w:basedOn w:val="Normal"/>
    <w:next w:val="Reftext"/>
    <w:rsid w:val="00FF7A70"/>
    <w:pPr>
      <w:spacing w:before="480"/>
      <w:jc w:val="center"/>
    </w:pPr>
    <w:rPr>
      <w:rFonts w:eastAsia="SimSun"/>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rFonts w:eastAsia="SimSun"/>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rFonts w:eastAsia="SimSun"/>
      <w:caps/>
      <w:sz w:val="20"/>
    </w:rPr>
  </w:style>
  <w:style w:type="paragraph" w:customStyle="1" w:styleId="Tableref">
    <w:name w:val="Table_ref"/>
    <w:basedOn w:val="Normal"/>
    <w:next w:val="Tabletitle"/>
    <w:rsid w:val="00FF7A70"/>
    <w:pPr>
      <w:keepNext/>
      <w:spacing w:before="560"/>
      <w:jc w:val="center"/>
    </w:pPr>
    <w:rPr>
      <w:rFonts w:eastAsia="SimSun"/>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rFonts w:eastAsia="SimSun"/>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titleChar">
    <w:name w:val="Res_title Char"/>
    <w:basedOn w:val="DefaultParagraphFont"/>
    <w:link w:val="Restitle"/>
    <w:rsid w:val="0007725F"/>
    <w:rPr>
      <w:rFonts w:ascii="Times New Roman Bold" w:hAnsi="Times New Roman Bold"/>
      <w:b/>
      <w:sz w:val="28"/>
      <w:lang w:val="en-GB" w:eastAsia="en-US"/>
    </w:rPr>
  </w:style>
  <w:style w:type="paragraph" w:customStyle="1" w:styleId="RepNoBR">
    <w:name w:val="Rep_No_BR"/>
    <w:basedOn w:val="RecNo"/>
    <w:next w:val="Reptitle"/>
    <w:rsid w:val="0007725F"/>
    <w:pPr>
      <w:tabs>
        <w:tab w:val="clear" w:pos="1134"/>
        <w:tab w:val="clear" w:pos="1871"/>
        <w:tab w:val="clear" w:pos="2268"/>
        <w:tab w:val="left" w:pos="794"/>
        <w:tab w:val="left" w:pos="1191"/>
        <w:tab w:val="left" w:pos="1588"/>
        <w:tab w:val="left" w:pos="1985"/>
      </w:tabs>
    </w:pPr>
  </w:style>
  <w:style w:type="paragraph" w:customStyle="1" w:styleId="href">
    <w:name w:val="href"/>
    <w:basedOn w:val="Normal"/>
    <w:link w:val="hrefChar"/>
    <w:rsid w:val="0007725F"/>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07725F"/>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25F"/>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eastAsia="SimSun"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eastAsia="SimSun"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rFonts w:eastAsia="SimSun"/>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rPr>
      <w:rFonts w:eastAsia="SimSun"/>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rPr>
      <w:rFonts w:eastAsia="SimSun"/>
    </w:r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rFonts w:eastAsia="SimSun"/>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eastAsia="SimSun"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rFonts w:eastAsia="SimSun"/>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eastAsia="SimSun"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rPr>
      <w:rFonts w:eastAsia="SimSun"/>
    </w:rPr>
  </w:style>
  <w:style w:type="paragraph" w:customStyle="1" w:styleId="Normalaftertitle0">
    <w:name w:val="Normal_after_title"/>
    <w:basedOn w:val="Normal"/>
    <w:next w:val="Normal"/>
    <w:rsid w:val="00FF7A70"/>
    <w:pPr>
      <w:spacing w:before="360"/>
    </w:pPr>
    <w:rPr>
      <w:rFonts w:eastAsia="SimSun"/>
    </w:r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rPr>
      <w:rFonts w:eastAsia="SimSun"/>
    </w:r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eastAsia="SimSun" w:hAnsi="Times New Roman Bold" w:cs="Times New Roman Bold"/>
      <w:b/>
    </w:rPr>
  </w:style>
  <w:style w:type="paragraph" w:customStyle="1" w:styleId="RecNo">
    <w:name w:val="Rec_No"/>
    <w:basedOn w:val="Normal"/>
    <w:next w:val="Normal"/>
    <w:rsid w:val="00FF7A70"/>
    <w:pPr>
      <w:keepNext/>
      <w:keepLines/>
      <w:spacing w:before="480"/>
      <w:jc w:val="center"/>
    </w:pPr>
    <w:rPr>
      <w:rFonts w:eastAsia="SimSun"/>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rPr>
      <w:rFonts w:eastAsia="SimSun"/>
    </w:r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rPr>
      <w:rFonts w:eastAsia="SimSun"/>
    </w:rPr>
  </w:style>
  <w:style w:type="paragraph" w:customStyle="1" w:styleId="Reftitle">
    <w:name w:val="Ref_title"/>
    <w:basedOn w:val="Normal"/>
    <w:next w:val="Reftext"/>
    <w:rsid w:val="00FF7A70"/>
    <w:pPr>
      <w:spacing w:before="480"/>
      <w:jc w:val="center"/>
    </w:pPr>
    <w:rPr>
      <w:rFonts w:eastAsia="SimSun"/>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rFonts w:eastAsia="SimSun"/>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rFonts w:eastAsia="SimSun"/>
      <w:caps/>
      <w:sz w:val="20"/>
    </w:rPr>
  </w:style>
  <w:style w:type="paragraph" w:customStyle="1" w:styleId="Tableref">
    <w:name w:val="Table_ref"/>
    <w:basedOn w:val="Normal"/>
    <w:next w:val="Tabletitle"/>
    <w:rsid w:val="00FF7A70"/>
    <w:pPr>
      <w:keepNext/>
      <w:spacing w:before="560"/>
      <w:jc w:val="center"/>
    </w:pPr>
    <w:rPr>
      <w:rFonts w:eastAsia="SimSun"/>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rFonts w:eastAsia="SimSun"/>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titleChar">
    <w:name w:val="Res_title Char"/>
    <w:basedOn w:val="DefaultParagraphFont"/>
    <w:link w:val="Restitle"/>
    <w:rsid w:val="0007725F"/>
    <w:rPr>
      <w:rFonts w:ascii="Times New Roman Bold" w:hAnsi="Times New Roman Bold"/>
      <w:b/>
      <w:sz w:val="28"/>
      <w:lang w:val="en-GB" w:eastAsia="en-US"/>
    </w:rPr>
  </w:style>
  <w:style w:type="paragraph" w:customStyle="1" w:styleId="RepNoBR">
    <w:name w:val="Rep_No_BR"/>
    <w:basedOn w:val="RecNo"/>
    <w:next w:val="Reptitle"/>
    <w:rsid w:val="0007725F"/>
    <w:pPr>
      <w:tabs>
        <w:tab w:val="clear" w:pos="1134"/>
        <w:tab w:val="clear" w:pos="1871"/>
        <w:tab w:val="clear" w:pos="2268"/>
        <w:tab w:val="left" w:pos="794"/>
        <w:tab w:val="left" w:pos="1191"/>
        <w:tab w:val="left" w:pos="1588"/>
        <w:tab w:val="left" w:pos="1985"/>
      </w:tabs>
    </w:pPr>
  </w:style>
  <w:style w:type="paragraph" w:customStyle="1" w:styleId="href">
    <w:name w:val="href"/>
    <w:basedOn w:val="Normal"/>
    <w:link w:val="hrefChar"/>
    <w:rsid w:val="0007725F"/>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07725F"/>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0</TotalTime>
  <Pages>1</Pages>
  <Words>94</Words>
  <Characters>538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chenm</cp:lastModifiedBy>
  <cp:revision>2</cp:revision>
  <cp:lastPrinted>2007-04-05T14:30:00Z</cp:lastPrinted>
  <dcterms:created xsi:type="dcterms:W3CDTF">2012-01-20T22:58:00Z</dcterms:created>
  <dcterms:modified xsi:type="dcterms:W3CDTF">2012-01-20T22:58:00Z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