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4C8" w:rsidRPr="00A333EB" w:rsidRDefault="00F644C8" w:rsidP="00CD79C8">
      <w:pPr>
        <w:rPr>
          <w:lang w:val="fr-CH"/>
        </w:rPr>
      </w:pPr>
      <w:bookmarkStart w:id="0" w:name="_GoBack"/>
      <w:bookmarkEnd w:id="0"/>
    </w:p>
    <w:p w:rsidR="00F644C8" w:rsidRPr="00A333EB" w:rsidRDefault="00F644C8" w:rsidP="00CD79C8">
      <w:pPr>
        <w:rPr>
          <w:lang w:val="fr-CH"/>
        </w:rPr>
      </w:pPr>
    </w:p>
    <w:p w:rsidR="00F644C8" w:rsidRPr="00A333EB" w:rsidRDefault="00F644C8" w:rsidP="00CD79C8">
      <w:pPr>
        <w:rPr>
          <w:lang w:val="fr-CH"/>
        </w:rPr>
      </w:pPr>
    </w:p>
    <w:p w:rsidR="00F644C8" w:rsidRPr="00A333EB" w:rsidRDefault="00F644C8" w:rsidP="00CD79C8">
      <w:pPr>
        <w:rPr>
          <w:lang w:val="fr-CH"/>
        </w:rPr>
      </w:pPr>
    </w:p>
    <w:p w:rsidR="00F644C8" w:rsidRPr="00A333EB" w:rsidRDefault="00F644C8" w:rsidP="00CD79C8">
      <w:pPr>
        <w:rPr>
          <w:lang w:val="fr-CH"/>
        </w:rPr>
      </w:pPr>
    </w:p>
    <w:p w:rsidR="00F644C8" w:rsidRPr="00A333EB" w:rsidRDefault="00F644C8" w:rsidP="00CD79C8">
      <w:pPr>
        <w:rPr>
          <w:lang w:val="fr-CH"/>
        </w:rPr>
      </w:pPr>
    </w:p>
    <w:p w:rsidR="00F644C8" w:rsidRPr="00A333EB" w:rsidRDefault="00F644C8" w:rsidP="00CD79C8">
      <w:pPr>
        <w:rPr>
          <w:lang w:val="fr-CH"/>
        </w:rPr>
      </w:pPr>
    </w:p>
    <w:p w:rsidR="00F644C8" w:rsidRPr="00A333EB" w:rsidRDefault="00F644C8" w:rsidP="00CD79C8">
      <w:pPr>
        <w:rPr>
          <w:lang w:val="fr-CH"/>
        </w:rPr>
      </w:pPr>
    </w:p>
    <w:p w:rsidR="00F644C8" w:rsidRPr="00A333EB" w:rsidRDefault="00F644C8" w:rsidP="00CD79C8">
      <w:pPr>
        <w:rPr>
          <w:lang w:val="fr-CH"/>
        </w:rPr>
      </w:pPr>
    </w:p>
    <w:p w:rsidR="00F644C8" w:rsidRPr="00A333EB" w:rsidRDefault="00F644C8" w:rsidP="00CD79C8">
      <w:pPr>
        <w:rPr>
          <w:lang w:val="fr-CH"/>
        </w:rPr>
      </w:pPr>
    </w:p>
    <w:p w:rsidR="00F644C8" w:rsidRPr="00A333EB" w:rsidRDefault="00F644C8" w:rsidP="00CD79C8">
      <w:pPr>
        <w:rPr>
          <w:lang w:val="fr-CH"/>
        </w:rPr>
      </w:pPr>
    </w:p>
    <w:p w:rsidR="00F644C8" w:rsidRPr="00A333EB" w:rsidRDefault="00F644C8" w:rsidP="00CD79C8">
      <w:pPr>
        <w:rPr>
          <w:lang w:val="fr-CH"/>
        </w:rPr>
      </w:pPr>
    </w:p>
    <w:tbl>
      <w:tblPr>
        <w:tblW w:w="10089" w:type="dxa"/>
        <w:tblLook w:val="01E0" w:firstRow="1" w:lastRow="1" w:firstColumn="1" w:lastColumn="1" w:noHBand="0" w:noVBand="0"/>
      </w:tblPr>
      <w:tblGrid>
        <w:gridCol w:w="10089"/>
      </w:tblGrid>
      <w:tr w:rsidR="00F644C8" w:rsidRPr="00A333EB" w:rsidTr="00CD79C8">
        <w:tc>
          <w:tcPr>
            <w:tcW w:w="10089" w:type="dxa"/>
          </w:tcPr>
          <w:p w:rsidR="00F644C8" w:rsidRPr="00A333EB" w:rsidRDefault="00F644C8" w:rsidP="00CD79C8">
            <w:pPr>
              <w:spacing w:before="380" w:line="280" w:lineRule="exact"/>
              <w:jc w:val="right"/>
              <w:rPr>
                <w:rFonts w:ascii="Tahoma" w:hAnsi="Tahoma" w:cs="Tahoma"/>
                <w:b/>
                <w:bCs/>
                <w:iCs/>
                <w:color w:val="509141"/>
                <w:sz w:val="32"/>
                <w:szCs w:val="32"/>
                <w:lang w:val="fr-CH"/>
              </w:rPr>
            </w:pPr>
            <w:r w:rsidRPr="00A333EB">
              <w:rPr>
                <w:rFonts w:ascii="Tahoma" w:hAnsi="Tahoma" w:cs="Tahoma"/>
                <w:b/>
                <w:bCs/>
                <w:iCs/>
                <w:color w:val="509141"/>
                <w:position w:val="-10"/>
                <w:sz w:val="32"/>
                <w:szCs w:val="32"/>
                <w:lang w:val="fr-CH"/>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5pt;height:17.5pt" o:ole="">
                  <v:imagedata r:id="rId8" o:title=""/>
                </v:shape>
                <o:OLEObject Type="Embed" ProgID="Equation.3" ShapeID="_x0000_i1025" DrawAspect="Content" ObjectID="_1378898494" r:id="rId9"/>
              </w:object>
            </w:r>
          </w:p>
          <w:p w:rsidR="00F644C8" w:rsidRPr="00A333EB" w:rsidRDefault="00F644C8" w:rsidP="00F644C8">
            <w:pPr>
              <w:spacing w:before="380" w:line="280" w:lineRule="exact"/>
              <w:jc w:val="right"/>
              <w:rPr>
                <w:rFonts w:ascii="Tahoma" w:hAnsi="Tahoma" w:cs="Tahoma"/>
                <w:b/>
                <w:bCs/>
                <w:iCs/>
                <w:color w:val="509141"/>
                <w:sz w:val="36"/>
                <w:szCs w:val="36"/>
                <w:lang w:val="fr-CH"/>
              </w:rPr>
            </w:pPr>
            <w:r w:rsidRPr="00A333EB">
              <w:rPr>
                <w:rFonts w:ascii="Tahoma" w:hAnsi="Tahoma" w:cs="Tahoma"/>
                <w:b/>
                <w:bCs/>
                <w:iCs/>
                <w:color w:val="509141"/>
                <w:sz w:val="36"/>
                <w:szCs w:val="36"/>
                <w:lang w:val="fr-CH"/>
              </w:rPr>
              <w:t>Rapport  UIT-R  SM.2210</w:t>
            </w:r>
          </w:p>
          <w:p w:rsidR="00F644C8" w:rsidRPr="00A333EB" w:rsidRDefault="00F644C8" w:rsidP="00F644C8">
            <w:pPr>
              <w:spacing w:before="80" w:line="280" w:lineRule="exact"/>
              <w:jc w:val="right"/>
              <w:rPr>
                <w:rFonts w:ascii="Tahoma" w:hAnsi="Tahoma" w:cs="Tahoma"/>
                <w:b/>
                <w:bCs/>
                <w:iCs/>
                <w:color w:val="509141"/>
                <w:szCs w:val="24"/>
                <w:lang w:val="fr-CH"/>
              </w:rPr>
            </w:pPr>
            <w:r w:rsidRPr="00A333EB">
              <w:rPr>
                <w:rFonts w:ascii="Tahoma" w:hAnsi="Tahoma" w:cs="Tahoma"/>
                <w:b/>
                <w:bCs/>
                <w:iCs/>
                <w:color w:val="509141"/>
                <w:szCs w:val="24"/>
                <w:lang w:val="fr-CH"/>
              </w:rPr>
              <w:t>(06/2011)</w:t>
            </w:r>
          </w:p>
        </w:tc>
      </w:tr>
      <w:tr w:rsidR="00F644C8" w:rsidRPr="00A333EB" w:rsidTr="00CD79C8">
        <w:tc>
          <w:tcPr>
            <w:tcW w:w="10089" w:type="dxa"/>
          </w:tcPr>
          <w:p w:rsidR="00F644C8" w:rsidRPr="00A333EB" w:rsidRDefault="00F644C8" w:rsidP="00CD79C8">
            <w:pPr>
              <w:spacing w:before="80" w:line="500" w:lineRule="exact"/>
              <w:jc w:val="right"/>
              <w:rPr>
                <w:rFonts w:ascii="Tahoma" w:hAnsi="Tahoma" w:cs="Tahoma"/>
                <w:b/>
                <w:bCs/>
                <w:iCs/>
                <w:color w:val="509141"/>
                <w:sz w:val="44"/>
                <w:szCs w:val="44"/>
                <w:lang w:val="fr-CH"/>
              </w:rPr>
            </w:pPr>
          </w:p>
          <w:p w:rsidR="00F644C8" w:rsidRPr="00A333EB" w:rsidRDefault="00F644C8" w:rsidP="00CD79C8">
            <w:pPr>
              <w:spacing w:before="80" w:line="500" w:lineRule="exact"/>
              <w:jc w:val="right"/>
              <w:rPr>
                <w:rFonts w:ascii="Tahoma" w:hAnsi="Tahoma" w:cs="Tahoma"/>
                <w:b/>
                <w:bCs/>
                <w:iCs/>
                <w:color w:val="509141"/>
                <w:sz w:val="44"/>
                <w:szCs w:val="44"/>
                <w:lang w:val="fr-CH"/>
              </w:rPr>
            </w:pPr>
            <w:r w:rsidRPr="00A333EB">
              <w:rPr>
                <w:rFonts w:ascii="Tahoma" w:hAnsi="Tahoma" w:cs="Tahoma"/>
                <w:b/>
                <w:bCs/>
                <w:iCs/>
                <w:color w:val="509141"/>
                <w:sz w:val="44"/>
                <w:szCs w:val="44"/>
                <w:lang w:val="fr-CH"/>
              </w:rPr>
              <w:t>Effets des émissions provenant des dispositifs à courte portée sur les services de radiocommunication</w:t>
            </w:r>
          </w:p>
        </w:tc>
      </w:tr>
      <w:tr w:rsidR="00F644C8" w:rsidRPr="00A333EB" w:rsidTr="00CD79C8">
        <w:tc>
          <w:tcPr>
            <w:tcW w:w="10089" w:type="dxa"/>
          </w:tcPr>
          <w:p w:rsidR="00F644C8" w:rsidRPr="00A333EB" w:rsidRDefault="00F644C8" w:rsidP="00CD79C8">
            <w:pPr>
              <w:spacing w:before="80" w:line="280" w:lineRule="exact"/>
              <w:ind w:right="640"/>
              <w:rPr>
                <w:rFonts w:ascii="Tahoma" w:hAnsi="Tahoma" w:cs="Tahoma"/>
                <w:b/>
                <w:bCs/>
                <w:iCs/>
                <w:color w:val="243285"/>
                <w:sz w:val="32"/>
                <w:szCs w:val="32"/>
                <w:lang w:val="fr-CH"/>
              </w:rPr>
            </w:pPr>
          </w:p>
          <w:p w:rsidR="00F644C8" w:rsidRPr="00A333EB" w:rsidRDefault="00F644C8" w:rsidP="00CD79C8">
            <w:pPr>
              <w:spacing w:before="80" w:line="280" w:lineRule="exact"/>
              <w:ind w:right="640"/>
              <w:rPr>
                <w:rFonts w:ascii="Tahoma" w:hAnsi="Tahoma" w:cs="Tahoma"/>
                <w:b/>
                <w:bCs/>
                <w:iCs/>
                <w:color w:val="243285"/>
                <w:sz w:val="32"/>
                <w:szCs w:val="32"/>
                <w:lang w:val="fr-CH"/>
              </w:rPr>
            </w:pPr>
          </w:p>
          <w:p w:rsidR="00F644C8" w:rsidRPr="00A333EB" w:rsidRDefault="00F644C8" w:rsidP="00CD79C8">
            <w:pPr>
              <w:spacing w:before="80" w:line="280" w:lineRule="exact"/>
              <w:ind w:right="640"/>
              <w:rPr>
                <w:rFonts w:ascii="Tahoma" w:hAnsi="Tahoma" w:cs="Tahoma"/>
                <w:b/>
                <w:bCs/>
                <w:iCs/>
                <w:color w:val="243285"/>
                <w:sz w:val="32"/>
                <w:szCs w:val="32"/>
                <w:lang w:val="fr-CH"/>
              </w:rPr>
            </w:pPr>
          </w:p>
          <w:p w:rsidR="00F644C8" w:rsidRPr="00A333EB" w:rsidRDefault="00F644C8" w:rsidP="00CD79C8">
            <w:pPr>
              <w:spacing w:before="80" w:after="180" w:line="360" w:lineRule="exact"/>
              <w:jc w:val="right"/>
              <w:rPr>
                <w:rFonts w:ascii="Tahoma" w:hAnsi="Tahoma" w:cs="Tahoma"/>
                <w:b/>
                <w:bCs/>
                <w:iCs/>
                <w:color w:val="243285"/>
                <w:sz w:val="36"/>
                <w:szCs w:val="36"/>
                <w:lang w:val="fr-CH"/>
              </w:rPr>
            </w:pPr>
          </w:p>
          <w:p w:rsidR="00F644C8" w:rsidRPr="00A333EB" w:rsidRDefault="00F644C8" w:rsidP="00CD79C8">
            <w:pPr>
              <w:spacing w:before="80" w:after="180" w:line="360" w:lineRule="exact"/>
              <w:jc w:val="right"/>
              <w:rPr>
                <w:rFonts w:ascii="Tahoma" w:hAnsi="Tahoma" w:cs="Tahoma"/>
                <w:b/>
                <w:bCs/>
                <w:iCs/>
                <w:color w:val="509141"/>
                <w:sz w:val="36"/>
                <w:szCs w:val="36"/>
                <w:lang w:val="fr-CH"/>
              </w:rPr>
            </w:pPr>
            <w:r w:rsidRPr="00A333EB">
              <w:rPr>
                <w:rFonts w:ascii="Tahoma" w:hAnsi="Tahoma" w:cs="Tahoma"/>
                <w:b/>
                <w:bCs/>
                <w:iCs/>
                <w:color w:val="509141"/>
                <w:sz w:val="36"/>
                <w:szCs w:val="36"/>
                <w:lang w:val="fr-CH"/>
              </w:rPr>
              <w:t>Série SM</w:t>
            </w:r>
          </w:p>
          <w:p w:rsidR="00F644C8" w:rsidRPr="00A333EB" w:rsidRDefault="00F644C8" w:rsidP="00CD79C8">
            <w:pPr>
              <w:spacing w:before="80" w:line="360" w:lineRule="exact"/>
              <w:jc w:val="right"/>
              <w:rPr>
                <w:rFonts w:ascii="Tahoma" w:hAnsi="Tahoma" w:cs="Tahoma"/>
                <w:b/>
                <w:bCs/>
                <w:iCs/>
                <w:color w:val="509141"/>
                <w:sz w:val="32"/>
                <w:szCs w:val="32"/>
                <w:lang w:val="fr-CH"/>
              </w:rPr>
            </w:pPr>
            <w:r w:rsidRPr="00A333EB">
              <w:rPr>
                <w:rFonts w:ascii="Tahoma" w:hAnsi="Tahoma" w:cs="Tahoma"/>
                <w:b/>
                <w:bCs/>
                <w:iCs/>
                <w:color w:val="509141"/>
                <w:sz w:val="36"/>
                <w:szCs w:val="36"/>
                <w:lang w:val="fr-CH"/>
              </w:rPr>
              <w:t>Gestion du spectre</w:t>
            </w:r>
          </w:p>
        </w:tc>
      </w:tr>
    </w:tbl>
    <w:p w:rsidR="00F644C8" w:rsidRPr="00A333EB" w:rsidRDefault="00F644C8" w:rsidP="00CD79C8">
      <w:pPr>
        <w:spacing w:before="80"/>
        <w:rPr>
          <w:i/>
          <w:sz w:val="22"/>
          <w:lang w:val="fr-CH"/>
        </w:rPr>
      </w:pPr>
    </w:p>
    <w:p w:rsidR="00F644C8" w:rsidRPr="00A333EB" w:rsidRDefault="00F644C8" w:rsidP="00CD79C8">
      <w:pPr>
        <w:spacing w:before="80"/>
        <w:rPr>
          <w:i/>
          <w:sz w:val="22"/>
          <w:lang w:val="fr-CH"/>
        </w:rPr>
      </w:pPr>
    </w:p>
    <w:p w:rsidR="00F644C8" w:rsidRPr="00A333EB" w:rsidRDefault="00F644C8" w:rsidP="00CD79C8">
      <w:pPr>
        <w:spacing w:before="80"/>
        <w:rPr>
          <w:i/>
          <w:sz w:val="22"/>
          <w:lang w:val="fr-CH"/>
        </w:rPr>
      </w:pPr>
    </w:p>
    <w:p w:rsidR="00F644C8" w:rsidRPr="00A333EB" w:rsidRDefault="00F644C8" w:rsidP="00CD79C8">
      <w:pPr>
        <w:spacing w:before="80"/>
        <w:rPr>
          <w:i/>
          <w:sz w:val="22"/>
          <w:lang w:val="fr-CH"/>
        </w:rPr>
      </w:pPr>
    </w:p>
    <w:p w:rsidR="00F644C8" w:rsidRPr="00A333EB" w:rsidRDefault="00F644C8" w:rsidP="00CD79C8">
      <w:pPr>
        <w:spacing w:before="80"/>
        <w:rPr>
          <w:i/>
          <w:sz w:val="22"/>
          <w:lang w:val="fr-CH"/>
        </w:rPr>
      </w:pPr>
    </w:p>
    <w:p w:rsidR="00F644C8" w:rsidRPr="00A333EB" w:rsidRDefault="00F644C8" w:rsidP="00CD79C8">
      <w:pPr>
        <w:spacing w:before="80"/>
        <w:rPr>
          <w:i/>
          <w:sz w:val="22"/>
          <w:lang w:val="fr-CH"/>
        </w:rPr>
      </w:pPr>
    </w:p>
    <w:p w:rsidR="00F644C8" w:rsidRPr="00A333EB" w:rsidRDefault="00F644C8" w:rsidP="00CD79C8">
      <w:pPr>
        <w:pStyle w:val="Equation"/>
        <w:tabs>
          <w:tab w:val="clear" w:pos="4820"/>
          <w:tab w:val="clear" w:pos="9639"/>
          <w:tab w:val="left" w:pos="1191"/>
          <w:tab w:val="left" w:pos="1588"/>
          <w:tab w:val="left" w:pos="1985"/>
        </w:tabs>
        <w:rPr>
          <w:rFonts w:ascii="Palatino Linotype" w:hAnsi="Palatino Linotype"/>
          <w:lang w:val="fr-CH"/>
        </w:rPr>
        <w:sectPr w:rsidR="00F644C8" w:rsidRPr="00A333EB" w:rsidSect="00CD79C8">
          <w:headerReference w:type="even" r:id="rId10"/>
          <w:headerReference w:type="default" r:id="rId11"/>
          <w:pgSz w:w="11907" w:h="16834" w:code="9"/>
          <w:pgMar w:top="1418" w:right="1134" w:bottom="1134" w:left="1134" w:header="720" w:footer="482" w:gutter="0"/>
          <w:paperSrc w:first="15" w:other="15"/>
          <w:cols w:space="720"/>
        </w:sectPr>
      </w:pPr>
    </w:p>
    <w:p w:rsidR="00F644C8" w:rsidRPr="00A333EB" w:rsidRDefault="00F644C8" w:rsidP="00CD79C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A333EB">
        <w:rPr>
          <w:bCs/>
          <w:sz w:val="24"/>
          <w:szCs w:val="24"/>
          <w:lang w:val="fr-CH"/>
        </w:rPr>
        <w:lastRenderedPageBreak/>
        <w:t>Avant-propos</w:t>
      </w:r>
    </w:p>
    <w:p w:rsidR="00F644C8" w:rsidRPr="00A333EB" w:rsidRDefault="00F644C8" w:rsidP="00CD79C8">
      <w:pPr>
        <w:spacing w:before="240"/>
        <w:rPr>
          <w:sz w:val="20"/>
          <w:lang w:val="fr-CH"/>
        </w:rPr>
      </w:pPr>
      <w:r w:rsidRPr="00A333EB">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F644C8" w:rsidRPr="00A333EB" w:rsidRDefault="00F644C8" w:rsidP="00CD79C8">
      <w:pPr>
        <w:rPr>
          <w:sz w:val="20"/>
          <w:lang w:val="fr-CH"/>
        </w:rPr>
      </w:pPr>
      <w:r w:rsidRPr="00A333EB">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F644C8" w:rsidRPr="00A333EB" w:rsidRDefault="00F644C8" w:rsidP="00CD79C8">
      <w:pPr>
        <w:spacing w:before="0"/>
        <w:rPr>
          <w:sz w:val="20"/>
          <w:lang w:val="fr-CH"/>
        </w:rPr>
      </w:pPr>
    </w:p>
    <w:p w:rsidR="00F644C8" w:rsidRPr="00A333EB" w:rsidRDefault="00F644C8" w:rsidP="00CD79C8">
      <w:pPr>
        <w:spacing w:before="0"/>
        <w:rPr>
          <w:sz w:val="20"/>
          <w:lang w:val="fr-CH"/>
        </w:rPr>
      </w:pPr>
    </w:p>
    <w:p w:rsidR="00F644C8" w:rsidRPr="00A333EB" w:rsidRDefault="00F644C8" w:rsidP="00CD79C8">
      <w:pPr>
        <w:pStyle w:val="Heading1"/>
        <w:spacing w:before="360"/>
        <w:jc w:val="center"/>
        <w:rPr>
          <w:szCs w:val="24"/>
          <w:lang w:val="fr-CH"/>
        </w:rPr>
      </w:pPr>
      <w:bookmarkStart w:id="2" w:name="_Toc304988648"/>
      <w:r w:rsidRPr="00A333EB">
        <w:rPr>
          <w:szCs w:val="24"/>
          <w:lang w:val="fr-CH"/>
        </w:rPr>
        <w:t>Politique en matière de droits de propriété intellectuelle (IPR)</w:t>
      </w:r>
      <w:bookmarkEnd w:id="2"/>
    </w:p>
    <w:p w:rsidR="00F644C8" w:rsidRPr="00A333EB" w:rsidRDefault="00F644C8" w:rsidP="00CD79C8">
      <w:pPr>
        <w:spacing w:before="240"/>
        <w:rPr>
          <w:sz w:val="20"/>
          <w:lang w:val="fr-CH"/>
        </w:rPr>
      </w:pPr>
      <w:r w:rsidRPr="00A333EB">
        <w:rPr>
          <w:sz w:val="20"/>
          <w:lang w:val="fr-CH"/>
        </w:rPr>
        <w:t>La politique de l'UIT</w:t>
      </w:r>
      <w:r w:rsidRPr="00A333EB">
        <w:rPr>
          <w:sz w:val="20"/>
          <w:lang w:val="fr-CH"/>
        </w:rPr>
        <w:noBreakHyphen/>
        <w:t>R en matière de droits de propriété intellectuelle est décrite dans la «Politique commune de l'UIT</w:t>
      </w:r>
      <w:r w:rsidRPr="00A333EB">
        <w:rPr>
          <w:sz w:val="20"/>
          <w:lang w:val="fr-CH"/>
        </w:rPr>
        <w:noBreakHyphen/>
        <w:t>T, l'UIT</w:t>
      </w:r>
      <w:r w:rsidRPr="00A333EB">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2" w:history="1">
        <w:r w:rsidRPr="00A333EB">
          <w:rPr>
            <w:rStyle w:val="Hyperlink"/>
            <w:sz w:val="20"/>
            <w:lang w:val="fr-CH"/>
          </w:rPr>
          <w:t>http://www.itu.int/ITU-R/go/patents/fr</w:t>
        </w:r>
      </w:hyperlink>
      <w:r w:rsidRPr="00A333EB">
        <w:rPr>
          <w:sz w:val="20"/>
          <w:lang w:val="fr-CH"/>
        </w:rPr>
        <w:t>, où l'on trouvera également les Lignes directrices pour la mise en oeuvre de la politique commune en matière de brevets de l'UIT</w:t>
      </w:r>
      <w:r w:rsidRPr="00A333EB">
        <w:rPr>
          <w:sz w:val="20"/>
          <w:lang w:val="fr-CH"/>
        </w:rPr>
        <w:noBreakHyphen/>
        <w:t>T, l'UIT</w:t>
      </w:r>
      <w:r w:rsidRPr="00A333EB">
        <w:rPr>
          <w:sz w:val="20"/>
          <w:lang w:val="fr-CH"/>
        </w:rPr>
        <w:noBreakHyphen/>
        <w:t>R, l'ISO et la CEI</w:t>
      </w:r>
      <w:r w:rsidRPr="00A333EB" w:rsidDel="0061025C">
        <w:rPr>
          <w:sz w:val="20"/>
          <w:lang w:val="fr-CH"/>
        </w:rPr>
        <w:t xml:space="preserve"> </w:t>
      </w:r>
      <w:r w:rsidRPr="00A333EB">
        <w:rPr>
          <w:sz w:val="20"/>
          <w:lang w:val="fr-CH"/>
        </w:rPr>
        <w:t>et la base de données en matière de brevets de l'UIT-R.</w:t>
      </w:r>
    </w:p>
    <w:p w:rsidR="00F644C8" w:rsidRPr="00A333EB" w:rsidRDefault="00F644C8" w:rsidP="00CD79C8">
      <w:pPr>
        <w:spacing w:before="0"/>
        <w:jc w:val="center"/>
        <w:rPr>
          <w:sz w:val="22"/>
          <w:lang w:val="fr-CH"/>
        </w:rPr>
      </w:pPr>
    </w:p>
    <w:p w:rsidR="00F644C8" w:rsidRPr="00A333EB" w:rsidRDefault="00F644C8" w:rsidP="00CD79C8">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644C8" w:rsidRPr="00A333EB" w:rsidTr="00CD79C8">
        <w:tc>
          <w:tcPr>
            <w:tcW w:w="9360" w:type="dxa"/>
            <w:gridSpan w:val="2"/>
          </w:tcPr>
          <w:p w:rsidR="00F644C8" w:rsidRPr="00A333EB" w:rsidRDefault="00F644C8" w:rsidP="00CD79C8">
            <w:pPr>
              <w:pStyle w:val="Chaptitle"/>
              <w:keepLines w:val="0"/>
              <w:tabs>
                <w:tab w:val="clear" w:pos="794"/>
                <w:tab w:val="clear" w:pos="1191"/>
                <w:tab w:val="clear" w:pos="1588"/>
                <w:tab w:val="clear" w:pos="1985"/>
              </w:tabs>
              <w:overflowPunct/>
              <w:spacing w:before="140"/>
              <w:textAlignment w:val="auto"/>
              <w:rPr>
                <w:sz w:val="22"/>
                <w:szCs w:val="22"/>
                <w:lang w:val="fr-CH"/>
              </w:rPr>
            </w:pPr>
            <w:r w:rsidRPr="00A333EB">
              <w:rPr>
                <w:sz w:val="22"/>
                <w:szCs w:val="22"/>
                <w:lang w:val="fr-CH"/>
              </w:rPr>
              <w:t xml:space="preserve">Séries des Rapports UIT-R </w:t>
            </w:r>
          </w:p>
          <w:p w:rsidR="00F644C8" w:rsidRPr="00A333EB" w:rsidRDefault="00F644C8" w:rsidP="00CD79C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A333EB">
              <w:rPr>
                <w:b w:val="0"/>
                <w:sz w:val="18"/>
                <w:szCs w:val="18"/>
                <w:lang w:val="fr-CH"/>
              </w:rPr>
              <w:t xml:space="preserve">(Egalement disponible en ligne: </w:t>
            </w:r>
            <w:hyperlink r:id="rId13" w:history="1">
              <w:r w:rsidRPr="00A333EB">
                <w:rPr>
                  <w:rStyle w:val="Hyperlink"/>
                  <w:b w:val="0"/>
                  <w:sz w:val="18"/>
                  <w:szCs w:val="18"/>
                  <w:lang w:val="fr-CH"/>
                </w:rPr>
                <w:t>http://www.itu.int/publ/R-REP/fr</w:t>
              </w:r>
            </w:hyperlink>
            <w:r w:rsidRPr="00A333EB">
              <w:rPr>
                <w:b w:val="0"/>
                <w:bCs/>
                <w:sz w:val="18"/>
                <w:szCs w:val="18"/>
                <w:lang w:val="fr-CH"/>
              </w:rPr>
              <w:t>)</w:t>
            </w:r>
          </w:p>
        </w:tc>
      </w:tr>
      <w:tr w:rsidR="00F644C8" w:rsidRPr="00A333EB" w:rsidTr="00CD79C8">
        <w:tc>
          <w:tcPr>
            <w:tcW w:w="1140" w:type="dxa"/>
            <w:tcBorders>
              <w:bottom w:val="nil"/>
            </w:tcBorders>
          </w:tcPr>
          <w:p w:rsidR="00F644C8" w:rsidRPr="00A333EB" w:rsidRDefault="00F644C8" w:rsidP="00CD79C8">
            <w:pPr>
              <w:spacing w:before="90" w:after="100"/>
              <w:ind w:left="57"/>
              <w:rPr>
                <w:b/>
                <w:bCs/>
                <w:sz w:val="20"/>
                <w:lang w:val="fr-CH"/>
              </w:rPr>
            </w:pPr>
            <w:r w:rsidRPr="00A333EB">
              <w:rPr>
                <w:b/>
                <w:bCs/>
                <w:sz w:val="20"/>
                <w:lang w:val="fr-CH"/>
              </w:rPr>
              <w:t>Séries</w:t>
            </w:r>
          </w:p>
        </w:tc>
        <w:tc>
          <w:tcPr>
            <w:tcW w:w="8220" w:type="dxa"/>
            <w:tcBorders>
              <w:bottom w:val="nil"/>
            </w:tcBorders>
          </w:tcPr>
          <w:p w:rsidR="00F644C8" w:rsidRPr="00A333EB" w:rsidRDefault="00F644C8" w:rsidP="00CD79C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A333EB">
              <w:rPr>
                <w:bCs/>
                <w:sz w:val="20"/>
                <w:lang w:val="fr-CH"/>
              </w:rPr>
              <w:t>Titre</w:t>
            </w:r>
          </w:p>
        </w:tc>
      </w:tr>
      <w:tr w:rsidR="00F644C8" w:rsidRPr="00A333EB" w:rsidTr="00CD79C8">
        <w:tc>
          <w:tcPr>
            <w:tcW w:w="1140" w:type="dxa"/>
            <w:tcBorders>
              <w:top w:val="nil"/>
              <w:bottom w:val="nil"/>
            </w:tcBorders>
            <w:shd w:val="clear" w:color="auto" w:fill="auto"/>
          </w:tcPr>
          <w:p w:rsidR="00F644C8" w:rsidRPr="00A333EB" w:rsidRDefault="00F644C8" w:rsidP="00CD79C8">
            <w:pPr>
              <w:spacing w:before="30" w:after="30"/>
              <w:ind w:left="57"/>
              <w:jc w:val="left"/>
              <w:rPr>
                <w:b/>
                <w:sz w:val="20"/>
                <w:lang w:val="fr-CH"/>
              </w:rPr>
            </w:pPr>
            <w:r w:rsidRPr="00A333EB">
              <w:rPr>
                <w:b/>
                <w:sz w:val="20"/>
                <w:lang w:val="fr-CH"/>
              </w:rPr>
              <w:t>BO</w:t>
            </w:r>
          </w:p>
        </w:tc>
        <w:tc>
          <w:tcPr>
            <w:tcW w:w="8220" w:type="dxa"/>
            <w:tcBorders>
              <w:top w:val="nil"/>
              <w:bottom w:val="nil"/>
            </w:tcBorders>
            <w:shd w:val="clear" w:color="auto" w:fill="auto"/>
          </w:tcPr>
          <w:p w:rsidR="00F644C8" w:rsidRPr="00A333EB" w:rsidRDefault="00F644C8" w:rsidP="00CD79C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A333EB">
              <w:rPr>
                <w:b w:val="0"/>
                <w:bCs/>
                <w:sz w:val="20"/>
                <w:lang w:val="fr-CH"/>
              </w:rPr>
              <w:t>Diffusion par satellite</w:t>
            </w:r>
          </w:p>
        </w:tc>
      </w:tr>
      <w:tr w:rsidR="00F644C8" w:rsidRPr="00A333EB" w:rsidTr="00CD79C8">
        <w:tc>
          <w:tcPr>
            <w:tcW w:w="1140" w:type="dxa"/>
            <w:tcBorders>
              <w:top w:val="nil"/>
              <w:bottom w:val="nil"/>
            </w:tcBorders>
            <w:shd w:val="clear" w:color="auto" w:fill="auto"/>
          </w:tcPr>
          <w:p w:rsidR="00F644C8" w:rsidRPr="00A333EB" w:rsidRDefault="00F644C8" w:rsidP="00CD79C8">
            <w:pPr>
              <w:spacing w:before="30" w:after="30"/>
              <w:ind w:left="57"/>
              <w:jc w:val="left"/>
              <w:rPr>
                <w:b/>
                <w:bCs/>
                <w:sz w:val="20"/>
                <w:lang w:val="fr-CH"/>
              </w:rPr>
            </w:pPr>
            <w:r w:rsidRPr="00A333EB">
              <w:rPr>
                <w:b/>
                <w:bCs/>
                <w:sz w:val="20"/>
                <w:lang w:val="fr-CH"/>
              </w:rPr>
              <w:t>BR</w:t>
            </w:r>
          </w:p>
        </w:tc>
        <w:tc>
          <w:tcPr>
            <w:tcW w:w="8220" w:type="dxa"/>
            <w:tcBorders>
              <w:top w:val="nil"/>
              <w:bottom w:val="nil"/>
            </w:tcBorders>
            <w:shd w:val="clear" w:color="auto" w:fill="auto"/>
          </w:tcPr>
          <w:p w:rsidR="00F644C8" w:rsidRPr="00A333EB" w:rsidRDefault="00F644C8" w:rsidP="00CD79C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A333EB">
              <w:rPr>
                <w:b w:val="0"/>
                <w:sz w:val="20"/>
                <w:lang w:val="fr-CH"/>
              </w:rPr>
              <w:t>Enregistrement pour la production, l'archivage et la diffusion; films pour la télévision</w:t>
            </w:r>
          </w:p>
        </w:tc>
      </w:tr>
      <w:tr w:rsidR="00F644C8" w:rsidRPr="00A333EB" w:rsidTr="00CD79C8">
        <w:tc>
          <w:tcPr>
            <w:tcW w:w="1140" w:type="dxa"/>
            <w:tcBorders>
              <w:top w:val="nil"/>
              <w:bottom w:val="nil"/>
            </w:tcBorders>
            <w:shd w:val="clear" w:color="auto" w:fill="auto"/>
          </w:tcPr>
          <w:p w:rsidR="00F644C8" w:rsidRPr="00A333EB" w:rsidRDefault="00F644C8" w:rsidP="00CD79C8">
            <w:pPr>
              <w:spacing w:before="30" w:after="30"/>
              <w:ind w:left="57"/>
              <w:jc w:val="left"/>
              <w:rPr>
                <w:b/>
                <w:bCs/>
                <w:sz w:val="20"/>
                <w:lang w:val="fr-CH"/>
              </w:rPr>
            </w:pPr>
            <w:r w:rsidRPr="00A333EB">
              <w:rPr>
                <w:b/>
                <w:bCs/>
                <w:sz w:val="20"/>
                <w:lang w:val="fr-CH"/>
              </w:rPr>
              <w:t>BS</w:t>
            </w:r>
          </w:p>
        </w:tc>
        <w:tc>
          <w:tcPr>
            <w:tcW w:w="8220" w:type="dxa"/>
            <w:tcBorders>
              <w:top w:val="nil"/>
              <w:bottom w:val="nil"/>
            </w:tcBorders>
            <w:shd w:val="clear" w:color="auto" w:fill="auto"/>
          </w:tcPr>
          <w:p w:rsidR="00F644C8" w:rsidRPr="00A333EB" w:rsidRDefault="00F644C8" w:rsidP="00CD79C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A333EB">
              <w:rPr>
                <w:b w:val="0"/>
                <w:sz w:val="20"/>
                <w:lang w:val="fr-CH"/>
              </w:rPr>
              <w:t>Service de radiodiffusion sonore</w:t>
            </w:r>
          </w:p>
        </w:tc>
      </w:tr>
      <w:tr w:rsidR="00F644C8" w:rsidRPr="00A333EB" w:rsidTr="00CD79C8">
        <w:tc>
          <w:tcPr>
            <w:tcW w:w="1140" w:type="dxa"/>
            <w:tcBorders>
              <w:top w:val="nil"/>
              <w:bottom w:val="nil"/>
            </w:tcBorders>
            <w:shd w:val="clear" w:color="auto" w:fill="auto"/>
          </w:tcPr>
          <w:p w:rsidR="00F644C8" w:rsidRPr="00A333EB" w:rsidRDefault="00F644C8" w:rsidP="00CD79C8">
            <w:pPr>
              <w:spacing w:before="30" w:after="30"/>
              <w:ind w:left="57"/>
              <w:jc w:val="left"/>
              <w:rPr>
                <w:b/>
                <w:bCs/>
                <w:sz w:val="20"/>
                <w:lang w:val="fr-CH"/>
              </w:rPr>
            </w:pPr>
            <w:r w:rsidRPr="00A333EB">
              <w:rPr>
                <w:b/>
                <w:bCs/>
                <w:sz w:val="20"/>
                <w:lang w:val="fr-CH"/>
              </w:rPr>
              <w:t>BT</w:t>
            </w:r>
          </w:p>
        </w:tc>
        <w:tc>
          <w:tcPr>
            <w:tcW w:w="8220" w:type="dxa"/>
            <w:tcBorders>
              <w:top w:val="nil"/>
              <w:bottom w:val="nil"/>
            </w:tcBorders>
            <w:shd w:val="clear" w:color="auto" w:fill="auto"/>
          </w:tcPr>
          <w:p w:rsidR="00F644C8" w:rsidRPr="00A333EB" w:rsidRDefault="00F644C8" w:rsidP="00CD79C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A333EB">
              <w:rPr>
                <w:b w:val="0"/>
                <w:sz w:val="20"/>
                <w:lang w:val="fr-CH"/>
              </w:rPr>
              <w:t>Service de radiodiffusion télévisuelle</w:t>
            </w:r>
          </w:p>
        </w:tc>
      </w:tr>
      <w:tr w:rsidR="00F644C8" w:rsidRPr="00A333EB" w:rsidTr="00CD79C8">
        <w:tc>
          <w:tcPr>
            <w:tcW w:w="1140" w:type="dxa"/>
            <w:tcBorders>
              <w:top w:val="nil"/>
              <w:bottom w:val="nil"/>
            </w:tcBorders>
            <w:shd w:val="clear" w:color="auto" w:fill="auto"/>
          </w:tcPr>
          <w:p w:rsidR="00F644C8" w:rsidRPr="00A333EB" w:rsidRDefault="00F644C8" w:rsidP="00CD79C8">
            <w:pPr>
              <w:spacing w:before="30" w:after="30"/>
              <w:ind w:left="57"/>
              <w:jc w:val="left"/>
              <w:rPr>
                <w:b/>
                <w:bCs/>
                <w:sz w:val="20"/>
                <w:lang w:val="fr-CH"/>
              </w:rPr>
            </w:pPr>
            <w:r w:rsidRPr="00A333EB">
              <w:rPr>
                <w:b/>
                <w:bCs/>
                <w:sz w:val="20"/>
                <w:lang w:val="fr-CH"/>
              </w:rPr>
              <w:t>F</w:t>
            </w:r>
          </w:p>
        </w:tc>
        <w:tc>
          <w:tcPr>
            <w:tcW w:w="8220" w:type="dxa"/>
            <w:tcBorders>
              <w:top w:val="nil"/>
              <w:bottom w:val="nil"/>
            </w:tcBorders>
            <w:shd w:val="clear" w:color="auto" w:fill="auto"/>
          </w:tcPr>
          <w:p w:rsidR="00F644C8" w:rsidRPr="00A333EB" w:rsidRDefault="00F644C8" w:rsidP="00CD79C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A333EB">
              <w:rPr>
                <w:sz w:val="20"/>
                <w:lang w:val="fr-CH"/>
              </w:rPr>
              <w:t>Service fixe</w:t>
            </w:r>
          </w:p>
        </w:tc>
      </w:tr>
      <w:tr w:rsidR="00F644C8" w:rsidRPr="00A333EB" w:rsidTr="00CD79C8">
        <w:tc>
          <w:tcPr>
            <w:tcW w:w="1140" w:type="dxa"/>
            <w:tcBorders>
              <w:top w:val="nil"/>
              <w:bottom w:val="nil"/>
            </w:tcBorders>
            <w:shd w:val="clear" w:color="auto" w:fill="auto"/>
          </w:tcPr>
          <w:p w:rsidR="00F644C8" w:rsidRPr="00A333EB" w:rsidRDefault="00F644C8" w:rsidP="00CD79C8">
            <w:pPr>
              <w:spacing w:before="30" w:after="30"/>
              <w:ind w:left="57"/>
              <w:jc w:val="left"/>
              <w:rPr>
                <w:b/>
                <w:bCs/>
                <w:sz w:val="20"/>
                <w:lang w:val="fr-CH"/>
              </w:rPr>
            </w:pPr>
            <w:r w:rsidRPr="00A333EB">
              <w:rPr>
                <w:b/>
                <w:bCs/>
                <w:sz w:val="20"/>
                <w:lang w:val="fr-CH"/>
              </w:rPr>
              <w:t>M</w:t>
            </w:r>
          </w:p>
        </w:tc>
        <w:tc>
          <w:tcPr>
            <w:tcW w:w="8220" w:type="dxa"/>
            <w:tcBorders>
              <w:top w:val="nil"/>
              <w:bottom w:val="nil"/>
            </w:tcBorders>
            <w:shd w:val="clear" w:color="auto" w:fill="auto"/>
          </w:tcPr>
          <w:p w:rsidR="00F644C8" w:rsidRPr="00A333EB" w:rsidRDefault="00F644C8" w:rsidP="00CD79C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A333EB">
              <w:rPr>
                <w:b w:val="0"/>
                <w:sz w:val="20"/>
                <w:lang w:val="fr-CH"/>
              </w:rPr>
              <w:t>Services mobile, de radiorepérage et d'amateur y compris les services par satellite associés</w:t>
            </w:r>
          </w:p>
        </w:tc>
      </w:tr>
      <w:tr w:rsidR="00F644C8" w:rsidRPr="00A333EB" w:rsidTr="00CD79C8">
        <w:tc>
          <w:tcPr>
            <w:tcW w:w="1140" w:type="dxa"/>
            <w:tcBorders>
              <w:top w:val="nil"/>
              <w:bottom w:val="nil"/>
            </w:tcBorders>
            <w:shd w:val="clear" w:color="auto" w:fill="auto"/>
          </w:tcPr>
          <w:p w:rsidR="00F644C8" w:rsidRPr="00A333EB" w:rsidRDefault="00F644C8" w:rsidP="00CD79C8">
            <w:pPr>
              <w:spacing w:before="30" w:after="30"/>
              <w:ind w:left="57"/>
              <w:jc w:val="left"/>
              <w:rPr>
                <w:b/>
                <w:bCs/>
                <w:sz w:val="20"/>
                <w:lang w:val="fr-CH"/>
              </w:rPr>
            </w:pPr>
            <w:r w:rsidRPr="00A333EB">
              <w:rPr>
                <w:b/>
                <w:bCs/>
                <w:sz w:val="20"/>
                <w:lang w:val="fr-CH"/>
              </w:rPr>
              <w:t>P</w:t>
            </w:r>
          </w:p>
        </w:tc>
        <w:tc>
          <w:tcPr>
            <w:tcW w:w="8220" w:type="dxa"/>
            <w:tcBorders>
              <w:top w:val="nil"/>
              <w:bottom w:val="nil"/>
            </w:tcBorders>
            <w:shd w:val="clear" w:color="auto" w:fill="auto"/>
          </w:tcPr>
          <w:p w:rsidR="00F644C8" w:rsidRPr="00A333EB" w:rsidRDefault="00F644C8" w:rsidP="00CD79C8">
            <w:pPr>
              <w:spacing w:before="30" w:after="30"/>
              <w:jc w:val="left"/>
              <w:rPr>
                <w:sz w:val="20"/>
                <w:lang w:val="fr-CH"/>
              </w:rPr>
            </w:pPr>
            <w:r w:rsidRPr="00A333EB">
              <w:rPr>
                <w:sz w:val="20"/>
                <w:lang w:val="fr-CH"/>
              </w:rPr>
              <w:t>Propagation des ondes radioélectriques</w:t>
            </w:r>
          </w:p>
        </w:tc>
      </w:tr>
      <w:tr w:rsidR="00F644C8" w:rsidRPr="00A333EB" w:rsidTr="00CD79C8">
        <w:tc>
          <w:tcPr>
            <w:tcW w:w="1140" w:type="dxa"/>
            <w:tcBorders>
              <w:top w:val="nil"/>
              <w:bottom w:val="nil"/>
            </w:tcBorders>
            <w:shd w:val="clear" w:color="auto" w:fill="auto"/>
          </w:tcPr>
          <w:p w:rsidR="00F644C8" w:rsidRPr="00A333EB" w:rsidRDefault="00F644C8" w:rsidP="00CD79C8">
            <w:pPr>
              <w:spacing w:before="30" w:after="30"/>
              <w:ind w:left="57"/>
              <w:jc w:val="left"/>
              <w:rPr>
                <w:b/>
                <w:bCs/>
                <w:sz w:val="20"/>
                <w:lang w:val="fr-CH"/>
              </w:rPr>
            </w:pPr>
            <w:r w:rsidRPr="00A333EB">
              <w:rPr>
                <w:b/>
                <w:bCs/>
                <w:sz w:val="20"/>
                <w:lang w:val="fr-CH"/>
              </w:rPr>
              <w:t>RA</w:t>
            </w:r>
          </w:p>
        </w:tc>
        <w:tc>
          <w:tcPr>
            <w:tcW w:w="8220" w:type="dxa"/>
            <w:tcBorders>
              <w:top w:val="nil"/>
              <w:bottom w:val="nil"/>
            </w:tcBorders>
            <w:shd w:val="clear" w:color="auto" w:fill="auto"/>
          </w:tcPr>
          <w:p w:rsidR="00F644C8" w:rsidRPr="00A333EB" w:rsidRDefault="00F644C8" w:rsidP="00CD79C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A333EB">
              <w:rPr>
                <w:sz w:val="20"/>
                <w:lang w:val="fr-CH"/>
              </w:rPr>
              <w:t>Radio astronomie</w:t>
            </w:r>
          </w:p>
        </w:tc>
      </w:tr>
      <w:tr w:rsidR="00F644C8" w:rsidRPr="00A333EB" w:rsidTr="00CD79C8">
        <w:tc>
          <w:tcPr>
            <w:tcW w:w="1140" w:type="dxa"/>
            <w:tcBorders>
              <w:top w:val="nil"/>
              <w:bottom w:val="nil"/>
            </w:tcBorders>
            <w:shd w:val="clear" w:color="auto" w:fill="auto"/>
          </w:tcPr>
          <w:p w:rsidR="00F644C8" w:rsidRPr="00A333EB" w:rsidRDefault="00F644C8" w:rsidP="00CD79C8">
            <w:pPr>
              <w:spacing w:before="30" w:after="30"/>
              <w:ind w:left="57"/>
              <w:jc w:val="left"/>
              <w:rPr>
                <w:b/>
                <w:bCs/>
                <w:sz w:val="20"/>
                <w:lang w:val="fr-CH"/>
              </w:rPr>
            </w:pPr>
            <w:r w:rsidRPr="00A333EB">
              <w:rPr>
                <w:b/>
                <w:bCs/>
                <w:sz w:val="20"/>
                <w:lang w:val="fr-CH"/>
              </w:rPr>
              <w:t>RS</w:t>
            </w:r>
          </w:p>
        </w:tc>
        <w:tc>
          <w:tcPr>
            <w:tcW w:w="8220" w:type="dxa"/>
            <w:tcBorders>
              <w:top w:val="nil"/>
              <w:bottom w:val="nil"/>
            </w:tcBorders>
            <w:shd w:val="clear" w:color="auto" w:fill="auto"/>
          </w:tcPr>
          <w:p w:rsidR="00F644C8" w:rsidRPr="00A333EB" w:rsidRDefault="00F644C8" w:rsidP="00CD79C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A333EB">
              <w:rPr>
                <w:sz w:val="20"/>
                <w:lang w:val="fr-CH"/>
              </w:rPr>
              <w:t>Systèmes de télédétection</w:t>
            </w:r>
          </w:p>
        </w:tc>
      </w:tr>
      <w:tr w:rsidR="00F644C8" w:rsidRPr="00A333EB" w:rsidTr="00CD79C8">
        <w:tc>
          <w:tcPr>
            <w:tcW w:w="1140" w:type="dxa"/>
            <w:tcBorders>
              <w:top w:val="nil"/>
              <w:bottom w:val="nil"/>
            </w:tcBorders>
            <w:shd w:val="clear" w:color="auto" w:fill="auto"/>
          </w:tcPr>
          <w:p w:rsidR="00F644C8" w:rsidRPr="00A333EB" w:rsidRDefault="00F644C8" w:rsidP="00CD79C8">
            <w:pPr>
              <w:spacing w:before="30" w:after="30"/>
              <w:ind w:left="57"/>
              <w:jc w:val="left"/>
              <w:rPr>
                <w:b/>
                <w:bCs/>
                <w:sz w:val="20"/>
                <w:lang w:val="fr-CH"/>
              </w:rPr>
            </w:pPr>
            <w:r w:rsidRPr="00A333EB">
              <w:rPr>
                <w:b/>
                <w:bCs/>
                <w:sz w:val="20"/>
                <w:lang w:val="fr-CH"/>
              </w:rPr>
              <w:t>S</w:t>
            </w:r>
          </w:p>
        </w:tc>
        <w:tc>
          <w:tcPr>
            <w:tcW w:w="8220" w:type="dxa"/>
            <w:tcBorders>
              <w:top w:val="nil"/>
              <w:bottom w:val="nil"/>
            </w:tcBorders>
            <w:shd w:val="clear" w:color="auto" w:fill="auto"/>
          </w:tcPr>
          <w:p w:rsidR="00F644C8" w:rsidRPr="00A333EB" w:rsidRDefault="00F644C8" w:rsidP="00CD79C8">
            <w:pPr>
              <w:spacing w:before="30" w:after="30"/>
              <w:jc w:val="left"/>
              <w:rPr>
                <w:sz w:val="20"/>
                <w:lang w:val="fr-CH"/>
              </w:rPr>
            </w:pPr>
            <w:r w:rsidRPr="00A333EB">
              <w:rPr>
                <w:sz w:val="20"/>
                <w:lang w:val="fr-CH"/>
              </w:rPr>
              <w:t>Service fixe par satellite</w:t>
            </w:r>
          </w:p>
        </w:tc>
      </w:tr>
      <w:tr w:rsidR="00F644C8" w:rsidRPr="00A333EB" w:rsidTr="00CD79C8">
        <w:tc>
          <w:tcPr>
            <w:tcW w:w="1140" w:type="dxa"/>
            <w:tcBorders>
              <w:top w:val="nil"/>
              <w:bottom w:val="nil"/>
            </w:tcBorders>
            <w:shd w:val="clear" w:color="auto" w:fill="auto"/>
          </w:tcPr>
          <w:p w:rsidR="00F644C8" w:rsidRPr="00A333EB" w:rsidRDefault="00F644C8" w:rsidP="00CD79C8">
            <w:pPr>
              <w:spacing w:before="30" w:after="30"/>
              <w:ind w:left="57"/>
              <w:jc w:val="left"/>
              <w:rPr>
                <w:b/>
                <w:bCs/>
                <w:sz w:val="20"/>
                <w:lang w:val="fr-CH"/>
              </w:rPr>
            </w:pPr>
            <w:r w:rsidRPr="00A333EB">
              <w:rPr>
                <w:b/>
                <w:bCs/>
                <w:sz w:val="20"/>
                <w:lang w:val="fr-CH"/>
              </w:rPr>
              <w:t>SA</w:t>
            </w:r>
          </w:p>
        </w:tc>
        <w:tc>
          <w:tcPr>
            <w:tcW w:w="8220" w:type="dxa"/>
            <w:tcBorders>
              <w:top w:val="nil"/>
              <w:bottom w:val="nil"/>
            </w:tcBorders>
            <w:shd w:val="clear" w:color="auto" w:fill="auto"/>
          </w:tcPr>
          <w:p w:rsidR="00F644C8" w:rsidRPr="00A333EB" w:rsidRDefault="00F644C8" w:rsidP="00CD79C8">
            <w:pPr>
              <w:spacing w:before="30" w:after="30"/>
              <w:jc w:val="left"/>
              <w:rPr>
                <w:sz w:val="20"/>
                <w:lang w:val="fr-CH"/>
              </w:rPr>
            </w:pPr>
            <w:r w:rsidRPr="00A333EB">
              <w:rPr>
                <w:sz w:val="20"/>
                <w:lang w:val="fr-CH"/>
              </w:rPr>
              <w:t>Applications spatiales et météorologie</w:t>
            </w:r>
          </w:p>
        </w:tc>
      </w:tr>
      <w:tr w:rsidR="00F644C8" w:rsidRPr="00A333EB" w:rsidTr="00CD79C8">
        <w:tc>
          <w:tcPr>
            <w:tcW w:w="1140" w:type="dxa"/>
            <w:tcBorders>
              <w:top w:val="nil"/>
              <w:bottom w:val="nil"/>
            </w:tcBorders>
            <w:shd w:val="clear" w:color="auto" w:fill="auto"/>
          </w:tcPr>
          <w:p w:rsidR="00F644C8" w:rsidRPr="00A333EB" w:rsidRDefault="00F644C8" w:rsidP="00CD79C8">
            <w:pPr>
              <w:spacing w:before="30" w:after="30"/>
              <w:ind w:left="57"/>
              <w:jc w:val="left"/>
              <w:rPr>
                <w:b/>
                <w:bCs/>
                <w:sz w:val="20"/>
                <w:lang w:val="fr-CH"/>
              </w:rPr>
            </w:pPr>
            <w:r w:rsidRPr="00A333EB">
              <w:rPr>
                <w:b/>
                <w:bCs/>
                <w:sz w:val="20"/>
                <w:lang w:val="fr-CH"/>
              </w:rPr>
              <w:t>SF</w:t>
            </w:r>
          </w:p>
        </w:tc>
        <w:tc>
          <w:tcPr>
            <w:tcW w:w="8220" w:type="dxa"/>
            <w:tcBorders>
              <w:top w:val="nil"/>
              <w:bottom w:val="nil"/>
            </w:tcBorders>
            <w:shd w:val="clear" w:color="auto" w:fill="auto"/>
          </w:tcPr>
          <w:p w:rsidR="00F644C8" w:rsidRPr="00A333EB" w:rsidRDefault="00F644C8" w:rsidP="00CD79C8">
            <w:pPr>
              <w:spacing w:before="30" w:after="30"/>
              <w:jc w:val="left"/>
              <w:rPr>
                <w:sz w:val="20"/>
                <w:lang w:val="fr-CH"/>
              </w:rPr>
            </w:pPr>
            <w:r w:rsidRPr="00A333EB">
              <w:rPr>
                <w:sz w:val="20"/>
                <w:lang w:val="fr-CH"/>
              </w:rPr>
              <w:t>Partage des fréquences et coordination entre les systèmes du service fixe par satellite et du service fixe</w:t>
            </w:r>
          </w:p>
        </w:tc>
      </w:tr>
      <w:tr w:rsidR="00F644C8" w:rsidRPr="00A333EB" w:rsidTr="00CD79C8">
        <w:tc>
          <w:tcPr>
            <w:tcW w:w="1140" w:type="dxa"/>
            <w:tcBorders>
              <w:top w:val="nil"/>
              <w:bottom w:val="nil"/>
            </w:tcBorders>
            <w:shd w:val="clear" w:color="auto" w:fill="F3F3F3"/>
          </w:tcPr>
          <w:p w:rsidR="00F644C8" w:rsidRPr="00A333EB" w:rsidRDefault="00F644C8" w:rsidP="00CD79C8">
            <w:pPr>
              <w:spacing w:before="30" w:after="30"/>
              <w:ind w:left="57"/>
              <w:jc w:val="left"/>
              <w:rPr>
                <w:b/>
                <w:bCs/>
                <w:color w:val="000080"/>
                <w:sz w:val="20"/>
                <w:lang w:val="fr-CH"/>
              </w:rPr>
            </w:pPr>
            <w:r w:rsidRPr="00A333EB">
              <w:rPr>
                <w:b/>
                <w:bCs/>
                <w:color w:val="000080"/>
                <w:sz w:val="20"/>
                <w:lang w:val="fr-CH"/>
              </w:rPr>
              <w:t>SM</w:t>
            </w:r>
          </w:p>
        </w:tc>
        <w:tc>
          <w:tcPr>
            <w:tcW w:w="8220" w:type="dxa"/>
            <w:tcBorders>
              <w:top w:val="nil"/>
              <w:bottom w:val="nil"/>
            </w:tcBorders>
            <w:shd w:val="clear" w:color="auto" w:fill="F3F3F3"/>
          </w:tcPr>
          <w:p w:rsidR="00F644C8" w:rsidRPr="00A333EB" w:rsidRDefault="00F644C8" w:rsidP="00CD79C8">
            <w:pPr>
              <w:spacing w:before="30" w:after="30"/>
              <w:jc w:val="left"/>
              <w:rPr>
                <w:b/>
                <w:bCs/>
                <w:color w:val="000080"/>
                <w:sz w:val="20"/>
                <w:lang w:val="fr-CH"/>
              </w:rPr>
            </w:pPr>
            <w:r w:rsidRPr="00A333EB">
              <w:rPr>
                <w:b/>
                <w:bCs/>
                <w:color w:val="000080"/>
                <w:sz w:val="20"/>
                <w:lang w:val="fr-CH"/>
              </w:rPr>
              <w:t>Gestion du spectre</w:t>
            </w:r>
          </w:p>
        </w:tc>
      </w:tr>
      <w:tr w:rsidR="00F644C8" w:rsidRPr="00A333EB" w:rsidTr="00CD79C8">
        <w:tc>
          <w:tcPr>
            <w:tcW w:w="1140" w:type="dxa"/>
            <w:tcBorders>
              <w:top w:val="nil"/>
              <w:bottom w:val="single" w:sz="12" w:space="0" w:color="000080"/>
            </w:tcBorders>
            <w:shd w:val="clear" w:color="auto" w:fill="auto"/>
          </w:tcPr>
          <w:p w:rsidR="00F644C8" w:rsidRPr="00A333EB" w:rsidRDefault="00F644C8" w:rsidP="00CD79C8">
            <w:pPr>
              <w:spacing w:before="30" w:after="30"/>
              <w:ind w:left="57"/>
              <w:jc w:val="left"/>
              <w:rPr>
                <w:b/>
                <w:bCs/>
                <w:sz w:val="20"/>
                <w:lang w:val="fr-CH"/>
              </w:rPr>
            </w:pPr>
          </w:p>
        </w:tc>
        <w:tc>
          <w:tcPr>
            <w:tcW w:w="8220" w:type="dxa"/>
            <w:tcBorders>
              <w:top w:val="nil"/>
              <w:bottom w:val="single" w:sz="12" w:space="0" w:color="000080"/>
            </w:tcBorders>
            <w:shd w:val="clear" w:color="auto" w:fill="auto"/>
          </w:tcPr>
          <w:p w:rsidR="00F644C8" w:rsidRPr="00A333EB" w:rsidRDefault="00F644C8" w:rsidP="00CD79C8">
            <w:pPr>
              <w:spacing w:before="30" w:after="30"/>
              <w:jc w:val="left"/>
              <w:rPr>
                <w:b/>
                <w:bCs/>
                <w:sz w:val="20"/>
                <w:lang w:val="fr-CH"/>
              </w:rPr>
            </w:pPr>
          </w:p>
        </w:tc>
      </w:tr>
    </w:tbl>
    <w:p w:rsidR="00F644C8" w:rsidRPr="00A333EB" w:rsidRDefault="00F644C8" w:rsidP="00CD79C8">
      <w:pPr>
        <w:spacing w:before="0"/>
        <w:jc w:val="center"/>
        <w:rPr>
          <w:sz w:val="20"/>
          <w:lang w:val="fr-CH"/>
        </w:rPr>
      </w:pPr>
    </w:p>
    <w:p w:rsidR="00F644C8" w:rsidRPr="00A333EB" w:rsidRDefault="00F644C8" w:rsidP="00CD79C8">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644C8" w:rsidRPr="00A333EB" w:rsidTr="00CD79C8">
        <w:tc>
          <w:tcPr>
            <w:tcW w:w="9360" w:type="dxa"/>
          </w:tcPr>
          <w:p w:rsidR="00F644C8" w:rsidRPr="00A333EB" w:rsidRDefault="00F644C8" w:rsidP="00CD79C8">
            <w:pPr>
              <w:spacing w:before="80" w:after="80"/>
              <w:jc w:val="left"/>
              <w:rPr>
                <w:i/>
                <w:iCs/>
                <w:sz w:val="20"/>
                <w:lang w:val="fr-CH"/>
              </w:rPr>
            </w:pPr>
            <w:r w:rsidRPr="00A333EB">
              <w:rPr>
                <w:b/>
                <w:bCs/>
                <w:i/>
                <w:iCs/>
                <w:sz w:val="20"/>
                <w:lang w:val="fr-CH"/>
              </w:rPr>
              <w:t>Note</w:t>
            </w:r>
            <w:r w:rsidRPr="00A333EB">
              <w:rPr>
                <w:i/>
                <w:iCs/>
                <w:sz w:val="20"/>
                <w:lang w:val="fr-CH"/>
              </w:rPr>
              <w:t xml:space="preserve">: Ce Rapport UIT-R a été approuvé en anglais par la Commission d’études aux termes de la procédure détaillée dans la Résolution UIT-R 1. </w:t>
            </w:r>
          </w:p>
        </w:tc>
      </w:tr>
    </w:tbl>
    <w:p w:rsidR="00F644C8" w:rsidRPr="00A333EB" w:rsidRDefault="00F644C8" w:rsidP="00CD79C8">
      <w:pPr>
        <w:spacing w:before="0"/>
        <w:jc w:val="center"/>
        <w:rPr>
          <w:sz w:val="22"/>
          <w:lang w:val="fr-CH"/>
        </w:rPr>
      </w:pPr>
    </w:p>
    <w:p w:rsidR="00F644C8" w:rsidRPr="00A333EB" w:rsidRDefault="00F644C8" w:rsidP="00CD79C8">
      <w:pPr>
        <w:spacing w:before="100"/>
        <w:jc w:val="right"/>
        <w:rPr>
          <w:i/>
          <w:iCs/>
          <w:sz w:val="20"/>
          <w:lang w:val="fr-CH"/>
        </w:rPr>
      </w:pPr>
      <w:r w:rsidRPr="00A333EB">
        <w:rPr>
          <w:i/>
          <w:iCs/>
          <w:sz w:val="20"/>
          <w:lang w:val="fr-CH"/>
        </w:rPr>
        <w:t>Publication électronique</w:t>
      </w:r>
    </w:p>
    <w:p w:rsidR="00F644C8" w:rsidRPr="00A333EB" w:rsidRDefault="00F644C8" w:rsidP="00CD79C8">
      <w:pPr>
        <w:spacing w:before="0"/>
        <w:jc w:val="right"/>
        <w:rPr>
          <w:sz w:val="20"/>
          <w:lang w:val="fr-CH"/>
        </w:rPr>
      </w:pPr>
      <w:r w:rsidRPr="00A333EB">
        <w:rPr>
          <w:sz w:val="20"/>
          <w:lang w:val="fr-CH"/>
        </w:rPr>
        <w:t>Genève, 2011</w:t>
      </w:r>
    </w:p>
    <w:p w:rsidR="00F644C8" w:rsidRPr="00A333EB" w:rsidRDefault="00F644C8" w:rsidP="00CD79C8">
      <w:pPr>
        <w:spacing w:before="200"/>
        <w:jc w:val="center"/>
        <w:rPr>
          <w:sz w:val="20"/>
          <w:lang w:val="fr-CH"/>
        </w:rPr>
      </w:pPr>
      <w:r w:rsidRPr="00A333EB">
        <w:rPr>
          <w:sz w:val="20"/>
          <w:lang w:val="fr-CH"/>
        </w:rPr>
        <w:sym w:font="Symbol" w:char="F0E3"/>
      </w:r>
      <w:r w:rsidRPr="00A333EB">
        <w:rPr>
          <w:sz w:val="20"/>
          <w:lang w:val="fr-CH"/>
        </w:rPr>
        <w:t xml:space="preserve"> UIT 2011</w:t>
      </w:r>
    </w:p>
    <w:p w:rsidR="00F644C8" w:rsidRPr="00A333EB" w:rsidRDefault="00F644C8" w:rsidP="00CD79C8">
      <w:pPr>
        <w:spacing w:before="80"/>
        <w:rPr>
          <w:sz w:val="18"/>
          <w:szCs w:val="18"/>
          <w:lang w:val="fr-CH"/>
        </w:rPr>
      </w:pPr>
      <w:r w:rsidRPr="00A333EB">
        <w:rPr>
          <w:sz w:val="18"/>
          <w:szCs w:val="18"/>
          <w:lang w:val="fr-CH"/>
        </w:rPr>
        <w:t>Tous droits réservés. Aucune partie de cette publication ne peut être reproduite, par quelque procédé que ce soit, sans l’accord écrit préalable de l’UIT.</w:t>
      </w:r>
    </w:p>
    <w:p w:rsidR="00F644C8" w:rsidRPr="00A333EB" w:rsidRDefault="00F644C8" w:rsidP="00CD79C8">
      <w:pPr>
        <w:spacing w:before="160"/>
        <w:rPr>
          <w:i/>
          <w:sz w:val="20"/>
          <w:highlight w:val="yellow"/>
          <w:lang w:val="fr-CH"/>
        </w:rPr>
        <w:sectPr w:rsidR="00F644C8" w:rsidRPr="00A333EB" w:rsidSect="00CD79C8">
          <w:headerReference w:type="even" r:id="rId14"/>
          <w:headerReference w:type="default" r:id="rId15"/>
          <w:pgSz w:w="11907" w:h="16834" w:code="9"/>
          <w:pgMar w:top="1418" w:right="1134" w:bottom="1134" w:left="1134" w:header="720" w:footer="482" w:gutter="0"/>
          <w:pgNumType w:fmt="lowerRoman" w:start="2"/>
          <w:cols w:space="720"/>
        </w:sectPr>
      </w:pPr>
    </w:p>
    <w:p w:rsidR="00F644C8" w:rsidRPr="00A333EB" w:rsidRDefault="00F644C8" w:rsidP="00CD79C8">
      <w:pPr>
        <w:pStyle w:val="RepNo"/>
        <w:spacing w:before="0"/>
        <w:rPr>
          <w:lang w:val="fr-CH"/>
        </w:rPr>
      </w:pPr>
      <w:r w:rsidRPr="00A333EB">
        <w:rPr>
          <w:lang w:val="fr-CH"/>
        </w:rPr>
        <w:lastRenderedPageBreak/>
        <w:t xml:space="preserve">RAPPORT  </w:t>
      </w:r>
      <w:r w:rsidRPr="00A333EB">
        <w:rPr>
          <w:rStyle w:val="href"/>
          <w:lang w:val="fr-CH"/>
        </w:rPr>
        <w:t>UIT-R  SM.</w:t>
      </w:r>
      <w:r w:rsidR="00CD79C8" w:rsidRPr="00A333EB">
        <w:rPr>
          <w:rStyle w:val="href"/>
          <w:lang w:val="fr-CH"/>
        </w:rPr>
        <w:t>2210</w:t>
      </w:r>
    </w:p>
    <w:p w:rsidR="00F644C8" w:rsidRPr="00A333EB" w:rsidRDefault="00F644C8" w:rsidP="00F644C8">
      <w:pPr>
        <w:pStyle w:val="Reptitle"/>
        <w:rPr>
          <w:rFonts w:cstheme="majorBidi"/>
          <w:szCs w:val="24"/>
          <w:lang w:val="fr-CH"/>
        </w:rPr>
      </w:pPr>
      <w:r w:rsidRPr="00A333EB">
        <w:rPr>
          <w:rFonts w:cstheme="majorBidi"/>
          <w:szCs w:val="24"/>
          <w:lang w:val="fr-CH"/>
        </w:rPr>
        <w:t>Effets des émissions provenant des dispositifs à courte portée</w:t>
      </w:r>
      <w:r w:rsidRPr="00A333EB">
        <w:rPr>
          <w:rFonts w:cstheme="majorBidi"/>
          <w:szCs w:val="24"/>
          <w:lang w:val="fr-CH"/>
        </w:rPr>
        <w:br/>
        <w:t>sur les services de radiocommunication</w:t>
      </w:r>
    </w:p>
    <w:p w:rsidR="00F644C8" w:rsidRPr="00A333EB" w:rsidRDefault="00F644C8" w:rsidP="00F644C8">
      <w:pPr>
        <w:pStyle w:val="Repdate"/>
        <w:rPr>
          <w:rFonts w:cstheme="majorBidi"/>
          <w:szCs w:val="24"/>
          <w:lang w:val="fr-CH"/>
        </w:rPr>
      </w:pPr>
      <w:r w:rsidRPr="00A333EB">
        <w:rPr>
          <w:rFonts w:cstheme="majorBidi"/>
          <w:szCs w:val="24"/>
          <w:lang w:val="fr-CH"/>
        </w:rPr>
        <w:t>(2011)</w:t>
      </w:r>
    </w:p>
    <w:p w:rsidR="00F644C8" w:rsidRPr="00A333EB" w:rsidRDefault="00F644C8" w:rsidP="00F644C8">
      <w:pPr>
        <w:rPr>
          <w:rFonts w:cstheme="majorBidi"/>
          <w:szCs w:val="24"/>
          <w:lang w:val="fr-CH"/>
        </w:rPr>
      </w:pPr>
    </w:p>
    <w:p w:rsidR="00F644C8" w:rsidRPr="00A333EB" w:rsidRDefault="00F644C8" w:rsidP="00F644C8">
      <w:pPr>
        <w:rPr>
          <w:rFonts w:cstheme="majorBidi"/>
          <w:szCs w:val="24"/>
          <w:lang w:val="fr-CH"/>
        </w:rPr>
      </w:pPr>
    </w:p>
    <w:p w:rsidR="00F644C8" w:rsidRPr="00A333EB" w:rsidRDefault="00F644C8" w:rsidP="00F644C8">
      <w:pPr>
        <w:jc w:val="center"/>
        <w:rPr>
          <w:rFonts w:cstheme="majorBidi"/>
          <w:szCs w:val="24"/>
          <w:lang w:val="fr-CH"/>
        </w:rPr>
      </w:pPr>
      <w:r w:rsidRPr="00A333EB">
        <w:rPr>
          <w:rFonts w:cstheme="majorBidi"/>
          <w:szCs w:val="24"/>
          <w:lang w:val="fr-CH"/>
        </w:rPr>
        <w:t>TABLE DES MATIÈRES</w:t>
      </w:r>
    </w:p>
    <w:p w:rsidR="00F644C8" w:rsidRPr="00A333EB" w:rsidRDefault="00F644C8" w:rsidP="00F644C8">
      <w:pPr>
        <w:pStyle w:val="toc0"/>
        <w:rPr>
          <w:lang w:val="fr-CH"/>
        </w:rPr>
      </w:pPr>
      <w:r w:rsidRPr="00A333EB">
        <w:rPr>
          <w:lang w:val="fr-CH"/>
        </w:rPr>
        <w:tab/>
        <w:t>Page</w:t>
      </w:r>
    </w:p>
    <w:p w:rsidR="00A333EB" w:rsidRPr="00A333EB" w:rsidRDefault="00A333EB" w:rsidP="00A333EB">
      <w:pPr>
        <w:pStyle w:val="TOC1"/>
        <w:rPr>
          <w:rFonts w:eastAsiaTheme="minorEastAsia"/>
          <w:lang w:val="fr-CH"/>
        </w:rPr>
      </w:pPr>
      <w:r w:rsidRPr="00A333EB">
        <w:rPr>
          <w:lang w:val="fr-CH"/>
        </w:rPr>
        <w:t>1</w:t>
      </w:r>
      <w:r w:rsidRPr="00A333EB">
        <w:rPr>
          <w:rFonts w:eastAsiaTheme="minorEastAsia"/>
          <w:lang w:val="fr-CH"/>
        </w:rPr>
        <w:tab/>
      </w:r>
      <w:r w:rsidRPr="00A333EB">
        <w:rPr>
          <w:lang w:val="fr-CH"/>
        </w:rPr>
        <w:t>Introduction</w:t>
      </w:r>
      <w:r w:rsidRPr="00A333EB">
        <w:rPr>
          <w:webHidden/>
          <w:lang w:val="fr-CH"/>
        </w:rPr>
        <w:tab/>
      </w:r>
      <w:r>
        <w:rPr>
          <w:webHidden/>
          <w:lang w:val="fr-CH"/>
        </w:rPr>
        <w:tab/>
      </w:r>
      <w:r w:rsidRPr="00A333EB">
        <w:rPr>
          <w:webHidden/>
          <w:lang w:val="fr-CH"/>
        </w:rPr>
        <w:t>1</w:t>
      </w:r>
    </w:p>
    <w:p w:rsidR="00A333EB" w:rsidRPr="00A333EB" w:rsidRDefault="00A333EB">
      <w:pPr>
        <w:pStyle w:val="TOC1"/>
        <w:rPr>
          <w:rFonts w:eastAsiaTheme="minorEastAsia"/>
          <w:lang w:val="fr-CH"/>
        </w:rPr>
      </w:pPr>
      <w:r w:rsidRPr="00A333EB">
        <w:rPr>
          <w:lang w:val="fr-CH"/>
        </w:rPr>
        <w:t>2</w:t>
      </w:r>
      <w:r w:rsidRPr="00A333EB">
        <w:rPr>
          <w:rFonts w:eastAsiaTheme="minorEastAsia"/>
          <w:lang w:val="fr-CH"/>
        </w:rPr>
        <w:tab/>
      </w:r>
      <w:r w:rsidRPr="00A333EB">
        <w:rPr>
          <w:lang w:val="fr-CH"/>
        </w:rPr>
        <w:t>Modèles de propagation à utiliser</w:t>
      </w:r>
      <w:r w:rsidRPr="00A333EB">
        <w:rPr>
          <w:webHidden/>
          <w:lang w:val="fr-CH"/>
        </w:rPr>
        <w:tab/>
      </w:r>
      <w:r>
        <w:rPr>
          <w:webHidden/>
          <w:lang w:val="fr-CH"/>
        </w:rPr>
        <w:tab/>
      </w:r>
      <w:r w:rsidRPr="00A333EB">
        <w:rPr>
          <w:webHidden/>
          <w:lang w:val="fr-CH"/>
        </w:rPr>
        <w:t>2</w:t>
      </w:r>
    </w:p>
    <w:p w:rsidR="00A333EB" w:rsidRPr="00A333EB" w:rsidRDefault="00A333EB">
      <w:pPr>
        <w:pStyle w:val="TOC1"/>
        <w:rPr>
          <w:rFonts w:eastAsiaTheme="minorEastAsia"/>
          <w:lang w:val="fr-CH"/>
        </w:rPr>
      </w:pPr>
      <w:r w:rsidRPr="00A333EB">
        <w:rPr>
          <w:lang w:val="fr-CH"/>
        </w:rPr>
        <w:t>3</w:t>
      </w:r>
      <w:r w:rsidRPr="00A333EB">
        <w:rPr>
          <w:rFonts w:eastAsiaTheme="minorEastAsia"/>
          <w:lang w:val="fr-CH"/>
        </w:rPr>
        <w:tab/>
      </w:r>
      <w:r w:rsidRPr="00A333EB">
        <w:rPr>
          <w:lang w:val="fr-CH"/>
        </w:rPr>
        <w:t>Caractéristiques et critères de protection des services de radiocommunication</w:t>
      </w:r>
      <w:r w:rsidRPr="00A333EB">
        <w:rPr>
          <w:webHidden/>
          <w:lang w:val="fr-CH"/>
        </w:rPr>
        <w:tab/>
      </w:r>
      <w:r>
        <w:rPr>
          <w:webHidden/>
          <w:lang w:val="fr-CH"/>
        </w:rPr>
        <w:tab/>
      </w:r>
      <w:r w:rsidRPr="00A333EB">
        <w:rPr>
          <w:webHidden/>
          <w:lang w:val="fr-CH"/>
        </w:rPr>
        <w:t>2</w:t>
      </w:r>
    </w:p>
    <w:p w:rsidR="00A333EB" w:rsidRPr="00A333EB" w:rsidRDefault="00A333EB">
      <w:pPr>
        <w:pStyle w:val="TOC1"/>
        <w:rPr>
          <w:rFonts w:eastAsiaTheme="minorEastAsia"/>
          <w:lang w:val="fr-CH"/>
        </w:rPr>
      </w:pPr>
      <w:r w:rsidRPr="00A333EB">
        <w:rPr>
          <w:lang w:val="fr-CH"/>
        </w:rPr>
        <w:t>4</w:t>
      </w:r>
      <w:r w:rsidRPr="00A333EB">
        <w:rPr>
          <w:rFonts w:eastAsiaTheme="minorEastAsia"/>
          <w:lang w:val="fr-CH"/>
        </w:rPr>
        <w:tab/>
      </w:r>
      <w:r w:rsidRPr="00A333EB">
        <w:rPr>
          <w:lang w:val="fr-CH"/>
        </w:rPr>
        <w:t>Fréquences et caractéristiques techniques et opérationnelles des dispositifs à courte portée</w:t>
      </w:r>
      <w:r w:rsidRPr="00A333EB">
        <w:rPr>
          <w:webHidden/>
          <w:lang w:val="fr-CH"/>
        </w:rPr>
        <w:tab/>
      </w:r>
      <w:r>
        <w:rPr>
          <w:webHidden/>
          <w:lang w:val="fr-CH"/>
        </w:rPr>
        <w:tab/>
      </w:r>
      <w:r w:rsidRPr="00A333EB">
        <w:rPr>
          <w:webHidden/>
          <w:lang w:val="fr-CH"/>
        </w:rPr>
        <w:t>4</w:t>
      </w:r>
    </w:p>
    <w:p w:rsidR="00A333EB" w:rsidRPr="00A333EB" w:rsidRDefault="00A333EB">
      <w:pPr>
        <w:pStyle w:val="TOC1"/>
        <w:rPr>
          <w:rFonts w:eastAsiaTheme="minorEastAsia"/>
          <w:lang w:val="fr-CH"/>
        </w:rPr>
      </w:pPr>
      <w:r w:rsidRPr="00A333EB">
        <w:rPr>
          <w:lang w:val="fr-CH"/>
        </w:rPr>
        <w:t>5</w:t>
      </w:r>
      <w:r w:rsidRPr="00A333EB">
        <w:rPr>
          <w:rFonts w:eastAsiaTheme="minorEastAsia"/>
          <w:lang w:val="fr-CH"/>
        </w:rPr>
        <w:tab/>
      </w:r>
      <w:r w:rsidRPr="00A333EB">
        <w:rPr>
          <w:lang w:val="fr-CH"/>
        </w:rPr>
        <w:t>Etudes de compatibilité</w:t>
      </w:r>
      <w:r w:rsidRPr="00A333EB">
        <w:rPr>
          <w:webHidden/>
          <w:lang w:val="fr-CH"/>
        </w:rPr>
        <w:tab/>
      </w:r>
      <w:r>
        <w:rPr>
          <w:webHidden/>
          <w:lang w:val="fr-CH"/>
        </w:rPr>
        <w:tab/>
      </w:r>
      <w:r w:rsidRPr="00A333EB">
        <w:rPr>
          <w:webHidden/>
          <w:lang w:val="fr-CH"/>
        </w:rPr>
        <w:t>4</w:t>
      </w:r>
    </w:p>
    <w:p w:rsidR="00A333EB" w:rsidRPr="00A333EB" w:rsidRDefault="00A333EB">
      <w:pPr>
        <w:pStyle w:val="TOC1"/>
        <w:rPr>
          <w:rFonts w:eastAsiaTheme="minorEastAsia"/>
          <w:lang w:val="fr-CH"/>
        </w:rPr>
      </w:pPr>
      <w:r w:rsidRPr="00A333EB">
        <w:rPr>
          <w:lang w:val="fr-CH"/>
        </w:rPr>
        <w:t>6</w:t>
      </w:r>
      <w:r w:rsidRPr="00A333EB">
        <w:rPr>
          <w:rFonts w:eastAsiaTheme="minorEastAsia"/>
          <w:lang w:val="fr-CH"/>
        </w:rPr>
        <w:tab/>
      </w:r>
      <w:r w:rsidRPr="00A333EB">
        <w:rPr>
          <w:lang w:val="fr-CH"/>
        </w:rPr>
        <w:t>Examen des pratiques actuelles concernant les dispositifs à courte portée</w:t>
      </w:r>
      <w:r w:rsidRPr="00A333EB">
        <w:rPr>
          <w:webHidden/>
          <w:lang w:val="fr-CH"/>
        </w:rPr>
        <w:tab/>
      </w:r>
      <w:r>
        <w:rPr>
          <w:webHidden/>
          <w:lang w:val="fr-CH"/>
        </w:rPr>
        <w:tab/>
      </w:r>
      <w:r w:rsidRPr="00A333EB">
        <w:rPr>
          <w:webHidden/>
          <w:lang w:val="fr-CH"/>
        </w:rPr>
        <w:t>7</w:t>
      </w:r>
    </w:p>
    <w:p w:rsidR="00A333EB" w:rsidRPr="00A333EB" w:rsidRDefault="00A333EB">
      <w:pPr>
        <w:pStyle w:val="TOC2"/>
        <w:rPr>
          <w:rFonts w:eastAsiaTheme="minorEastAsia"/>
          <w:lang w:val="fr-CH"/>
        </w:rPr>
      </w:pPr>
      <w:r w:rsidRPr="00A333EB">
        <w:rPr>
          <w:lang w:val="fr-CH"/>
        </w:rPr>
        <w:t>6.1</w:t>
      </w:r>
      <w:r w:rsidRPr="00A333EB">
        <w:rPr>
          <w:rFonts w:eastAsiaTheme="minorEastAsia"/>
          <w:lang w:val="fr-CH"/>
        </w:rPr>
        <w:tab/>
      </w:r>
      <w:r w:rsidRPr="00A333EB">
        <w:rPr>
          <w:lang w:val="fr-CH"/>
        </w:rPr>
        <w:t>Gabarits d'émission applicables aux dispositifs à courte portée</w:t>
      </w:r>
      <w:r w:rsidRPr="00A333EB">
        <w:rPr>
          <w:webHidden/>
          <w:lang w:val="fr-CH"/>
        </w:rPr>
        <w:tab/>
      </w:r>
      <w:r>
        <w:rPr>
          <w:webHidden/>
          <w:lang w:val="fr-CH"/>
        </w:rPr>
        <w:tab/>
      </w:r>
      <w:r w:rsidRPr="00A333EB">
        <w:rPr>
          <w:webHidden/>
          <w:lang w:val="fr-CH"/>
        </w:rPr>
        <w:t>8</w:t>
      </w:r>
    </w:p>
    <w:p w:rsidR="00A333EB" w:rsidRPr="00A333EB" w:rsidRDefault="00A333EB">
      <w:pPr>
        <w:pStyle w:val="TOC2"/>
        <w:rPr>
          <w:rFonts w:eastAsiaTheme="minorEastAsia"/>
          <w:lang w:val="fr-CH"/>
        </w:rPr>
      </w:pPr>
      <w:r w:rsidRPr="00A333EB">
        <w:rPr>
          <w:lang w:val="fr-CH"/>
        </w:rPr>
        <w:t>6.2</w:t>
      </w:r>
      <w:r w:rsidRPr="00A333EB">
        <w:rPr>
          <w:rFonts w:eastAsiaTheme="minorEastAsia"/>
          <w:lang w:val="fr-CH"/>
        </w:rPr>
        <w:tab/>
      </w:r>
      <w:r w:rsidRPr="00A333EB">
        <w:rPr>
          <w:lang w:val="fr-CH"/>
        </w:rPr>
        <w:t>Bandes d'exclusion/fréquences restreintes applicables aux dispositifs à courte portée</w:t>
      </w:r>
      <w:r w:rsidRPr="00A333EB">
        <w:rPr>
          <w:webHidden/>
          <w:lang w:val="fr-CH"/>
        </w:rPr>
        <w:tab/>
      </w:r>
      <w:r>
        <w:rPr>
          <w:webHidden/>
          <w:lang w:val="fr-CH"/>
        </w:rPr>
        <w:tab/>
      </w:r>
      <w:r w:rsidRPr="00A333EB">
        <w:rPr>
          <w:webHidden/>
          <w:lang w:val="fr-CH"/>
        </w:rPr>
        <w:t>8</w:t>
      </w:r>
    </w:p>
    <w:p w:rsidR="00A333EB" w:rsidRPr="00A333EB" w:rsidRDefault="00A333EB">
      <w:pPr>
        <w:pStyle w:val="TOC2"/>
        <w:rPr>
          <w:rFonts w:eastAsiaTheme="minorEastAsia"/>
          <w:lang w:val="fr-CH"/>
        </w:rPr>
      </w:pPr>
      <w:r w:rsidRPr="00A333EB">
        <w:rPr>
          <w:lang w:val="fr-CH"/>
        </w:rPr>
        <w:t>6.3</w:t>
      </w:r>
      <w:r w:rsidRPr="00A333EB">
        <w:rPr>
          <w:rFonts w:eastAsiaTheme="minorEastAsia"/>
          <w:lang w:val="fr-CH"/>
        </w:rPr>
        <w:tab/>
      </w:r>
      <w:r w:rsidRPr="00A333EB">
        <w:rPr>
          <w:lang w:val="fr-CH"/>
        </w:rPr>
        <w:t>Bandes harmonisées</w:t>
      </w:r>
      <w:r w:rsidRPr="00A333EB">
        <w:rPr>
          <w:webHidden/>
          <w:lang w:val="fr-CH"/>
        </w:rPr>
        <w:tab/>
      </w:r>
      <w:r>
        <w:rPr>
          <w:webHidden/>
          <w:lang w:val="fr-CH"/>
        </w:rPr>
        <w:tab/>
      </w:r>
      <w:r w:rsidRPr="00A333EB">
        <w:rPr>
          <w:webHidden/>
          <w:lang w:val="fr-CH"/>
        </w:rPr>
        <w:t>9</w:t>
      </w:r>
    </w:p>
    <w:p w:rsidR="00A333EB" w:rsidRPr="00A333EB" w:rsidRDefault="00A333EB">
      <w:pPr>
        <w:pStyle w:val="TOC1"/>
        <w:rPr>
          <w:rFonts w:eastAsiaTheme="minorEastAsia"/>
          <w:lang w:val="fr-CH"/>
        </w:rPr>
      </w:pPr>
      <w:r w:rsidRPr="00A333EB">
        <w:rPr>
          <w:lang w:val="fr-CH"/>
        </w:rPr>
        <w:t>7</w:t>
      </w:r>
      <w:r w:rsidRPr="00A333EB">
        <w:rPr>
          <w:rFonts w:eastAsiaTheme="minorEastAsia"/>
          <w:lang w:val="fr-CH"/>
        </w:rPr>
        <w:tab/>
      </w:r>
      <w:r w:rsidRPr="00A333EB">
        <w:rPr>
          <w:lang w:val="fr-CH"/>
        </w:rPr>
        <w:t>Questions connexes à la réglementation et à la mise en œuvre des dispositifs à courte portée</w:t>
      </w:r>
      <w:r w:rsidRPr="00A333EB">
        <w:rPr>
          <w:webHidden/>
          <w:lang w:val="fr-CH"/>
        </w:rPr>
        <w:tab/>
      </w:r>
      <w:r>
        <w:rPr>
          <w:webHidden/>
          <w:lang w:val="fr-CH"/>
        </w:rPr>
        <w:tab/>
      </w:r>
      <w:r w:rsidRPr="00A333EB">
        <w:rPr>
          <w:webHidden/>
          <w:lang w:val="fr-CH"/>
        </w:rPr>
        <w:t>9</w:t>
      </w:r>
    </w:p>
    <w:p w:rsidR="00A333EB" w:rsidRPr="00A333EB" w:rsidRDefault="00A333EB">
      <w:pPr>
        <w:pStyle w:val="TOC1"/>
        <w:rPr>
          <w:rFonts w:eastAsiaTheme="minorEastAsia"/>
          <w:lang w:val="fr-CH"/>
        </w:rPr>
      </w:pPr>
      <w:r w:rsidRPr="00A333EB">
        <w:rPr>
          <w:lang w:val="fr-CH"/>
        </w:rPr>
        <w:t>8</w:t>
      </w:r>
      <w:r w:rsidRPr="00A333EB">
        <w:rPr>
          <w:rFonts w:eastAsiaTheme="minorEastAsia"/>
          <w:lang w:val="fr-CH"/>
        </w:rPr>
        <w:tab/>
      </w:r>
      <w:r w:rsidRPr="00A333EB">
        <w:rPr>
          <w:lang w:val="fr-CH"/>
        </w:rPr>
        <w:t>Rôle de l'UIT</w:t>
      </w:r>
      <w:r w:rsidRPr="00A333EB">
        <w:rPr>
          <w:lang w:val="fr-CH"/>
        </w:rPr>
        <w:noBreakHyphen/>
        <w:t>R</w:t>
      </w:r>
      <w:r w:rsidRPr="00A333EB">
        <w:rPr>
          <w:webHidden/>
          <w:lang w:val="fr-CH"/>
        </w:rPr>
        <w:tab/>
      </w:r>
      <w:r>
        <w:rPr>
          <w:webHidden/>
          <w:lang w:val="fr-CH"/>
        </w:rPr>
        <w:tab/>
      </w:r>
      <w:r w:rsidRPr="00A333EB">
        <w:rPr>
          <w:webHidden/>
          <w:lang w:val="fr-CH"/>
        </w:rPr>
        <w:t>10</w:t>
      </w:r>
    </w:p>
    <w:p w:rsidR="00F644C8" w:rsidRPr="00A333EB" w:rsidRDefault="00F644C8" w:rsidP="00A333EB">
      <w:pPr>
        <w:rPr>
          <w:rFonts w:eastAsiaTheme="minorEastAsia"/>
          <w:noProof/>
          <w:lang w:val="fr-CH" w:eastAsia="zh-CN"/>
        </w:rPr>
      </w:pPr>
    </w:p>
    <w:p w:rsidR="00F644C8" w:rsidRPr="00A333EB" w:rsidRDefault="00F644C8" w:rsidP="00F644C8">
      <w:pPr>
        <w:rPr>
          <w:rFonts w:ascii="Batang" w:eastAsia="Batang" w:cstheme="majorBidi"/>
          <w:szCs w:val="24"/>
          <w:lang w:val="fr-CH"/>
        </w:rPr>
      </w:pPr>
    </w:p>
    <w:p w:rsidR="00F644C8" w:rsidRPr="00A333EB" w:rsidRDefault="00F644C8" w:rsidP="00F644C8">
      <w:pPr>
        <w:pStyle w:val="Heading1"/>
        <w:rPr>
          <w:rFonts w:cstheme="majorBidi"/>
          <w:szCs w:val="24"/>
          <w:lang w:val="fr-CH"/>
        </w:rPr>
      </w:pPr>
      <w:bookmarkStart w:id="3" w:name="_Toc304450151"/>
      <w:bookmarkStart w:id="4" w:name="_Toc304988649"/>
      <w:r w:rsidRPr="00A333EB">
        <w:rPr>
          <w:rFonts w:cstheme="majorBidi"/>
          <w:szCs w:val="24"/>
          <w:lang w:val="fr-CH"/>
        </w:rPr>
        <w:t>1</w:t>
      </w:r>
      <w:r w:rsidRPr="00A333EB">
        <w:rPr>
          <w:rFonts w:cstheme="majorBidi"/>
          <w:szCs w:val="24"/>
          <w:lang w:val="fr-CH"/>
        </w:rPr>
        <w:tab/>
      </w:r>
      <w:r w:rsidRPr="00A333EB">
        <w:rPr>
          <w:rFonts w:cstheme="majorBidi"/>
          <w:noProof/>
          <w:szCs w:val="24"/>
          <w:lang w:val="fr-CH"/>
        </w:rPr>
        <w:t>Introduction</w:t>
      </w:r>
      <w:bookmarkEnd w:id="3"/>
      <w:bookmarkEnd w:id="4"/>
    </w:p>
    <w:p w:rsidR="00F644C8" w:rsidRPr="00A333EB" w:rsidRDefault="00F644C8" w:rsidP="00F644C8">
      <w:pPr>
        <w:rPr>
          <w:rFonts w:cstheme="majorBidi"/>
          <w:szCs w:val="24"/>
          <w:lang w:val="fr-CH"/>
        </w:rPr>
      </w:pPr>
      <w:r w:rsidRPr="00A333EB">
        <w:rPr>
          <w:rFonts w:cstheme="majorBidi"/>
          <w:szCs w:val="24"/>
          <w:lang w:val="fr-CH"/>
        </w:rPr>
        <w:t xml:space="preserve">La Résolution </w:t>
      </w:r>
      <w:r w:rsidRPr="00A333EB">
        <w:rPr>
          <w:rFonts w:cstheme="majorBidi"/>
          <w:b/>
          <w:szCs w:val="24"/>
          <w:lang w:val="fr-CH"/>
        </w:rPr>
        <w:t>953 (CMR</w:t>
      </w:r>
      <w:r w:rsidRPr="00A333EB">
        <w:rPr>
          <w:rFonts w:cstheme="majorBidi"/>
          <w:b/>
          <w:szCs w:val="24"/>
          <w:lang w:val="fr-CH"/>
        </w:rPr>
        <w:noBreakHyphen/>
        <w:t>07)</w:t>
      </w:r>
      <w:r w:rsidRPr="00A333EB">
        <w:rPr>
          <w:rFonts w:cstheme="majorBidi"/>
          <w:szCs w:val="24"/>
          <w:lang w:val="fr-CH"/>
        </w:rPr>
        <w:t xml:space="preserve"> décrit les dispositifs de radiocommunication à courte portée (SRD) comme des émetteurs ou des récepteurs radio, ou les deux, qui émettent et utilisent localement des fréquences radioélectriques. Cette Résolution indique que les technologies à bande ultralarge (UWB), les dispositifs d'identification par radiofréquence (RFID) et d'autres dispositifs analogues sont des dispositif à courte portée. Elle reconnaît aussi que les SRD, et en particulier les systèmes RFID, laissent espérer une gamme de nouvelles applications pouvant être intéressantes pour les usagers. Dans la Résolution,</w:t>
      </w:r>
      <w:r w:rsidRPr="00A333EB">
        <w:rPr>
          <w:rFonts w:cstheme="majorBidi"/>
          <w:b/>
          <w:szCs w:val="24"/>
          <w:lang w:val="fr-CH"/>
        </w:rPr>
        <w:t xml:space="preserve"> </w:t>
      </w:r>
      <w:r w:rsidRPr="00A333EB">
        <w:rPr>
          <w:rFonts w:cstheme="majorBidi"/>
          <w:szCs w:val="24"/>
          <w:lang w:val="fr-CH"/>
        </w:rPr>
        <w:t>il est demandé à l'UIT</w:t>
      </w:r>
      <w:r w:rsidRPr="00A333EB">
        <w:rPr>
          <w:rFonts w:cstheme="majorBidi"/>
          <w:szCs w:val="24"/>
          <w:lang w:val="fr-CH"/>
        </w:rPr>
        <w:noBreakHyphen/>
        <w:t>R d'étudier les émissions des SRD, en particulier des RFID, à l'intérieur et à l'extérieur des bandes de fréquences désignées dans le Règlement des radiocommunications pour les applications ISM, de manière à assurer une protection adéquate des services de radiocommunication.</w:t>
      </w:r>
    </w:p>
    <w:p w:rsidR="00F644C8" w:rsidRPr="00A333EB" w:rsidRDefault="00F644C8" w:rsidP="00F644C8">
      <w:pPr>
        <w:pStyle w:val="Heading1"/>
        <w:rPr>
          <w:rFonts w:ascii="Batang" w:eastAsia="Batang" w:cstheme="majorBidi"/>
          <w:szCs w:val="24"/>
          <w:lang w:val="fr-CH"/>
        </w:rPr>
      </w:pPr>
      <w:bookmarkStart w:id="5" w:name="_Toc304450152"/>
      <w:bookmarkStart w:id="6" w:name="_Toc304988650"/>
      <w:r w:rsidRPr="00A333EB">
        <w:rPr>
          <w:rFonts w:cstheme="majorBidi"/>
          <w:szCs w:val="24"/>
          <w:lang w:val="fr-CH"/>
        </w:rPr>
        <w:lastRenderedPageBreak/>
        <w:t>2</w:t>
      </w:r>
      <w:r w:rsidRPr="00A333EB">
        <w:rPr>
          <w:rFonts w:cstheme="majorBidi"/>
          <w:szCs w:val="24"/>
          <w:lang w:val="fr-CH"/>
        </w:rPr>
        <w:tab/>
        <w:t>Modèles de propagation à utiliser</w:t>
      </w:r>
      <w:bookmarkEnd w:id="5"/>
      <w:bookmarkEnd w:id="6"/>
    </w:p>
    <w:p w:rsidR="00F644C8" w:rsidRPr="00A333EB" w:rsidRDefault="00F644C8" w:rsidP="00CD79C8">
      <w:pPr>
        <w:rPr>
          <w:rFonts w:cstheme="majorBidi"/>
          <w:szCs w:val="24"/>
          <w:lang w:val="fr-CH"/>
        </w:rPr>
      </w:pPr>
      <w:r w:rsidRPr="00A333EB">
        <w:rPr>
          <w:rFonts w:cstheme="majorBidi"/>
          <w:szCs w:val="24"/>
          <w:lang w:val="fr-CH"/>
        </w:rPr>
        <w:t>Les modèles de propagation suivants peuvent être utilisés pour étudier les émissions des dispositifs à courte portée dans certaines bandes de fréquences:</w:t>
      </w:r>
    </w:p>
    <w:p w:rsidR="00F644C8" w:rsidRPr="00A333EB" w:rsidRDefault="00F644C8" w:rsidP="00CD79C8">
      <w:pPr>
        <w:pStyle w:val="enumlev1"/>
        <w:rPr>
          <w:rFonts w:ascii="Batang" w:eastAsia="Batang" w:cstheme="majorBidi"/>
          <w:szCs w:val="24"/>
          <w:lang w:val="fr-CH"/>
        </w:rPr>
      </w:pPr>
      <w:r w:rsidRPr="00A333EB">
        <w:rPr>
          <w:rFonts w:cstheme="majorBidi"/>
          <w:szCs w:val="24"/>
          <w:lang w:val="fr-CH"/>
        </w:rPr>
        <w:t>–</w:t>
      </w:r>
      <w:r w:rsidRPr="00A333EB">
        <w:rPr>
          <w:rFonts w:cstheme="majorBidi"/>
          <w:szCs w:val="24"/>
          <w:lang w:val="fr-CH"/>
        </w:rPr>
        <w:tab/>
        <w:t>Recommandation UIT</w:t>
      </w:r>
      <w:r w:rsidRPr="00A333EB">
        <w:rPr>
          <w:rFonts w:cstheme="majorBidi"/>
          <w:szCs w:val="24"/>
          <w:lang w:val="fr-CH"/>
        </w:rPr>
        <w:noBreakHyphen/>
        <w:t>R P.1238 – Données de propagation et méthodes de prévision pour la planification de systèmes de radiocommunication et de réseaux locaux hertziens destinés à fonctionner à l'intérieur de bâtiments à des fréquences comprises entre 900 MHz et 100 GHz.</w:t>
      </w:r>
    </w:p>
    <w:p w:rsidR="00F644C8" w:rsidRPr="00A333EB" w:rsidRDefault="00F644C8" w:rsidP="00A333EB">
      <w:pPr>
        <w:pStyle w:val="enumlev1"/>
        <w:rPr>
          <w:rFonts w:cstheme="majorBidi"/>
          <w:szCs w:val="24"/>
          <w:lang w:val="fr-CH"/>
        </w:rPr>
      </w:pPr>
      <w:r w:rsidRPr="00A333EB">
        <w:rPr>
          <w:rFonts w:cstheme="majorBidi"/>
          <w:szCs w:val="24"/>
          <w:lang w:val="fr-CH"/>
        </w:rPr>
        <w:t>–</w:t>
      </w:r>
      <w:r w:rsidRPr="00A333EB">
        <w:rPr>
          <w:rFonts w:cstheme="majorBidi"/>
          <w:szCs w:val="24"/>
          <w:lang w:val="fr-CH"/>
        </w:rPr>
        <w:tab/>
        <w:t>Recommandation UIT</w:t>
      </w:r>
      <w:r w:rsidRPr="00A333EB">
        <w:rPr>
          <w:rFonts w:cstheme="majorBidi"/>
          <w:szCs w:val="24"/>
          <w:lang w:val="fr-CH"/>
        </w:rPr>
        <w:noBreakHyphen/>
        <w:t>R P.1411 – Données de propagation et méthodes de prévision pour la planification de systèmes de radiocommunication, à courte portée, destinés à fonctionner à l'extérieur de bâtiments et de réseaux locaux hertziens dans la gamme de fréquences comprises entre 300 MHz et 100 GHz</w:t>
      </w:r>
    </w:p>
    <w:p w:rsidR="00F644C8" w:rsidRPr="00A333EB" w:rsidRDefault="00F644C8" w:rsidP="00F644C8">
      <w:pPr>
        <w:pStyle w:val="Heading1"/>
        <w:rPr>
          <w:rFonts w:cstheme="majorBidi"/>
          <w:szCs w:val="24"/>
          <w:lang w:val="fr-CH"/>
        </w:rPr>
      </w:pPr>
      <w:bookmarkStart w:id="7" w:name="_Toc304450153"/>
      <w:bookmarkStart w:id="8" w:name="_Toc304988651"/>
      <w:r w:rsidRPr="00A333EB">
        <w:rPr>
          <w:rFonts w:cstheme="majorBidi"/>
          <w:szCs w:val="24"/>
          <w:lang w:val="fr-CH"/>
        </w:rPr>
        <w:t>3</w:t>
      </w:r>
      <w:r w:rsidRPr="00A333EB">
        <w:rPr>
          <w:rFonts w:cstheme="majorBidi"/>
          <w:szCs w:val="24"/>
          <w:lang w:val="fr-CH"/>
        </w:rPr>
        <w:tab/>
        <w:t>Caractéristiques et critères de protection des services de radiocommunication</w:t>
      </w:r>
      <w:bookmarkEnd w:id="7"/>
      <w:bookmarkEnd w:id="8"/>
    </w:p>
    <w:p w:rsidR="00F644C8" w:rsidRPr="00A333EB" w:rsidRDefault="00F644C8" w:rsidP="00F644C8">
      <w:pPr>
        <w:rPr>
          <w:rFonts w:cstheme="majorBidi"/>
          <w:szCs w:val="24"/>
          <w:lang w:val="fr-CH"/>
        </w:rPr>
      </w:pPr>
      <w:r w:rsidRPr="00A333EB">
        <w:rPr>
          <w:rFonts w:cstheme="majorBidi"/>
          <w:szCs w:val="24"/>
          <w:lang w:val="fr-CH"/>
        </w:rPr>
        <w:t>Les analyses de brouillages entre les dispositifs à courte portée et les services de radiocommunication nécessitent de connaître les critères de protection et les caractéristiques techniques des systèmes de radiocommunication susceptibles d'être affectés. S'agissant des études portant sur les technologies UWB, les Recommandations et les Rapports pertinents de l'UIT</w:t>
      </w:r>
      <w:r w:rsidRPr="00A333EB">
        <w:rPr>
          <w:rFonts w:cstheme="majorBidi"/>
          <w:szCs w:val="24"/>
          <w:lang w:val="fr-CH"/>
        </w:rPr>
        <w:noBreakHyphen/>
        <w:t>R sont énumérés dans la Pièce jointe A8 du Rapport UIT</w:t>
      </w:r>
      <w:r w:rsidRPr="00A333EB">
        <w:rPr>
          <w:rFonts w:cstheme="majorBidi"/>
          <w:szCs w:val="24"/>
          <w:lang w:val="fr-CH"/>
        </w:rPr>
        <w:noBreakHyphen/>
        <w:t>R SM.2057 (Etudes relatives à l'incidence des dispositifs utilisant des technologies ultra large bande sur les services de radiocommunication). Cette Pièce jointe contient également les caractéristiques techniques et les critères de protection des systèmes susceptibles d'être brouillés. Ces caractéristiques et ces critères sont destinés à faciliter les calculs du brouillage des dispositifs utilisant des technologies à bande ultralarge; toutefois, ils sont également applicables à l'étude des émissions des dispositifs à courte portée.</w:t>
      </w:r>
    </w:p>
    <w:p w:rsidR="00F644C8" w:rsidRPr="00A333EB" w:rsidRDefault="00F644C8" w:rsidP="00F644C8">
      <w:pPr>
        <w:rPr>
          <w:rFonts w:ascii="Batang" w:eastAsia="Batang" w:cstheme="majorBidi"/>
          <w:szCs w:val="24"/>
          <w:lang w:val="fr-CH"/>
        </w:rPr>
      </w:pPr>
      <w:r w:rsidRPr="00A333EB">
        <w:rPr>
          <w:rFonts w:cstheme="majorBidi"/>
          <w:szCs w:val="24"/>
          <w:lang w:val="fr-CH"/>
        </w:rPr>
        <w:t>Les Rapports et Recommandations énumérés ci-dessous fournissent les critères de protection, les caractéristiques et les objectifs de qualité de service de divers services à prendre en compte dans l'étude des émissions des dispositifs à courte portée.</w:t>
      </w:r>
    </w:p>
    <w:p w:rsidR="00F644C8" w:rsidRPr="00A333EB" w:rsidRDefault="00F644C8" w:rsidP="00F644C8">
      <w:pPr>
        <w:pStyle w:val="enumlev1"/>
        <w:rPr>
          <w:rFonts w:cstheme="majorBidi"/>
          <w:szCs w:val="24"/>
          <w:lang w:val="fr-CH"/>
        </w:rPr>
      </w:pPr>
      <w:r w:rsidRPr="00A333EB">
        <w:rPr>
          <w:rFonts w:cstheme="majorBidi"/>
          <w:szCs w:val="24"/>
          <w:lang w:val="fr-CH"/>
        </w:rPr>
        <w:t>–</w:t>
      </w:r>
      <w:r w:rsidRPr="00A333EB">
        <w:rPr>
          <w:rFonts w:cstheme="majorBidi"/>
          <w:szCs w:val="24"/>
          <w:lang w:val="fr-CH"/>
        </w:rPr>
        <w:tab/>
        <w:t>Rapport UIT</w:t>
      </w:r>
      <w:r w:rsidRPr="00A333EB">
        <w:rPr>
          <w:rFonts w:cstheme="majorBidi"/>
          <w:szCs w:val="24"/>
          <w:lang w:val="fr-CH"/>
        </w:rPr>
        <w:noBreakHyphen/>
        <w:t>R BS.2104 – Brouillages causés par les modulateurs MF aux services de radiodiffusion.</w:t>
      </w:r>
    </w:p>
    <w:p w:rsidR="00F644C8" w:rsidRPr="00A333EB" w:rsidRDefault="00F644C8" w:rsidP="00F644C8">
      <w:pPr>
        <w:pStyle w:val="enumlev1"/>
        <w:rPr>
          <w:rFonts w:ascii="Batang" w:eastAsia="Batang" w:cstheme="majorBidi"/>
          <w:szCs w:val="24"/>
          <w:lang w:val="fr-CH"/>
        </w:rPr>
      </w:pPr>
      <w:r w:rsidRPr="00A333EB">
        <w:rPr>
          <w:rFonts w:cstheme="majorBidi"/>
          <w:szCs w:val="24"/>
          <w:lang w:val="fr-CH"/>
        </w:rPr>
        <w:t>–</w:t>
      </w:r>
      <w:r w:rsidRPr="00A333EB">
        <w:rPr>
          <w:rFonts w:cstheme="majorBidi"/>
          <w:szCs w:val="24"/>
          <w:lang w:val="fr-CH"/>
        </w:rPr>
        <w:tab/>
        <w:t>Rapport UIT</w:t>
      </w:r>
      <w:r w:rsidRPr="00A333EB">
        <w:rPr>
          <w:rFonts w:cstheme="majorBidi"/>
          <w:szCs w:val="24"/>
          <w:lang w:val="fr-CH"/>
        </w:rPr>
        <w:noBreakHyphen/>
        <w:t>R M.2039 – Caractéristiques des systèmes IMT-2000 de Terre pour les analyses de partage des fréquences et les analyses des brouillages.</w:t>
      </w:r>
    </w:p>
    <w:p w:rsidR="00F644C8" w:rsidRPr="00A333EB" w:rsidRDefault="00F644C8" w:rsidP="00F644C8">
      <w:pPr>
        <w:pStyle w:val="enumlev1"/>
        <w:rPr>
          <w:rFonts w:cstheme="majorBidi"/>
          <w:szCs w:val="24"/>
          <w:lang w:val="fr-CH"/>
        </w:rPr>
      </w:pPr>
      <w:r w:rsidRPr="0023357E">
        <w:rPr>
          <w:rFonts w:cstheme="majorBidi"/>
          <w:bCs/>
          <w:smallCaps/>
          <w:szCs w:val="24"/>
          <w:lang w:val="fr-CH"/>
        </w:rPr>
        <w:t>–</w:t>
      </w:r>
      <w:r w:rsidRPr="00A333EB">
        <w:rPr>
          <w:rFonts w:ascii="Batang" w:eastAsia="Batang" w:cstheme="majorBidi"/>
          <w:szCs w:val="24"/>
          <w:lang w:val="fr-CH"/>
        </w:rPr>
        <w:tab/>
      </w:r>
      <w:r w:rsidRPr="00A333EB">
        <w:rPr>
          <w:rFonts w:cstheme="majorBidi"/>
          <w:szCs w:val="24"/>
          <w:lang w:val="fr-CH"/>
        </w:rPr>
        <w:t>Rapport UIT</w:t>
      </w:r>
      <w:r w:rsidRPr="00A333EB">
        <w:rPr>
          <w:rFonts w:cstheme="majorBidi"/>
          <w:szCs w:val="24"/>
          <w:lang w:val="fr-CH"/>
        </w:rPr>
        <w:noBreakHyphen/>
        <w:t>R SM.2057 – Etudes relatives à l'incidence des dispositifs utilisant des technologies ultra large bande sur les services de radiocommunication.</w:t>
      </w:r>
    </w:p>
    <w:p w:rsidR="00F644C8" w:rsidRPr="00A333EB" w:rsidRDefault="00F644C8" w:rsidP="00F644C8">
      <w:pPr>
        <w:pStyle w:val="enumlev1"/>
        <w:rPr>
          <w:rFonts w:ascii="Batang" w:eastAsia="Batang" w:cstheme="majorBidi"/>
          <w:szCs w:val="24"/>
          <w:lang w:val="fr-CH"/>
        </w:rPr>
      </w:pPr>
      <w:r w:rsidRPr="0023357E">
        <w:rPr>
          <w:rFonts w:cstheme="majorBidi"/>
          <w:bCs/>
          <w:smallCaps/>
          <w:szCs w:val="24"/>
          <w:lang w:val="fr-CH"/>
        </w:rPr>
        <w:t>–</w:t>
      </w:r>
      <w:r w:rsidRPr="00A333EB">
        <w:rPr>
          <w:rFonts w:cstheme="majorBidi"/>
          <w:b/>
          <w:smallCaps/>
          <w:szCs w:val="24"/>
          <w:lang w:val="fr-CH"/>
        </w:rPr>
        <w:tab/>
      </w:r>
      <w:r w:rsidRPr="00A333EB">
        <w:rPr>
          <w:rFonts w:cstheme="majorBidi"/>
          <w:szCs w:val="24"/>
          <w:lang w:val="fr-CH"/>
        </w:rPr>
        <w:t>Rapport UIT</w:t>
      </w:r>
      <w:r w:rsidRPr="00A333EB">
        <w:rPr>
          <w:rFonts w:cstheme="majorBidi"/>
          <w:szCs w:val="24"/>
          <w:lang w:val="fr-CH"/>
        </w:rPr>
        <w:noBreakHyphen/>
        <w:t>R SM.2153 – Paramètres techniques et opérationnels et utilisation du spectre pour les dispositifs de radiocommunication à courte portée.</w:t>
      </w:r>
    </w:p>
    <w:p w:rsidR="00F644C8" w:rsidRPr="00A333EB" w:rsidRDefault="00F644C8" w:rsidP="00F644C8">
      <w:pPr>
        <w:pStyle w:val="enumlev1"/>
        <w:rPr>
          <w:rFonts w:cstheme="majorBidi"/>
          <w:szCs w:val="24"/>
          <w:lang w:val="fr-CH"/>
        </w:rPr>
      </w:pPr>
      <w:r w:rsidRPr="00A333EB">
        <w:rPr>
          <w:rFonts w:cstheme="majorBidi"/>
          <w:szCs w:val="24"/>
          <w:lang w:val="fr-CH"/>
        </w:rPr>
        <w:t>–</w:t>
      </w:r>
      <w:r w:rsidRPr="00A333EB">
        <w:rPr>
          <w:rFonts w:cstheme="majorBidi"/>
          <w:szCs w:val="24"/>
          <w:lang w:val="fr-CH"/>
        </w:rPr>
        <w:tab/>
        <w:t>Recommandation UIT</w:t>
      </w:r>
      <w:r w:rsidRPr="00A333EB">
        <w:rPr>
          <w:rFonts w:cstheme="majorBidi"/>
          <w:szCs w:val="24"/>
          <w:lang w:val="fr-CH"/>
        </w:rPr>
        <w:noBreakHyphen/>
        <w:t>R BO.1773 – Critère d'évaluation de l'incidence des brouillages occasionnés au service de radiodiffusion par satellite par les rayonnements de dispositifs sans attribution de fréquence correspondante dans le Règlement des radiocommunications et qui produisent des rayonnements fondamentaux dans les bandes de fréquences attribuées au service de radiodiffusion par satellite.</w:t>
      </w:r>
    </w:p>
    <w:p w:rsidR="00F644C8" w:rsidRPr="00A333EB" w:rsidRDefault="00F644C8" w:rsidP="00F644C8">
      <w:pPr>
        <w:pStyle w:val="enumlev1"/>
        <w:rPr>
          <w:rFonts w:ascii="Batang" w:eastAsia="Batang" w:cstheme="majorBidi"/>
          <w:i/>
          <w:szCs w:val="24"/>
          <w:lang w:val="fr-CH"/>
        </w:rPr>
      </w:pPr>
      <w:r w:rsidRPr="00A333EB">
        <w:rPr>
          <w:rFonts w:cstheme="majorBidi"/>
          <w:szCs w:val="24"/>
          <w:lang w:val="fr-CH"/>
        </w:rPr>
        <w:t>–</w:t>
      </w:r>
      <w:r w:rsidRPr="00A333EB">
        <w:rPr>
          <w:rFonts w:cstheme="majorBidi"/>
          <w:szCs w:val="24"/>
          <w:lang w:val="fr-CH"/>
        </w:rPr>
        <w:tab/>
      </w:r>
      <w:r w:rsidRPr="00A333EB">
        <w:rPr>
          <w:rFonts w:ascii="d" w:hAnsi="d" w:cstheme="majorBidi"/>
          <w:szCs w:val="24"/>
          <w:lang w:val="fr-CH"/>
        </w:rPr>
        <w:t>Recommandations UIT</w:t>
      </w:r>
      <w:r w:rsidRPr="00A333EB">
        <w:rPr>
          <w:rFonts w:ascii="d" w:hAnsi="d" w:cstheme="majorBidi"/>
          <w:szCs w:val="24"/>
          <w:lang w:val="fr-CH"/>
        </w:rPr>
        <w:noBreakHyphen/>
        <w:t>R BT.1895 et UIT</w:t>
      </w:r>
      <w:r w:rsidRPr="00A333EB">
        <w:rPr>
          <w:rFonts w:ascii="d" w:hAnsi="d" w:cstheme="majorBidi"/>
          <w:szCs w:val="24"/>
          <w:lang w:val="fr-CH"/>
        </w:rPr>
        <w:noBreakHyphen/>
        <w:t>R BS.1895 – Critères de protection applicables aux systèmes de radiodiffusion de Terre</w:t>
      </w:r>
      <w:r w:rsidRPr="00A333EB">
        <w:rPr>
          <w:rFonts w:ascii="Batang" w:eastAsia="Batang" w:cstheme="majorBidi"/>
          <w:szCs w:val="24"/>
          <w:lang w:val="fr-CH"/>
        </w:rPr>
        <w:t>.</w:t>
      </w:r>
    </w:p>
    <w:p w:rsidR="00F644C8" w:rsidRPr="00A333EB" w:rsidRDefault="00F644C8" w:rsidP="0023357E">
      <w:pPr>
        <w:pStyle w:val="enumlev1"/>
        <w:rPr>
          <w:rFonts w:cstheme="majorBidi"/>
          <w:b/>
          <w:smallCaps/>
          <w:szCs w:val="24"/>
          <w:lang w:val="fr-CH"/>
        </w:rPr>
      </w:pPr>
      <w:r w:rsidRPr="00A333EB">
        <w:rPr>
          <w:rFonts w:cstheme="majorBidi"/>
          <w:szCs w:val="24"/>
          <w:lang w:val="fr-CH"/>
        </w:rPr>
        <w:t>–</w:t>
      </w:r>
      <w:r w:rsidRPr="00A333EB">
        <w:rPr>
          <w:rFonts w:cstheme="majorBidi"/>
          <w:szCs w:val="24"/>
          <w:lang w:val="fr-CH"/>
        </w:rPr>
        <w:tab/>
        <w:t>Recommandation UIT</w:t>
      </w:r>
      <w:r w:rsidRPr="00A333EB">
        <w:rPr>
          <w:rFonts w:cstheme="majorBidi"/>
          <w:szCs w:val="24"/>
          <w:lang w:val="fr-CH"/>
        </w:rPr>
        <w:noBreakHyphen/>
        <w:t>R M.1739 – Critères de protection applicables aux systèmes d'accès hertzien, notamment aux réseaux locaux radioélectriques, exploités dans le service mobile conformément à la Résolution 229 (CMR</w:t>
      </w:r>
      <w:r w:rsidRPr="00A333EB">
        <w:rPr>
          <w:rFonts w:cstheme="majorBidi"/>
          <w:szCs w:val="24"/>
          <w:lang w:val="fr-CH"/>
        </w:rPr>
        <w:noBreakHyphen/>
        <w:t>03) dan</w:t>
      </w:r>
      <w:r w:rsidR="0023357E">
        <w:rPr>
          <w:rFonts w:cstheme="majorBidi"/>
          <w:szCs w:val="24"/>
          <w:lang w:val="fr-CH"/>
        </w:rPr>
        <w:t>s les bandes 5 150-5 250 MHz, 5 </w:t>
      </w:r>
      <w:r w:rsidRPr="00A333EB">
        <w:rPr>
          <w:rFonts w:cstheme="majorBidi"/>
          <w:szCs w:val="24"/>
          <w:lang w:val="fr-CH"/>
        </w:rPr>
        <w:t>250</w:t>
      </w:r>
      <w:r w:rsidR="0023357E">
        <w:rPr>
          <w:rFonts w:cstheme="majorBidi"/>
          <w:szCs w:val="24"/>
          <w:lang w:val="fr-CH"/>
        </w:rPr>
        <w:noBreakHyphen/>
      </w:r>
      <w:r w:rsidRPr="00A333EB">
        <w:rPr>
          <w:rFonts w:cstheme="majorBidi"/>
          <w:szCs w:val="24"/>
          <w:lang w:val="fr-CH"/>
        </w:rPr>
        <w:t>5 350 MHz et 5 4705 725 MHz.</w:t>
      </w:r>
    </w:p>
    <w:p w:rsidR="00F644C8" w:rsidRPr="00A333EB" w:rsidRDefault="00F644C8" w:rsidP="00F644C8">
      <w:pPr>
        <w:pStyle w:val="enumlev1"/>
        <w:rPr>
          <w:rFonts w:cstheme="majorBidi"/>
          <w:szCs w:val="24"/>
          <w:lang w:val="fr-CH"/>
        </w:rPr>
      </w:pPr>
      <w:r w:rsidRPr="00A333EB">
        <w:rPr>
          <w:rFonts w:cstheme="majorBidi"/>
          <w:szCs w:val="24"/>
          <w:lang w:val="fr-CH"/>
        </w:rPr>
        <w:lastRenderedPageBreak/>
        <w:t>–</w:t>
      </w:r>
      <w:r w:rsidRPr="00A333EB">
        <w:rPr>
          <w:rFonts w:cstheme="majorBidi"/>
          <w:szCs w:val="24"/>
          <w:lang w:val="fr-CH"/>
        </w:rPr>
        <w:tab/>
        <w:t>Recommandation UIT</w:t>
      </w:r>
      <w:r w:rsidRPr="00A333EB">
        <w:rPr>
          <w:rFonts w:cstheme="majorBidi"/>
          <w:szCs w:val="24"/>
          <w:lang w:val="fr-CH"/>
        </w:rPr>
        <w:noBreakHyphen/>
        <w:t>R M.1767 – Protection des systèmes mobiles terrestres vis-à-vis des systèmes de radiodiffusion vidéo et audio numériques de Terre dans les bandes d'ondes métriques et décimétriques utilisées en partage à titre primaire.</w:t>
      </w:r>
    </w:p>
    <w:p w:rsidR="00F644C8" w:rsidRPr="00A333EB" w:rsidRDefault="00F644C8" w:rsidP="00F644C8">
      <w:pPr>
        <w:pStyle w:val="enumlev1"/>
        <w:rPr>
          <w:rFonts w:ascii="Batang" w:eastAsia="Batang" w:cstheme="majorBidi"/>
          <w:szCs w:val="24"/>
          <w:lang w:val="fr-CH"/>
        </w:rPr>
      </w:pPr>
      <w:r w:rsidRPr="00A333EB">
        <w:rPr>
          <w:rFonts w:cstheme="majorBidi"/>
          <w:szCs w:val="24"/>
          <w:lang w:val="fr-CH"/>
        </w:rPr>
        <w:t>–</w:t>
      </w:r>
      <w:r w:rsidRPr="00A333EB">
        <w:rPr>
          <w:rFonts w:cstheme="majorBidi"/>
          <w:szCs w:val="24"/>
          <w:lang w:val="fr-CH"/>
        </w:rPr>
        <w:tab/>
        <w:t>Recommandation UIT</w:t>
      </w:r>
      <w:r w:rsidRPr="00A333EB">
        <w:rPr>
          <w:rFonts w:cstheme="majorBidi"/>
          <w:szCs w:val="24"/>
          <w:lang w:val="fr-CH"/>
        </w:rPr>
        <w:noBreakHyphen/>
        <w:t>R M.1823 – Caractéristiques techniques et opérationnelles des systèmes mobiles terrestres cellulaires numériques à utiliser dans les études de partage.</w:t>
      </w:r>
    </w:p>
    <w:p w:rsidR="00F644C8" w:rsidRPr="00A333EB" w:rsidRDefault="00F644C8" w:rsidP="00F644C8">
      <w:pPr>
        <w:pStyle w:val="enumlev1"/>
        <w:rPr>
          <w:rFonts w:ascii="Batang" w:eastAsia="Batang" w:cstheme="majorBidi"/>
          <w:szCs w:val="24"/>
          <w:lang w:val="fr-CH"/>
        </w:rPr>
      </w:pPr>
      <w:r w:rsidRPr="00A333EB">
        <w:rPr>
          <w:rFonts w:cstheme="majorBidi"/>
          <w:szCs w:val="24"/>
          <w:lang w:val="fr-CH"/>
        </w:rPr>
        <w:t>–</w:t>
      </w:r>
      <w:r w:rsidRPr="00A333EB">
        <w:rPr>
          <w:rFonts w:cstheme="majorBidi"/>
          <w:szCs w:val="24"/>
          <w:lang w:val="fr-CH"/>
        </w:rPr>
        <w:tab/>
        <w:t>Recommandation UIT</w:t>
      </w:r>
      <w:r w:rsidRPr="00A333EB">
        <w:rPr>
          <w:rFonts w:cstheme="majorBidi"/>
          <w:szCs w:val="24"/>
          <w:lang w:val="fr-CH"/>
        </w:rPr>
        <w:noBreakHyphen/>
        <w:t>R RA.314 – Bandes de fréquences préférées pour les mesures en radioastronomie.</w:t>
      </w:r>
    </w:p>
    <w:p w:rsidR="00F644C8" w:rsidRPr="00A333EB" w:rsidRDefault="00F644C8" w:rsidP="00F644C8">
      <w:pPr>
        <w:pStyle w:val="enumlev1"/>
        <w:rPr>
          <w:rFonts w:ascii="Batang" w:eastAsia="Batang" w:cstheme="majorBidi"/>
          <w:szCs w:val="24"/>
          <w:lang w:val="fr-CH"/>
        </w:rPr>
      </w:pPr>
      <w:r w:rsidRPr="00A333EB">
        <w:rPr>
          <w:rFonts w:cstheme="majorBidi"/>
          <w:szCs w:val="24"/>
          <w:lang w:val="fr-CH"/>
        </w:rPr>
        <w:t>–</w:t>
      </w:r>
      <w:r w:rsidRPr="00A333EB">
        <w:rPr>
          <w:rFonts w:cstheme="majorBidi"/>
          <w:szCs w:val="24"/>
          <w:lang w:val="fr-CH"/>
        </w:rPr>
        <w:tab/>
        <w:t>Recommandation UIT</w:t>
      </w:r>
      <w:r w:rsidRPr="00A333EB">
        <w:rPr>
          <w:rFonts w:cstheme="majorBidi"/>
          <w:szCs w:val="24"/>
          <w:lang w:val="fr-CH"/>
        </w:rPr>
        <w:noBreakHyphen/>
        <w:t>R RA.517 – Protection du service de radioastronomie contre les émetteurs fonctionnant dans les bandes adjacentes.</w:t>
      </w:r>
    </w:p>
    <w:p w:rsidR="00F644C8" w:rsidRPr="00A333EB" w:rsidRDefault="00F644C8" w:rsidP="00F644C8">
      <w:pPr>
        <w:pStyle w:val="enumlev1"/>
        <w:rPr>
          <w:rFonts w:ascii="Batang" w:eastAsia="Batang" w:cstheme="majorBidi"/>
          <w:szCs w:val="24"/>
          <w:lang w:val="fr-CH"/>
        </w:rPr>
      </w:pPr>
      <w:r w:rsidRPr="00A333EB">
        <w:rPr>
          <w:rFonts w:cstheme="majorBidi"/>
          <w:szCs w:val="24"/>
          <w:lang w:val="fr-CH"/>
        </w:rPr>
        <w:t>–</w:t>
      </w:r>
      <w:r w:rsidRPr="00A333EB">
        <w:rPr>
          <w:rFonts w:cstheme="majorBidi"/>
          <w:szCs w:val="24"/>
          <w:lang w:val="fr-CH"/>
        </w:rPr>
        <w:tab/>
        <w:t>Recommandation UIT</w:t>
      </w:r>
      <w:r w:rsidRPr="00A333EB">
        <w:rPr>
          <w:rFonts w:cstheme="majorBidi"/>
          <w:szCs w:val="24"/>
          <w:lang w:val="fr-CH"/>
        </w:rPr>
        <w:noBreakHyphen/>
        <w:t>R RA.611 – Protection du service de radioastronomie contre les rayonnements non essentiels.</w:t>
      </w:r>
    </w:p>
    <w:p w:rsidR="00F644C8" w:rsidRPr="00A333EB" w:rsidRDefault="00F644C8" w:rsidP="00F644C8">
      <w:pPr>
        <w:pStyle w:val="enumlev1"/>
        <w:rPr>
          <w:rFonts w:cstheme="majorBidi"/>
          <w:szCs w:val="24"/>
          <w:lang w:val="fr-CH"/>
        </w:rPr>
      </w:pPr>
      <w:r w:rsidRPr="00A333EB">
        <w:rPr>
          <w:rFonts w:cstheme="majorBidi"/>
          <w:szCs w:val="24"/>
          <w:lang w:val="fr-CH"/>
        </w:rPr>
        <w:t>–</w:t>
      </w:r>
      <w:r w:rsidRPr="00A333EB">
        <w:rPr>
          <w:rFonts w:cstheme="majorBidi"/>
          <w:szCs w:val="24"/>
          <w:lang w:val="fr-CH"/>
        </w:rPr>
        <w:tab/>
        <w:t>Recommandation UIT</w:t>
      </w:r>
      <w:r w:rsidRPr="00A333EB">
        <w:rPr>
          <w:rFonts w:cstheme="majorBidi"/>
          <w:szCs w:val="24"/>
          <w:lang w:val="fr-CH"/>
        </w:rPr>
        <w:noBreakHyphen/>
        <w:t>R RA.769 – Critères de protection applicables aux mesures en radioastronomie.</w:t>
      </w:r>
    </w:p>
    <w:p w:rsidR="00F644C8" w:rsidRPr="00A333EB" w:rsidRDefault="00F644C8" w:rsidP="00F644C8">
      <w:pPr>
        <w:pStyle w:val="enumlev1"/>
        <w:rPr>
          <w:rFonts w:ascii="Batang" w:eastAsia="Batang" w:cstheme="majorBidi"/>
          <w:szCs w:val="24"/>
          <w:lang w:val="fr-CH"/>
        </w:rPr>
      </w:pPr>
      <w:r w:rsidRPr="00A333EB">
        <w:rPr>
          <w:rFonts w:cstheme="majorBidi"/>
          <w:szCs w:val="24"/>
          <w:lang w:val="fr-CH"/>
        </w:rPr>
        <w:t>–</w:t>
      </w:r>
      <w:r w:rsidRPr="00A333EB">
        <w:rPr>
          <w:rFonts w:cstheme="majorBidi"/>
          <w:szCs w:val="24"/>
          <w:lang w:val="fr-CH"/>
        </w:rPr>
        <w:tab/>
        <w:t>Recommandation UIT</w:t>
      </w:r>
      <w:r w:rsidRPr="00A333EB">
        <w:rPr>
          <w:rFonts w:cstheme="majorBidi"/>
          <w:szCs w:val="24"/>
          <w:lang w:val="fr-CH"/>
        </w:rPr>
        <w:noBreakHyphen/>
        <w:t>R RA.1031 – Protection du service de radioastronomie dans les bandes de fréquences utilisées en partage avec d'autres services.</w:t>
      </w:r>
    </w:p>
    <w:p w:rsidR="00F644C8" w:rsidRPr="00A333EB" w:rsidRDefault="00F644C8" w:rsidP="00F644C8">
      <w:pPr>
        <w:pStyle w:val="enumlev1"/>
        <w:rPr>
          <w:lang w:val="fr-CH"/>
        </w:rPr>
      </w:pPr>
      <w:r w:rsidRPr="00A333EB">
        <w:rPr>
          <w:rFonts w:cstheme="majorBidi"/>
          <w:szCs w:val="24"/>
          <w:lang w:val="fr-CH"/>
        </w:rPr>
        <w:t>–</w:t>
      </w:r>
      <w:r w:rsidRPr="00A333EB">
        <w:rPr>
          <w:rFonts w:cstheme="majorBidi"/>
          <w:szCs w:val="24"/>
          <w:lang w:val="fr-CH"/>
        </w:rPr>
        <w:tab/>
        <w:t>Recommandation UIT</w:t>
      </w:r>
      <w:r w:rsidRPr="00A333EB">
        <w:rPr>
          <w:rFonts w:cstheme="majorBidi"/>
          <w:szCs w:val="24"/>
          <w:lang w:val="fr-CH"/>
        </w:rPr>
        <w:noBreakHyphen/>
        <w:t>R RA.1237 – Protection du service de radioastronomie contre les rayonnements non désirés produits par des systèmes à modulation numérique à large bande</w:t>
      </w:r>
      <w:r w:rsidR="00A333EB">
        <w:rPr>
          <w:rFonts w:cstheme="majorBidi"/>
          <w:szCs w:val="24"/>
          <w:lang w:val="fr-CH"/>
        </w:rPr>
        <w:t>.</w:t>
      </w:r>
    </w:p>
    <w:p w:rsidR="00F644C8" w:rsidRPr="00A333EB" w:rsidRDefault="00F644C8" w:rsidP="00F644C8">
      <w:pPr>
        <w:pStyle w:val="enumlev1"/>
        <w:rPr>
          <w:rFonts w:cstheme="majorBidi"/>
          <w:szCs w:val="24"/>
          <w:lang w:val="fr-CH"/>
        </w:rPr>
      </w:pPr>
      <w:r w:rsidRPr="00A333EB">
        <w:rPr>
          <w:rFonts w:cstheme="majorBidi"/>
          <w:szCs w:val="24"/>
          <w:lang w:val="fr-CH"/>
        </w:rPr>
        <w:t>−</w:t>
      </w:r>
      <w:r w:rsidRPr="00A333EB">
        <w:rPr>
          <w:rFonts w:cstheme="majorBidi"/>
          <w:szCs w:val="24"/>
          <w:lang w:val="fr-CH"/>
        </w:rPr>
        <w:tab/>
        <w:t>Recommandation UIT</w:t>
      </w:r>
      <w:r w:rsidRPr="00A333EB">
        <w:rPr>
          <w:rFonts w:cstheme="majorBidi"/>
          <w:szCs w:val="24"/>
          <w:lang w:val="fr-CH"/>
        </w:rPr>
        <w:noBreakHyphen/>
        <w:t>R RS.1028 – Critères de qualité de fonctionnement pour la télédétection passive par satellite.</w:t>
      </w:r>
    </w:p>
    <w:p w:rsidR="00F644C8" w:rsidRPr="00A333EB" w:rsidRDefault="00F644C8" w:rsidP="00F644C8">
      <w:pPr>
        <w:pStyle w:val="enumlev1"/>
        <w:rPr>
          <w:rFonts w:cstheme="majorBidi"/>
          <w:szCs w:val="24"/>
          <w:lang w:val="fr-CH"/>
        </w:rPr>
      </w:pPr>
      <w:r w:rsidRPr="00A333EB">
        <w:rPr>
          <w:rFonts w:cstheme="majorBidi"/>
          <w:szCs w:val="24"/>
          <w:lang w:val="fr-CH"/>
        </w:rPr>
        <w:t>−</w:t>
      </w:r>
      <w:r w:rsidRPr="00A333EB">
        <w:rPr>
          <w:rFonts w:cstheme="majorBidi"/>
          <w:szCs w:val="24"/>
          <w:lang w:val="fr-CH"/>
        </w:rPr>
        <w:tab/>
        <w:t>Recommandation UIT</w:t>
      </w:r>
      <w:r w:rsidRPr="00A333EB">
        <w:rPr>
          <w:rFonts w:cstheme="majorBidi"/>
          <w:szCs w:val="24"/>
          <w:lang w:val="fr-CH"/>
        </w:rPr>
        <w:noBreakHyphen/>
        <w:t>R RS.1029 – Critères de brouillage dans la télédétection passive par satellite.</w:t>
      </w:r>
    </w:p>
    <w:p w:rsidR="00F644C8" w:rsidRPr="00A333EB" w:rsidRDefault="00F644C8" w:rsidP="00F644C8">
      <w:pPr>
        <w:pStyle w:val="enumlev1"/>
        <w:rPr>
          <w:rFonts w:cstheme="majorBidi"/>
          <w:szCs w:val="24"/>
          <w:lang w:val="fr-CH"/>
        </w:rPr>
      </w:pPr>
      <w:r w:rsidRPr="00A333EB">
        <w:rPr>
          <w:rFonts w:cstheme="majorBidi"/>
          <w:szCs w:val="24"/>
          <w:lang w:val="fr-CH"/>
        </w:rPr>
        <w:t>−</w:t>
      </w:r>
      <w:r w:rsidRPr="00A333EB">
        <w:rPr>
          <w:rFonts w:cstheme="majorBidi"/>
          <w:szCs w:val="24"/>
          <w:lang w:val="fr-CH"/>
        </w:rPr>
        <w:tab/>
        <w:t>Recommandation UIT</w:t>
      </w:r>
      <w:r w:rsidRPr="00A333EB">
        <w:rPr>
          <w:rFonts w:cstheme="majorBidi"/>
          <w:szCs w:val="24"/>
          <w:lang w:val="fr-CH"/>
        </w:rPr>
        <w:noBreakHyphen/>
        <w:t>R RS.1166 – Critères de qualité de fonctionnement et de brouillage applicables aux capteurs spatiaux actifs.</w:t>
      </w:r>
    </w:p>
    <w:p w:rsidR="00F644C8" w:rsidRPr="00A333EB" w:rsidRDefault="00F644C8" w:rsidP="00F644C8">
      <w:pPr>
        <w:pStyle w:val="enumlev1"/>
        <w:rPr>
          <w:rFonts w:cstheme="majorBidi"/>
          <w:szCs w:val="24"/>
          <w:lang w:val="fr-CH"/>
        </w:rPr>
      </w:pPr>
      <w:r w:rsidRPr="0023357E">
        <w:rPr>
          <w:rFonts w:cstheme="majorBidi"/>
          <w:bCs/>
          <w:smallCaps/>
          <w:szCs w:val="24"/>
          <w:lang w:val="fr-CH"/>
        </w:rPr>
        <w:t>–</w:t>
      </w:r>
      <w:r w:rsidRPr="00A333EB">
        <w:rPr>
          <w:rFonts w:cstheme="majorBidi"/>
          <w:b/>
          <w:smallCaps/>
          <w:szCs w:val="24"/>
          <w:lang w:val="fr-CH"/>
        </w:rPr>
        <w:tab/>
      </w:r>
      <w:r w:rsidRPr="00A333EB">
        <w:rPr>
          <w:rFonts w:cstheme="majorBidi"/>
          <w:szCs w:val="24"/>
          <w:lang w:val="fr-CH"/>
        </w:rPr>
        <w:t>Recommandation UIT</w:t>
      </w:r>
      <w:r w:rsidRPr="00A333EB">
        <w:rPr>
          <w:rFonts w:cstheme="majorBidi"/>
          <w:szCs w:val="24"/>
          <w:lang w:val="fr-CH"/>
        </w:rPr>
        <w:noBreakHyphen/>
        <w:t>R RS.1346 – Partage des fréquences entre le service des auxiliaires de la météorologie et les systèmes de communication des implants médicaux dans la bande 401-406 MHz du service mobile.</w:t>
      </w:r>
    </w:p>
    <w:p w:rsidR="00F644C8" w:rsidRPr="00A333EB" w:rsidRDefault="00F644C8" w:rsidP="00F644C8">
      <w:pPr>
        <w:pStyle w:val="enumlev1"/>
        <w:rPr>
          <w:rFonts w:ascii="Batang" w:eastAsia="Batang" w:cstheme="majorBidi"/>
          <w:szCs w:val="24"/>
          <w:lang w:val="fr-CH"/>
        </w:rPr>
      </w:pPr>
      <w:r w:rsidRPr="00A333EB">
        <w:rPr>
          <w:rFonts w:cstheme="majorBidi"/>
          <w:szCs w:val="24"/>
          <w:lang w:val="fr-CH"/>
        </w:rPr>
        <w:t>–</w:t>
      </w:r>
      <w:r w:rsidRPr="00A333EB">
        <w:rPr>
          <w:rFonts w:cstheme="majorBidi"/>
          <w:szCs w:val="24"/>
          <w:lang w:val="fr-CH"/>
        </w:rPr>
        <w:tab/>
        <w:t>Recommandation UIT</w:t>
      </w:r>
      <w:r w:rsidRPr="00A333EB">
        <w:rPr>
          <w:rFonts w:cstheme="majorBidi"/>
          <w:szCs w:val="24"/>
          <w:lang w:val="fr-CH"/>
        </w:rPr>
        <w:noBreakHyphen/>
        <w:t>R S.1432 – Répartition des dégradations admissibles de la qualité de fonctionnement en termes d'erreurs occasionnées à des conduits numériques fictifs de référence du service fixe par satellite par des brouillages non variables dans le temps pour des systèmes fonctionnant au-dessous de 30 GHz.</w:t>
      </w:r>
    </w:p>
    <w:p w:rsidR="00F644C8" w:rsidRPr="00A333EB" w:rsidRDefault="00F644C8" w:rsidP="00F644C8">
      <w:pPr>
        <w:pStyle w:val="enumlev1"/>
        <w:rPr>
          <w:rFonts w:cstheme="majorBidi"/>
          <w:color w:val="000000"/>
          <w:szCs w:val="24"/>
          <w:lang w:val="fr-CH"/>
        </w:rPr>
      </w:pPr>
      <w:r w:rsidRPr="0023357E">
        <w:rPr>
          <w:rFonts w:cstheme="majorBidi"/>
          <w:bCs/>
          <w:smallCaps/>
          <w:szCs w:val="24"/>
          <w:lang w:val="fr-CH"/>
        </w:rPr>
        <w:t>–</w:t>
      </w:r>
      <w:r w:rsidRPr="00A333EB">
        <w:rPr>
          <w:rFonts w:cstheme="majorBidi"/>
          <w:b/>
          <w:smallCaps/>
          <w:szCs w:val="24"/>
          <w:lang w:val="fr-CH"/>
        </w:rPr>
        <w:tab/>
      </w:r>
      <w:r w:rsidRPr="00A333EB">
        <w:rPr>
          <w:rFonts w:cstheme="majorBidi"/>
          <w:szCs w:val="24"/>
          <w:lang w:val="fr-CH"/>
        </w:rPr>
        <w:t>Recommandation UIT</w:t>
      </w:r>
      <w:r w:rsidRPr="00A333EB">
        <w:rPr>
          <w:rFonts w:cstheme="majorBidi"/>
          <w:szCs w:val="24"/>
          <w:lang w:val="fr-CH"/>
        </w:rPr>
        <w:noBreakHyphen/>
        <w:t>R SM.1754 – Techniques de mesure des émissions à bande ultralarge.</w:t>
      </w:r>
    </w:p>
    <w:p w:rsidR="00F644C8" w:rsidRPr="00A333EB" w:rsidRDefault="00F644C8" w:rsidP="00F644C8">
      <w:pPr>
        <w:pStyle w:val="enumlev1"/>
        <w:rPr>
          <w:rFonts w:cstheme="majorBidi"/>
          <w:color w:val="000000"/>
          <w:szCs w:val="24"/>
          <w:lang w:val="fr-CH"/>
        </w:rPr>
      </w:pPr>
      <w:r w:rsidRPr="0023357E">
        <w:rPr>
          <w:rFonts w:cstheme="majorBidi"/>
          <w:bCs/>
          <w:smallCaps/>
          <w:szCs w:val="24"/>
          <w:lang w:val="fr-CH"/>
        </w:rPr>
        <w:t>–</w:t>
      </w:r>
      <w:r w:rsidRPr="00A333EB">
        <w:rPr>
          <w:rFonts w:cstheme="majorBidi"/>
          <w:b/>
          <w:smallCaps/>
          <w:szCs w:val="24"/>
          <w:lang w:val="fr-CH"/>
        </w:rPr>
        <w:tab/>
      </w:r>
      <w:r w:rsidRPr="00A333EB">
        <w:rPr>
          <w:rFonts w:cstheme="majorBidi"/>
          <w:szCs w:val="24"/>
          <w:lang w:val="fr-CH"/>
        </w:rPr>
        <w:t>Recommandation UIT</w:t>
      </w:r>
      <w:r w:rsidRPr="00A333EB">
        <w:rPr>
          <w:rFonts w:cstheme="majorBidi"/>
          <w:szCs w:val="24"/>
          <w:lang w:val="fr-CH"/>
        </w:rPr>
        <w:noBreakHyphen/>
        <w:t>R SM.1755 – Caractéristiques de la technologie à bande ultralarge.</w:t>
      </w:r>
    </w:p>
    <w:p w:rsidR="00F644C8" w:rsidRPr="00A333EB" w:rsidRDefault="00F644C8" w:rsidP="00F644C8">
      <w:pPr>
        <w:pStyle w:val="enumlev1"/>
        <w:rPr>
          <w:rFonts w:cstheme="majorBidi"/>
          <w:color w:val="000000"/>
          <w:szCs w:val="24"/>
          <w:lang w:val="fr-CH"/>
        </w:rPr>
      </w:pPr>
      <w:r w:rsidRPr="0023357E">
        <w:rPr>
          <w:rFonts w:cstheme="majorBidi"/>
          <w:bCs/>
          <w:smallCaps/>
          <w:szCs w:val="24"/>
          <w:lang w:val="fr-CH"/>
        </w:rPr>
        <w:t>–</w:t>
      </w:r>
      <w:r w:rsidRPr="00A333EB">
        <w:rPr>
          <w:rFonts w:cstheme="majorBidi"/>
          <w:b/>
          <w:smallCaps/>
          <w:szCs w:val="24"/>
          <w:lang w:val="fr-CH"/>
        </w:rPr>
        <w:tab/>
      </w:r>
      <w:r w:rsidRPr="00A333EB">
        <w:rPr>
          <w:rFonts w:cstheme="majorBidi"/>
          <w:szCs w:val="24"/>
          <w:lang w:val="fr-CH"/>
        </w:rPr>
        <w:t>Recommandation UIT</w:t>
      </w:r>
      <w:r w:rsidRPr="00A333EB">
        <w:rPr>
          <w:rFonts w:cstheme="majorBidi"/>
          <w:szCs w:val="24"/>
          <w:lang w:val="fr-CH"/>
        </w:rPr>
        <w:noBreakHyphen/>
        <w:t>R SM.1756 – Cadre pour la mise en place de dispositifs recourant à la technologie à bande ultralarge.</w:t>
      </w:r>
    </w:p>
    <w:p w:rsidR="00F644C8" w:rsidRPr="00A333EB" w:rsidRDefault="00F644C8" w:rsidP="00F644C8">
      <w:pPr>
        <w:pStyle w:val="enumlev1"/>
        <w:rPr>
          <w:rFonts w:cstheme="majorBidi"/>
          <w:color w:val="000000"/>
          <w:szCs w:val="24"/>
          <w:lang w:val="fr-CH"/>
        </w:rPr>
      </w:pPr>
      <w:r w:rsidRPr="0023357E">
        <w:rPr>
          <w:rFonts w:cstheme="majorBidi"/>
          <w:bCs/>
          <w:smallCaps/>
          <w:szCs w:val="24"/>
          <w:lang w:val="fr-CH"/>
        </w:rPr>
        <w:t>–</w:t>
      </w:r>
      <w:r w:rsidRPr="00A333EB">
        <w:rPr>
          <w:rFonts w:cstheme="majorBidi"/>
          <w:b/>
          <w:smallCaps/>
          <w:szCs w:val="24"/>
          <w:lang w:val="fr-CH"/>
        </w:rPr>
        <w:tab/>
      </w:r>
      <w:r w:rsidRPr="00A333EB">
        <w:rPr>
          <w:rFonts w:cstheme="majorBidi"/>
          <w:szCs w:val="24"/>
          <w:lang w:val="fr-CH"/>
        </w:rPr>
        <w:t>Recommandation UIT</w:t>
      </w:r>
      <w:r w:rsidRPr="00A333EB">
        <w:rPr>
          <w:rFonts w:cstheme="majorBidi"/>
          <w:szCs w:val="24"/>
          <w:lang w:val="fr-CH"/>
        </w:rPr>
        <w:noBreakHyphen/>
        <w:t>R SM.1757 – Incidence des dispositifs recourant à la technologie à bande ultralarge sur les systèmes fonctionnant dans le cadre des services de radiocommunication</w:t>
      </w:r>
      <w:r w:rsidR="00A333EB">
        <w:rPr>
          <w:rFonts w:cstheme="majorBidi"/>
          <w:szCs w:val="24"/>
          <w:lang w:val="fr-CH"/>
        </w:rPr>
        <w:t>.</w:t>
      </w:r>
    </w:p>
    <w:p w:rsidR="00F644C8" w:rsidRPr="00A333EB" w:rsidRDefault="00F644C8" w:rsidP="00F644C8">
      <w:pPr>
        <w:pStyle w:val="Heading1"/>
        <w:rPr>
          <w:rFonts w:ascii="Batang" w:eastAsia="Batang" w:cstheme="majorBidi"/>
          <w:szCs w:val="24"/>
          <w:lang w:val="fr-CH"/>
        </w:rPr>
      </w:pPr>
      <w:bookmarkStart w:id="9" w:name="_Toc304450154"/>
      <w:bookmarkStart w:id="10" w:name="_Toc304988652"/>
      <w:r w:rsidRPr="00A333EB">
        <w:rPr>
          <w:rFonts w:cstheme="majorBidi"/>
          <w:szCs w:val="24"/>
          <w:lang w:val="fr-CH"/>
        </w:rPr>
        <w:t>4</w:t>
      </w:r>
      <w:r w:rsidRPr="00A333EB">
        <w:rPr>
          <w:rFonts w:cstheme="majorBidi"/>
          <w:szCs w:val="24"/>
          <w:lang w:val="fr-CH"/>
        </w:rPr>
        <w:tab/>
        <w:t>Fréquences et caractéristiques techniques et opérationnelles des dispositifs à courte portée</w:t>
      </w:r>
      <w:bookmarkEnd w:id="9"/>
      <w:bookmarkEnd w:id="10"/>
    </w:p>
    <w:p w:rsidR="00F644C8" w:rsidRPr="00A333EB" w:rsidRDefault="00F644C8" w:rsidP="00F644C8">
      <w:pPr>
        <w:rPr>
          <w:rFonts w:cstheme="majorBidi"/>
          <w:szCs w:val="24"/>
          <w:lang w:val="fr-CH"/>
        </w:rPr>
      </w:pPr>
      <w:r w:rsidRPr="00A333EB">
        <w:rPr>
          <w:rFonts w:cstheme="majorBidi"/>
          <w:szCs w:val="24"/>
          <w:lang w:val="fr-CH"/>
        </w:rPr>
        <w:t>Les caractéristiques techniques et opérationnelles de nombreux dispositifs à courte portée figurent dans le Rapport UIT</w:t>
      </w:r>
      <w:r w:rsidRPr="00A333EB">
        <w:rPr>
          <w:rFonts w:cstheme="majorBidi"/>
          <w:szCs w:val="24"/>
          <w:lang w:val="fr-CH"/>
        </w:rPr>
        <w:noBreakHyphen/>
        <w:t>R SM.2153 – Paramètres techniques et opérationnels et utilisation du spectre applicables aux dispositifs de radiocommunication à courte portée.</w:t>
      </w:r>
    </w:p>
    <w:p w:rsidR="00F644C8" w:rsidRPr="00A333EB" w:rsidRDefault="00F644C8" w:rsidP="00F644C8">
      <w:pPr>
        <w:rPr>
          <w:rFonts w:cstheme="majorBidi"/>
          <w:szCs w:val="24"/>
          <w:lang w:val="fr-CH"/>
        </w:rPr>
      </w:pPr>
      <w:r w:rsidRPr="00A333EB">
        <w:rPr>
          <w:rFonts w:cstheme="majorBidi"/>
          <w:szCs w:val="24"/>
          <w:lang w:val="fr-CH"/>
        </w:rPr>
        <w:lastRenderedPageBreak/>
        <w:t>En outre, le Rapport UIT</w:t>
      </w:r>
      <w:r w:rsidRPr="00A333EB">
        <w:rPr>
          <w:rFonts w:cstheme="majorBidi"/>
          <w:szCs w:val="24"/>
          <w:lang w:val="fr-CH"/>
        </w:rPr>
        <w:noBreakHyphen/>
        <w:t>R SM.2153 donne des indications sur les applications, les gammes de fréquences communes et les limites de puissance rayonnée figurant dans plusieurs cadres réglementaires, qui peuvent servir de guide aux administrations.</w:t>
      </w:r>
    </w:p>
    <w:p w:rsidR="00F644C8" w:rsidRPr="00A333EB" w:rsidRDefault="00F644C8" w:rsidP="00F644C8">
      <w:pPr>
        <w:rPr>
          <w:rFonts w:cstheme="majorBidi"/>
          <w:szCs w:val="24"/>
          <w:lang w:val="fr-CH"/>
        </w:rPr>
      </w:pPr>
      <w:r w:rsidRPr="00A333EB">
        <w:rPr>
          <w:rFonts w:cstheme="majorBidi"/>
          <w:szCs w:val="24"/>
          <w:lang w:val="fr-CH"/>
        </w:rPr>
        <w:t>Les études approfondies réalisées par l'UIT</w:t>
      </w:r>
      <w:r w:rsidRPr="00A333EB">
        <w:rPr>
          <w:rFonts w:cstheme="majorBidi"/>
          <w:szCs w:val="24"/>
          <w:lang w:val="fr-CH"/>
        </w:rPr>
        <w:noBreakHyphen/>
        <w:t>R sur les systèmes à bande ultralarge ont donné naissance à quatre Recommandations, qui sont énumérées au § 3 du présent Rapport:</w:t>
      </w:r>
    </w:p>
    <w:p w:rsidR="00F644C8" w:rsidRPr="00A333EB" w:rsidRDefault="00F644C8" w:rsidP="00F644C8">
      <w:pPr>
        <w:pStyle w:val="enumlev1"/>
        <w:rPr>
          <w:rFonts w:cstheme="majorBidi"/>
          <w:szCs w:val="24"/>
          <w:lang w:val="fr-CH"/>
        </w:rPr>
      </w:pPr>
      <w:r w:rsidRPr="00A333EB">
        <w:rPr>
          <w:rFonts w:cstheme="majorBidi"/>
          <w:szCs w:val="24"/>
          <w:lang w:val="fr-CH"/>
        </w:rPr>
        <w:t>–</w:t>
      </w:r>
      <w:r w:rsidRPr="00A333EB">
        <w:rPr>
          <w:rFonts w:cstheme="majorBidi"/>
          <w:szCs w:val="24"/>
          <w:lang w:val="fr-CH"/>
        </w:rPr>
        <w:tab/>
        <w:t>Recommandation UIT</w:t>
      </w:r>
      <w:r w:rsidRPr="00A333EB">
        <w:rPr>
          <w:rFonts w:cstheme="majorBidi"/>
          <w:szCs w:val="24"/>
          <w:lang w:val="fr-CH"/>
        </w:rPr>
        <w:noBreakHyphen/>
        <w:t>R SM.1754 – Techniques de mesure des émissions à bande ultralarge.</w:t>
      </w:r>
    </w:p>
    <w:p w:rsidR="00F644C8" w:rsidRPr="00A333EB" w:rsidRDefault="00F644C8" w:rsidP="00F644C8">
      <w:pPr>
        <w:pStyle w:val="enumlev1"/>
        <w:rPr>
          <w:rFonts w:cstheme="majorBidi"/>
          <w:szCs w:val="24"/>
          <w:lang w:val="fr-CH"/>
        </w:rPr>
      </w:pPr>
      <w:r w:rsidRPr="00A333EB">
        <w:rPr>
          <w:rFonts w:cstheme="majorBidi"/>
          <w:szCs w:val="24"/>
          <w:lang w:val="fr-CH"/>
        </w:rPr>
        <w:t>–</w:t>
      </w:r>
      <w:r w:rsidRPr="00A333EB">
        <w:rPr>
          <w:rFonts w:cstheme="majorBidi"/>
          <w:szCs w:val="24"/>
          <w:lang w:val="fr-CH"/>
        </w:rPr>
        <w:tab/>
        <w:t>Recommandation UIT</w:t>
      </w:r>
      <w:r w:rsidRPr="00A333EB">
        <w:rPr>
          <w:rFonts w:cstheme="majorBidi"/>
          <w:szCs w:val="24"/>
          <w:lang w:val="fr-CH"/>
        </w:rPr>
        <w:noBreakHyphen/>
        <w:t>R SM.1755 – Caractéristiques de la technologie à bande ultralarge.</w:t>
      </w:r>
    </w:p>
    <w:p w:rsidR="00F644C8" w:rsidRPr="00A333EB" w:rsidRDefault="00F644C8" w:rsidP="00F644C8">
      <w:pPr>
        <w:pStyle w:val="enumlev1"/>
        <w:rPr>
          <w:rFonts w:cstheme="majorBidi"/>
          <w:szCs w:val="24"/>
          <w:lang w:val="fr-CH"/>
        </w:rPr>
      </w:pPr>
      <w:r w:rsidRPr="00A333EB">
        <w:rPr>
          <w:rFonts w:cstheme="majorBidi"/>
          <w:szCs w:val="24"/>
          <w:lang w:val="fr-CH"/>
        </w:rPr>
        <w:t>–</w:t>
      </w:r>
      <w:r w:rsidRPr="00A333EB">
        <w:rPr>
          <w:rFonts w:cstheme="majorBidi"/>
          <w:szCs w:val="24"/>
          <w:lang w:val="fr-CH"/>
        </w:rPr>
        <w:tab/>
        <w:t>Recommandation UIT</w:t>
      </w:r>
      <w:r w:rsidRPr="00A333EB">
        <w:rPr>
          <w:rFonts w:cstheme="majorBidi"/>
          <w:szCs w:val="24"/>
          <w:lang w:val="fr-CH"/>
        </w:rPr>
        <w:noBreakHyphen/>
        <w:t>R SM.1756 – Cadre pour la mise en place de dispositifs recourant à la technologie à bande ultralarge.</w:t>
      </w:r>
    </w:p>
    <w:p w:rsidR="00F644C8" w:rsidRPr="00A333EB" w:rsidRDefault="00F644C8" w:rsidP="00F644C8">
      <w:pPr>
        <w:pStyle w:val="enumlev1"/>
        <w:rPr>
          <w:rFonts w:cstheme="majorBidi"/>
          <w:szCs w:val="24"/>
          <w:lang w:val="fr-CH"/>
        </w:rPr>
      </w:pPr>
      <w:r w:rsidRPr="00A333EB">
        <w:rPr>
          <w:rFonts w:cstheme="majorBidi"/>
          <w:szCs w:val="24"/>
          <w:lang w:val="fr-CH"/>
        </w:rPr>
        <w:t>–</w:t>
      </w:r>
      <w:r w:rsidRPr="00A333EB">
        <w:rPr>
          <w:rFonts w:cstheme="majorBidi"/>
          <w:szCs w:val="24"/>
          <w:lang w:val="fr-CH"/>
        </w:rPr>
        <w:tab/>
        <w:t>Recommandation UIT</w:t>
      </w:r>
      <w:r w:rsidRPr="00A333EB">
        <w:rPr>
          <w:rFonts w:cstheme="majorBidi"/>
          <w:szCs w:val="24"/>
          <w:lang w:val="fr-CH"/>
        </w:rPr>
        <w:noBreakHyphen/>
        <w:t>R SM.1757 – Incidence des dispositifs recourant à la technologie à bande ultralarge sur les systèmes fonctionnant dans le cadre des services de radiocommunication</w:t>
      </w:r>
      <w:r w:rsidR="00A333EB">
        <w:rPr>
          <w:rFonts w:cstheme="majorBidi"/>
          <w:szCs w:val="24"/>
          <w:lang w:val="fr-CH"/>
        </w:rPr>
        <w:t>.</w:t>
      </w:r>
    </w:p>
    <w:p w:rsidR="00F644C8" w:rsidRPr="00A333EB" w:rsidRDefault="00F644C8" w:rsidP="00F644C8">
      <w:pPr>
        <w:rPr>
          <w:rFonts w:ascii="Batang" w:eastAsia="Batang" w:cstheme="majorBidi"/>
          <w:szCs w:val="24"/>
          <w:lang w:val="fr-CH"/>
        </w:rPr>
      </w:pPr>
      <w:r w:rsidRPr="00A333EB">
        <w:rPr>
          <w:rFonts w:cstheme="majorBidi"/>
          <w:szCs w:val="24"/>
          <w:lang w:val="fr-CH"/>
        </w:rPr>
        <w:t xml:space="preserve">La Résolution </w:t>
      </w:r>
      <w:r w:rsidRPr="00A333EB">
        <w:rPr>
          <w:rFonts w:cstheme="majorBidi"/>
          <w:b/>
          <w:szCs w:val="24"/>
          <w:lang w:val="fr-CH"/>
        </w:rPr>
        <w:t>953 (CMR</w:t>
      </w:r>
      <w:r w:rsidRPr="00A333EB">
        <w:rPr>
          <w:rFonts w:cstheme="majorBidi"/>
          <w:b/>
          <w:szCs w:val="24"/>
          <w:lang w:val="fr-CH"/>
        </w:rPr>
        <w:noBreakHyphen/>
        <w:t>07)</w:t>
      </w:r>
      <w:r w:rsidRPr="00A333EB">
        <w:rPr>
          <w:rFonts w:cstheme="majorBidi"/>
          <w:szCs w:val="24"/>
          <w:lang w:val="fr-CH"/>
        </w:rPr>
        <w:t xml:space="preserve"> mentionne l'ensemble de ces Recommandations au point </w:t>
      </w:r>
      <w:r w:rsidRPr="00A333EB">
        <w:rPr>
          <w:rFonts w:cstheme="majorBidi"/>
          <w:i/>
          <w:szCs w:val="24"/>
          <w:lang w:val="fr-CH"/>
        </w:rPr>
        <w:t xml:space="preserve">a) </w:t>
      </w:r>
      <w:r w:rsidRPr="00A333EB">
        <w:rPr>
          <w:rFonts w:cstheme="majorBidi"/>
          <w:szCs w:val="24"/>
          <w:lang w:val="fr-CH"/>
        </w:rPr>
        <w:t xml:space="preserve">de son </w:t>
      </w:r>
      <w:r w:rsidRPr="00A333EB">
        <w:rPr>
          <w:rFonts w:cstheme="majorBidi"/>
          <w:i/>
          <w:szCs w:val="24"/>
          <w:lang w:val="fr-CH"/>
        </w:rPr>
        <w:t>reconnaissant</w:t>
      </w:r>
      <w:r w:rsidRPr="00A333EB">
        <w:rPr>
          <w:rFonts w:cstheme="majorBidi"/>
          <w:szCs w:val="24"/>
          <w:lang w:val="fr-CH"/>
        </w:rPr>
        <w:t>.</w:t>
      </w:r>
    </w:p>
    <w:p w:rsidR="00F644C8" w:rsidRPr="00A333EB" w:rsidRDefault="00F644C8" w:rsidP="00F644C8">
      <w:pPr>
        <w:pStyle w:val="Heading1"/>
        <w:rPr>
          <w:rFonts w:cstheme="majorBidi"/>
          <w:szCs w:val="24"/>
          <w:lang w:val="fr-CH"/>
        </w:rPr>
      </w:pPr>
      <w:bookmarkStart w:id="11" w:name="_Toc304450155"/>
      <w:bookmarkStart w:id="12" w:name="_Toc304988653"/>
      <w:r w:rsidRPr="00A333EB">
        <w:rPr>
          <w:rFonts w:cstheme="majorBidi"/>
          <w:szCs w:val="24"/>
          <w:lang w:val="fr-CH"/>
        </w:rPr>
        <w:t>5</w:t>
      </w:r>
      <w:r w:rsidRPr="00A333EB">
        <w:rPr>
          <w:rFonts w:cstheme="majorBidi"/>
          <w:szCs w:val="24"/>
          <w:lang w:val="fr-CH"/>
        </w:rPr>
        <w:tab/>
        <w:t>Etudes de compatibilité</w:t>
      </w:r>
      <w:bookmarkEnd w:id="11"/>
      <w:bookmarkEnd w:id="12"/>
    </w:p>
    <w:p w:rsidR="00F644C8" w:rsidRPr="00A333EB" w:rsidRDefault="00F644C8" w:rsidP="00F644C8">
      <w:pPr>
        <w:rPr>
          <w:rFonts w:cstheme="majorBidi"/>
          <w:szCs w:val="24"/>
          <w:lang w:val="fr-CH"/>
        </w:rPr>
      </w:pPr>
      <w:r w:rsidRPr="00A333EB">
        <w:rPr>
          <w:rFonts w:cstheme="majorBidi"/>
          <w:szCs w:val="24"/>
          <w:lang w:val="fr-CH"/>
        </w:rPr>
        <w:t>Les dispositifs à courte portée emploient diverses techniques de réduction des brouillages qui permettent d'obtenir les résultats souhaités tout en assurant la protection des services existants qui partagent la même bande de fréquences. L'étude de compatibilité dans la bande n'est requise que si certaines bandes de fréquences et certains services nécessitant une protection complémentaire sont clairement identifiés. Cette étude ne peut être réalisée en tenant compte de l'ensemble des bandes de fréquences et doit donc se faire au cas par cas.</w:t>
      </w:r>
    </w:p>
    <w:p w:rsidR="00F644C8" w:rsidRPr="00A333EB" w:rsidRDefault="00F644C8" w:rsidP="00F644C8">
      <w:pPr>
        <w:rPr>
          <w:rFonts w:cstheme="majorBidi"/>
          <w:szCs w:val="24"/>
          <w:lang w:val="fr-CH"/>
        </w:rPr>
      </w:pPr>
      <w:r w:rsidRPr="00A333EB">
        <w:rPr>
          <w:rFonts w:cstheme="majorBidi"/>
          <w:szCs w:val="24"/>
          <w:lang w:val="fr-CH"/>
        </w:rPr>
        <w:t>Ci-dessous figurent une liste de Rapports contenant les résultats de plusieurs études réalisées par le Comité des communications électroniques (CCE) et le Comité européen des radiocommunications (ERC)</w:t>
      </w:r>
      <w:r w:rsidRPr="00A333EB">
        <w:rPr>
          <w:rFonts w:cstheme="majorBidi"/>
          <w:szCs w:val="24"/>
          <w:vertAlign w:val="superscript"/>
          <w:lang w:val="fr-CH"/>
        </w:rPr>
        <w:footnoteReference w:id="1"/>
      </w:r>
      <w:r w:rsidRPr="00A333EB">
        <w:rPr>
          <w:rFonts w:cstheme="majorBidi"/>
          <w:szCs w:val="24"/>
          <w:lang w:val="fr-CH"/>
        </w:rPr>
        <w:t xml:space="preserve"> sur la compatibilité entre les services de radiocommunication existants et les dispositifs à courte portée dans certaines bandes de fréquences.</w:t>
      </w:r>
    </w:p>
    <w:p w:rsidR="00F644C8" w:rsidRPr="00A333EB" w:rsidRDefault="00F644C8" w:rsidP="00F644C8">
      <w:pPr>
        <w:rPr>
          <w:rFonts w:ascii="Batang" w:eastAsia="Batang" w:cstheme="majorBidi"/>
          <w:szCs w:val="24"/>
          <w:lang w:val="fr-CH"/>
        </w:rPr>
      </w:pPr>
    </w:p>
    <w:p w:rsidR="00F644C8" w:rsidRPr="00A333EB" w:rsidRDefault="00F644C8" w:rsidP="00F644C8">
      <w:pPr>
        <w:pStyle w:val="Tabletitle"/>
        <w:rPr>
          <w:rFonts w:cstheme="majorBidi"/>
          <w:szCs w:val="24"/>
          <w:lang w:val="fr-CH"/>
        </w:rPr>
      </w:pPr>
      <w:r w:rsidRPr="00A333EB">
        <w:rPr>
          <w:rFonts w:cstheme="majorBidi"/>
          <w:szCs w:val="24"/>
          <w:lang w:val="fr-CH"/>
        </w:rPr>
        <w:t>Liste des Rapports du CCE/ERC relatifs aux dispositifs à courte portée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07"/>
        <w:gridCol w:w="8032"/>
      </w:tblGrid>
      <w:tr w:rsidR="00F644C8" w:rsidRPr="00A333EB" w:rsidTr="00CD79C8">
        <w:trPr>
          <w:cantSplit/>
          <w:tblHeader/>
          <w:jc w:val="center"/>
        </w:trPr>
        <w:tc>
          <w:tcPr>
            <w:tcW w:w="1607" w:type="dxa"/>
            <w:vAlign w:val="center"/>
          </w:tcPr>
          <w:p w:rsidR="00F644C8" w:rsidRPr="00A333EB" w:rsidRDefault="00F644C8" w:rsidP="00CD79C8">
            <w:pPr>
              <w:pStyle w:val="Tablehead"/>
              <w:rPr>
                <w:rFonts w:cstheme="majorBidi"/>
                <w:szCs w:val="24"/>
                <w:lang w:val="fr-CH"/>
              </w:rPr>
            </w:pPr>
            <w:r w:rsidRPr="00A333EB">
              <w:rPr>
                <w:rFonts w:cstheme="majorBidi"/>
                <w:sz w:val="20"/>
                <w:szCs w:val="24"/>
                <w:lang w:val="fr-CH"/>
              </w:rPr>
              <w:t>N° du Rapport</w:t>
            </w:r>
          </w:p>
        </w:tc>
        <w:tc>
          <w:tcPr>
            <w:tcW w:w="8032" w:type="dxa"/>
            <w:vAlign w:val="center"/>
          </w:tcPr>
          <w:p w:rsidR="00F644C8" w:rsidRPr="00A333EB" w:rsidRDefault="00F644C8" w:rsidP="00CD79C8">
            <w:pPr>
              <w:pStyle w:val="Tablehead"/>
              <w:rPr>
                <w:rFonts w:cstheme="majorBidi"/>
                <w:szCs w:val="24"/>
                <w:lang w:val="fr-CH"/>
              </w:rPr>
            </w:pPr>
            <w:r w:rsidRPr="00A333EB">
              <w:rPr>
                <w:rFonts w:cstheme="majorBidi"/>
                <w:sz w:val="20"/>
                <w:szCs w:val="24"/>
                <w:lang w:val="fr-CH"/>
              </w:rPr>
              <w:t>Titre (en anglais seulement)</w:t>
            </w:r>
          </w:p>
        </w:tc>
      </w:tr>
      <w:tr w:rsidR="00F644C8" w:rsidRPr="0023357E" w:rsidTr="00CD79C8">
        <w:trPr>
          <w:cantSplit/>
          <w:jc w:val="center"/>
        </w:trPr>
        <w:tc>
          <w:tcPr>
            <w:tcW w:w="1607" w:type="dxa"/>
            <w:vAlign w:val="center"/>
          </w:tcPr>
          <w:p w:rsidR="00F644C8" w:rsidRPr="00A333EB" w:rsidRDefault="00F644C8" w:rsidP="00CD79C8">
            <w:pPr>
              <w:pStyle w:val="Tabletext"/>
              <w:jc w:val="left"/>
              <w:rPr>
                <w:sz w:val="20"/>
                <w:lang w:val="fr-CH"/>
              </w:rPr>
            </w:pPr>
            <w:r w:rsidRPr="00A333EB">
              <w:rPr>
                <w:sz w:val="20"/>
                <w:lang w:val="fr-CH"/>
              </w:rPr>
              <w:t>ECC Report 001</w:t>
            </w:r>
          </w:p>
        </w:tc>
        <w:tc>
          <w:tcPr>
            <w:tcW w:w="8032" w:type="dxa"/>
            <w:vAlign w:val="center"/>
          </w:tcPr>
          <w:p w:rsidR="00F644C8" w:rsidRPr="0023357E" w:rsidRDefault="00F644C8" w:rsidP="00CD79C8">
            <w:pPr>
              <w:pStyle w:val="Tabletext"/>
              <w:jc w:val="left"/>
              <w:rPr>
                <w:sz w:val="20"/>
                <w:lang w:val="en-US"/>
              </w:rPr>
            </w:pPr>
            <w:r w:rsidRPr="0023357E">
              <w:rPr>
                <w:sz w:val="20"/>
                <w:lang w:val="en-US"/>
              </w:rPr>
              <w:t>Compatibility between inductive LF and HF RFID transponder and other radio communications systems in the frequency ranges 135-148.5 kHz, 4.78-8.78 MHz and 11.56-15.56 MHz</w:t>
            </w:r>
          </w:p>
        </w:tc>
      </w:tr>
      <w:tr w:rsidR="00F644C8" w:rsidRPr="0023357E" w:rsidTr="00CD79C8">
        <w:trPr>
          <w:cantSplit/>
          <w:jc w:val="center"/>
        </w:trPr>
        <w:tc>
          <w:tcPr>
            <w:tcW w:w="1607" w:type="dxa"/>
            <w:vAlign w:val="center"/>
          </w:tcPr>
          <w:p w:rsidR="00F644C8" w:rsidRPr="00A333EB" w:rsidRDefault="00F644C8" w:rsidP="00CD79C8">
            <w:pPr>
              <w:pStyle w:val="Tabletext"/>
              <w:jc w:val="left"/>
              <w:rPr>
                <w:sz w:val="20"/>
                <w:lang w:val="fr-CH"/>
              </w:rPr>
            </w:pPr>
            <w:r w:rsidRPr="00A333EB">
              <w:rPr>
                <w:sz w:val="20"/>
                <w:lang w:val="fr-CH"/>
              </w:rPr>
              <w:t>ECC Report 002</w:t>
            </w:r>
          </w:p>
        </w:tc>
        <w:tc>
          <w:tcPr>
            <w:tcW w:w="8032" w:type="dxa"/>
            <w:vAlign w:val="center"/>
          </w:tcPr>
          <w:p w:rsidR="00F644C8" w:rsidRPr="0023357E" w:rsidRDefault="00F644C8" w:rsidP="00CD79C8">
            <w:pPr>
              <w:pStyle w:val="Tabletext"/>
              <w:jc w:val="left"/>
              <w:rPr>
                <w:sz w:val="20"/>
                <w:lang w:val="en-US"/>
              </w:rPr>
            </w:pPr>
            <w:r w:rsidRPr="0023357E">
              <w:rPr>
                <w:sz w:val="20"/>
                <w:lang w:val="en-US"/>
              </w:rPr>
              <w:t>SAP/SAB (Incl. ENG/OB) spectrum use and future requirements</w:t>
            </w:r>
          </w:p>
        </w:tc>
      </w:tr>
      <w:tr w:rsidR="00F644C8" w:rsidRPr="0023357E" w:rsidTr="00CD79C8">
        <w:trPr>
          <w:cantSplit/>
          <w:jc w:val="center"/>
        </w:trPr>
        <w:tc>
          <w:tcPr>
            <w:tcW w:w="1607" w:type="dxa"/>
            <w:vAlign w:val="center"/>
          </w:tcPr>
          <w:p w:rsidR="00F644C8" w:rsidRPr="00A333EB" w:rsidRDefault="00F644C8" w:rsidP="00CD79C8">
            <w:pPr>
              <w:pStyle w:val="Tabletext"/>
              <w:jc w:val="left"/>
              <w:rPr>
                <w:sz w:val="20"/>
                <w:lang w:val="fr-CH"/>
              </w:rPr>
            </w:pPr>
            <w:r w:rsidRPr="00A333EB">
              <w:rPr>
                <w:sz w:val="20"/>
                <w:lang w:val="fr-CH"/>
              </w:rPr>
              <w:t>ECC Report 007</w:t>
            </w:r>
          </w:p>
        </w:tc>
        <w:tc>
          <w:tcPr>
            <w:tcW w:w="8032" w:type="dxa"/>
            <w:vAlign w:val="center"/>
          </w:tcPr>
          <w:p w:rsidR="00F644C8" w:rsidRPr="0023357E" w:rsidRDefault="00F644C8" w:rsidP="00CD79C8">
            <w:pPr>
              <w:pStyle w:val="Tabletext"/>
              <w:jc w:val="left"/>
              <w:rPr>
                <w:sz w:val="20"/>
                <w:lang w:val="en-US"/>
              </w:rPr>
            </w:pPr>
            <w:r w:rsidRPr="0023357E">
              <w:rPr>
                <w:sz w:val="20"/>
                <w:lang w:val="en-US"/>
              </w:rPr>
              <w:t>Compatibility between inductive LF RFID systems and radio communications systems in the frequency range 135-148.5 kHz</w:t>
            </w:r>
          </w:p>
        </w:tc>
      </w:tr>
      <w:tr w:rsidR="00F644C8" w:rsidRPr="0023357E" w:rsidTr="00CD79C8">
        <w:trPr>
          <w:cantSplit/>
          <w:jc w:val="center"/>
        </w:trPr>
        <w:tc>
          <w:tcPr>
            <w:tcW w:w="1607" w:type="dxa"/>
            <w:vAlign w:val="center"/>
          </w:tcPr>
          <w:p w:rsidR="00F644C8" w:rsidRPr="00A333EB" w:rsidRDefault="00F644C8" w:rsidP="00CD79C8">
            <w:pPr>
              <w:pStyle w:val="Tabletext"/>
              <w:jc w:val="left"/>
              <w:rPr>
                <w:sz w:val="20"/>
                <w:lang w:val="fr-CH"/>
              </w:rPr>
            </w:pPr>
            <w:r w:rsidRPr="00A333EB">
              <w:rPr>
                <w:sz w:val="20"/>
                <w:lang w:val="fr-CH"/>
              </w:rPr>
              <w:t>ECC Report 011</w:t>
            </w:r>
          </w:p>
        </w:tc>
        <w:tc>
          <w:tcPr>
            <w:tcW w:w="8032" w:type="dxa"/>
            <w:vAlign w:val="center"/>
          </w:tcPr>
          <w:p w:rsidR="00F644C8" w:rsidRPr="0023357E" w:rsidRDefault="00F644C8" w:rsidP="00CD79C8">
            <w:pPr>
              <w:pStyle w:val="Tabletext"/>
              <w:jc w:val="left"/>
              <w:rPr>
                <w:sz w:val="20"/>
                <w:lang w:val="en-US"/>
              </w:rPr>
            </w:pPr>
            <w:r w:rsidRPr="0023357E">
              <w:rPr>
                <w:sz w:val="20"/>
                <w:lang w:val="en-US"/>
              </w:rPr>
              <w:t>Strategic Plans for the future use of the frequency bands 862-870 MHz and 2 400-2 483.5 MHz for Short Range Devices</w:t>
            </w:r>
          </w:p>
        </w:tc>
      </w:tr>
      <w:tr w:rsidR="00F644C8" w:rsidRPr="0023357E" w:rsidTr="00CD79C8">
        <w:trPr>
          <w:cantSplit/>
          <w:jc w:val="center"/>
        </w:trPr>
        <w:tc>
          <w:tcPr>
            <w:tcW w:w="1607" w:type="dxa"/>
            <w:vAlign w:val="center"/>
          </w:tcPr>
          <w:p w:rsidR="00F644C8" w:rsidRPr="00A333EB" w:rsidRDefault="00F644C8" w:rsidP="00CD79C8">
            <w:pPr>
              <w:pStyle w:val="Tabletext"/>
              <w:jc w:val="left"/>
              <w:rPr>
                <w:sz w:val="20"/>
                <w:lang w:val="fr-CH"/>
              </w:rPr>
            </w:pPr>
            <w:r w:rsidRPr="00A333EB">
              <w:rPr>
                <w:sz w:val="20"/>
                <w:lang w:val="fr-CH"/>
              </w:rPr>
              <w:t>ECC Report 012</w:t>
            </w:r>
          </w:p>
        </w:tc>
        <w:tc>
          <w:tcPr>
            <w:tcW w:w="8032" w:type="dxa"/>
            <w:vAlign w:val="center"/>
          </w:tcPr>
          <w:p w:rsidR="00F644C8" w:rsidRPr="0023357E" w:rsidRDefault="00F644C8" w:rsidP="00CD79C8">
            <w:pPr>
              <w:pStyle w:val="Tabletext"/>
              <w:jc w:val="left"/>
              <w:rPr>
                <w:sz w:val="20"/>
                <w:lang w:val="en-US"/>
              </w:rPr>
            </w:pPr>
            <w:r w:rsidRPr="0023357E">
              <w:rPr>
                <w:sz w:val="20"/>
                <w:lang w:val="en-US"/>
              </w:rPr>
              <w:t>Ultra Low Power Active Medical Implant systems (ULP-AMI)</w:t>
            </w:r>
          </w:p>
        </w:tc>
      </w:tr>
      <w:tr w:rsidR="00F644C8" w:rsidRPr="0023357E" w:rsidTr="00CD79C8">
        <w:trPr>
          <w:cantSplit/>
          <w:jc w:val="center"/>
        </w:trPr>
        <w:tc>
          <w:tcPr>
            <w:tcW w:w="1607" w:type="dxa"/>
            <w:vAlign w:val="center"/>
          </w:tcPr>
          <w:p w:rsidR="00F644C8" w:rsidRPr="00A333EB" w:rsidRDefault="00F644C8" w:rsidP="00CD79C8">
            <w:pPr>
              <w:pStyle w:val="Tabletext"/>
              <w:jc w:val="left"/>
              <w:rPr>
                <w:sz w:val="20"/>
                <w:lang w:val="fr-CH"/>
              </w:rPr>
            </w:pPr>
            <w:r w:rsidRPr="00A333EB">
              <w:rPr>
                <w:sz w:val="20"/>
                <w:lang w:val="fr-CH"/>
              </w:rPr>
              <w:t>ECC Report 013</w:t>
            </w:r>
          </w:p>
        </w:tc>
        <w:tc>
          <w:tcPr>
            <w:tcW w:w="8032" w:type="dxa"/>
            <w:vAlign w:val="center"/>
          </w:tcPr>
          <w:p w:rsidR="00F644C8" w:rsidRPr="0023357E" w:rsidRDefault="00F644C8" w:rsidP="00CD79C8">
            <w:pPr>
              <w:pStyle w:val="Tabletext"/>
              <w:jc w:val="left"/>
              <w:rPr>
                <w:sz w:val="20"/>
                <w:lang w:val="en-US"/>
              </w:rPr>
            </w:pPr>
            <w:r w:rsidRPr="0023357E">
              <w:rPr>
                <w:sz w:val="20"/>
                <w:lang w:val="en-US"/>
              </w:rPr>
              <w:t>Adjacent band compatibility between Short Range Devices and TETRA TAPS mobile services at 870 MHz</w:t>
            </w:r>
          </w:p>
        </w:tc>
      </w:tr>
      <w:tr w:rsidR="00F644C8" w:rsidRPr="0023357E" w:rsidTr="00CD79C8">
        <w:trPr>
          <w:cantSplit/>
          <w:jc w:val="center"/>
        </w:trPr>
        <w:tc>
          <w:tcPr>
            <w:tcW w:w="1607" w:type="dxa"/>
            <w:vAlign w:val="center"/>
          </w:tcPr>
          <w:p w:rsidR="00F644C8" w:rsidRPr="00A333EB" w:rsidRDefault="00F644C8" w:rsidP="00CD79C8">
            <w:pPr>
              <w:pStyle w:val="Tabletext"/>
              <w:jc w:val="left"/>
              <w:rPr>
                <w:rFonts w:cstheme="majorBidi"/>
                <w:sz w:val="20"/>
                <w:szCs w:val="24"/>
                <w:lang w:val="fr-CH"/>
              </w:rPr>
            </w:pPr>
            <w:r w:rsidRPr="00A333EB">
              <w:rPr>
                <w:rFonts w:cstheme="majorBidi"/>
                <w:noProof/>
                <w:sz w:val="20"/>
                <w:szCs w:val="24"/>
                <w:lang w:val="fr-CH"/>
              </w:rPr>
              <w:lastRenderedPageBreak/>
              <w:t>ECC Report 023</w:t>
            </w:r>
          </w:p>
        </w:tc>
        <w:tc>
          <w:tcPr>
            <w:tcW w:w="8032" w:type="dxa"/>
            <w:vAlign w:val="center"/>
          </w:tcPr>
          <w:p w:rsidR="00F644C8" w:rsidRPr="0023357E" w:rsidRDefault="00F644C8" w:rsidP="00CD79C8">
            <w:pPr>
              <w:pStyle w:val="Tabletext"/>
              <w:jc w:val="left"/>
              <w:rPr>
                <w:rFonts w:cstheme="majorBidi"/>
                <w:sz w:val="20"/>
                <w:szCs w:val="24"/>
                <w:lang w:val="en-US"/>
              </w:rPr>
            </w:pPr>
            <w:r w:rsidRPr="0023357E">
              <w:rPr>
                <w:rFonts w:cstheme="majorBidi"/>
                <w:noProof/>
                <w:sz w:val="20"/>
                <w:szCs w:val="24"/>
                <w:lang w:val="en-US"/>
              </w:rPr>
              <w:t>Compatibility of automotive collision warning short range radar operating at 24 GHz with FS, EESS and Radio Astronomy</w:t>
            </w:r>
          </w:p>
        </w:tc>
      </w:tr>
      <w:tr w:rsidR="00F644C8" w:rsidRPr="0023357E" w:rsidTr="00CD79C8">
        <w:trPr>
          <w:cantSplit/>
          <w:jc w:val="center"/>
        </w:trPr>
        <w:tc>
          <w:tcPr>
            <w:tcW w:w="1607" w:type="dxa"/>
            <w:vAlign w:val="center"/>
          </w:tcPr>
          <w:p w:rsidR="00F644C8" w:rsidRPr="00A333EB" w:rsidRDefault="00F644C8" w:rsidP="00CD79C8">
            <w:pPr>
              <w:pStyle w:val="Tabletext"/>
              <w:jc w:val="left"/>
              <w:rPr>
                <w:rFonts w:cstheme="majorBidi"/>
                <w:sz w:val="20"/>
                <w:szCs w:val="24"/>
                <w:lang w:val="fr-CH"/>
              </w:rPr>
            </w:pPr>
            <w:r w:rsidRPr="00A333EB">
              <w:rPr>
                <w:rFonts w:cstheme="majorBidi"/>
                <w:noProof/>
                <w:sz w:val="20"/>
                <w:szCs w:val="24"/>
                <w:lang w:val="fr-CH"/>
              </w:rPr>
              <w:t>ECC Report 024</w:t>
            </w:r>
          </w:p>
        </w:tc>
        <w:tc>
          <w:tcPr>
            <w:tcW w:w="8032" w:type="dxa"/>
            <w:vAlign w:val="center"/>
          </w:tcPr>
          <w:p w:rsidR="00F644C8" w:rsidRPr="0023357E" w:rsidRDefault="00F644C8" w:rsidP="00CD79C8">
            <w:pPr>
              <w:pStyle w:val="Tabletext"/>
              <w:jc w:val="left"/>
              <w:rPr>
                <w:rFonts w:cstheme="majorBidi"/>
                <w:sz w:val="20"/>
                <w:szCs w:val="24"/>
                <w:lang w:val="en-US"/>
              </w:rPr>
            </w:pPr>
            <w:r w:rsidRPr="0023357E">
              <w:rPr>
                <w:rFonts w:cstheme="majorBidi"/>
                <w:noProof/>
                <w:sz w:val="20"/>
                <w:szCs w:val="24"/>
                <w:lang w:val="en-US"/>
              </w:rPr>
              <w:t>PLT, DSL, CABLE communications (Including CABLE TV), LANS and their effect on radio services</w:t>
            </w:r>
          </w:p>
        </w:tc>
      </w:tr>
      <w:tr w:rsidR="00F644C8" w:rsidRPr="0023357E" w:rsidTr="00CD79C8">
        <w:trPr>
          <w:cantSplit/>
          <w:jc w:val="center"/>
        </w:trPr>
        <w:tc>
          <w:tcPr>
            <w:tcW w:w="1607" w:type="dxa"/>
            <w:vAlign w:val="center"/>
          </w:tcPr>
          <w:p w:rsidR="00F644C8" w:rsidRPr="00A333EB" w:rsidRDefault="00F644C8" w:rsidP="00CD79C8">
            <w:pPr>
              <w:pStyle w:val="Tabletext"/>
              <w:jc w:val="left"/>
              <w:rPr>
                <w:rFonts w:cstheme="majorBidi"/>
                <w:sz w:val="20"/>
                <w:szCs w:val="24"/>
                <w:lang w:val="fr-CH"/>
              </w:rPr>
            </w:pPr>
            <w:r w:rsidRPr="00A333EB">
              <w:rPr>
                <w:rFonts w:cstheme="majorBidi"/>
                <w:noProof/>
                <w:sz w:val="20"/>
                <w:szCs w:val="24"/>
                <w:lang w:val="fr-CH"/>
              </w:rPr>
              <w:t>ECC Report 037</w:t>
            </w:r>
          </w:p>
        </w:tc>
        <w:tc>
          <w:tcPr>
            <w:tcW w:w="8032" w:type="dxa"/>
            <w:vAlign w:val="center"/>
          </w:tcPr>
          <w:p w:rsidR="00F644C8" w:rsidRPr="0023357E" w:rsidRDefault="00F644C8" w:rsidP="00CD79C8">
            <w:pPr>
              <w:pStyle w:val="Tabletext"/>
              <w:jc w:val="left"/>
              <w:rPr>
                <w:rFonts w:cstheme="majorBidi"/>
                <w:sz w:val="20"/>
                <w:szCs w:val="24"/>
                <w:lang w:val="en-US"/>
              </w:rPr>
            </w:pPr>
            <w:r w:rsidRPr="0023357E">
              <w:rPr>
                <w:rFonts w:cstheme="majorBidi"/>
                <w:noProof/>
                <w:sz w:val="20"/>
                <w:szCs w:val="24"/>
                <w:lang w:val="en-US"/>
              </w:rPr>
              <w:t xml:space="preserve">Compatibility of planned SRD applications in 863-870 MHz </w:t>
            </w:r>
          </w:p>
        </w:tc>
      </w:tr>
      <w:tr w:rsidR="00F644C8" w:rsidRPr="0023357E" w:rsidTr="00CD79C8">
        <w:trPr>
          <w:cantSplit/>
          <w:jc w:val="center"/>
        </w:trPr>
        <w:tc>
          <w:tcPr>
            <w:tcW w:w="1607" w:type="dxa"/>
            <w:tcBorders>
              <w:bottom w:val="single" w:sz="2" w:space="0" w:color="auto"/>
            </w:tcBorders>
            <w:vAlign w:val="center"/>
          </w:tcPr>
          <w:p w:rsidR="00F644C8" w:rsidRPr="00A333EB" w:rsidRDefault="00F644C8" w:rsidP="00CD79C8">
            <w:pPr>
              <w:pStyle w:val="Tabletext"/>
              <w:jc w:val="left"/>
              <w:rPr>
                <w:rFonts w:cstheme="majorBidi"/>
                <w:sz w:val="20"/>
                <w:szCs w:val="24"/>
                <w:lang w:val="fr-CH"/>
              </w:rPr>
            </w:pPr>
            <w:r w:rsidRPr="00A333EB">
              <w:rPr>
                <w:rFonts w:cstheme="majorBidi"/>
                <w:noProof/>
                <w:sz w:val="20"/>
                <w:szCs w:val="24"/>
                <w:lang w:val="fr-CH"/>
              </w:rPr>
              <w:t>ECC Report 040</w:t>
            </w:r>
          </w:p>
        </w:tc>
        <w:tc>
          <w:tcPr>
            <w:tcW w:w="8032" w:type="dxa"/>
            <w:tcBorders>
              <w:bottom w:val="single" w:sz="2" w:space="0" w:color="auto"/>
            </w:tcBorders>
            <w:vAlign w:val="center"/>
          </w:tcPr>
          <w:p w:rsidR="00F644C8" w:rsidRPr="0023357E" w:rsidRDefault="00F644C8" w:rsidP="00CD79C8">
            <w:pPr>
              <w:pStyle w:val="Tabletext"/>
              <w:jc w:val="left"/>
              <w:rPr>
                <w:rFonts w:cstheme="majorBidi"/>
                <w:sz w:val="20"/>
                <w:szCs w:val="24"/>
                <w:lang w:val="en-US"/>
              </w:rPr>
            </w:pPr>
            <w:r w:rsidRPr="0023357E">
              <w:rPr>
                <w:rFonts w:cstheme="majorBidi"/>
                <w:noProof/>
                <w:sz w:val="20"/>
                <w:szCs w:val="24"/>
                <w:lang w:val="en-US"/>
              </w:rPr>
              <w:t>Adjacent band compatibility between CDMA-PAMR mobile services and Short Range Devices below 870 MHz</w:t>
            </w:r>
          </w:p>
        </w:tc>
      </w:tr>
      <w:tr w:rsidR="00F644C8" w:rsidRPr="0023357E" w:rsidTr="00CD79C8">
        <w:trPr>
          <w:cantSplit/>
          <w:jc w:val="center"/>
        </w:trPr>
        <w:tc>
          <w:tcPr>
            <w:tcW w:w="1607" w:type="dxa"/>
            <w:tcBorders>
              <w:bottom w:val="single" w:sz="2" w:space="0" w:color="auto"/>
            </w:tcBorders>
            <w:vAlign w:val="center"/>
          </w:tcPr>
          <w:p w:rsidR="00F644C8" w:rsidRPr="00A333EB" w:rsidRDefault="00F644C8" w:rsidP="00CD79C8">
            <w:pPr>
              <w:pStyle w:val="Tabletext"/>
              <w:jc w:val="left"/>
              <w:rPr>
                <w:rFonts w:cstheme="majorBidi"/>
                <w:sz w:val="20"/>
                <w:szCs w:val="24"/>
                <w:lang w:val="fr-CH"/>
              </w:rPr>
            </w:pPr>
            <w:r w:rsidRPr="00A333EB">
              <w:rPr>
                <w:rFonts w:cstheme="majorBidi"/>
                <w:noProof/>
                <w:sz w:val="20"/>
                <w:szCs w:val="24"/>
                <w:lang w:val="fr-CH"/>
              </w:rPr>
              <w:t>ECC Report 056</w:t>
            </w:r>
          </w:p>
        </w:tc>
        <w:tc>
          <w:tcPr>
            <w:tcW w:w="8032" w:type="dxa"/>
            <w:tcBorders>
              <w:bottom w:val="single" w:sz="2" w:space="0" w:color="auto"/>
            </w:tcBorders>
            <w:vAlign w:val="center"/>
          </w:tcPr>
          <w:p w:rsidR="00F644C8" w:rsidRPr="0023357E" w:rsidRDefault="00F644C8" w:rsidP="00CD79C8">
            <w:pPr>
              <w:pStyle w:val="Tabletext"/>
              <w:jc w:val="left"/>
              <w:rPr>
                <w:rFonts w:cstheme="majorBidi"/>
                <w:sz w:val="20"/>
                <w:szCs w:val="24"/>
                <w:lang w:val="en-US"/>
              </w:rPr>
            </w:pPr>
            <w:r w:rsidRPr="0023357E">
              <w:rPr>
                <w:rFonts w:cstheme="majorBidi"/>
                <w:noProof/>
                <w:sz w:val="20"/>
                <w:szCs w:val="24"/>
                <w:lang w:val="en-US"/>
              </w:rPr>
              <w:t>Compatibility of automotive collision warning short range radar operating at 79 GHz with radiocommunication services</w:t>
            </w:r>
          </w:p>
        </w:tc>
      </w:tr>
      <w:tr w:rsidR="00F644C8" w:rsidRPr="0023357E" w:rsidTr="00CD79C8">
        <w:trPr>
          <w:cantSplit/>
          <w:jc w:val="center"/>
        </w:trPr>
        <w:tc>
          <w:tcPr>
            <w:tcW w:w="1607" w:type="dxa"/>
            <w:tcBorders>
              <w:bottom w:val="single" w:sz="2" w:space="0" w:color="auto"/>
            </w:tcBorders>
            <w:vAlign w:val="center"/>
          </w:tcPr>
          <w:p w:rsidR="00F644C8" w:rsidRPr="00A333EB" w:rsidRDefault="00F644C8" w:rsidP="00CD79C8">
            <w:pPr>
              <w:pStyle w:val="Tabletext"/>
              <w:jc w:val="left"/>
              <w:rPr>
                <w:rFonts w:cstheme="majorBidi"/>
                <w:sz w:val="20"/>
                <w:szCs w:val="24"/>
                <w:lang w:val="fr-CH"/>
              </w:rPr>
            </w:pPr>
            <w:r w:rsidRPr="00A333EB">
              <w:rPr>
                <w:rFonts w:cstheme="majorBidi"/>
                <w:noProof/>
                <w:sz w:val="20"/>
                <w:szCs w:val="24"/>
                <w:lang w:val="fr-CH"/>
              </w:rPr>
              <w:t>ECC report 064</w:t>
            </w:r>
          </w:p>
        </w:tc>
        <w:tc>
          <w:tcPr>
            <w:tcW w:w="8032" w:type="dxa"/>
            <w:tcBorders>
              <w:bottom w:val="single" w:sz="2" w:space="0" w:color="auto"/>
            </w:tcBorders>
            <w:vAlign w:val="center"/>
          </w:tcPr>
          <w:p w:rsidR="00F644C8" w:rsidRPr="0023357E" w:rsidRDefault="00F644C8" w:rsidP="00CD79C8">
            <w:pPr>
              <w:pStyle w:val="Tabletext"/>
              <w:jc w:val="left"/>
              <w:rPr>
                <w:rFonts w:cstheme="majorBidi"/>
                <w:sz w:val="20"/>
                <w:szCs w:val="24"/>
                <w:lang w:val="en-US"/>
              </w:rPr>
            </w:pPr>
            <w:r w:rsidRPr="0023357E">
              <w:rPr>
                <w:rFonts w:cstheme="majorBidi"/>
                <w:noProof/>
                <w:sz w:val="20"/>
                <w:szCs w:val="24"/>
                <w:lang w:val="en-US"/>
              </w:rPr>
              <w:t>The protection requirements of radiocommunication systems below 10.6 GHz from generic UWB applications</w:t>
            </w:r>
          </w:p>
        </w:tc>
      </w:tr>
      <w:tr w:rsidR="00F644C8" w:rsidRPr="00A333EB" w:rsidTr="00CD79C8">
        <w:trPr>
          <w:cantSplit/>
          <w:jc w:val="center"/>
        </w:trPr>
        <w:tc>
          <w:tcPr>
            <w:tcW w:w="1607" w:type="dxa"/>
            <w:tcBorders>
              <w:bottom w:val="single" w:sz="2" w:space="0" w:color="auto"/>
            </w:tcBorders>
            <w:vAlign w:val="center"/>
          </w:tcPr>
          <w:p w:rsidR="00F644C8" w:rsidRPr="00A333EB" w:rsidRDefault="00F644C8" w:rsidP="00CD79C8">
            <w:pPr>
              <w:pStyle w:val="Tabletext"/>
              <w:jc w:val="left"/>
              <w:rPr>
                <w:rFonts w:cstheme="majorBidi"/>
                <w:sz w:val="20"/>
                <w:szCs w:val="24"/>
                <w:lang w:val="fr-CH"/>
              </w:rPr>
            </w:pPr>
            <w:r w:rsidRPr="00A333EB">
              <w:rPr>
                <w:rFonts w:cstheme="majorBidi"/>
                <w:noProof/>
                <w:sz w:val="20"/>
                <w:szCs w:val="24"/>
                <w:lang w:val="fr-CH"/>
              </w:rPr>
              <w:t>ECC Report 055</w:t>
            </w:r>
          </w:p>
        </w:tc>
        <w:tc>
          <w:tcPr>
            <w:tcW w:w="8032" w:type="dxa"/>
            <w:tcBorders>
              <w:bottom w:val="single" w:sz="2" w:space="0" w:color="auto"/>
            </w:tcBorders>
            <w:vAlign w:val="center"/>
          </w:tcPr>
          <w:p w:rsidR="00F644C8" w:rsidRPr="00A333EB" w:rsidRDefault="00F644C8" w:rsidP="00CD79C8">
            <w:pPr>
              <w:pStyle w:val="Tabletext"/>
              <w:jc w:val="left"/>
              <w:rPr>
                <w:rFonts w:cstheme="majorBidi"/>
                <w:sz w:val="20"/>
                <w:szCs w:val="24"/>
                <w:lang w:val="fr-CH"/>
              </w:rPr>
            </w:pPr>
            <w:r w:rsidRPr="0023357E">
              <w:rPr>
                <w:rFonts w:cstheme="majorBidi"/>
                <w:noProof/>
                <w:sz w:val="20"/>
                <w:szCs w:val="24"/>
                <w:lang w:val="en-US"/>
              </w:rPr>
              <w:t>Compatibility between existing and proposed SRDs and other radiocommunication applications in the 169.4-169.8 MHz frequency band.</w:t>
            </w:r>
            <w:r w:rsidRPr="0023357E">
              <w:rPr>
                <w:rFonts w:cstheme="majorBidi"/>
                <w:sz w:val="20"/>
                <w:szCs w:val="24"/>
                <w:lang w:val="en-US"/>
              </w:rPr>
              <w:t xml:space="preserve"> </w:t>
            </w:r>
            <w:r w:rsidRPr="00A333EB">
              <w:rPr>
                <w:rFonts w:cstheme="majorBidi"/>
                <w:noProof/>
                <w:sz w:val="20"/>
                <w:szCs w:val="24"/>
                <w:lang w:val="fr-CH"/>
              </w:rPr>
              <w:t>See supplementary excel spreadsheets in download</w:t>
            </w:r>
          </w:p>
        </w:tc>
      </w:tr>
      <w:tr w:rsidR="00F644C8" w:rsidRPr="0023357E" w:rsidTr="00CD79C8">
        <w:trPr>
          <w:cantSplit/>
          <w:jc w:val="center"/>
        </w:trPr>
        <w:tc>
          <w:tcPr>
            <w:tcW w:w="1607" w:type="dxa"/>
            <w:tcBorders>
              <w:top w:val="single" w:sz="2" w:space="0" w:color="auto"/>
              <w:left w:val="single" w:sz="2" w:space="0" w:color="auto"/>
              <w:bottom w:val="single" w:sz="2" w:space="0" w:color="auto"/>
              <w:right w:val="single" w:sz="2" w:space="0" w:color="auto"/>
            </w:tcBorders>
            <w:vAlign w:val="center"/>
          </w:tcPr>
          <w:p w:rsidR="00F644C8" w:rsidRPr="00A333EB" w:rsidRDefault="00F644C8" w:rsidP="00CD79C8">
            <w:pPr>
              <w:pStyle w:val="Tabletext"/>
              <w:jc w:val="left"/>
              <w:rPr>
                <w:rFonts w:cstheme="majorBidi"/>
                <w:sz w:val="20"/>
                <w:szCs w:val="24"/>
                <w:lang w:val="fr-CH"/>
              </w:rPr>
            </w:pPr>
            <w:r w:rsidRPr="00A333EB">
              <w:rPr>
                <w:rFonts w:cstheme="majorBidi"/>
                <w:noProof/>
                <w:sz w:val="20"/>
                <w:szCs w:val="24"/>
                <w:lang w:val="fr-CH"/>
              </w:rPr>
              <w:t>ECC Report 067</w:t>
            </w:r>
          </w:p>
        </w:tc>
        <w:tc>
          <w:tcPr>
            <w:tcW w:w="8032" w:type="dxa"/>
            <w:tcBorders>
              <w:top w:val="single" w:sz="2" w:space="0" w:color="auto"/>
              <w:left w:val="single" w:sz="2" w:space="0" w:color="auto"/>
              <w:bottom w:val="single" w:sz="2" w:space="0" w:color="auto"/>
              <w:right w:val="single" w:sz="2" w:space="0" w:color="auto"/>
            </w:tcBorders>
            <w:vAlign w:val="center"/>
          </w:tcPr>
          <w:p w:rsidR="00F644C8" w:rsidRPr="0023357E" w:rsidRDefault="00F644C8" w:rsidP="00CD79C8">
            <w:pPr>
              <w:pStyle w:val="Tabletext"/>
              <w:jc w:val="left"/>
              <w:rPr>
                <w:rFonts w:cstheme="majorBidi"/>
                <w:sz w:val="20"/>
                <w:szCs w:val="24"/>
                <w:lang w:val="en-US"/>
              </w:rPr>
            </w:pPr>
            <w:r w:rsidRPr="0023357E">
              <w:rPr>
                <w:rFonts w:cstheme="majorBidi"/>
                <w:noProof/>
                <w:sz w:val="20"/>
                <w:szCs w:val="24"/>
                <w:lang w:val="en-US"/>
              </w:rPr>
              <w:t>Compatibility study for generic limits for the emission levels of inductive SRDs below 30 MHz</w:t>
            </w:r>
          </w:p>
        </w:tc>
      </w:tr>
      <w:tr w:rsidR="00F644C8" w:rsidRPr="0023357E" w:rsidTr="00CD79C8">
        <w:trPr>
          <w:cantSplit/>
          <w:jc w:val="center"/>
        </w:trPr>
        <w:tc>
          <w:tcPr>
            <w:tcW w:w="1607" w:type="dxa"/>
            <w:tcBorders>
              <w:top w:val="single" w:sz="2" w:space="0" w:color="auto"/>
              <w:left w:val="single" w:sz="2" w:space="0" w:color="auto"/>
              <w:bottom w:val="single" w:sz="2" w:space="0" w:color="auto"/>
              <w:right w:val="single" w:sz="2" w:space="0" w:color="auto"/>
            </w:tcBorders>
            <w:vAlign w:val="center"/>
          </w:tcPr>
          <w:p w:rsidR="00F644C8" w:rsidRPr="00A333EB" w:rsidRDefault="00F644C8" w:rsidP="00CD79C8">
            <w:pPr>
              <w:pStyle w:val="Tabletext"/>
              <w:jc w:val="left"/>
              <w:rPr>
                <w:rFonts w:cstheme="majorBidi"/>
                <w:sz w:val="20"/>
                <w:szCs w:val="24"/>
                <w:lang w:val="fr-CH"/>
              </w:rPr>
            </w:pPr>
            <w:r w:rsidRPr="00A333EB">
              <w:rPr>
                <w:rFonts w:cstheme="majorBidi"/>
                <w:noProof/>
                <w:sz w:val="20"/>
                <w:szCs w:val="24"/>
                <w:lang w:val="fr-CH"/>
              </w:rPr>
              <w:t>ECC Report 068</w:t>
            </w:r>
          </w:p>
        </w:tc>
        <w:tc>
          <w:tcPr>
            <w:tcW w:w="8032" w:type="dxa"/>
            <w:tcBorders>
              <w:top w:val="single" w:sz="2" w:space="0" w:color="auto"/>
              <w:left w:val="single" w:sz="2" w:space="0" w:color="auto"/>
              <w:bottom w:val="single" w:sz="2" w:space="0" w:color="auto"/>
              <w:right w:val="single" w:sz="2" w:space="0" w:color="auto"/>
            </w:tcBorders>
            <w:vAlign w:val="center"/>
          </w:tcPr>
          <w:p w:rsidR="00F644C8" w:rsidRPr="0023357E" w:rsidRDefault="00F644C8" w:rsidP="00CD79C8">
            <w:pPr>
              <w:pStyle w:val="Tabletext"/>
              <w:jc w:val="left"/>
              <w:rPr>
                <w:rFonts w:cstheme="majorBidi"/>
                <w:sz w:val="20"/>
                <w:szCs w:val="24"/>
                <w:lang w:val="en-US"/>
              </w:rPr>
            </w:pPr>
            <w:r w:rsidRPr="0023357E">
              <w:rPr>
                <w:rFonts w:cstheme="majorBidi"/>
                <w:noProof/>
                <w:sz w:val="20"/>
                <w:szCs w:val="24"/>
                <w:lang w:val="en-US"/>
              </w:rPr>
              <w:t>Compatibility studies in the band 5 725-5 875 MHz between Fixed Wireless Access (FWA) systems and other systems</w:t>
            </w:r>
          </w:p>
        </w:tc>
      </w:tr>
      <w:tr w:rsidR="00F644C8" w:rsidRPr="0023357E" w:rsidTr="00CD79C8">
        <w:trPr>
          <w:cantSplit/>
          <w:jc w:val="center"/>
        </w:trPr>
        <w:tc>
          <w:tcPr>
            <w:tcW w:w="1607" w:type="dxa"/>
            <w:tcBorders>
              <w:top w:val="single" w:sz="2" w:space="0" w:color="auto"/>
              <w:left w:val="single" w:sz="2" w:space="0" w:color="auto"/>
              <w:bottom w:val="single" w:sz="2" w:space="0" w:color="auto"/>
              <w:right w:val="single" w:sz="2" w:space="0" w:color="auto"/>
            </w:tcBorders>
            <w:vAlign w:val="center"/>
          </w:tcPr>
          <w:p w:rsidR="00F644C8" w:rsidRPr="00A333EB" w:rsidRDefault="00F644C8" w:rsidP="00CD79C8">
            <w:pPr>
              <w:pStyle w:val="Tabletext"/>
              <w:jc w:val="left"/>
              <w:rPr>
                <w:rFonts w:cstheme="majorBidi"/>
                <w:sz w:val="20"/>
                <w:szCs w:val="24"/>
                <w:lang w:val="fr-CH"/>
              </w:rPr>
            </w:pPr>
            <w:r w:rsidRPr="00A333EB">
              <w:rPr>
                <w:rFonts w:cstheme="majorBidi"/>
                <w:noProof/>
                <w:sz w:val="20"/>
                <w:szCs w:val="24"/>
                <w:lang w:val="fr-CH"/>
              </w:rPr>
              <w:t>ECC Report 073</w:t>
            </w:r>
          </w:p>
        </w:tc>
        <w:tc>
          <w:tcPr>
            <w:tcW w:w="8032" w:type="dxa"/>
            <w:tcBorders>
              <w:top w:val="single" w:sz="2" w:space="0" w:color="auto"/>
              <w:left w:val="single" w:sz="2" w:space="0" w:color="auto"/>
              <w:bottom w:val="single" w:sz="2" w:space="0" w:color="auto"/>
              <w:right w:val="single" w:sz="2" w:space="0" w:color="auto"/>
            </w:tcBorders>
            <w:vAlign w:val="center"/>
          </w:tcPr>
          <w:p w:rsidR="00F644C8" w:rsidRPr="0023357E" w:rsidRDefault="00F644C8" w:rsidP="00CD79C8">
            <w:pPr>
              <w:pStyle w:val="Tabletext"/>
              <w:jc w:val="left"/>
              <w:rPr>
                <w:rFonts w:cstheme="majorBidi"/>
                <w:sz w:val="20"/>
                <w:szCs w:val="24"/>
                <w:lang w:val="en-US"/>
              </w:rPr>
            </w:pPr>
            <w:r w:rsidRPr="0023357E">
              <w:rPr>
                <w:rFonts w:cstheme="majorBidi"/>
                <w:noProof/>
                <w:sz w:val="20"/>
                <w:szCs w:val="24"/>
                <w:lang w:val="en-US"/>
              </w:rPr>
              <w:t>Compatibility of SRD in the FM radio broadcasting band</w:t>
            </w:r>
          </w:p>
        </w:tc>
      </w:tr>
      <w:tr w:rsidR="00F644C8" w:rsidRPr="0023357E" w:rsidTr="00CD79C8">
        <w:trPr>
          <w:cantSplit/>
          <w:jc w:val="center"/>
        </w:trPr>
        <w:tc>
          <w:tcPr>
            <w:tcW w:w="1607" w:type="dxa"/>
            <w:tcBorders>
              <w:top w:val="single" w:sz="2" w:space="0" w:color="auto"/>
              <w:left w:val="single" w:sz="2" w:space="0" w:color="auto"/>
              <w:bottom w:val="single" w:sz="2" w:space="0" w:color="auto"/>
              <w:right w:val="single" w:sz="2" w:space="0" w:color="auto"/>
            </w:tcBorders>
            <w:vAlign w:val="center"/>
          </w:tcPr>
          <w:p w:rsidR="00F644C8" w:rsidRPr="00A333EB" w:rsidRDefault="00F644C8" w:rsidP="00CD79C8">
            <w:pPr>
              <w:pStyle w:val="Tabletext"/>
              <w:jc w:val="left"/>
              <w:rPr>
                <w:rFonts w:cstheme="majorBidi"/>
                <w:sz w:val="20"/>
                <w:szCs w:val="24"/>
                <w:lang w:val="fr-CH"/>
              </w:rPr>
            </w:pPr>
            <w:r w:rsidRPr="00A333EB">
              <w:rPr>
                <w:rFonts w:cstheme="majorBidi"/>
                <w:noProof/>
                <w:sz w:val="20"/>
                <w:szCs w:val="24"/>
                <w:lang w:val="fr-CH"/>
              </w:rPr>
              <w:t>ECC Report 081</w:t>
            </w:r>
          </w:p>
        </w:tc>
        <w:tc>
          <w:tcPr>
            <w:tcW w:w="8032" w:type="dxa"/>
            <w:tcBorders>
              <w:top w:val="single" w:sz="2" w:space="0" w:color="auto"/>
              <w:left w:val="single" w:sz="2" w:space="0" w:color="auto"/>
              <w:bottom w:val="single" w:sz="2" w:space="0" w:color="auto"/>
              <w:right w:val="single" w:sz="2" w:space="0" w:color="auto"/>
            </w:tcBorders>
            <w:vAlign w:val="center"/>
          </w:tcPr>
          <w:p w:rsidR="00F644C8" w:rsidRPr="00A333EB" w:rsidRDefault="00F644C8" w:rsidP="00CD79C8">
            <w:pPr>
              <w:pStyle w:val="Tabletext"/>
              <w:jc w:val="left"/>
              <w:rPr>
                <w:rFonts w:cstheme="majorBidi"/>
                <w:sz w:val="20"/>
                <w:szCs w:val="24"/>
                <w:lang w:val="en-US"/>
              </w:rPr>
            </w:pPr>
            <w:r w:rsidRPr="00A333EB">
              <w:rPr>
                <w:rFonts w:cstheme="majorBidi"/>
                <w:noProof/>
                <w:sz w:val="20"/>
                <w:szCs w:val="24"/>
                <w:lang w:val="en-US"/>
              </w:rPr>
              <w:t>The coe</w:t>
            </w:r>
            <w:r w:rsidR="00A333EB" w:rsidRPr="00A333EB">
              <w:rPr>
                <w:rFonts w:cstheme="majorBidi"/>
                <w:noProof/>
                <w:sz w:val="20"/>
                <w:szCs w:val="24"/>
                <w:lang w:val="en-US"/>
              </w:rPr>
              <w:t>œ</w:t>
            </w:r>
            <w:r w:rsidRPr="00A333EB">
              <w:rPr>
                <w:rFonts w:cstheme="majorBidi"/>
                <w:noProof/>
                <w:sz w:val="20"/>
                <w:szCs w:val="24"/>
                <w:lang w:val="en-US"/>
              </w:rPr>
              <w:t>xistence between Ultra Low Power - Animal Implant Devices (ULP-AID) operating in the frequency band 12.5-20 MHz and existing radiocommunication systems</w:t>
            </w:r>
          </w:p>
        </w:tc>
      </w:tr>
      <w:tr w:rsidR="00F644C8" w:rsidRPr="0023357E" w:rsidTr="00CD79C8">
        <w:trPr>
          <w:cantSplit/>
          <w:jc w:val="center"/>
        </w:trPr>
        <w:tc>
          <w:tcPr>
            <w:tcW w:w="1607" w:type="dxa"/>
            <w:tcBorders>
              <w:top w:val="single" w:sz="2" w:space="0" w:color="auto"/>
              <w:left w:val="single" w:sz="2" w:space="0" w:color="auto"/>
              <w:bottom w:val="single" w:sz="2" w:space="0" w:color="auto"/>
              <w:right w:val="single" w:sz="2" w:space="0" w:color="auto"/>
            </w:tcBorders>
            <w:vAlign w:val="center"/>
          </w:tcPr>
          <w:p w:rsidR="00F644C8" w:rsidRPr="00A333EB" w:rsidRDefault="00F644C8" w:rsidP="00CD79C8">
            <w:pPr>
              <w:pStyle w:val="Tabletext"/>
              <w:jc w:val="left"/>
              <w:rPr>
                <w:rFonts w:cstheme="majorBidi"/>
                <w:sz w:val="20"/>
                <w:szCs w:val="24"/>
                <w:lang w:val="fr-CH"/>
              </w:rPr>
            </w:pPr>
            <w:r w:rsidRPr="00A333EB">
              <w:rPr>
                <w:rFonts w:cstheme="majorBidi"/>
                <w:noProof/>
                <w:sz w:val="20"/>
                <w:szCs w:val="24"/>
                <w:lang w:val="fr-CH"/>
              </w:rPr>
              <w:t>ECC Report 092</w:t>
            </w:r>
          </w:p>
        </w:tc>
        <w:tc>
          <w:tcPr>
            <w:tcW w:w="8032" w:type="dxa"/>
            <w:tcBorders>
              <w:top w:val="single" w:sz="2" w:space="0" w:color="auto"/>
              <w:left w:val="single" w:sz="2" w:space="0" w:color="auto"/>
              <w:bottom w:val="single" w:sz="2" w:space="0" w:color="auto"/>
              <w:right w:val="single" w:sz="2" w:space="0" w:color="auto"/>
            </w:tcBorders>
            <w:vAlign w:val="center"/>
          </w:tcPr>
          <w:p w:rsidR="00F644C8" w:rsidRPr="0023357E" w:rsidRDefault="00F644C8" w:rsidP="00CD79C8">
            <w:pPr>
              <w:pStyle w:val="Tabletext"/>
              <w:jc w:val="left"/>
              <w:rPr>
                <w:rFonts w:cstheme="majorBidi"/>
                <w:sz w:val="20"/>
                <w:szCs w:val="24"/>
                <w:lang w:val="en-US"/>
              </w:rPr>
            </w:pPr>
            <w:r w:rsidRPr="0023357E">
              <w:rPr>
                <w:rFonts w:cstheme="majorBidi"/>
                <w:noProof/>
                <w:sz w:val="20"/>
                <w:szCs w:val="24"/>
                <w:lang w:val="en-US"/>
              </w:rPr>
              <w:t>Coexistence between Ultra Low Power Active Medical Implants devices (ULP-AMI) and existing radiocommunication systems and services in the frequency bands 401-402 MHz and 405</w:t>
            </w:r>
            <w:r w:rsidRPr="0023357E">
              <w:rPr>
                <w:rFonts w:cstheme="majorBidi"/>
                <w:noProof/>
                <w:sz w:val="20"/>
                <w:szCs w:val="24"/>
                <w:lang w:val="en-US"/>
              </w:rPr>
              <w:noBreakHyphen/>
              <w:t>406 MHz</w:t>
            </w:r>
          </w:p>
        </w:tc>
      </w:tr>
      <w:tr w:rsidR="00F644C8" w:rsidRPr="0023357E" w:rsidTr="00CD79C8">
        <w:trPr>
          <w:cantSplit/>
          <w:jc w:val="center"/>
        </w:trPr>
        <w:tc>
          <w:tcPr>
            <w:tcW w:w="1607" w:type="dxa"/>
            <w:tcBorders>
              <w:top w:val="single" w:sz="2" w:space="0" w:color="auto"/>
              <w:left w:val="single" w:sz="2" w:space="0" w:color="auto"/>
              <w:bottom w:val="single" w:sz="2" w:space="0" w:color="auto"/>
              <w:right w:val="single" w:sz="2" w:space="0" w:color="auto"/>
            </w:tcBorders>
            <w:vAlign w:val="center"/>
          </w:tcPr>
          <w:p w:rsidR="00F644C8" w:rsidRPr="00A333EB" w:rsidRDefault="00F644C8" w:rsidP="00CD79C8">
            <w:pPr>
              <w:pStyle w:val="Tabletext"/>
              <w:jc w:val="left"/>
              <w:rPr>
                <w:rFonts w:cstheme="majorBidi"/>
                <w:sz w:val="20"/>
                <w:szCs w:val="24"/>
                <w:lang w:val="fr-CH"/>
              </w:rPr>
            </w:pPr>
            <w:r w:rsidRPr="00A333EB">
              <w:rPr>
                <w:rFonts w:cstheme="majorBidi"/>
                <w:noProof/>
                <w:sz w:val="20"/>
                <w:szCs w:val="24"/>
                <w:lang w:val="fr-CH"/>
              </w:rPr>
              <w:t>ECC Report 094</w:t>
            </w:r>
          </w:p>
        </w:tc>
        <w:tc>
          <w:tcPr>
            <w:tcW w:w="8032" w:type="dxa"/>
            <w:tcBorders>
              <w:top w:val="single" w:sz="2" w:space="0" w:color="auto"/>
              <w:left w:val="single" w:sz="2" w:space="0" w:color="auto"/>
              <w:bottom w:val="single" w:sz="2" w:space="0" w:color="auto"/>
              <w:right w:val="single" w:sz="2" w:space="0" w:color="auto"/>
            </w:tcBorders>
            <w:vAlign w:val="center"/>
          </w:tcPr>
          <w:p w:rsidR="00F644C8" w:rsidRPr="0023357E" w:rsidRDefault="00F644C8" w:rsidP="00CD79C8">
            <w:pPr>
              <w:pStyle w:val="Tabletext"/>
              <w:jc w:val="left"/>
              <w:rPr>
                <w:rFonts w:cstheme="majorBidi"/>
                <w:sz w:val="20"/>
                <w:szCs w:val="24"/>
                <w:lang w:val="en-US"/>
              </w:rPr>
            </w:pPr>
            <w:r w:rsidRPr="0023357E">
              <w:rPr>
                <w:rFonts w:cstheme="majorBidi"/>
                <w:noProof/>
                <w:sz w:val="20"/>
                <w:szCs w:val="24"/>
                <w:lang w:val="en-US"/>
              </w:rPr>
              <w:t>Technical requirements for UWB LDC devices to ensure the protection of FWA systems</w:t>
            </w:r>
          </w:p>
        </w:tc>
      </w:tr>
      <w:tr w:rsidR="00F644C8" w:rsidRPr="0023357E" w:rsidTr="00CD79C8">
        <w:trPr>
          <w:cantSplit/>
          <w:jc w:val="center"/>
        </w:trPr>
        <w:tc>
          <w:tcPr>
            <w:tcW w:w="1607" w:type="dxa"/>
            <w:tcBorders>
              <w:top w:val="single" w:sz="2" w:space="0" w:color="auto"/>
              <w:left w:val="single" w:sz="2" w:space="0" w:color="auto"/>
              <w:bottom w:val="single" w:sz="2" w:space="0" w:color="auto"/>
              <w:right w:val="single" w:sz="2" w:space="0" w:color="auto"/>
            </w:tcBorders>
            <w:vAlign w:val="center"/>
          </w:tcPr>
          <w:p w:rsidR="00F644C8" w:rsidRPr="00A333EB" w:rsidRDefault="00F644C8" w:rsidP="00CD79C8">
            <w:pPr>
              <w:pStyle w:val="Tabletext"/>
              <w:jc w:val="left"/>
              <w:rPr>
                <w:rFonts w:cstheme="majorBidi"/>
                <w:sz w:val="20"/>
                <w:szCs w:val="24"/>
                <w:lang w:val="fr-CH"/>
              </w:rPr>
            </w:pPr>
            <w:r w:rsidRPr="00A333EB">
              <w:rPr>
                <w:rFonts w:cstheme="majorBidi"/>
                <w:noProof/>
                <w:sz w:val="20"/>
                <w:szCs w:val="24"/>
                <w:lang w:val="fr-CH"/>
              </w:rPr>
              <w:t>ECC Report 098</w:t>
            </w:r>
          </w:p>
        </w:tc>
        <w:tc>
          <w:tcPr>
            <w:tcW w:w="8032" w:type="dxa"/>
            <w:tcBorders>
              <w:top w:val="single" w:sz="2" w:space="0" w:color="auto"/>
              <w:left w:val="single" w:sz="2" w:space="0" w:color="auto"/>
              <w:bottom w:val="single" w:sz="2" w:space="0" w:color="auto"/>
              <w:right w:val="single" w:sz="2" w:space="0" w:color="auto"/>
            </w:tcBorders>
            <w:vAlign w:val="center"/>
          </w:tcPr>
          <w:p w:rsidR="00F644C8" w:rsidRPr="0023357E" w:rsidRDefault="00F644C8" w:rsidP="00CD79C8">
            <w:pPr>
              <w:pStyle w:val="Tabletext"/>
              <w:jc w:val="left"/>
              <w:rPr>
                <w:rFonts w:cstheme="majorBidi"/>
                <w:sz w:val="20"/>
                <w:szCs w:val="24"/>
                <w:lang w:val="en-US"/>
              </w:rPr>
            </w:pPr>
            <w:r w:rsidRPr="0023357E">
              <w:rPr>
                <w:rFonts w:cstheme="majorBidi"/>
                <w:noProof/>
                <w:sz w:val="20"/>
                <w:szCs w:val="24"/>
                <w:lang w:val="en-US"/>
              </w:rPr>
              <w:t>Studying the compatibility issues of the UIC EUROLOOP system with other systems in the frequency band 9.5 to 17.5 MHz</w:t>
            </w:r>
          </w:p>
        </w:tc>
      </w:tr>
      <w:tr w:rsidR="00F644C8" w:rsidRPr="0023357E" w:rsidTr="00CD79C8">
        <w:trPr>
          <w:cantSplit/>
          <w:jc w:val="center"/>
        </w:trPr>
        <w:tc>
          <w:tcPr>
            <w:tcW w:w="1607" w:type="dxa"/>
            <w:tcBorders>
              <w:top w:val="single" w:sz="2" w:space="0" w:color="auto"/>
              <w:left w:val="single" w:sz="2" w:space="0" w:color="auto"/>
              <w:bottom w:val="single" w:sz="2" w:space="0" w:color="auto"/>
              <w:right w:val="single" w:sz="2" w:space="0" w:color="auto"/>
            </w:tcBorders>
            <w:vAlign w:val="center"/>
          </w:tcPr>
          <w:p w:rsidR="00F644C8" w:rsidRPr="00A333EB" w:rsidRDefault="00F644C8" w:rsidP="00CD79C8">
            <w:pPr>
              <w:pStyle w:val="Tabletext"/>
              <w:jc w:val="left"/>
              <w:rPr>
                <w:rFonts w:cstheme="majorBidi"/>
                <w:sz w:val="20"/>
                <w:szCs w:val="24"/>
                <w:lang w:val="fr-CH"/>
              </w:rPr>
            </w:pPr>
            <w:r w:rsidRPr="00A333EB">
              <w:rPr>
                <w:rFonts w:cstheme="majorBidi"/>
                <w:noProof/>
                <w:sz w:val="20"/>
                <w:szCs w:val="24"/>
                <w:lang w:val="fr-CH"/>
              </w:rPr>
              <w:t>ECC Report 100</w:t>
            </w:r>
          </w:p>
        </w:tc>
        <w:tc>
          <w:tcPr>
            <w:tcW w:w="8032" w:type="dxa"/>
            <w:tcBorders>
              <w:top w:val="single" w:sz="2" w:space="0" w:color="auto"/>
              <w:left w:val="single" w:sz="2" w:space="0" w:color="auto"/>
              <w:bottom w:val="single" w:sz="2" w:space="0" w:color="auto"/>
              <w:right w:val="single" w:sz="2" w:space="0" w:color="auto"/>
            </w:tcBorders>
            <w:vAlign w:val="center"/>
          </w:tcPr>
          <w:p w:rsidR="00F644C8" w:rsidRPr="0023357E" w:rsidRDefault="00F644C8" w:rsidP="00CD79C8">
            <w:pPr>
              <w:pStyle w:val="Tabletext"/>
              <w:jc w:val="left"/>
              <w:rPr>
                <w:rFonts w:cstheme="majorBidi"/>
                <w:sz w:val="20"/>
                <w:szCs w:val="24"/>
                <w:lang w:val="en-US"/>
              </w:rPr>
            </w:pPr>
            <w:r w:rsidRPr="0023357E">
              <w:rPr>
                <w:rFonts w:cstheme="majorBidi"/>
                <w:noProof/>
                <w:sz w:val="20"/>
                <w:szCs w:val="24"/>
                <w:lang w:val="en-US"/>
              </w:rPr>
              <w:t>Compatibility studies in the band 3 400-3 800 MHz between broadband wireless access (BWA) systems and other services</w:t>
            </w:r>
          </w:p>
        </w:tc>
      </w:tr>
      <w:tr w:rsidR="00F644C8" w:rsidRPr="0023357E" w:rsidTr="00CD79C8">
        <w:trPr>
          <w:cantSplit/>
          <w:jc w:val="center"/>
        </w:trPr>
        <w:tc>
          <w:tcPr>
            <w:tcW w:w="1607" w:type="dxa"/>
            <w:tcBorders>
              <w:top w:val="single" w:sz="2" w:space="0" w:color="auto"/>
              <w:left w:val="single" w:sz="2" w:space="0" w:color="auto"/>
              <w:bottom w:val="single" w:sz="2" w:space="0" w:color="auto"/>
              <w:right w:val="single" w:sz="2" w:space="0" w:color="auto"/>
            </w:tcBorders>
            <w:vAlign w:val="center"/>
          </w:tcPr>
          <w:p w:rsidR="00F644C8" w:rsidRPr="00A333EB" w:rsidRDefault="00F644C8" w:rsidP="00CD79C8">
            <w:pPr>
              <w:pStyle w:val="Tabletext"/>
              <w:jc w:val="left"/>
              <w:rPr>
                <w:rFonts w:cstheme="majorBidi"/>
                <w:sz w:val="20"/>
                <w:szCs w:val="24"/>
                <w:lang w:val="fr-CH"/>
              </w:rPr>
            </w:pPr>
            <w:r w:rsidRPr="00A333EB">
              <w:rPr>
                <w:rFonts w:cstheme="majorBidi"/>
                <w:noProof/>
                <w:sz w:val="20"/>
                <w:szCs w:val="24"/>
                <w:lang w:val="fr-CH"/>
              </w:rPr>
              <w:t>ECC Report 111</w:t>
            </w:r>
          </w:p>
        </w:tc>
        <w:tc>
          <w:tcPr>
            <w:tcW w:w="8032" w:type="dxa"/>
            <w:tcBorders>
              <w:top w:val="single" w:sz="2" w:space="0" w:color="auto"/>
              <w:left w:val="single" w:sz="2" w:space="0" w:color="auto"/>
              <w:bottom w:val="single" w:sz="2" w:space="0" w:color="auto"/>
              <w:right w:val="single" w:sz="2" w:space="0" w:color="auto"/>
            </w:tcBorders>
            <w:vAlign w:val="center"/>
          </w:tcPr>
          <w:p w:rsidR="00F644C8" w:rsidRPr="0023357E" w:rsidRDefault="00F644C8" w:rsidP="00CD79C8">
            <w:pPr>
              <w:pStyle w:val="Tabletext"/>
              <w:jc w:val="left"/>
              <w:rPr>
                <w:rFonts w:cstheme="majorBidi"/>
                <w:sz w:val="20"/>
                <w:szCs w:val="24"/>
                <w:lang w:val="en-US"/>
              </w:rPr>
            </w:pPr>
            <w:r w:rsidRPr="0023357E">
              <w:rPr>
                <w:rFonts w:cstheme="majorBidi"/>
                <w:noProof/>
                <w:sz w:val="20"/>
                <w:szCs w:val="24"/>
                <w:lang w:val="en-US"/>
              </w:rPr>
              <w:t>Compatibility studies between Ground Based Synthetic Aperture Radar (GBSAR) and existing services in the range 17.1 GHz to 17.3 GHz</w:t>
            </w:r>
          </w:p>
        </w:tc>
      </w:tr>
      <w:tr w:rsidR="00F644C8" w:rsidRPr="0023357E" w:rsidTr="00CD79C8">
        <w:trPr>
          <w:cantSplit/>
          <w:jc w:val="center"/>
        </w:trPr>
        <w:tc>
          <w:tcPr>
            <w:tcW w:w="1607" w:type="dxa"/>
            <w:tcBorders>
              <w:top w:val="single" w:sz="2" w:space="0" w:color="auto"/>
              <w:left w:val="single" w:sz="2" w:space="0" w:color="auto"/>
              <w:bottom w:val="single" w:sz="2" w:space="0" w:color="auto"/>
              <w:right w:val="single" w:sz="2" w:space="0" w:color="auto"/>
            </w:tcBorders>
            <w:vAlign w:val="center"/>
          </w:tcPr>
          <w:p w:rsidR="00F644C8" w:rsidRPr="00A333EB" w:rsidRDefault="00F644C8" w:rsidP="00CD79C8">
            <w:pPr>
              <w:pStyle w:val="Tabletext"/>
              <w:jc w:val="left"/>
              <w:rPr>
                <w:rFonts w:cstheme="majorBidi"/>
                <w:sz w:val="20"/>
                <w:szCs w:val="24"/>
                <w:lang w:val="fr-CH"/>
              </w:rPr>
            </w:pPr>
            <w:r w:rsidRPr="00A333EB">
              <w:rPr>
                <w:rFonts w:cstheme="majorBidi"/>
                <w:noProof/>
                <w:sz w:val="20"/>
                <w:szCs w:val="24"/>
                <w:lang w:val="fr-CH"/>
              </w:rPr>
              <w:t>ECC Report 113</w:t>
            </w:r>
          </w:p>
        </w:tc>
        <w:tc>
          <w:tcPr>
            <w:tcW w:w="8032" w:type="dxa"/>
            <w:tcBorders>
              <w:top w:val="single" w:sz="2" w:space="0" w:color="auto"/>
              <w:left w:val="single" w:sz="2" w:space="0" w:color="auto"/>
              <w:bottom w:val="single" w:sz="2" w:space="0" w:color="auto"/>
              <w:right w:val="single" w:sz="2" w:space="0" w:color="auto"/>
            </w:tcBorders>
            <w:vAlign w:val="center"/>
          </w:tcPr>
          <w:p w:rsidR="00F644C8" w:rsidRPr="0023357E" w:rsidRDefault="00F644C8" w:rsidP="00CD79C8">
            <w:pPr>
              <w:pStyle w:val="Tabletext"/>
              <w:jc w:val="left"/>
              <w:rPr>
                <w:rFonts w:cstheme="majorBidi"/>
                <w:sz w:val="20"/>
                <w:szCs w:val="24"/>
                <w:lang w:val="en-US"/>
              </w:rPr>
            </w:pPr>
            <w:r w:rsidRPr="0023357E">
              <w:rPr>
                <w:rFonts w:cstheme="majorBidi"/>
                <w:noProof/>
                <w:sz w:val="20"/>
                <w:szCs w:val="24"/>
                <w:lang w:val="en-US"/>
              </w:rPr>
              <w:t>Compatibility studies around 63 GHz between Intelligent Transport Systems (ITS) and other systems</w:t>
            </w:r>
          </w:p>
        </w:tc>
      </w:tr>
      <w:tr w:rsidR="00F644C8" w:rsidRPr="0023357E" w:rsidTr="00CD79C8">
        <w:trPr>
          <w:cantSplit/>
          <w:jc w:val="center"/>
        </w:trPr>
        <w:tc>
          <w:tcPr>
            <w:tcW w:w="1607" w:type="dxa"/>
            <w:tcBorders>
              <w:top w:val="single" w:sz="2" w:space="0" w:color="auto"/>
              <w:left w:val="single" w:sz="2" w:space="0" w:color="auto"/>
              <w:right w:val="single" w:sz="2" w:space="0" w:color="auto"/>
            </w:tcBorders>
            <w:vAlign w:val="center"/>
          </w:tcPr>
          <w:p w:rsidR="00F644C8" w:rsidRPr="00A333EB" w:rsidRDefault="00F644C8" w:rsidP="00CD79C8">
            <w:pPr>
              <w:pStyle w:val="Tabletext"/>
              <w:jc w:val="left"/>
              <w:rPr>
                <w:rFonts w:cstheme="majorBidi"/>
                <w:sz w:val="20"/>
                <w:szCs w:val="24"/>
                <w:lang w:val="fr-CH"/>
              </w:rPr>
            </w:pPr>
            <w:r w:rsidRPr="00A333EB">
              <w:rPr>
                <w:rFonts w:cstheme="majorBidi"/>
                <w:noProof/>
                <w:sz w:val="20"/>
                <w:szCs w:val="24"/>
                <w:lang w:val="fr-CH"/>
              </w:rPr>
              <w:t>ECC Report 114</w:t>
            </w:r>
          </w:p>
        </w:tc>
        <w:tc>
          <w:tcPr>
            <w:tcW w:w="8032" w:type="dxa"/>
            <w:tcBorders>
              <w:top w:val="single" w:sz="2" w:space="0" w:color="auto"/>
              <w:left w:val="single" w:sz="2" w:space="0" w:color="auto"/>
              <w:right w:val="single" w:sz="2" w:space="0" w:color="auto"/>
            </w:tcBorders>
            <w:vAlign w:val="center"/>
          </w:tcPr>
          <w:p w:rsidR="00F644C8" w:rsidRPr="0023357E" w:rsidRDefault="00F644C8" w:rsidP="00CD79C8">
            <w:pPr>
              <w:pStyle w:val="Tabletext"/>
              <w:jc w:val="left"/>
              <w:rPr>
                <w:rFonts w:cstheme="majorBidi"/>
                <w:sz w:val="20"/>
                <w:szCs w:val="24"/>
                <w:lang w:val="en-US"/>
              </w:rPr>
            </w:pPr>
            <w:r w:rsidRPr="0023357E">
              <w:rPr>
                <w:rFonts w:cstheme="majorBidi"/>
                <w:noProof/>
                <w:sz w:val="20"/>
                <w:szCs w:val="24"/>
                <w:lang w:val="en-US"/>
              </w:rPr>
              <w:t>Compatibility studies between multiple GIGABIT wireless systems in frequency range 57</w:t>
            </w:r>
            <w:r w:rsidRPr="0023357E">
              <w:rPr>
                <w:rFonts w:cstheme="majorBidi"/>
                <w:noProof/>
                <w:sz w:val="20"/>
                <w:szCs w:val="24"/>
                <w:lang w:val="en-US"/>
              </w:rPr>
              <w:noBreakHyphen/>
              <w:t>66 GHz and other services and systems (except its in 63-64 GHz)</w:t>
            </w:r>
          </w:p>
        </w:tc>
      </w:tr>
      <w:tr w:rsidR="00F644C8" w:rsidRPr="0023357E" w:rsidTr="00CD79C8">
        <w:trPr>
          <w:cantSplit/>
          <w:jc w:val="center"/>
        </w:trPr>
        <w:tc>
          <w:tcPr>
            <w:tcW w:w="1607" w:type="dxa"/>
            <w:tcBorders>
              <w:right w:val="single" w:sz="2" w:space="0" w:color="auto"/>
            </w:tcBorders>
            <w:vAlign w:val="center"/>
          </w:tcPr>
          <w:p w:rsidR="00F644C8" w:rsidRPr="00A333EB" w:rsidRDefault="00F644C8" w:rsidP="00CD79C8">
            <w:pPr>
              <w:pStyle w:val="Tabletext"/>
              <w:jc w:val="left"/>
              <w:rPr>
                <w:rFonts w:cstheme="majorBidi"/>
                <w:sz w:val="20"/>
                <w:szCs w:val="24"/>
                <w:highlight w:val="yellow"/>
                <w:lang w:val="fr-CH"/>
              </w:rPr>
            </w:pPr>
            <w:r w:rsidRPr="00A333EB">
              <w:rPr>
                <w:rFonts w:cstheme="majorBidi"/>
                <w:noProof/>
                <w:sz w:val="20"/>
                <w:szCs w:val="24"/>
                <w:lang w:val="fr-CH"/>
              </w:rPr>
              <w:t>ECC Report 120</w:t>
            </w:r>
          </w:p>
        </w:tc>
        <w:tc>
          <w:tcPr>
            <w:tcW w:w="8032" w:type="dxa"/>
            <w:tcBorders>
              <w:left w:val="single" w:sz="2" w:space="0" w:color="auto"/>
            </w:tcBorders>
            <w:vAlign w:val="center"/>
          </w:tcPr>
          <w:p w:rsidR="00F644C8" w:rsidRPr="0023357E" w:rsidRDefault="00F644C8" w:rsidP="00CD79C8">
            <w:pPr>
              <w:pStyle w:val="Tabletext"/>
              <w:jc w:val="left"/>
              <w:rPr>
                <w:rFonts w:cstheme="majorBidi"/>
                <w:sz w:val="20"/>
                <w:szCs w:val="24"/>
                <w:lang w:val="en-US"/>
              </w:rPr>
            </w:pPr>
            <w:r w:rsidRPr="0023357E">
              <w:rPr>
                <w:rFonts w:cstheme="majorBidi"/>
                <w:noProof/>
                <w:sz w:val="20"/>
                <w:szCs w:val="24"/>
                <w:lang w:val="en-US"/>
              </w:rPr>
              <w:t>Technical requirements for UWB DAA (Detect And Avoid) devices to ensure the protection of radiolocation in the bands 3.1-3.4 GHz and 8.5-9 GHz and BWA terminals in the band 3.4</w:t>
            </w:r>
            <w:r w:rsidRPr="0023357E">
              <w:rPr>
                <w:rFonts w:cstheme="majorBidi"/>
                <w:noProof/>
                <w:sz w:val="20"/>
                <w:szCs w:val="24"/>
                <w:lang w:val="en-US"/>
              </w:rPr>
              <w:noBreakHyphen/>
              <w:t>4.2 GHz</w:t>
            </w:r>
          </w:p>
        </w:tc>
      </w:tr>
      <w:tr w:rsidR="00F644C8" w:rsidRPr="0023357E" w:rsidTr="00CD79C8">
        <w:trPr>
          <w:cantSplit/>
          <w:jc w:val="center"/>
        </w:trPr>
        <w:tc>
          <w:tcPr>
            <w:tcW w:w="1607" w:type="dxa"/>
            <w:tcBorders>
              <w:left w:val="single" w:sz="2" w:space="0" w:color="auto"/>
              <w:right w:val="single" w:sz="2" w:space="0" w:color="auto"/>
            </w:tcBorders>
            <w:vAlign w:val="center"/>
          </w:tcPr>
          <w:p w:rsidR="00F644C8" w:rsidRPr="00A333EB" w:rsidRDefault="00F644C8" w:rsidP="00CD79C8">
            <w:pPr>
              <w:pStyle w:val="Tabletext"/>
              <w:jc w:val="left"/>
              <w:rPr>
                <w:rFonts w:cstheme="majorBidi"/>
                <w:sz w:val="20"/>
                <w:szCs w:val="24"/>
                <w:lang w:val="fr-CH"/>
              </w:rPr>
            </w:pPr>
            <w:r w:rsidRPr="00A333EB">
              <w:rPr>
                <w:rFonts w:cstheme="majorBidi"/>
                <w:noProof/>
                <w:sz w:val="20"/>
                <w:szCs w:val="24"/>
                <w:lang w:val="fr-CH"/>
              </w:rPr>
              <w:t>ECC Report 135</w:t>
            </w:r>
          </w:p>
        </w:tc>
        <w:tc>
          <w:tcPr>
            <w:tcW w:w="8032" w:type="dxa"/>
            <w:tcBorders>
              <w:left w:val="single" w:sz="2" w:space="0" w:color="auto"/>
              <w:right w:val="single" w:sz="2" w:space="0" w:color="auto"/>
            </w:tcBorders>
            <w:vAlign w:val="center"/>
          </w:tcPr>
          <w:p w:rsidR="00F644C8" w:rsidRPr="0023357E" w:rsidRDefault="00F644C8" w:rsidP="00CD79C8">
            <w:pPr>
              <w:pStyle w:val="Tabletext"/>
              <w:jc w:val="left"/>
              <w:rPr>
                <w:rFonts w:cstheme="majorBidi"/>
                <w:sz w:val="20"/>
                <w:szCs w:val="24"/>
                <w:lang w:val="en-US"/>
              </w:rPr>
            </w:pPr>
            <w:r w:rsidRPr="0023357E">
              <w:rPr>
                <w:rFonts w:cstheme="majorBidi"/>
                <w:noProof/>
                <w:sz w:val="20"/>
                <w:szCs w:val="24"/>
                <w:lang w:val="en-US"/>
              </w:rPr>
              <w:t>Inductive limits in the frequency range 9 kHz to 148.5 kHz</w:t>
            </w:r>
          </w:p>
        </w:tc>
      </w:tr>
      <w:tr w:rsidR="00F644C8" w:rsidRPr="0023357E" w:rsidTr="00CD79C8">
        <w:trPr>
          <w:cantSplit/>
          <w:jc w:val="center"/>
        </w:trPr>
        <w:tc>
          <w:tcPr>
            <w:tcW w:w="1607" w:type="dxa"/>
            <w:vAlign w:val="center"/>
          </w:tcPr>
          <w:p w:rsidR="00F644C8" w:rsidRPr="00A333EB" w:rsidRDefault="00F644C8" w:rsidP="00CD79C8">
            <w:pPr>
              <w:pStyle w:val="Tabletext"/>
              <w:jc w:val="left"/>
              <w:rPr>
                <w:rFonts w:cstheme="majorBidi"/>
                <w:sz w:val="20"/>
                <w:szCs w:val="24"/>
                <w:lang w:val="fr-CH"/>
              </w:rPr>
            </w:pPr>
            <w:r w:rsidRPr="00A333EB">
              <w:rPr>
                <w:rFonts w:cstheme="majorBidi"/>
                <w:noProof/>
                <w:sz w:val="20"/>
                <w:szCs w:val="24"/>
                <w:lang w:val="fr-CH"/>
              </w:rPr>
              <w:t>ECC Report 139</w:t>
            </w:r>
          </w:p>
        </w:tc>
        <w:tc>
          <w:tcPr>
            <w:tcW w:w="8032" w:type="dxa"/>
            <w:vAlign w:val="center"/>
          </w:tcPr>
          <w:p w:rsidR="00F644C8" w:rsidRPr="0023357E" w:rsidRDefault="00F644C8" w:rsidP="00CD79C8">
            <w:pPr>
              <w:pStyle w:val="Tabletext"/>
              <w:jc w:val="left"/>
              <w:rPr>
                <w:rFonts w:cstheme="majorBidi"/>
                <w:sz w:val="20"/>
                <w:szCs w:val="24"/>
                <w:lang w:val="en-US"/>
              </w:rPr>
            </w:pPr>
            <w:r w:rsidRPr="0023357E">
              <w:rPr>
                <w:rFonts w:cstheme="majorBidi"/>
                <w:noProof/>
                <w:sz w:val="20"/>
                <w:szCs w:val="24"/>
                <w:lang w:val="en-US"/>
              </w:rPr>
              <w:t>Impact of Level Probing Radars (LPR), using Ultra-Wideband Technology on Radiocommunications Services</w:t>
            </w:r>
          </w:p>
        </w:tc>
      </w:tr>
      <w:tr w:rsidR="00F644C8" w:rsidRPr="0023357E" w:rsidTr="00CD79C8">
        <w:trPr>
          <w:cantSplit/>
          <w:jc w:val="center"/>
        </w:trPr>
        <w:tc>
          <w:tcPr>
            <w:tcW w:w="1607" w:type="dxa"/>
            <w:vAlign w:val="center"/>
          </w:tcPr>
          <w:p w:rsidR="00F644C8" w:rsidRPr="00A333EB" w:rsidRDefault="00F644C8" w:rsidP="00CD79C8">
            <w:pPr>
              <w:pStyle w:val="Tabletext"/>
              <w:jc w:val="left"/>
              <w:rPr>
                <w:rFonts w:cstheme="majorBidi"/>
                <w:sz w:val="20"/>
                <w:szCs w:val="24"/>
                <w:lang w:val="fr-CH"/>
              </w:rPr>
            </w:pPr>
            <w:r w:rsidRPr="00A333EB">
              <w:rPr>
                <w:rFonts w:cstheme="majorBidi"/>
                <w:noProof/>
                <w:sz w:val="20"/>
                <w:szCs w:val="24"/>
                <w:lang w:val="fr-CH"/>
              </w:rPr>
              <w:t>ECC Report 149</w:t>
            </w:r>
          </w:p>
        </w:tc>
        <w:tc>
          <w:tcPr>
            <w:tcW w:w="8032" w:type="dxa"/>
            <w:vAlign w:val="center"/>
          </w:tcPr>
          <w:p w:rsidR="00F644C8" w:rsidRPr="00A333EB" w:rsidRDefault="00F644C8" w:rsidP="00A333EB">
            <w:pPr>
              <w:pStyle w:val="Tabletext"/>
              <w:jc w:val="left"/>
              <w:rPr>
                <w:rFonts w:cstheme="majorBidi"/>
                <w:sz w:val="20"/>
                <w:szCs w:val="24"/>
                <w:lang w:val="en-US"/>
              </w:rPr>
            </w:pPr>
            <w:r w:rsidRPr="00A333EB">
              <w:rPr>
                <w:rFonts w:cstheme="majorBidi"/>
                <w:noProof/>
                <w:sz w:val="20"/>
                <w:szCs w:val="24"/>
                <w:lang w:val="en-US"/>
              </w:rPr>
              <w:t>Compatibility of LP-AMI applications within 2 360-3 400 MHz, in particular for the band 2</w:t>
            </w:r>
            <w:r w:rsidR="00A333EB" w:rsidRPr="00A333EB">
              <w:rPr>
                <w:rFonts w:cstheme="majorBidi"/>
                <w:noProof/>
                <w:sz w:val="20"/>
                <w:szCs w:val="24"/>
                <w:lang w:val="en-US"/>
              </w:rPr>
              <w:t> </w:t>
            </w:r>
            <w:r w:rsidRPr="00A333EB">
              <w:rPr>
                <w:rFonts w:cstheme="majorBidi"/>
                <w:noProof/>
                <w:sz w:val="20"/>
                <w:szCs w:val="24"/>
                <w:lang w:val="en-US"/>
              </w:rPr>
              <w:t>483.5-2 500 MHz, with incumbent services</w:t>
            </w:r>
          </w:p>
        </w:tc>
      </w:tr>
      <w:tr w:rsidR="00F644C8" w:rsidRPr="0023357E" w:rsidTr="00CD79C8">
        <w:trPr>
          <w:cantSplit/>
          <w:jc w:val="center"/>
        </w:trPr>
        <w:tc>
          <w:tcPr>
            <w:tcW w:w="1607" w:type="dxa"/>
            <w:vAlign w:val="center"/>
          </w:tcPr>
          <w:p w:rsidR="00F644C8" w:rsidRPr="00A333EB" w:rsidRDefault="00F644C8" w:rsidP="00CD79C8">
            <w:pPr>
              <w:pStyle w:val="Tabletext"/>
              <w:jc w:val="left"/>
              <w:rPr>
                <w:rFonts w:cstheme="majorBidi"/>
                <w:sz w:val="20"/>
                <w:szCs w:val="24"/>
                <w:lang w:val="fr-CH"/>
              </w:rPr>
            </w:pPr>
            <w:r w:rsidRPr="00A333EB">
              <w:rPr>
                <w:rFonts w:cstheme="majorBidi"/>
                <w:noProof/>
                <w:sz w:val="20"/>
                <w:szCs w:val="24"/>
                <w:lang w:val="fr-CH"/>
              </w:rPr>
              <w:t>ECC Report 158</w:t>
            </w:r>
          </w:p>
        </w:tc>
        <w:tc>
          <w:tcPr>
            <w:tcW w:w="8032" w:type="dxa"/>
            <w:vAlign w:val="center"/>
          </w:tcPr>
          <w:p w:rsidR="00F644C8" w:rsidRPr="0023357E" w:rsidRDefault="00F644C8" w:rsidP="00CD79C8">
            <w:pPr>
              <w:pStyle w:val="Tabletext"/>
              <w:jc w:val="left"/>
              <w:rPr>
                <w:rFonts w:cstheme="majorBidi"/>
                <w:sz w:val="20"/>
                <w:szCs w:val="24"/>
                <w:lang w:val="en-US"/>
              </w:rPr>
            </w:pPr>
            <w:r w:rsidRPr="0023357E">
              <w:rPr>
                <w:rFonts w:cstheme="majorBidi"/>
                <w:noProof/>
                <w:sz w:val="20"/>
                <w:szCs w:val="24"/>
                <w:lang w:val="en-US"/>
              </w:rPr>
              <w:t>The impact of SRR 26 GHz applications using Ultra-Wide-Band (UWB) Technology on Radio Services</w:t>
            </w:r>
          </w:p>
        </w:tc>
      </w:tr>
      <w:tr w:rsidR="00F644C8" w:rsidRPr="0023357E" w:rsidTr="00CD79C8">
        <w:trPr>
          <w:cantSplit/>
          <w:jc w:val="center"/>
        </w:trPr>
        <w:tc>
          <w:tcPr>
            <w:tcW w:w="1607" w:type="dxa"/>
            <w:vAlign w:val="center"/>
          </w:tcPr>
          <w:p w:rsidR="00F644C8" w:rsidRPr="00A333EB" w:rsidRDefault="00F644C8" w:rsidP="00CD79C8">
            <w:pPr>
              <w:pStyle w:val="Tabletext"/>
              <w:jc w:val="left"/>
              <w:rPr>
                <w:rFonts w:cstheme="majorBidi"/>
                <w:sz w:val="20"/>
                <w:szCs w:val="24"/>
                <w:lang w:val="fr-CH"/>
              </w:rPr>
            </w:pPr>
            <w:r w:rsidRPr="00A333EB">
              <w:rPr>
                <w:rFonts w:cstheme="majorBidi"/>
                <w:noProof/>
                <w:sz w:val="20"/>
                <w:szCs w:val="24"/>
                <w:lang w:val="fr-CH"/>
              </w:rPr>
              <w:t>ECC Report 164</w:t>
            </w:r>
            <w:r w:rsidRPr="00A333EB">
              <w:rPr>
                <w:rFonts w:cstheme="majorBidi"/>
                <w:sz w:val="20"/>
                <w:szCs w:val="24"/>
                <w:lang w:val="fr-CH"/>
              </w:rPr>
              <w:t xml:space="preserve"> </w:t>
            </w:r>
          </w:p>
        </w:tc>
        <w:tc>
          <w:tcPr>
            <w:tcW w:w="8032" w:type="dxa"/>
            <w:vAlign w:val="center"/>
          </w:tcPr>
          <w:p w:rsidR="00F644C8" w:rsidRPr="0023357E" w:rsidRDefault="00F644C8" w:rsidP="00CD79C8">
            <w:pPr>
              <w:pStyle w:val="Tabletext"/>
              <w:jc w:val="left"/>
              <w:rPr>
                <w:rFonts w:cstheme="majorBidi"/>
                <w:sz w:val="20"/>
                <w:szCs w:val="24"/>
                <w:lang w:val="en-US"/>
              </w:rPr>
            </w:pPr>
            <w:r w:rsidRPr="0023357E">
              <w:rPr>
                <w:rFonts w:cstheme="majorBidi"/>
                <w:noProof/>
                <w:sz w:val="20"/>
                <w:szCs w:val="24"/>
                <w:lang w:val="en-US"/>
              </w:rPr>
              <w:t>Compatibility between WLAM automotive radars in the frequency range 24.25 to 24.5 GHz, and other radiocommunication systems/services</w:t>
            </w:r>
            <w:r w:rsidRPr="0023357E">
              <w:rPr>
                <w:rFonts w:cstheme="majorBidi"/>
                <w:sz w:val="20"/>
                <w:szCs w:val="24"/>
                <w:lang w:val="en-US"/>
              </w:rPr>
              <w:t xml:space="preserve"> </w:t>
            </w:r>
          </w:p>
        </w:tc>
      </w:tr>
      <w:tr w:rsidR="00F644C8" w:rsidRPr="0023357E" w:rsidTr="00CD79C8">
        <w:trPr>
          <w:cantSplit/>
          <w:jc w:val="center"/>
        </w:trPr>
        <w:tc>
          <w:tcPr>
            <w:tcW w:w="1607" w:type="dxa"/>
            <w:vAlign w:val="center"/>
          </w:tcPr>
          <w:p w:rsidR="00F644C8" w:rsidRPr="00A333EB" w:rsidRDefault="00F644C8" w:rsidP="00CD79C8">
            <w:pPr>
              <w:pStyle w:val="Tabletext"/>
              <w:jc w:val="left"/>
              <w:rPr>
                <w:rFonts w:cstheme="majorBidi"/>
                <w:sz w:val="20"/>
                <w:szCs w:val="24"/>
                <w:lang w:val="fr-CH"/>
              </w:rPr>
            </w:pPr>
            <w:r w:rsidRPr="00A333EB">
              <w:rPr>
                <w:rFonts w:cstheme="majorBidi"/>
                <w:noProof/>
                <w:sz w:val="20"/>
                <w:szCs w:val="24"/>
                <w:lang w:val="fr-CH"/>
              </w:rPr>
              <w:t>ERC Report 001</w:t>
            </w:r>
          </w:p>
        </w:tc>
        <w:tc>
          <w:tcPr>
            <w:tcW w:w="8032" w:type="dxa"/>
            <w:vAlign w:val="center"/>
          </w:tcPr>
          <w:p w:rsidR="00F644C8" w:rsidRPr="0023357E" w:rsidRDefault="00F644C8" w:rsidP="00CD79C8">
            <w:pPr>
              <w:pStyle w:val="Tabletext"/>
              <w:jc w:val="left"/>
              <w:rPr>
                <w:rFonts w:cstheme="majorBidi"/>
                <w:sz w:val="20"/>
                <w:szCs w:val="24"/>
                <w:lang w:val="en-US"/>
              </w:rPr>
            </w:pPr>
            <w:r w:rsidRPr="0023357E">
              <w:rPr>
                <w:rFonts w:cstheme="majorBidi"/>
                <w:noProof/>
                <w:sz w:val="20"/>
                <w:szCs w:val="24"/>
                <w:lang w:val="en-US"/>
              </w:rPr>
              <w:t>Harmonisation of frequency bands to be designated for Radio Local Area Networks (RLANs)</w:t>
            </w:r>
          </w:p>
        </w:tc>
      </w:tr>
      <w:tr w:rsidR="00F644C8" w:rsidRPr="0023357E" w:rsidTr="00CD79C8">
        <w:trPr>
          <w:cantSplit/>
          <w:jc w:val="center"/>
        </w:trPr>
        <w:tc>
          <w:tcPr>
            <w:tcW w:w="1607" w:type="dxa"/>
            <w:tcBorders>
              <w:left w:val="single" w:sz="2" w:space="0" w:color="auto"/>
              <w:bottom w:val="single" w:sz="2" w:space="0" w:color="auto"/>
              <w:right w:val="single" w:sz="2" w:space="0" w:color="auto"/>
            </w:tcBorders>
            <w:vAlign w:val="center"/>
          </w:tcPr>
          <w:p w:rsidR="00F644C8" w:rsidRPr="00A333EB" w:rsidRDefault="00F644C8" w:rsidP="00CD79C8">
            <w:pPr>
              <w:pStyle w:val="Tabletext"/>
              <w:jc w:val="left"/>
              <w:rPr>
                <w:rFonts w:cstheme="majorBidi"/>
                <w:sz w:val="20"/>
                <w:szCs w:val="24"/>
                <w:lang w:val="fr-CH"/>
              </w:rPr>
            </w:pPr>
            <w:r w:rsidRPr="00A333EB">
              <w:rPr>
                <w:rFonts w:cstheme="majorBidi"/>
                <w:noProof/>
                <w:sz w:val="20"/>
                <w:szCs w:val="24"/>
                <w:lang w:val="fr-CH"/>
              </w:rPr>
              <w:t>ERC Report 003</w:t>
            </w:r>
            <w:r w:rsidRPr="00A333EB">
              <w:rPr>
                <w:rFonts w:cstheme="majorBidi"/>
                <w:sz w:val="20"/>
                <w:szCs w:val="24"/>
                <w:lang w:val="fr-CH"/>
              </w:rPr>
              <w:t xml:space="preserve"> </w:t>
            </w:r>
          </w:p>
        </w:tc>
        <w:tc>
          <w:tcPr>
            <w:tcW w:w="8032" w:type="dxa"/>
            <w:tcBorders>
              <w:left w:val="single" w:sz="2" w:space="0" w:color="auto"/>
              <w:bottom w:val="single" w:sz="2" w:space="0" w:color="auto"/>
              <w:right w:val="single" w:sz="2" w:space="0" w:color="auto"/>
            </w:tcBorders>
            <w:vAlign w:val="center"/>
          </w:tcPr>
          <w:p w:rsidR="00F644C8" w:rsidRPr="0023357E" w:rsidRDefault="00F644C8" w:rsidP="00CD79C8">
            <w:pPr>
              <w:pStyle w:val="Tabletext"/>
              <w:jc w:val="left"/>
              <w:rPr>
                <w:rFonts w:cstheme="majorBidi"/>
                <w:sz w:val="20"/>
                <w:szCs w:val="24"/>
                <w:lang w:val="en-US"/>
              </w:rPr>
            </w:pPr>
            <w:r w:rsidRPr="0023357E">
              <w:rPr>
                <w:rFonts w:cstheme="majorBidi"/>
                <w:noProof/>
                <w:sz w:val="20"/>
                <w:szCs w:val="24"/>
                <w:lang w:val="en-US"/>
              </w:rPr>
              <w:t>Harmonisation of frequency bands to be designated for road transport information systems (RTTT)</w:t>
            </w:r>
          </w:p>
        </w:tc>
      </w:tr>
      <w:tr w:rsidR="00F644C8" w:rsidRPr="0023357E" w:rsidTr="00CD79C8">
        <w:trPr>
          <w:cantSplit/>
          <w:jc w:val="center"/>
        </w:trPr>
        <w:tc>
          <w:tcPr>
            <w:tcW w:w="1607" w:type="dxa"/>
            <w:tcBorders>
              <w:top w:val="single" w:sz="2" w:space="0" w:color="auto"/>
              <w:left w:val="single" w:sz="2" w:space="0" w:color="auto"/>
              <w:bottom w:val="single" w:sz="2" w:space="0" w:color="auto"/>
              <w:right w:val="single" w:sz="2" w:space="0" w:color="auto"/>
            </w:tcBorders>
            <w:vAlign w:val="center"/>
          </w:tcPr>
          <w:p w:rsidR="00F644C8" w:rsidRPr="00A333EB" w:rsidRDefault="00F644C8" w:rsidP="00CD79C8">
            <w:pPr>
              <w:pStyle w:val="Tabletext"/>
              <w:jc w:val="left"/>
              <w:rPr>
                <w:rFonts w:cstheme="majorBidi"/>
                <w:sz w:val="20"/>
                <w:szCs w:val="24"/>
                <w:lang w:val="fr-CH"/>
              </w:rPr>
            </w:pPr>
            <w:r w:rsidRPr="00A333EB">
              <w:rPr>
                <w:rFonts w:cstheme="majorBidi"/>
                <w:noProof/>
                <w:sz w:val="20"/>
                <w:szCs w:val="24"/>
                <w:lang w:val="fr-CH"/>
              </w:rPr>
              <w:t>ERC Report 005</w:t>
            </w:r>
          </w:p>
        </w:tc>
        <w:tc>
          <w:tcPr>
            <w:tcW w:w="8032" w:type="dxa"/>
            <w:tcBorders>
              <w:top w:val="single" w:sz="2" w:space="0" w:color="auto"/>
              <w:left w:val="single" w:sz="2" w:space="0" w:color="auto"/>
              <w:bottom w:val="single" w:sz="2" w:space="0" w:color="auto"/>
              <w:right w:val="single" w:sz="2" w:space="0" w:color="auto"/>
            </w:tcBorders>
            <w:vAlign w:val="center"/>
          </w:tcPr>
          <w:p w:rsidR="00F644C8" w:rsidRPr="0023357E" w:rsidRDefault="00F644C8" w:rsidP="00CD79C8">
            <w:pPr>
              <w:pStyle w:val="Tabletext"/>
              <w:jc w:val="left"/>
              <w:rPr>
                <w:rFonts w:cstheme="majorBidi"/>
                <w:sz w:val="20"/>
                <w:szCs w:val="24"/>
                <w:lang w:val="en-US"/>
              </w:rPr>
            </w:pPr>
            <w:r w:rsidRPr="0023357E">
              <w:rPr>
                <w:rFonts w:cstheme="majorBidi"/>
                <w:noProof/>
                <w:sz w:val="20"/>
                <w:szCs w:val="24"/>
                <w:lang w:val="en-US"/>
              </w:rPr>
              <w:t>ERC Report on frequency bands for Low Power Devices</w:t>
            </w:r>
          </w:p>
        </w:tc>
      </w:tr>
      <w:tr w:rsidR="00F644C8" w:rsidRPr="0023357E" w:rsidTr="00CD79C8">
        <w:trPr>
          <w:cantSplit/>
          <w:jc w:val="center"/>
        </w:trPr>
        <w:tc>
          <w:tcPr>
            <w:tcW w:w="1607" w:type="dxa"/>
            <w:tcBorders>
              <w:top w:val="single" w:sz="2" w:space="0" w:color="auto"/>
              <w:left w:val="single" w:sz="2" w:space="0" w:color="auto"/>
              <w:bottom w:val="single" w:sz="2" w:space="0" w:color="auto"/>
              <w:right w:val="single" w:sz="2" w:space="0" w:color="auto"/>
            </w:tcBorders>
            <w:vAlign w:val="center"/>
          </w:tcPr>
          <w:p w:rsidR="00F644C8" w:rsidRPr="00A333EB" w:rsidRDefault="00F644C8" w:rsidP="00CD79C8">
            <w:pPr>
              <w:pStyle w:val="Tabletext"/>
              <w:jc w:val="left"/>
              <w:rPr>
                <w:rFonts w:cstheme="majorBidi"/>
                <w:sz w:val="20"/>
                <w:szCs w:val="24"/>
                <w:lang w:val="fr-CH"/>
              </w:rPr>
            </w:pPr>
            <w:r w:rsidRPr="00A333EB">
              <w:rPr>
                <w:rFonts w:cstheme="majorBidi"/>
                <w:noProof/>
                <w:sz w:val="20"/>
                <w:szCs w:val="24"/>
                <w:lang w:val="fr-CH"/>
              </w:rPr>
              <w:lastRenderedPageBreak/>
              <w:t>ERC Report 008</w:t>
            </w:r>
          </w:p>
        </w:tc>
        <w:tc>
          <w:tcPr>
            <w:tcW w:w="8032" w:type="dxa"/>
            <w:tcBorders>
              <w:top w:val="single" w:sz="2" w:space="0" w:color="auto"/>
              <w:left w:val="single" w:sz="2" w:space="0" w:color="auto"/>
              <w:bottom w:val="single" w:sz="2" w:space="0" w:color="auto"/>
              <w:right w:val="single" w:sz="2" w:space="0" w:color="auto"/>
            </w:tcBorders>
            <w:vAlign w:val="center"/>
          </w:tcPr>
          <w:p w:rsidR="00F644C8" w:rsidRPr="0023357E" w:rsidRDefault="00F644C8" w:rsidP="00CD79C8">
            <w:pPr>
              <w:pStyle w:val="Tabletext"/>
              <w:jc w:val="left"/>
              <w:rPr>
                <w:rFonts w:cstheme="majorBidi"/>
                <w:sz w:val="20"/>
                <w:szCs w:val="24"/>
                <w:lang w:val="en-US"/>
              </w:rPr>
            </w:pPr>
            <w:r w:rsidRPr="0023357E">
              <w:rPr>
                <w:rFonts w:cstheme="majorBidi"/>
                <w:noProof/>
                <w:sz w:val="20"/>
                <w:szCs w:val="24"/>
                <w:lang w:val="en-US"/>
              </w:rPr>
              <w:t>General methodology for assessing compatibility between Radio Local Area Networks (RLANs) and the fixed Service</w:t>
            </w:r>
          </w:p>
        </w:tc>
      </w:tr>
      <w:tr w:rsidR="00F644C8" w:rsidRPr="0023357E" w:rsidTr="00CD79C8">
        <w:trPr>
          <w:cantSplit/>
          <w:jc w:val="center"/>
        </w:trPr>
        <w:tc>
          <w:tcPr>
            <w:tcW w:w="1607" w:type="dxa"/>
            <w:tcBorders>
              <w:top w:val="single" w:sz="2" w:space="0" w:color="auto"/>
              <w:left w:val="single" w:sz="2" w:space="0" w:color="auto"/>
              <w:bottom w:val="single" w:sz="2" w:space="0" w:color="auto"/>
              <w:right w:val="single" w:sz="2" w:space="0" w:color="auto"/>
            </w:tcBorders>
            <w:vAlign w:val="center"/>
          </w:tcPr>
          <w:p w:rsidR="00F644C8" w:rsidRPr="00A333EB" w:rsidRDefault="00F644C8" w:rsidP="00CD79C8">
            <w:pPr>
              <w:pStyle w:val="Tabletext"/>
              <w:jc w:val="left"/>
              <w:rPr>
                <w:rFonts w:cstheme="majorBidi"/>
                <w:sz w:val="20"/>
                <w:szCs w:val="24"/>
                <w:lang w:val="fr-CH"/>
              </w:rPr>
            </w:pPr>
            <w:r w:rsidRPr="00A333EB">
              <w:rPr>
                <w:rFonts w:cstheme="majorBidi"/>
                <w:noProof/>
                <w:sz w:val="20"/>
                <w:szCs w:val="24"/>
                <w:lang w:val="fr-CH"/>
              </w:rPr>
              <w:t>ERC Report 014</w:t>
            </w:r>
          </w:p>
        </w:tc>
        <w:tc>
          <w:tcPr>
            <w:tcW w:w="8032" w:type="dxa"/>
            <w:tcBorders>
              <w:top w:val="single" w:sz="2" w:space="0" w:color="auto"/>
              <w:left w:val="single" w:sz="2" w:space="0" w:color="auto"/>
              <w:bottom w:val="single" w:sz="2" w:space="0" w:color="auto"/>
              <w:right w:val="single" w:sz="2" w:space="0" w:color="auto"/>
            </w:tcBorders>
            <w:vAlign w:val="center"/>
          </w:tcPr>
          <w:p w:rsidR="00F644C8" w:rsidRPr="0023357E" w:rsidRDefault="00F644C8" w:rsidP="00CD79C8">
            <w:pPr>
              <w:pStyle w:val="Tabletext"/>
              <w:jc w:val="left"/>
              <w:rPr>
                <w:rFonts w:cstheme="majorBidi"/>
                <w:sz w:val="20"/>
                <w:szCs w:val="24"/>
                <w:lang w:val="en-US"/>
              </w:rPr>
            </w:pPr>
            <w:r w:rsidRPr="0023357E">
              <w:rPr>
                <w:rFonts w:cstheme="majorBidi"/>
                <w:noProof/>
                <w:sz w:val="20"/>
                <w:szCs w:val="24"/>
                <w:lang w:val="en-US"/>
              </w:rPr>
              <w:t>Co-existence of radio local area networks with the microwave landing system</w:t>
            </w:r>
          </w:p>
        </w:tc>
      </w:tr>
      <w:tr w:rsidR="00F644C8" w:rsidRPr="0023357E" w:rsidTr="00CD79C8">
        <w:trPr>
          <w:cantSplit/>
          <w:jc w:val="center"/>
        </w:trPr>
        <w:tc>
          <w:tcPr>
            <w:tcW w:w="1607" w:type="dxa"/>
            <w:tcBorders>
              <w:top w:val="single" w:sz="2" w:space="0" w:color="auto"/>
              <w:left w:val="single" w:sz="2" w:space="0" w:color="auto"/>
              <w:bottom w:val="single" w:sz="2" w:space="0" w:color="auto"/>
              <w:right w:val="single" w:sz="2" w:space="0" w:color="auto"/>
            </w:tcBorders>
            <w:vAlign w:val="center"/>
          </w:tcPr>
          <w:p w:rsidR="00F644C8" w:rsidRPr="00A333EB" w:rsidRDefault="00F644C8" w:rsidP="00CD79C8">
            <w:pPr>
              <w:pStyle w:val="Tabletext"/>
              <w:jc w:val="left"/>
              <w:rPr>
                <w:rFonts w:cstheme="majorBidi"/>
                <w:sz w:val="20"/>
                <w:szCs w:val="24"/>
                <w:lang w:val="fr-CH"/>
              </w:rPr>
            </w:pPr>
            <w:r w:rsidRPr="00A333EB">
              <w:rPr>
                <w:rFonts w:cstheme="majorBidi"/>
                <w:noProof/>
                <w:sz w:val="20"/>
                <w:szCs w:val="24"/>
                <w:lang w:val="fr-CH"/>
              </w:rPr>
              <w:t>ERC Report 015</w:t>
            </w:r>
          </w:p>
        </w:tc>
        <w:tc>
          <w:tcPr>
            <w:tcW w:w="8032" w:type="dxa"/>
            <w:tcBorders>
              <w:top w:val="single" w:sz="2" w:space="0" w:color="auto"/>
              <w:left w:val="single" w:sz="2" w:space="0" w:color="auto"/>
              <w:bottom w:val="single" w:sz="2" w:space="0" w:color="auto"/>
              <w:right w:val="single" w:sz="2" w:space="0" w:color="auto"/>
            </w:tcBorders>
            <w:vAlign w:val="center"/>
          </w:tcPr>
          <w:p w:rsidR="00F644C8" w:rsidRPr="0023357E" w:rsidRDefault="00F644C8" w:rsidP="00CD79C8">
            <w:pPr>
              <w:pStyle w:val="Tabletext"/>
              <w:jc w:val="left"/>
              <w:rPr>
                <w:rFonts w:cstheme="majorBidi"/>
                <w:sz w:val="20"/>
                <w:szCs w:val="24"/>
                <w:lang w:val="en-US"/>
              </w:rPr>
            </w:pPr>
            <w:r w:rsidRPr="0023357E">
              <w:rPr>
                <w:rFonts w:cstheme="majorBidi"/>
                <w:noProof/>
                <w:sz w:val="20"/>
                <w:szCs w:val="24"/>
                <w:lang w:val="en-US"/>
              </w:rPr>
              <w:t>Compatibility study between radar and RLANs operating at frequencies around 5.5 GHz</w:t>
            </w:r>
          </w:p>
        </w:tc>
      </w:tr>
      <w:tr w:rsidR="00F644C8" w:rsidRPr="0023357E" w:rsidTr="00CD79C8">
        <w:trPr>
          <w:cantSplit/>
          <w:jc w:val="center"/>
        </w:trPr>
        <w:tc>
          <w:tcPr>
            <w:tcW w:w="1607" w:type="dxa"/>
            <w:tcBorders>
              <w:top w:val="single" w:sz="2" w:space="0" w:color="auto"/>
              <w:left w:val="single" w:sz="2" w:space="0" w:color="auto"/>
              <w:bottom w:val="single" w:sz="2" w:space="0" w:color="auto"/>
              <w:right w:val="single" w:sz="2" w:space="0" w:color="auto"/>
            </w:tcBorders>
            <w:vAlign w:val="center"/>
          </w:tcPr>
          <w:p w:rsidR="00F644C8" w:rsidRPr="00A333EB" w:rsidRDefault="00F644C8" w:rsidP="00CD79C8">
            <w:pPr>
              <w:pStyle w:val="Tabletext"/>
              <w:jc w:val="left"/>
              <w:rPr>
                <w:rFonts w:cstheme="majorBidi"/>
                <w:sz w:val="20"/>
                <w:szCs w:val="24"/>
                <w:lang w:val="fr-CH"/>
              </w:rPr>
            </w:pPr>
            <w:r w:rsidRPr="00A333EB">
              <w:rPr>
                <w:rFonts w:cstheme="majorBidi"/>
                <w:noProof/>
                <w:sz w:val="20"/>
                <w:szCs w:val="24"/>
                <w:lang w:val="fr-CH"/>
              </w:rPr>
              <w:t>ERC Report 042</w:t>
            </w:r>
          </w:p>
        </w:tc>
        <w:tc>
          <w:tcPr>
            <w:tcW w:w="8032" w:type="dxa"/>
            <w:tcBorders>
              <w:top w:val="single" w:sz="2" w:space="0" w:color="auto"/>
              <w:left w:val="single" w:sz="2" w:space="0" w:color="auto"/>
              <w:bottom w:val="single" w:sz="2" w:space="0" w:color="auto"/>
              <w:right w:val="single" w:sz="2" w:space="0" w:color="auto"/>
            </w:tcBorders>
            <w:vAlign w:val="center"/>
          </w:tcPr>
          <w:p w:rsidR="00F644C8" w:rsidRPr="0023357E" w:rsidRDefault="00F644C8" w:rsidP="00CD79C8">
            <w:pPr>
              <w:pStyle w:val="Tabletext"/>
              <w:jc w:val="left"/>
              <w:rPr>
                <w:rFonts w:cstheme="majorBidi"/>
                <w:sz w:val="20"/>
                <w:szCs w:val="24"/>
                <w:lang w:val="en-US"/>
              </w:rPr>
            </w:pPr>
            <w:r w:rsidRPr="0023357E">
              <w:rPr>
                <w:rFonts w:cstheme="majorBidi"/>
                <w:noProof/>
                <w:sz w:val="20"/>
                <w:szCs w:val="24"/>
                <w:lang w:val="en-US"/>
              </w:rPr>
              <w:t>Handbook on radio equipment and systems radio microphones and simple wide band audio links</w:t>
            </w:r>
          </w:p>
        </w:tc>
      </w:tr>
      <w:tr w:rsidR="00F644C8" w:rsidRPr="0023357E" w:rsidTr="00CD79C8">
        <w:trPr>
          <w:cantSplit/>
          <w:jc w:val="center"/>
        </w:trPr>
        <w:tc>
          <w:tcPr>
            <w:tcW w:w="1607" w:type="dxa"/>
            <w:tcBorders>
              <w:top w:val="single" w:sz="2" w:space="0" w:color="auto"/>
              <w:left w:val="single" w:sz="2" w:space="0" w:color="auto"/>
              <w:bottom w:val="single" w:sz="2" w:space="0" w:color="auto"/>
              <w:right w:val="single" w:sz="2" w:space="0" w:color="auto"/>
            </w:tcBorders>
            <w:vAlign w:val="center"/>
          </w:tcPr>
          <w:p w:rsidR="00F644C8" w:rsidRPr="00A333EB" w:rsidRDefault="00F644C8" w:rsidP="00CD79C8">
            <w:pPr>
              <w:pStyle w:val="Tabletext"/>
              <w:jc w:val="left"/>
              <w:rPr>
                <w:rFonts w:cstheme="majorBidi"/>
                <w:sz w:val="20"/>
                <w:szCs w:val="24"/>
                <w:lang w:val="fr-CH"/>
              </w:rPr>
            </w:pPr>
            <w:r w:rsidRPr="00A333EB">
              <w:rPr>
                <w:rFonts w:cstheme="majorBidi"/>
                <w:noProof/>
                <w:sz w:val="20"/>
                <w:szCs w:val="24"/>
                <w:lang w:val="fr-CH"/>
              </w:rPr>
              <w:t>ERC Report 044</w:t>
            </w:r>
          </w:p>
        </w:tc>
        <w:tc>
          <w:tcPr>
            <w:tcW w:w="8032" w:type="dxa"/>
            <w:tcBorders>
              <w:top w:val="single" w:sz="2" w:space="0" w:color="auto"/>
              <w:left w:val="single" w:sz="2" w:space="0" w:color="auto"/>
              <w:bottom w:val="single" w:sz="2" w:space="0" w:color="auto"/>
              <w:right w:val="single" w:sz="2" w:space="0" w:color="auto"/>
            </w:tcBorders>
            <w:vAlign w:val="center"/>
          </w:tcPr>
          <w:p w:rsidR="00F644C8" w:rsidRPr="00A333EB" w:rsidRDefault="00F644C8" w:rsidP="00A333EB">
            <w:pPr>
              <w:pStyle w:val="Tabletext"/>
              <w:jc w:val="left"/>
              <w:rPr>
                <w:rFonts w:cstheme="majorBidi"/>
                <w:sz w:val="20"/>
                <w:szCs w:val="24"/>
                <w:lang w:val="en-US"/>
              </w:rPr>
            </w:pPr>
            <w:r w:rsidRPr="00A333EB">
              <w:rPr>
                <w:rFonts w:cstheme="majorBidi"/>
                <w:noProof/>
                <w:sz w:val="20"/>
                <w:szCs w:val="24"/>
                <w:lang w:val="en-US"/>
              </w:rPr>
              <w:t>ERC Report on sharing inductive systems and radiocommunication systems in the band 9</w:t>
            </w:r>
            <w:r w:rsidR="00A333EB">
              <w:rPr>
                <w:rFonts w:cstheme="majorBidi"/>
                <w:noProof/>
                <w:sz w:val="20"/>
                <w:szCs w:val="24"/>
                <w:lang w:val="en-US"/>
              </w:rPr>
              <w:noBreakHyphen/>
            </w:r>
            <w:r w:rsidRPr="00A333EB">
              <w:rPr>
                <w:rFonts w:cstheme="majorBidi"/>
                <w:noProof/>
                <w:sz w:val="20"/>
                <w:szCs w:val="24"/>
                <w:lang w:val="en-US"/>
              </w:rPr>
              <w:t>135 kHz</w:t>
            </w:r>
          </w:p>
        </w:tc>
      </w:tr>
      <w:tr w:rsidR="00F644C8" w:rsidRPr="0023357E" w:rsidTr="00CD79C8">
        <w:trPr>
          <w:cantSplit/>
          <w:jc w:val="center"/>
        </w:trPr>
        <w:tc>
          <w:tcPr>
            <w:tcW w:w="1607" w:type="dxa"/>
            <w:tcBorders>
              <w:top w:val="single" w:sz="2" w:space="0" w:color="auto"/>
            </w:tcBorders>
            <w:vAlign w:val="center"/>
          </w:tcPr>
          <w:p w:rsidR="00F644C8" w:rsidRPr="00A333EB" w:rsidRDefault="00F644C8" w:rsidP="00CD79C8">
            <w:pPr>
              <w:pStyle w:val="Tabletext"/>
              <w:jc w:val="left"/>
              <w:rPr>
                <w:rFonts w:cstheme="majorBidi"/>
                <w:sz w:val="20"/>
                <w:szCs w:val="24"/>
                <w:lang w:val="fr-CH"/>
              </w:rPr>
            </w:pPr>
            <w:r w:rsidRPr="00A333EB">
              <w:rPr>
                <w:rFonts w:cstheme="majorBidi"/>
                <w:noProof/>
                <w:sz w:val="20"/>
                <w:szCs w:val="24"/>
                <w:lang w:val="fr-CH"/>
              </w:rPr>
              <w:t>ERC Report 047</w:t>
            </w:r>
          </w:p>
        </w:tc>
        <w:tc>
          <w:tcPr>
            <w:tcW w:w="8032" w:type="dxa"/>
            <w:tcBorders>
              <w:top w:val="single" w:sz="2" w:space="0" w:color="auto"/>
            </w:tcBorders>
            <w:vAlign w:val="center"/>
          </w:tcPr>
          <w:p w:rsidR="00F644C8" w:rsidRPr="0023357E" w:rsidRDefault="00F644C8" w:rsidP="00CD79C8">
            <w:pPr>
              <w:pStyle w:val="Tabletext"/>
              <w:jc w:val="left"/>
              <w:rPr>
                <w:rFonts w:cstheme="majorBidi"/>
                <w:sz w:val="20"/>
                <w:szCs w:val="24"/>
                <w:lang w:val="en-US"/>
              </w:rPr>
            </w:pPr>
            <w:r w:rsidRPr="0023357E">
              <w:rPr>
                <w:rFonts w:cstheme="majorBidi"/>
                <w:noProof/>
                <w:sz w:val="20"/>
                <w:szCs w:val="24"/>
                <w:lang w:val="en-US"/>
              </w:rPr>
              <w:t>ERC Report on compatibility fixed services and motion sensors at 10.5 GHz</w:t>
            </w:r>
          </w:p>
        </w:tc>
      </w:tr>
      <w:tr w:rsidR="00F644C8" w:rsidRPr="0023357E" w:rsidTr="00CD79C8">
        <w:trPr>
          <w:cantSplit/>
          <w:jc w:val="center"/>
        </w:trPr>
        <w:tc>
          <w:tcPr>
            <w:tcW w:w="1607" w:type="dxa"/>
            <w:tcBorders>
              <w:top w:val="single" w:sz="2" w:space="0" w:color="auto"/>
            </w:tcBorders>
            <w:vAlign w:val="center"/>
          </w:tcPr>
          <w:p w:rsidR="00F644C8" w:rsidRPr="00A333EB" w:rsidRDefault="00F644C8" w:rsidP="00CD79C8">
            <w:pPr>
              <w:pStyle w:val="Tabletext"/>
              <w:jc w:val="left"/>
              <w:rPr>
                <w:rFonts w:cstheme="majorBidi"/>
                <w:sz w:val="20"/>
                <w:szCs w:val="24"/>
                <w:lang w:val="fr-CH"/>
              </w:rPr>
            </w:pPr>
            <w:r w:rsidRPr="00A333EB">
              <w:rPr>
                <w:rFonts w:cstheme="majorBidi"/>
                <w:noProof/>
                <w:sz w:val="20"/>
                <w:szCs w:val="24"/>
                <w:lang w:val="fr-CH"/>
              </w:rPr>
              <w:t>ERC Report 062</w:t>
            </w:r>
          </w:p>
        </w:tc>
        <w:tc>
          <w:tcPr>
            <w:tcW w:w="8032" w:type="dxa"/>
            <w:tcBorders>
              <w:top w:val="single" w:sz="2" w:space="0" w:color="auto"/>
            </w:tcBorders>
            <w:vAlign w:val="center"/>
          </w:tcPr>
          <w:p w:rsidR="00F644C8" w:rsidRPr="0023357E" w:rsidRDefault="00F644C8" w:rsidP="00CD79C8">
            <w:pPr>
              <w:pStyle w:val="Tabletext"/>
              <w:jc w:val="left"/>
              <w:rPr>
                <w:rFonts w:cstheme="majorBidi"/>
                <w:sz w:val="20"/>
                <w:szCs w:val="24"/>
                <w:lang w:val="en-US"/>
              </w:rPr>
            </w:pPr>
            <w:r w:rsidRPr="0023357E">
              <w:rPr>
                <w:rFonts w:cstheme="majorBidi"/>
                <w:noProof/>
                <w:sz w:val="20"/>
                <w:szCs w:val="24"/>
                <w:lang w:val="en-US"/>
              </w:rPr>
              <w:t>Compatibility analysis regarding possible sharing between the UIC system and radio microphones in the frequency ranges 876-880 MHz and 921-925 MHz</w:t>
            </w:r>
          </w:p>
        </w:tc>
      </w:tr>
      <w:tr w:rsidR="00F644C8" w:rsidRPr="0023357E" w:rsidTr="00CD79C8">
        <w:trPr>
          <w:cantSplit/>
          <w:jc w:val="center"/>
        </w:trPr>
        <w:tc>
          <w:tcPr>
            <w:tcW w:w="1607" w:type="dxa"/>
            <w:vAlign w:val="center"/>
          </w:tcPr>
          <w:p w:rsidR="00F644C8" w:rsidRPr="00A333EB" w:rsidRDefault="00F644C8" w:rsidP="00CD79C8">
            <w:pPr>
              <w:pStyle w:val="Tabletext"/>
              <w:jc w:val="left"/>
              <w:rPr>
                <w:rFonts w:cstheme="majorBidi"/>
                <w:sz w:val="20"/>
                <w:szCs w:val="24"/>
                <w:lang w:val="fr-CH"/>
              </w:rPr>
            </w:pPr>
            <w:r w:rsidRPr="00A333EB">
              <w:rPr>
                <w:rFonts w:cstheme="majorBidi"/>
                <w:noProof/>
                <w:sz w:val="20"/>
                <w:szCs w:val="24"/>
                <w:lang w:val="fr-CH"/>
              </w:rPr>
              <w:t>ERC Report 063</w:t>
            </w:r>
          </w:p>
        </w:tc>
        <w:tc>
          <w:tcPr>
            <w:tcW w:w="8032" w:type="dxa"/>
            <w:vAlign w:val="center"/>
          </w:tcPr>
          <w:p w:rsidR="00F644C8" w:rsidRPr="0023357E" w:rsidRDefault="00F644C8" w:rsidP="00CD79C8">
            <w:pPr>
              <w:pStyle w:val="Tabletext"/>
              <w:jc w:val="left"/>
              <w:rPr>
                <w:rFonts w:cstheme="majorBidi"/>
                <w:sz w:val="20"/>
                <w:szCs w:val="24"/>
                <w:lang w:val="en-US"/>
              </w:rPr>
            </w:pPr>
            <w:r w:rsidRPr="0023357E">
              <w:rPr>
                <w:rFonts w:cstheme="majorBidi"/>
                <w:noProof/>
                <w:sz w:val="20"/>
                <w:szCs w:val="24"/>
                <w:lang w:val="en-US"/>
              </w:rPr>
              <w:t>ERC Report on radio microphone applications in the frequency range 1 785-1 800 MHz</w:t>
            </w:r>
          </w:p>
        </w:tc>
      </w:tr>
      <w:tr w:rsidR="00F644C8" w:rsidRPr="0023357E" w:rsidTr="00CD79C8">
        <w:trPr>
          <w:cantSplit/>
          <w:jc w:val="center"/>
        </w:trPr>
        <w:tc>
          <w:tcPr>
            <w:tcW w:w="1607" w:type="dxa"/>
            <w:vAlign w:val="center"/>
          </w:tcPr>
          <w:p w:rsidR="00F644C8" w:rsidRPr="00A333EB" w:rsidRDefault="00F644C8" w:rsidP="00CD79C8">
            <w:pPr>
              <w:pStyle w:val="Tabletext"/>
              <w:jc w:val="left"/>
              <w:rPr>
                <w:rFonts w:cstheme="majorBidi"/>
                <w:sz w:val="20"/>
                <w:szCs w:val="24"/>
                <w:lang w:val="fr-CH"/>
              </w:rPr>
            </w:pPr>
            <w:r w:rsidRPr="00A333EB">
              <w:rPr>
                <w:rFonts w:cstheme="majorBidi"/>
                <w:noProof/>
                <w:sz w:val="20"/>
                <w:szCs w:val="24"/>
                <w:lang w:val="fr-CH"/>
              </w:rPr>
              <w:t>ERC Report 067</w:t>
            </w:r>
          </w:p>
        </w:tc>
        <w:tc>
          <w:tcPr>
            <w:tcW w:w="8032" w:type="dxa"/>
            <w:vAlign w:val="center"/>
          </w:tcPr>
          <w:p w:rsidR="00F644C8" w:rsidRPr="0023357E" w:rsidRDefault="00F644C8" w:rsidP="00CD79C8">
            <w:pPr>
              <w:pStyle w:val="Tabletext"/>
              <w:jc w:val="left"/>
              <w:rPr>
                <w:rFonts w:cstheme="majorBidi"/>
                <w:sz w:val="20"/>
                <w:szCs w:val="24"/>
                <w:lang w:val="en-US"/>
              </w:rPr>
            </w:pPr>
            <w:r w:rsidRPr="0023357E">
              <w:rPr>
                <w:rFonts w:cstheme="majorBidi"/>
                <w:noProof/>
                <w:sz w:val="20"/>
                <w:szCs w:val="24"/>
                <w:lang w:val="en-US"/>
              </w:rPr>
              <w:t>Study of the Frequency sharing between HIPERLANs and MSS feeder links in the 5 GHz band</w:t>
            </w:r>
          </w:p>
        </w:tc>
      </w:tr>
      <w:tr w:rsidR="00F644C8" w:rsidRPr="0023357E" w:rsidTr="00CD79C8">
        <w:trPr>
          <w:cantSplit/>
          <w:jc w:val="center"/>
        </w:trPr>
        <w:tc>
          <w:tcPr>
            <w:tcW w:w="1607" w:type="dxa"/>
            <w:vAlign w:val="center"/>
          </w:tcPr>
          <w:p w:rsidR="00F644C8" w:rsidRPr="00A333EB" w:rsidRDefault="00F644C8" w:rsidP="00CD79C8">
            <w:pPr>
              <w:pStyle w:val="Tabletext"/>
              <w:jc w:val="left"/>
              <w:rPr>
                <w:rFonts w:cstheme="majorBidi"/>
                <w:sz w:val="20"/>
                <w:szCs w:val="24"/>
                <w:lang w:val="fr-CH"/>
              </w:rPr>
            </w:pPr>
            <w:r w:rsidRPr="00A333EB">
              <w:rPr>
                <w:rFonts w:cstheme="majorBidi"/>
                <w:noProof/>
                <w:sz w:val="20"/>
                <w:szCs w:val="24"/>
                <w:lang w:val="fr-CH"/>
              </w:rPr>
              <w:t>ERC Report 069</w:t>
            </w:r>
          </w:p>
        </w:tc>
        <w:tc>
          <w:tcPr>
            <w:tcW w:w="8032" w:type="dxa"/>
            <w:vAlign w:val="center"/>
          </w:tcPr>
          <w:p w:rsidR="00F644C8" w:rsidRPr="0023357E" w:rsidRDefault="00F644C8" w:rsidP="00CD79C8">
            <w:pPr>
              <w:pStyle w:val="Tabletext"/>
              <w:jc w:val="left"/>
              <w:rPr>
                <w:rFonts w:cstheme="majorBidi"/>
                <w:sz w:val="20"/>
                <w:szCs w:val="24"/>
                <w:lang w:val="en-US"/>
              </w:rPr>
            </w:pPr>
            <w:r w:rsidRPr="0023357E">
              <w:rPr>
                <w:rFonts w:cstheme="majorBidi"/>
                <w:noProof/>
                <w:sz w:val="20"/>
                <w:szCs w:val="24"/>
                <w:lang w:val="en-US"/>
              </w:rPr>
              <w:t>ERC Report on propagation model and interference range calculation for inductive systems in 10 kHz – 30 MHz</w:t>
            </w:r>
          </w:p>
        </w:tc>
      </w:tr>
      <w:tr w:rsidR="00F644C8" w:rsidRPr="0023357E" w:rsidTr="00CD79C8">
        <w:trPr>
          <w:cantSplit/>
          <w:jc w:val="center"/>
        </w:trPr>
        <w:tc>
          <w:tcPr>
            <w:tcW w:w="1607" w:type="dxa"/>
            <w:vAlign w:val="center"/>
          </w:tcPr>
          <w:p w:rsidR="00F644C8" w:rsidRPr="00A333EB" w:rsidRDefault="00F644C8" w:rsidP="00CD79C8">
            <w:pPr>
              <w:pStyle w:val="Tabletext"/>
              <w:jc w:val="left"/>
              <w:rPr>
                <w:rFonts w:cstheme="majorBidi"/>
                <w:sz w:val="20"/>
                <w:szCs w:val="24"/>
                <w:lang w:val="fr-CH"/>
              </w:rPr>
            </w:pPr>
            <w:r w:rsidRPr="00A333EB">
              <w:rPr>
                <w:rFonts w:cstheme="majorBidi"/>
                <w:noProof/>
                <w:sz w:val="20"/>
                <w:szCs w:val="24"/>
                <w:lang w:val="fr-CH"/>
              </w:rPr>
              <w:t>ERC Report 072</w:t>
            </w:r>
          </w:p>
        </w:tc>
        <w:tc>
          <w:tcPr>
            <w:tcW w:w="8032" w:type="dxa"/>
            <w:vAlign w:val="center"/>
          </w:tcPr>
          <w:p w:rsidR="00F644C8" w:rsidRPr="0023357E" w:rsidRDefault="00F644C8" w:rsidP="00CD79C8">
            <w:pPr>
              <w:pStyle w:val="Tabletext"/>
              <w:jc w:val="left"/>
              <w:rPr>
                <w:rFonts w:cstheme="majorBidi"/>
                <w:sz w:val="20"/>
                <w:szCs w:val="24"/>
                <w:lang w:val="en-US"/>
              </w:rPr>
            </w:pPr>
            <w:r w:rsidRPr="0023357E">
              <w:rPr>
                <w:rFonts w:cstheme="majorBidi"/>
                <w:noProof/>
                <w:sz w:val="20"/>
                <w:szCs w:val="24"/>
                <w:lang w:val="en-US"/>
              </w:rPr>
              <w:t>Compatibility studies related to the possible extension band for HIPERLANs at 5 GHz</w:t>
            </w:r>
          </w:p>
        </w:tc>
      </w:tr>
      <w:tr w:rsidR="00F644C8" w:rsidRPr="0023357E" w:rsidTr="00CD79C8">
        <w:trPr>
          <w:cantSplit/>
          <w:jc w:val="center"/>
        </w:trPr>
        <w:tc>
          <w:tcPr>
            <w:tcW w:w="1607" w:type="dxa"/>
            <w:vAlign w:val="center"/>
          </w:tcPr>
          <w:p w:rsidR="00F644C8" w:rsidRPr="00A333EB" w:rsidRDefault="00F644C8" w:rsidP="00CD79C8">
            <w:pPr>
              <w:pStyle w:val="Tabletext"/>
              <w:jc w:val="left"/>
              <w:rPr>
                <w:rFonts w:cstheme="majorBidi"/>
                <w:sz w:val="20"/>
                <w:szCs w:val="24"/>
                <w:lang w:val="fr-CH"/>
              </w:rPr>
            </w:pPr>
            <w:r w:rsidRPr="00A333EB">
              <w:rPr>
                <w:rFonts w:cstheme="majorBidi"/>
                <w:noProof/>
                <w:sz w:val="20"/>
                <w:szCs w:val="24"/>
                <w:lang w:val="fr-CH"/>
              </w:rPr>
              <w:t>ERC Report 074</w:t>
            </w:r>
          </w:p>
        </w:tc>
        <w:tc>
          <w:tcPr>
            <w:tcW w:w="8032" w:type="dxa"/>
            <w:vAlign w:val="center"/>
          </w:tcPr>
          <w:p w:rsidR="00F644C8" w:rsidRPr="0023357E" w:rsidRDefault="00F644C8" w:rsidP="00CD79C8">
            <w:pPr>
              <w:pStyle w:val="Tabletext"/>
              <w:jc w:val="left"/>
              <w:rPr>
                <w:rFonts w:cstheme="majorBidi"/>
                <w:sz w:val="20"/>
                <w:szCs w:val="24"/>
                <w:lang w:val="en-US"/>
              </w:rPr>
            </w:pPr>
            <w:r w:rsidRPr="0023357E">
              <w:rPr>
                <w:rFonts w:cstheme="majorBidi"/>
                <w:noProof/>
                <w:sz w:val="20"/>
                <w:szCs w:val="24"/>
                <w:lang w:val="en-US"/>
              </w:rPr>
              <w:t>ERC Report on RFID and the radio astronomy services at 13 MHz</w:t>
            </w:r>
          </w:p>
        </w:tc>
      </w:tr>
      <w:tr w:rsidR="00F644C8" w:rsidRPr="0023357E" w:rsidTr="00CD79C8">
        <w:trPr>
          <w:cantSplit/>
          <w:jc w:val="center"/>
        </w:trPr>
        <w:tc>
          <w:tcPr>
            <w:tcW w:w="1607" w:type="dxa"/>
            <w:vAlign w:val="center"/>
          </w:tcPr>
          <w:p w:rsidR="00F644C8" w:rsidRPr="00A333EB" w:rsidRDefault="00F644C8" w:rsidP="00CD79C8">
            <w:pPr>
              <w:pStyle w:val="Tabletext"/>
              <w:jc w:val="left"/>
              <w:rPr>
                <w:rFonts w:cstheme="majorBidi"/>
                <w:sz w:val="20"/>
                <w:szCs w:val="24"/>
                <w:lang w:val="fr-CH"/>
              </w:rPr>
            </w:pPr>
            <w:r w:rsidRPr="00A333EB">
              <w:rPr>
                <w:rFonts w:cstheme="majorBidi"/>
                <w:noProof/>
                <w:sz w:val="20"/>
                <w:szCs w:val="24"/>
                <w:lang w:val="fr-CH"/>
              </w:rPr>
              <w:t>ERC Report 088</w:t>
            </w:r>
          </w:p>
        </w:tc>
        <w:tc>
          <w:tcPr>
            <w:tcW w:w="8032" w:type="dxa"/>
            <w:vAlign w:val="center"/>
          </w:tcPr>
          <w:p w:rsidR="00F644C8" w:rsidRPr="0023357E" w:rsidRDefault="00F644C8" w:rsidP="00CD79C8">
            <w:pPr>
              <w:pStyle w:val="Tabletext"/>
              <w:jc w:val="left"/>
              <w:rPr>
                <w:rFonts w:cstheme="majorBidi"/>
                <w:sz w:val="20"/>
                <w:szCs w:val="24"/>
                <w:lang w:val="en-US"/>
              </w:rPr>
            </w:pPr>
            <w:r w:rsidRPr="0023357E">
              <w:rPr>
                <w:rFonts w:cstheme="majorBidi"/>
                <w:noProof/>
                <w:sz w:val="20"/>
                <w:szCs w:val="24"/>
                <w:lang w:val="en-US"/>
              </w:rPr>
              <w:t>Compatibility and sharing analysis between DVB-T and radio microphones in bands IV and V</w:t>
            </w:r>
          </w:p>
        </w:tc>
      </w:tr>
      <w:tr w:rsidR="00F644C8" w:rsidRPr="0023357E" w:rsidTr="00CD79C8">
        <w:trPr>
          <w:cantSplit/>
          <w:jc w:val="center"/>
        </w:trPr>
        <w:tc>
          <w:tcPr>
            <w:tcW w:w="1607" w:type="dxa"/>
            <w:vAlign w:val="center"/>
          </w:tcPr>
          <w:p w:rsidR="00F644C8" w:rsidRPr="00A333EB" w:rsidRDefault="00F644C8" w:rsidP="00CD79C8">
            <w:pPr>
              <w:pStyle w:val="Tabletext"/>
              <w:jc w:val="left"/>
              <w:rPr>
                <w:rFonts w:cstheme="majorBidi"/>
                <w:sz w:val="20"/>
                <w:szCs w:val="24"/>
                <w:lang w:val="fr-CH"/>
              </w:rPr>
            </w:pPr>
            <w:r w:rsidRPr="00A333EB">
              <w:rPr>
                <w:rFonts w:cstheme="majorBidi"/>
                <w:noProof/>
                <w:sz w:val="20"/>
                <w:szCs w:val="24"/>
                <w:lang w:val="fr-CH"/>
              </w:rPr>
              <w:t>ERC Report 092</w:t>
            </w:r>
          </w:p>
        </w:tc>
        <w:tc>
          <w:tcPr>
            <w:tcW w:w="8032" w:type="dxa"/>
            <w:vAlign w:val="center"/>
          </w:tcPr>
          <w:p w:rsidR="00F644C8" w:rsidRPr="0023357E" w:rsidRDefault="00F644C8" w:rsidP="00CD79C8">
            <w:pPr>
              <w:pStyle w:val="Tabletext"/>
              <w:jc w:val="left"/>
              <w:rPr>
                <w:rFonts w:cstheme="majorBidi"/>
                <w:sz w:val="20"/>
                <w:szCs w:val="24"/>
                <w:lang w:val="en-US"/>
              </w:rPr>
            </w:pPr>
            <w:r w:rsidRPr="0023357E">
              <w:rPr>
                <w:rFonts w:cstheme="majorBidi"/>
                <w:noProof/>
                <w:sz w:val="20"/>
                <w:szCs w:val="24"/>
                <w:lang w:val="en-US"/>
              </w:rPr>
              <w:t>ERC Report on sharing inductive Short Range Devices and radio communication systems in 10.2</w:t>
            </w:r>
            <w:r w:rsidRPr="0023357E">
              <w:rPr>
                <w:rFonts w:cstheme="majorBidi"/>
                <w:noProof/>
                <w:sz w:val="20"/>
                <w:szCs w:val="24"/>
                <w:lang w:val="en-US"/>
              </w:rPr>
              <w:noBreakHyphen/>
              <w:t>11 MHz</w:t>
            </w:r>
          </w:p>
        </w:tc>
      </w:tr>
      <w:tr w:rsidR="00F644C8" w:rsidRPr="0023357E" w:rsidTr="00CD79C8">
        <w:trPr>
          <w:cantSplit/>
          <w:jc w:val="center"/>
        </w:trPr>
        <w:tc>
          <w:tcPr>
            <w:tcW w:w="1607" w:type="dxa"/>
            <w:vAlign w:val="center"/>
          </w:tcPr>
          <w:p w:rsidR="00F644C8" w:rsidRPr="00A333EB" w:rsidRDefault="00F644C8" w:rsidP="00CD79C8">
            <w:pPr>
              <w:pStyle w:val="Tabletext"/>
              <w:jc w:val="left"/>
              <w:rPr>
                <w:rFonts w:cstheme="majorBidi"/>
                <w:sz w:val="20"/>
                <w:szCs w:val="24"/>
                <w:lang w:val="fr-CH"/>
              </w:rPr>
            </w:pPr>
            <w:r w:rsidRPr="00A333EB">
              <w:rPr>
                <w:rFonts w:cstheme="majorBidi"/>
                <w:noProof/>
                <w:sz w:val="20"/>
                <w:szCs w:val="24"/>
                <w:lang w:val="fr-CH"/>
              </w:rPr>
              <w:t>ERC Report 095</w:t>
            </w:r>
          </w:p>
        </w:tc>
        <w:tc>
          <w:tcPr>
            <w:tcW w:w="8032" w:type="dxa"/>
            <w:vAlign w:val="center"/>
          </w:tcPr>
          <w:p w:rsidR="00F644C8" w:rsidRPr="0023357E" w:rsidRDefault="00F644C8" w:rsidP="00CD79C8">
            <w:pPr>
              <w:pStyle w:val="Tabletext"/>
              <w:jc w:val="left"/>
              <w:rPr>
                <w:rFonts w:cstheme="majorBidi"/>
                <w:sz w:val="20"/>
                <w:szCs w:val="24"/>
                <w:lang w:val="en-US"/>
              </w:rPr>
            </w:pPr>
            <w:r w:rsidRPr="0023357E">
              <w:rPr>
                <w:rFonts w:cstheme="majorBidi"/>
                <w:noProof/>
                <w:sz w:val="20"/>
                <w:szCs w:val="24"/>
                <w:lang w:val="en-US"/>
              </w:rPr>
              <w:t>ERC Report on the use of 3 155-3 400 kHz for general inductive applications</w:t>
            </w:r>
          </w:p>
        </w:tc>
      </w:tr>
      <w:tr w:rsidR="00F644C8" w:rsidRPr="0023357E" w:rsidTr="00CD79C8">
        <w:trPr>
          <w:cantSplit/>
          <w:jc w:val="center"/>
        </w:trPr>
        <w:tc>
          <w:tcPr>
            <w:tcW w:w="1607" w:type="dxa"/>
            <w:vAlign w:val="center"/>
          </w:tcPr>
          <w:p w:rsidR="00F644C8" w:rsidRPr="00A333EB" w:rsidRDefault="00F644C8" w:rsidP="00CD79C8">
            <w:pPr>
              <w:pStyle w:val="Tabletext"/>
              <w:jc w:val="left"/>
              <w:rPr>
                <w:rFonts w:cstheme="majorBidi"/>
                <w:sz w:val="20"/>
                <w:szCs w:val="24"/>
                <w:lang w:val="fr-CH"/>
              </w:rPr>
            </w:pPr>
            <w:r w:rsidRPr="00A333EB">
              <w:rPr>
                <w:rFonts w:cstheme="majorBidi"/>
                <w:noProof/>
                <w:sz w:val="20"/>
                <w:szCs w:val="24"/>
                <w:lang w:val="fr-CH"/>
              </w:rPr>
              <w:t>ERC Report 096</w:t>
            </w:r>
          </w:p>
        </w:tc>
        <w:tc>
          <w:tcPr>
            <w:tcW w:w="8032" w:type="dxa"/>
            <w:vAlign w:val="center"/>
          </w:tcPr>
          <w:p w:rsidR="00F644C8" w:rsidRPr="0023357E" w:rsidRDefault="00F644C8" w:rsidP="00CD79C8">
            <w:pPr>
              <w:pStyle w:val="Tabletext"/>
              <w:jc w:val="left"/>
              <w:rPr>
                <w:rFonts w:cstheme="majorBidi"/>
                <w:sz w:val="20"/>
                <w:szCs w:val="24"/>
                <w:lang w:val="en-US"/>
              </w:rPr>
            </w:pPr>
            <w:r w:rsidRPr="0023357E">
              <w:rPr>
                <w:rFonts w:cstheme="majorBidi"/>
                <w:noProof/>
                <w:sz w:val="20"/>
                <w:szCs w:val="24"/>
                <w:lang w:val="en-US"/>
              </w:rPr>
              <w:t>ERC Report on the use of 290-300 kHz and 500-510 kHz for general inductive applications</w:t>
            </w:r>
          </w:p>
        </w:tc>
      </w:tr>
      <w:tr w:rsidR="00F644C8" w:rsidRPr="0023357E" w:rsidTr="00CD79C8">
        <w:trPr>
          <w:cantSplit/>
          <w:jc w:val="center"/>
        </w:trPr>
        <w:tc>
          <w:tcPr>
            <w:tcW w:w="1607" w:type="dxa"/>
            <w:vAlign w:val="center"/>
          </w:tcPr>
          <w:p w:rsidR="00F644C8" w:rsidRPr="00A333EB" w:rsidRDefault="00F644C8" w:rsidP="00CD79C8">
            <w:pPr>
              <w:pStyle w:val="Tabletext"/>
              <w:jc w:val="left"/>
              <w:rPr>
                <w:rFonts w:cstheme="majorBidi"/>
                <w:sz w:val="20"/>
                <w:szCs w:val="24"/>
                <w:lang w:val="fr-CH"/>
              </w:rPr>
            </w:pPr>
            <w:r w:rsidRPr="00A333EB">
              <w:rPr>
                <w:rFonts w:cstheme="majorBidi"/>
                <w:noProof/>
                <w:sz w:val="20"/>
                <w:szCs w:val="24"/>
                <w:lang w:val="fr-CH"/>
              </w:rPr>
              <w:t>ERC Report 098</w:t>
            </w:r>
          </w:p>
        </w:tc>
        <w:tc>
          <w:tcPr>
            <w:tcW w:w="8032" w:type="dxa"/>
            <w:vAlign w:val="center"/>
          </w:tcPr>
          <w:p w:rsidR="00F644C8" w:rsidRPr="00A333EB" w:rsidRDefault="00F644C8" w:rsidP="00CD79C8">
            <w:pPr>
              <w:pStyle w:val="Tabletext"/>
              <w:jc w:val="left"/>
              <w:rPr>
                <w:rFonts w:cstheme="majorBidi"/>
                <w:sz w:val="20"/>
                <w:szCs w:val="24"/>
                <w:lang w:val="en-US"/>
              </w:rPr>
            </w:pPr>
            <w:r w:rsidRPr="00A333EB">
              <w:rPr>
                <w:rFonts w:cstheme="majorBidi"/>
                <w:noProof/>
                <w:sz w:val="20"/>
                <w:szCs w:val="24"/>
                <w:lang w:val="en-US"/>
              </w:rPr>
              <w:t>ERC Report on compatibility of Short Range Devices at 900 MHz with adjacent services</w:t>
            </w:r>
          </w:p>
        </w:tc>
      </w:tr>
      <w:tr w:rsidR="00F644C8" w:rsidRPr="0023357E" w:rsidTr="00CD79C8">
        <w:trPr>
          <w:cantSplit/>
          <w:jc w:val="center"/>
        </w:trPr>
        <w:tc>
          <w:tcPr>
            <w:tcW w:w="1607" w:type="dxa"/>
            <w:vAlign w:val="center"/>
          </w:tcPr>
          <w:p w:rsidR="00F644C8" w:rsidRPr="00A333EB" w:rsidRDefault="00F644C8" w:rsidP="00CD79C8">
            <w:pPr>
              <w:pStyle w:val="Tabletext"/>
              <w:jc w:val="left"/>
              <w:rPr>
                <w:rFonts w:cstheme="majorBidi"/>
                <w:sz w:val="20"/>
                <w:szCs w:val="24"/>
                <w:lang w:val="fr-CH"/>
              </w:rPr>
            </w:pPr>
            <w:r w:rsidRPr="00A333EB">
              <w:rPr>
                <w:rFonts w:cstheme="majorBidi"/>
                <w:noProof/>
                <w:sz w:val="20"/>
                <w:szCs w:val="24"/>
                <w:lang w:val="fr-CH"/>
              </w:rPr>
              <w:t>ERC Report 109</w:t>
            </w:r>
          </w:p>
        </w:tc>
        <w:tc>
          <w:tcPr>
            <w:tcW w:w="8032" w:type="dxa"/>
            <w:vAlign w:val="center"/>
          </w:tcPr>
          <w:p w:rsidR="00F644C8" w:rsidRPr="0023357E" w:rsidRDefault="00F644C8" w:rsidP="00CD79C8">
            <w:pPr>
              <w:pStyle w:val="Tabletext"/>
              <w:jc w:val="left"/>
              <w:rPr>
                <w:rFonts w:cstheme="majorBidi"/>
                <w:sz w:val="20"/>
                <w:szCs w:val="24"/>
                <w:lang w:val="en-US"/>
              </w:rPr>
            </w:pPr>
            <w:r w:rsidRPr="0023357E">
              <w:rPr>
                <w:rFonts w:cstheme="majorBidi"/>
                <w:noProof/>
                <w:sz w:val="20"/>
                <w:szCs w:val="24"/>
                <w:lang w:val="en-US"/>
              </w:rPr>
              <w:t>Compatibility of Bluetooth with other existing and proposed radiocommunication systems in the 2.45 GHz frequency band</w:t>
            </w:r>
          </w:p>
        </w:tc>
      </w:tr>
    </w:tbl>
    <w:p w:rsidR="00F644C8" w:rsidRPr="0023357E" w:rsidRDefault="00F644C8" w:rsidP="00F644C8">
      <w:pPr>
        <w:pStyle w:val="Tablefin"/>
        <w:rPr>
          <w:rFonts w:eastAsia="Batang"/>
          <w:lang w:val="en-US"/>
        </w:rPr>
      </w:pPr>
    </w:p>
    <w:p w:rsidR="00F644C8" w:rsidRPr="00A333EB" w:rsidRDefault="00F644C8" w:rsidP="00CD79C8">
      <w:pPr>
        <w:rPr>
          <w:lang w:val="fr-CH"/>
        </w:rPr>
      </w:pPr>
      <w:r w:rsidRPr="00A333EB">
        <w:rPr>
          <w:lang w:val="fr-CH"/>
        </w:rPr>
        <w:t>Une étude a été menée pour donner suite à une demande d'utilisation de la bande de garde du GSM</w:t>
      </w:r>
      <w:r w:rsidR="00CD79C8" w:rsidRPr="00A333EB">
        <w:rPr>
          <w:lang w:val="fr-CH"/>
        </w:rPr>
        <w:noBreakHyphen/>
      </w:r>
      <w:r w:rsidRPr="00A333EB">
        <w:rPr>
          <w:lang w:val="fr-CH"/>
        </w:rPr>
        <w:t>900 (915-925 MHz) pour un système RFID particulier utilisé dans des applications de péage routier en flux libre. L'objectif était d'évaluer l'incidence de ce système RFID sur le réseau GSM existant. Bien que les dispositifs RFID soient considérés comme des SRD, ce type de lecteur RFID affichant ce niveau de puissance peut, dans certains pays, ne pas être considéré comme tel.</w:t>
      </w:r>
    </w:p>
    <w:p w:rsidR="00F644C8" w:rsidRPr="00A333EB" w:rsidRDefault="00F644C8" w:rsidP="00A333EB">
      <w:pPr>
        <w:rPr>
          <w:rFonts w:cstheme="majorBidi"/>
          <w:szCs w:val="24"/>
          <w:lang w:val="fr-CH"/>
        </w:rPr>
      </w:pPr>
      <w:r w:rsidRPr="00A333EB">
        <w:rPr>
          <w:rFonts w:cstheme="majorBidi"/>
          <w:szCs w:val="24"/>
          <w:lang w:val="fr-CH"/>
        </w:rPr>
        <w:t>Un banc d'essai en temps réel a été mis en place sur une route secondaire afin de réaliser les mesures. Deux types d'essais ont été effectués pour déterminer l'incidence du lecteur RFID en position OFF (désactivé) et en position ON (activé) sur le réseau GSM: essai à l'arrêt à l'aide d'un analyseur de spectre d'une part, essai en mouvement pour l'étude d'impact sur le réseau GSM.</w:t>
      </w:r>
    </w:p>
    <w:p w:rsidR="00F644C8" w:rsidRPr="00A333EB" w:rsidRDefault="00F644C8" w:rsidP="00F644C8">
      <w:pPr>
        <w:rPr>
          <w:rFonts w:cstheme="majorBidi"/>
          <w:szCs w:val="24"/>
          <w:lang w:val="fr-CH"/>
        </w:rPr>
      </w:pPr>
      <w:r w:rsidRPr="00A333EB">
        <w:rPr>
          <w:rFonts w:cstheme="majorBidi"/>
          <w:szCs w:val="24"/>
          <w:lang w:val="fr-CH"/>
        </w:rPr>
        <w:t>Le système RFID était composé d'un lecteur (émetteur-récepteur) installé sur un portique doté d'un dispositif incliné destiné à l'alimentation en énergie et à la lecture du signal rétrodiffusé par le badge passif installé sur le pare-brise d'une voiture roulant à une vitesse comprise entre 0 et 120 km/h.</w:t>
      </w:r>
    </w:p>
    <w:p w:rsidR="00F644C8" w:rsidRPr="00A333EB" w:rsidRDefault="00F644C8" w:rsidP="00F644C8">
      <w:pPr>
        <w:rPr>
          <w:rFonts w:cstheme="majorBidi"/>
          <w:szCs w:val="24"/>
          <w:lang w:val="fr-CH"/>
        </w:rPr>
      </w:pPr>
      <w:r w:rsidRPr="00A333EB">
        <w:rPr>
          <w:rFonts w:cstheme="majorBidi"/>
          <w:szCs w:val="24"/>
          <w:lang w:val="fr-CH"/>
        </w:rPr>
        <w:t>Pour simuler l'environnement réel, trois lecteurs ont été installés sur un portique.</w:t>
      </w:r>
    </w:p>
    <w:p w:rsidR="00F644C8" w:rsidRPr="00A333EB" w:rsidRDefault="00F644C8" w:rsidP="00CD79C8">
      <w:pPr>
        <w:pStyle w:val="Headingb"/>
        <w:rPr>
          <w:rFonts w:cstheme="majorBidi"/>
          <w:szCs w:val="24"/>
          <w:lang w:val="fr-CH"/>
        </w:rPr>
      </w:pPr>
      <w:r w:rsidRPr="00A333EB">
        <w:rPr>
          <w:rFonts w:cstheme="majorBidi"/>
          <w:szCs w:val="24"/>
          <w:lang w:val="fr-CH"/>
        </w:rPr>
        <w:lastRenderedPageBreak/>
        <w:t>Ci-dessous figurent les caractéristiques du lecteur RFID (dans le contrôleur de voie, donc un lecteur pour chaque voie de circulation):</w:t>
      </w:r>
    </w:p>
    <w:p w:rsidR="00F644C8" w:rsidRPr="00A333EB" w:rsidRDefault="00F644C8" w:rsidP="00CD79C8">
      <w:pPr>
        <w:pStyle w:val="FigureNo"/>
        <w:rPr>
          <w:lang w:val="fr-CH"/>
        </w:rPr>
      </w:pPr>
      <w:r w:rsidRPr="00A333EB">
        <w:rPr>
          <w:lang w:val="fr-CH"/>
        </w:rPr>
        <w:t>Figure 1</w:t>
      </w:r>
    </w:p>
    <w:p w:rsidR="00F644C8" w:rsidRPr="00A333EB" w:rsidRDefault="00F644C8" w:rsidP="00CD79C8">
      <w:pPr>
        <w:pStyle w:val="Figuretitle"/>
        <w:keepLines/>
        <w:rPr>
          <w:lang w:val="fr-CH"/>
        </w:rPr>
      </w:pPr>
      <w:r w:rsidRPr="00A333EB">
        <w:rPr>
          <w:lang w:val="fr-CH"/>
        </w:rPr>
        <w:t>Caractéristiques du lecteur (dans le contrôleur de voie, donc un lecteur pour chaque voie de circulation)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793"/>
        <w:gridCol w:w="6846"/>
      </w:tblGrid>
      <w:tr w:rsidR="00F644C8" w:rsidRPr="00A333EB" w:rsidTr="00CD79C8">
        <w:trPr>
          <w:jc w:val="center"/>
        </w:trPr>
        <w:tc>
          <w:tcPr>
            <w:tcW w:w="2793" w:type="dxa"/>
            <w:shd w:val="clear" w:color="auto" w:fill="FFFFFF"/>
          </w:tcPr>
          <w:p w:rsidR="00F644C8" w:rsidRPr="00A333EB" w:rsidRDefault="00F644C8" w:rsidP="00CD79C8">
            <w:pPr>
              <w:pStyle w:val="Tabletext"/>
              <w:keepNext/>
              <w:keepLines/>
              <w:jc w:val="left"/>
              <w:rPr>
                <w:rFonts w:cstheme="majorBidi"/>
                <w:szCs w:val="24"/>
                <w:lang w:val="fr-CH"/>
              </w:rPr>
            </w:pPr>
            <w:r w:rsidRPr="00A333EB">
              <w:rPr>
                <w:rFonts w:cstheme="majorBidi"/>
                <w:sz w:val="18"/>
                <w:szCs w:val="24"/>
                <w:lang w:val="fr-CH"/>
              </w:rPr>
              <w:t>Fréquence de la liaison descendante</w:t>
            </w:r>
          </w:p>
        </w:tc>
        <w:tc>
          <w:tcPr>
            <w:tcW w:w="6846" w:type="dxa"/>
            <w:shd w:val="clear" w:color="auto" w:fill="FFFFFF"/>
          </w:tcPr>
          <w:p w:rsidR="00F644C8" w:rsidRPr="00A333EB" w:rsidRDefault="00F644C8" w:rsidP="00CD79C8">
            <w:pPr>
              <w:pStyle w:val="Tabletext"/>
              <w:keepNext/>
              <w:keepLines/>
              <w:jc w:val="left"/>
              <w:rPr>
                <w:rFonts w:cstheme="majorBidi"/>
                <w:szCs w:val="24"/>
                <w:lang w:val="fr-CH"/>
              </w:rPr>
            </w:pPr>
            <w:r w:rsidRPr="00A333EB">
              <w:rPr>
                <w:rFonts w:cstheme="majorBidi"/>
                <w:sz w:val="18"/>
                <w:szCs w:val="24"/>
                <w:lang w:val="fr-CH"/>
              </w:rPr>
              <w:t>911,75-919,75 MHz réglable par pas de 0,25 MHz</w:t>
            </w:r>
          </w:p>
        </w:tc>
      </w:tr>
      <w:tr w:rsidR="00F644C8" w:rsidRPr="00A333EB" w:rsidTr="00CD79C8">
        <w:trPr>
          <w:jc w:val="center"/>
        </w:trPr>
        <w:tc>
          <w:tcPr>
            <w:tcW w:w="2793" w:type="dxa"/>
            <w:shd w:val="clear" w:color="auto" w:fill="FFFFFF"/>
          </w:tcPr>
          <w:p w:rsidR="00F644C8" w:rsidRPr="00A333EB" w:rsidRDefault="00F644C8" w:rsidP="00CD79C8">
            <w:pPr>
              <w:pStyle w:val="Tabletext"/>
              <w:jc w:val="left"/>
              <w:rPr>
                <w:rFonts w:cstheme="majorBidi"/>
                <w:szCs w:val="24"/>
                <w:lang w:val="fr-CH"/>
              </w:rPr>
            </w:pPr>
            <w:r w:rsidRPr="00A333EB">
              <w:rPr>
                <w:rFonts w:cstheme="majorBidi"/>
                <w:sz w:val="18"/>
                <w:szCs w:val="24"/>
                <w:lang w:val="fr-CH"/>
              </w:rPr>
              <w:t>Fréquence de la liaison montante</w:t>
            </w:r>
          </w:p>
        </w:tc>
        <w:tc>
          <w:tcPr>
            <w:tcW w:w="6846" w:type="dxa"/>
            <w:shd w:val="clear" w:color="auto" w:fill="FFFFFF"/>
          </w:tcPr>
          <w:p w:rsidR="00F644C8" w:rsidRPr="00A333EB" w:rsidRDefault="00F644C8" w:rsidP="00CD79C8">
            <w:pPr>
              <w:pStyle w:val="Tabletext"/>
              <w:jc w:val="left"/>
              <w:rPr>
                <w:rFonts w:cstheme="majorBidi"/>
                <w:szCs w:val="24"/>
                <w:lang w:val="fr-CH"/>
              </w:rPr>
            </w:pPr>
            <w:r w:rsidRPr="00A333EB">
              <w:rPr>
                <w:rFonts w:cstheme="majorBidi"/>
                <w:sz w:val="18"/>
                <w:szCs w:val="24"/>
                <w:lang w:val="fr-CH"/>
              </w:rPr>
              <w:t>902,25-903,75 MHz et 910,0-921,50 MHz réglable par pas de 0,25 MHz</w:t>
            </w:r>
          </w:p>
        </w:tc>
      </w:tr>
      <w:tr w:rsidR="00F644C8" w:rsidRPr="00A333EB" w:rsidTr="00CD79C8">
        <w:trPr>
          <w:jc w:val="center"/>
        </w:trPr>
        <w:tc>
          <w:tcPr>
            <w:tcW w:w="2793" w:type="dxa"/>
            <w:shd w:val="clear" w:color="auto" w:fill="FFFFFF"/>
          </w:tcPr>
          <w:p w:rsidR="00F644C8" w:rsidRPr="00A333EB" w:rsidRDefault="00F644C8" w:rsidP="00CD79C8">
            <w:pPr>
              <w:pStyle w:val="Tabletext"/>
              <w:jc w:val="left"/>
              <w:rPr>
                <w:rFonts w:cstheme="majorBidi"/>
                <w:szCs w:val="24"/>
                <w:lang w:val="fr-CH"/>
              </w:rPr>
            </w:pPr>
            <w:r w:rsidRPr="00A333EB">
              <w:rPr>
                <w:rFonts w:cstheme="majorBidi"/>
                <w:sz w:val="18"/>
                <w:szCs w:val="24"/>
                <w:lang w:val="fr-CH"/>
              </w:rPr>
              <w:t>Puissance vers l'antenne</w:t>
            </w:r>
          </w:p>
        </w:tc>
        <w:tc>
          <w:tcPr>
            <w:tcW w:w="6846" w:type="dxa"/>
            <w:shd w:val="clear" w:color="auto" w:fill="FFFFFF"/>
          </w:tcPr>
          <w:p w:rsidR="00F644C8" w:rsidRPr="00A333EB" w:rsidRDefault="00F644C8" w:rsidP="00CD79C8">
            <w:pPr>
              <w:pStyle w:val="Tabletext"/>
              <w:jc w:val="left"/>
              <w:rPr>
                <w:rFonts w:cstheme="majorBidi"/>
                <w:szCs w:val="24"/>
                <w:lang w:val="fr-CH"/>
              </w:rPr>
            </w:pPr>
            <w:r w:rsidRPr="00A333EB">
              <w:rPr>
                <w:rFonts w:cstheme="majorBidi"/>
                <w:sz w:val="18"/>
                <w:szCs w:val="24"/>
                <w:lang w:val="fr-CH"/>
              </w:rPr>
              <w:t>1 W, émission et réception avec une seule antenne</w:t>
            </w:r>
          </w:p>
        </w:tc>
      </w:tr>
      <w:tr w:rsidR="00F644C8" w:rsidRPr="00A333EB" w:rsidTr="00CD79C8">
        <w:trPr>
          <w:jc w:val="center"/>
        </w:trPr>
        <w:tc>
          <w:tcPr>
            <w:tcW w:w="2793" w:type="dxa"/>
            <w:shd w:val="clear" w:color="auto" w:fill="FFFFFF"/>
          </w:tcPr>
          <w:p w:rsidR="00F644C8" w:rsidRPr="00A333EB" w:rsidRDefault="00F644C8" w:rsidP="00CD79C8">
            <w:pPr>
              <w:pStyle w:val="Tabletext"/>
              <w:jc w:val="left"/>
              <w:rPr>
                <w:rFonts w:cstheme="majorBidi"/>
                <w:szCs w:val="24"/>
                <w:lang w:val="fr-CH"/>
              </w:rPr>
            </w:pPr>
            <w:r w:rsidRPr="00A333EB">
              <w:rPr>
                <w:rFonts w:cstheme="majorBidi"/>
                <w:sz w:val="18"/>
                <w:szCs w:val="24"/>
                <w:lang w:val="fr-CH"/>
              </w:rPr>
              <w:t>Distance maximale par rapport à l'antenne</w:t>
            </w:r>
          </w:p>
        </w:tc>
        <w:tc>
          <w:tcPr>
            <w:tcW w:w="6846" w:type="dxa"/>
            <w:shd w:val="clear" w:color="auto" w:fill="FFFFFF"/>
          </w:tcPr>
          <w:p w:rsidR="00F644C8" w:rsidRPr="00A333EB" w:rsidRDefault="00F644C8" w:rsidP="00CD79C8">
            <w:pPr>
              <w:pStyle w:val="Tabletext"/>
              <w:jc w:val="left"/>
              <w:rPr>
                <w:rFonts w:cstheme="majorBidi"/>
                <w:szCs w:val="24"/>
                <w:lang w:val="fr-CH"/>
              </w:rPr>
            </w:pPr>
            <w:r w:rsidRPr="00A333EB">
              <w:rPr>
                <w:rFonts w:cstheme="majorBidi"/>
                <w:sz w:val="18"/>
                <w:szCs w:val="24"/>
                <w:lang w:val="fr-CH"/>
              </w:rPr>
              <w:t>Jusqu'à 26 m maximum</w:t>
            </w:r>
          </w:p>
        </w:tc>
      </w:tr>
    </w:tbl>
    <w:p w:rsidR="00F644C8" w:rsidRPr="00A333EB" w:rsidRDefault="00F644C8" w:rsidP="00F644C8">
      <w:pPr>
        <w:pStyle w:val="Tablefin"/>
        <w:rPr>
          <w:lang w:val="fr-CH"/>
        </w:rPr>
      </w:pPr>
    </w:p>
    <w:p w:rsidR="00F644C8" w:rsidRPr="00A333EB" w:rsidRDefault="00F644C8" w:rsidP="00F644C8">
      <w:pPr>
        <w:pStyle w:val="Figuretitle"/>
        <w:rPr>
          <w:rFonts w:cstheme="majorBidi"/>
          <w:szCs w:val="24"/>
          <w:lang w:val="fr-CH"/>
        </w:rPr>
      </w:pPr>
      <w:r w:rsidRPr="00A333EB">
        <w:rPr>
          <w:rFonts w:cstheme="majorBidi"/>
          <w:szCs w:val="24"/>
          <w:lang w:val="fr-CH"/>
        </w:rPr>
        <w:t>Caractéristiques de l'antenne du lecteur</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793"/>
        <w:gridCol w:w="6846"/>
      </w:tblGrid>
      <w:tr w:rsidR="00F644C8" w:rsidRPr="00A333EB" w:rsidTr="00CD79C8">
        <w:trPr>
          <w:jc w:val="center"/>
        </w:trPr>
        <w:tc>
          <w:tcPr>
            <w:tcW w:w="2793" w:type="dxa"/>
            <w:vAlign w:val="center"/>
          </w:tcPr>
          <w:p w:rsidR="00F644C8" w:rsidRPr="00A333EB" w:rsidRDefault="00F644C8" w:rsidP="00CD79C8">
            <w:pPr>
              <w:pStyle w:val="Tabletext"/>
              <w:jc w:val="left"/>
              <w:rPr>
                <w:rFonts w:cstheme="majorBidi"/>
                <w:szCs w:val="24"/>
                <w:lang w:val="fr-CH"/>
              </w:rPr>
            </w:pPr>
            <w:r w:rsidRPr="00A333EB">
              <w:rPr>
                <w:rFonts w:cstheme="majorBidi"/>
                <w:sz w:val="18"/>
                <w:szCs w:val="24"/>
                <w:lang w:val="fr-CH"/>
              </w:rPr>
              <w:t>Gamme de fréquences</w:t>
            </w:r>
          </w:p>
        </w:tc>
        <w:tc>
          <w:tcPr>
            <w:tcW w:w="6846" w:type="dxa"/>
            <w:vAlign w:val="center"/>
          </w:tcPr>
          <w:p w:rsidR="00F644C8" w:rsidRPr="00A333EB" w:rsidRDefault="00F644C8" w:rsidP="00CD79C8">
            <w:pPr>
              <w:pStyle w:val="Tabletext"/>
              <w:jc w:val="left"/>
              <w:rPr>
                <w:rFonts w:cstheme="majorBidi"/>
                <w:szCs w:val="24"/>
                <w:lang w:val="fr-CH"/>
              </w:rPr>
            </w:pPr>
            <w:r w:rsidRPr="00A333EB">
              <w:rPr>
                <w:rFonts w:cstheme="majorBidi"/>
                <w:sz w:val="18"/>
                <w:szCs w:val="24"/>
                <w:lang w:val="fr-CH"/>
              </w:rPr>
              <w:t>902-928 MHz</w:t>
            </w:r>
          </w:p>
        </w:tc>
      </w:tr>
      <w:tr w:rsidR="00F644C8" w:rsidRPr="00A333EB" w:rsidTr="00CD79C8">
        <w:trPr>
          <w:jc w:val="center"/>
        </w:trPr>
        <w:tc>
          <w:tcPr>
            <w:tcW w:w="2793" w:type="dxa"/>
            <w:vAlign w:val="center"/>
          </w:tcPr>
          <w:p w:rsidR="00F644C8" w:rsidRPr="00A333EB" w:rsidRDefault="00F644C8" w:rsidP="00CD79C8">
            <w:pPr>
              <w:pStyle w:val="Tabletext"/>
              <w:jc w:val="left"/>
              <w:rPr>
                <w:rFonts w:cstheme="majorBidi"/>
                <w:szCs w:val="24"/>
                <w:lang w:val="fr-CH"/>
              </w:rPr>
            </w:pPr>
            <w:r w:rsidRPr="00A333EB">
              <w:rPr>
                <w:rFonts w:cstheme="majorBidi"/>
                <w:sz w:val="18"/>
                <w:szCs w:val="24"/>
                <w:lang w:val="fr-CH"/>
              </w:rPr>
              <w:t>Gain de l'antenne</w:t>
            </w:r>
          </w:p>
        </w:tc>
        <w:tc>
          <w:tcPr>
            <w:tcW w:w="6846" w:type="dxa"/>
            <w:vAlign w:val="center"/>
          </w:tcPr>
          <w:p w:rsidR="00F644C8" w:rsidRPr="00A333EB" w:rsidRDefault="00F644C8" w:rsidP="00CD79C8">
            <w:pPr>
              <w:pStyle w:val="Tabletext"/>
              <w:jc w:val="left"/>
              <w:rPr>
                <w:rFonts w:cstheme="majorBidi"/>
                <w:sz w:val="18"/>
                <w:szCs w:val="24"/>
                <w:lang w:val="fr-CH"/>
              </w:rPr>
            </w:pPr>
            <w:r w:rsidRPr="00A333EB">
              <w:rPr>
                <w:rFonts w:cstheme="majorBidi"/>
                <w:noProof/>
                <w:sz w:val="18"/>
                <w:szCs w:val="24"/>
                <w:lang w:val="fr-CH"/>
              </w:rPr>
              <w:t>13 dBi</w:t>
            </w:r>
          </w:p>
        </w:tc>
      </w:tr>
      <w:tr w:rsidR="00F644C8" w:rsidRPr="00A333EB" w:rsidTr="00CD79C8">
        <w:trPr>
          <w:jc w:val="center"/>
        </w:trPr>
        <w:tc>
          <w:tcPr>
            <w:tcW w:w="2793" w:type="dxa"/>
            <w:vAlign w:val="center"/>
          </w:tcPr>
          <w:p w:rsidR="00F644C8" w:rsidRPr="00A333EB" w:rsidRDefault="00F644C8" w:rsidP="00CD79C8">
            <w:pPr>
              <w:pStyle w:val="Tabletext"/>
              <w:jc w:val="left"/>
              <w:rPr>
                <w:rFonts w:cstheme="majorBidi"/>
                <w:szCs w:val="24"/>
                <w:lang w:val="fr-CH"/>
              </w:rPr>
            </w:pPr>
            <w:r w:rsidRPr="00A333EB">
              <w:rPr>
                <w:rFonts w:cstheme="majorBidi"/>
                <w:sz w:val="18"/>
                <w:szCs w:val="24"/>
                <w:lang w:val="fr-CH"/>
              </w:rPr>
              <w:t>Polarisation</w:t>
            </w:r>
          </w:p>
        </w:tc>
        <w:tc>
          <w:tcPr>
            <w:tcW w:w="6846" w:type="dxa"/>
            <w:vAlign w:val="center"/>
          </w:tcPr>
          <w:p w:rsidR="00F644C8" w:rsidRPr="00A333EB" w:rsidRDefault="00F644C8" w:rsidP="00CD79C8">
            <w:pPr>
              <w:pStyle w:val="Tabletext"/>
              <w:jc w:val="left"/>
              <w:rPr>
                <w:rFonts w:cstheme="majorBidi"/>
                <w:szCs w:val="24"/>
                <w:lang w:val="fr-CH"/>
              </w:rPr>
            </w:pPr>
            <w:r w:rsidRPr="00A333EB">
              <w:rPr>
                <w:rFonts w:cstheme="majorBidi"/>
                <w:sz w:val="18"/>
                <w:szCs w:val="24"/>
                <w:lang w:val="fr-CH"/>
              </w:rPr>
              <w:t>Rectiligne, horizontale</w:t>
            </w:r>
          </w:p>
        </w:tc>
      </w:tr>
      <w:tr w:rsidR="00F644C8" w:rsidRPr="00A333EB" w:rsidTr="00CD79C8">
        <w:trPr>
          <w:jc w:val="center"/>
        </w:trPr>
        <w:tc>
          <w:tcPr>
            <w:tcW w:w="2793" w:type="dxa"/>
            <w:vAlign w:val="center"/>
          </w:tcPr>
          <w:p w:rsidR="00F644C8" w:rsidRPr="00A333EB" w:rsidRDefault="00F644C8" w:rsidP="00CD79C8">
            <w:pPr>
              <w:pStyle w:val="Tabletext"/>
              <w:jc w:val="left"/>
              <w:rPr>
                <w:rFonts w:cstheme="majorBidi"/>
                <w:szCs w:val="24"/>
                <w:lang w:val="fr-CH"/>
              </w:rPr>
            </w:pPr>
            <w:r w:rsidRPr="00A333EB">
              <w:rPr>
                <w:rFonts w:cstheme="majorBidi"/>
                <w:sz w:val="18"/>
                <w:szCs w:val="24"/>
                <w:lang w:val="fr-CH"/>
              </w:rPr>
              <w:t>Transpolarisation</w:t>
            </w:r>
          </w:p>
        </w:tc>
        <w:tc>
          <w:tcPr>
            <w:tcW w:w="6846" w:type="dxa"/>
            <w:vAlign w:val="center"/>
          </w:tcPr>
          <w:p w:rsidR="00F644C8" w:rsidRPr="00A333EB" w:rsidRDefault="00F644C8" w:rsidP="00CD79C8">
            <w:pPr>
              <w:pStyle w:val="Tabletext"/>
              <w:jc w:val="left"/>
              <w:rPr>
                <w:rFonts w:cstheme="majorBidi"/>
                <w:szCs w:val="24"/>
                <w:lang w:val="fr-CH"/>
              </w:rPr>
            </w:pPr>
            <w:r w:rsidRPr="00A333EB">
              <w:rPr>
                <w:rFonts w:cstheme="majorBidi"/>
                <w:sz w:val="18"/>
                <w:szCs w:val="24"/>
                <w:lang w:val="fr-CH"/>
              </w:rPr>
              <w:t>–20 dB (par rapport au faisceau principal)</w:t>
            </w:r>
          </w:p>
        </w:tc>
      </w:tr>
      <w:tr w:rsidR="00F644C8" w:rsidRPr="00A333EB" w:rsidTr="00CD79C8">
        <w:trPr>
          <w:jc w:val="center"/>
        </w:trPr>
        <w:tc>
          <w:tcPr>
            <w:tcW w:w="2793" w:type="dxa"/>
            <w:vAlign w:val="center"/>
          </w:tcPr>
          <w:p w:rsidR="00F644C8" w:rsidRPr="00A333EB" w:rsidRDefault="00F644C8" w:rsidP="00CD79C8">
            <w:pPr>
              <w:pStyle w:val="Tabletext"/>
              <w:jc w:val="left"/>
              <w:rPr>
                <w:rFonts w:cstheme="majorBidi"/>
                <w:szCs w:val="24"/>
                <w:lang w:val="fr-CH"/>
              </w:rPr>
            </w:pPr>
            <w:r w:rsidRPr="00A333EB">
              <w:rPr>
                <w:rFonts w:cstheme="majorBidi"/>
                <w:sz w:val="18"/>
                <w:szCs w:val="24"/>
                <w:lang w:val="fr-CH"/>
              </w:rPr>
              <w:t>Largeur du faisceau à mi-puissance</w:t>
            </w:r>
          </w:p>
        </w:tc>
        <w:tc>
          <w:tcPr>
            <w:tcW w:w="6846" w:type="dxa"/>
            <w:vAlign w:val="center"/>
          </w:tcPr>
          <w:p w:rsidR="00F644C8" w:rsidRPr="00A333EB" w:rsidRDefault="00F644C8" w:rsidP="00CD79C8">
            <w:pPr>
              <w:pStyle w:val="Tabletext"/>
              <w:jc w:val="left"/>
              <w:rPr>
                <w:rFonts w:cstheme="majorBidi"/>
                <w:szCs w:val="24"/>
                <w:lang w:val="fr-CH"/>
              </w:rPr>
            </w:pPr>
            <w:r w:rsidRPr="00A333EB">
              <w:rPr>
                <w:rFonts w:cstheme="majorBidi"/>
                <w:sz w:val="18"/>
                <w:szCs w:val="24"/>
                <w:lang w:val="fr-CH"/>
              </w:rPr>
              <w:t>32</w:t>
            </w:r>
            <w:r w:rsidRPr="00A333EB">
              <w:rPr>
                <w:rFonts w:cstheme="majorBidi"/>
                <w:sz w:val="18"/>
                <w:szCs w:val="24"/>
                <w:vertAlign w:val="superscript"/>
                <w:lang w:val="fr-CH"/>
              </w:rPr>
              <w:t>o</w:t>
            </w:r>
            <w:r w:rsidRPr="00A333EB">
              <w:rPr>
                <w:rFonts w:cstheme="majorBidi"/>
                <w:sz w:val="18"/>
                <w:szCs w:val="24"/>
                <w:lang w:val="fr-CH"/>
              </w:rPr>
              <w:t xml:space="preserve"> dans le plan E et 35</w:t>
            </w:r>
            <w:r w:rsidRPr="00A333EB">
              <w:rPr>
                <w:rFonts w:cstheme="majorBidi"/>
                <w:sz w:val="18"/>
                <w:szCs w:val="24"/>
                <w:vertAlign w:val="superscript"/>
                <w:lang w:val="fr-CH"/>
              </w:rPr>
              <w:t>o</w:t>
            </w:r>
            <w:r w:rsidRPr="00A333EB">
              <w:rPr>
                <w:rFonts w:cstheme="majorBidi"/>
                <w:sz w:val="18"/>
                <w:szCs w:val="24"/>
                <w:lang w:val="fr-CH"/>
              </w:rPr>
              <w:t xml:space="preserve"> dans le plan H</w:t>
            </w:r>
          </w:p>
        </w:tc>
      </w:tr>
      <w:tr w:rsidR="00F644C8" w:rsidRPr="00A333EB" w:rsidTr="00CD79C8">
        <w:trPr>
          <w:jc w:val="center"/>
        </w:trPr>
        <w:tc>
          <w:tcPr>
            <w:tcW w:w="2793" w:type="dxa"/>
            <w:vAlign w:val="center"/>
          </w:tcPr>
          <w:p w:rsidR="00F644C8" w:rsidRPr="00A333EB" w:rsidRDefault="00F644C8" w:rsidP="00CD79C8">
            <w:pPr>
              <w:pStyle w:val="Tabletext"/>
              <w:jc w:val="left"/>
              <w:rPr>
                <w:rFonts w:cstheme="majorBidi"/>
                <w:szCs w:val="24"/>
                <w:lang w:val="fr-CH"/>
              </w:rPr>
            </w:pPr>
            <w:r w:rsidRPr="00A333EB">
              <w:rPr>
                <w:rFonts w:cstheme="majorBidi"/>
                <w:sz w:val="18"/>
                <w:szCs w:val="24"/>
                <w:lang w:val="fr-CH"/>
              </w:rPr>
              <w:t>Lobes latéraux</w:t>
            </w:r>
          </w:p>
        </w:tc>
        <w:tc>
          <w:tcPr>
            <w:tcW w:w="6846" w:type="dxa"/>
            <w:vAlign w:val="center"/>
          </w:tcPr>
          <w:p w:rsidR="00F644C8" w:rsidRPr="00A333EB" w:rsidRDefault="00F644C8" w:rsidP="00CD79C8">
            <w:pPr>
              <w:pStyle w:val="Tabletext"/>
              <w:jc w:val="left"/>
              <w:rPr>
                <w:rFonts w:cstheme="majorBidi"/>
                <w:sz w:val="18"/>
                <w:szCs w:val="24"/>
                <w:lang w:val="fr-CH"/>
              </w:rPr>
            </w:pPr>
            <w:r w:rsidRPr="00A333EB">
              <w:rPr>
                <w:rFonts w:cstheme="majorBidi"/>
                <w:noProof/>
                <w:sz w:val="18"/>
                <w:szCs w:val="24"/>
                <w:u w:val="single"/>
                <w:lang w:val="fr-CH"/>
              </w:rPr>
              <w:t>&lt;</w:t>
            </w:r>
            <w:r w:rsidRPr="00A333EB">
              <w:rPr>
                <w:rFonts w:cstheme="majorBidi"/>
                <w:noProof/>
                <w:sz w:val="18"/>
                <w:szCs w:val="24"/>
                <w:lang w:val="fr-CH"/>
              </w:rPr>
              <w:t xml:space="preserve"> –15 dB</w:t>
            </w:r>
          </w:p>
        </w:tc>
      </w:tr>
      <w:tr w:rsidR="00F644C8" w:rsidRPr="00A333EB" w:rsidTr="00CD79C8">
        <w:trPr>
          <w:jc w:val="center"/>
        </w:trPr>
        <w:tc>
          <w:tcPr>
            <w:tcW w:w="2793" w:type="dxa"/>
            <w:vAlign w:val="center"/>
          </w:tcPr>
          <w:p w:rsidR="00F644C8" w:rsidRPr="00A333EB" w:rsidRDefault="00F644C8" w:rsidP="00CD79C8">
            <w:pPr>
              <w:pStyle w:val="Tabletext"/>
              <w:jc w:val="left"/>
              <w:rPr>
                <w:rFonts w:cstheme="majorBidi"/>
                <w:szCs w:val="24"/>
                <w:lang w:val="fr-CH"/>
              </w:rPr>
            </w:pPr>
            <w:r w:rsidRPr="00A333EB">
              <w:rPr>
                <w:rFonts w:cstheme="majorBidi"/>
                <w:sz w:val="18"/>
                <w:szCs w:val="24"/>
                <w:lang w:val="fr-CH"/>
              </w:rPr>
              <w:t>TOS</w:t>
            </w:r>
          </w:p>
        </w:tc>
        <w:tc>
          <w:tcPr>
            <w:tcW w:w="6846" w:type="dxa"/>
            <w:vAlign w:val="center"/>
          </w:tcPr>
          <w:p w:rsidR="00F644C8" w:rsidRPr="00A333EB" w:rsidRDefault="00F644C8" w:rsidP="00CD79C8">
            <w:pPr>
              <w:pStyle w:val="Tabletext"/>
              <w:jc w:val="left"/>
              <w:rPr>
                <w:rFonts w:cstheme="majorBidi"/>
                <w:sz w:val="18"/>
                <w:szCs w:val="24"/>
                <w:lang w:val="fr-CH"/>
              </w:rPr>
            </w:pPr>
            <w:r w:rsidRPr="00A333EB">
              <w:rPr>
                <w:rFonts w:cstheme="majorBidi"/>
                <w:sz w:val="18"/>
                <w:szCs w:val="24"/>
                <w:lang w:val="fr-CH"/>
              </w:rPr>
              <w:t>1.9:1</w:t>
            </w:r>
          </w:p>
        </w:tc>
      </w:tr>
      <w:tr w:rsidR="00F644C8" w:rsidRPr="00A333EB" w:rsidTr="00CD79C8">
        <w:trPr>
          <w:jc w:val="center"/>
        </w:trPr>
        <w:tc>
          <w:tcPr>
            <w:tcW w:w="2793" w:type="dxa"/>
            <w:vAlign w:val="center"/>
          </w:tcPr>
          <w:p w:rsidR="00F644C8" w:rsidRPr="00A333EB" w:rsidRDefault="00F644C8" w:rsidP="00CD79C8">
            <w:pPr>
              <w:pStyle w:val="Tabletext"/>
              <w:jc w:val="left"/>
              <w:rPr>
                <w:rFonts w:cstheme="majorBidi"/>
                <w:szCs w:val="24"/>
                <w:lang w:val="fr-CH"/>
              </w:rPr>
            </w:pPr>
            <w:r w:rsidRPr="00A333EB">
              <w:rPr>
                <w:rFonts w:cstheme="majorBidi"/>
                <w:sz w:val="18"/>
                <w:szCs w:val="24"/>
                <w:lang w:val="fr-CH"/>
              </w:rPr>
              <w:t>Type</w:t>
            </w:r>
          </w:p>
        </w:tc>
        <w:tc>
          <w:tcPr>
            <w:tcW w:w="6846" w:type="dxa"/>
            <w:vAlign w:val="center"/>
          </w:tcPr>
          <w:p w:rsidR="00F644C8" w:rsidRPr="00A333EB" w:rsidRDefault="00F644C8" w:rsidP="00CD79C8">
            <w:pPr>
              <w:pStyle w:val="Tabletext"/>
              <w:jc w:val="left"/>
              <w:rPr>
                <w:rFonts w:cstheme="majorBidi"/>
                <w:szCs w:val="24"/>
                <w:lang w:val="fr-CH"/>
              </w:rPr>
            </w:pPr>
            <w:r w:rsidRPr="00A333EB">
              <w:rPr>
                <w:rFonts w:cstheme="majorBidi"/>
                <w:sz w:val="18"/>
                <w:szCs w:val="24"/>
                <w:lang w:val="fr-CH"/>
              </w:rPr>
              <w:t>Antenne de péage universelle installée dans un radôme imperméable</w:t>
            </w:r>
          </w:p>
        </w:tc>
      </w:tr>
      <w:tr w:rsidR="00F644C8" w:rsidRPr="00A333EB" w:rsidTr="00CD79C8">
        <w:trPr>
          <w:jc w:val="center"/>
        </w:trPr>
        <w:tc>
          <w:tcPr>
            <w:tcW w:w="2793" w:type="dxa"/>
            <w:vAlign w:val="center"/>
          </w:tcPr>
          <w:p w:rsidR="00F644C8" w:rsidRPr="00A333EB" w:rsidRDefault="00F644C8" w:rsidP="00CD79C8">
            <w:pPr>
              <w:pStyle w:val="Tabletext"/>
              <w:jc w:val="left"/>
              <w:rPr>
                <w:rFonts w:cstheme="majorBidi"/>
                <w:szCs w:val="24"/>
                <w:lang w:val="fr-CH"/>
              </w:rPr>
            </w:pPr>
            <w:r w:rsidRPr="00A333EB">
              <w:rPr>
                <w:rFonts w:cstheme="majorBidi"/>
                <w:sz w:val="18"/>
                <w:szCs w:val="24"/>
                <w:lang w:val="fr-CH"/>
              </w:rPr>
              <w:t>Dimensions</w:t>
            </w:r>
          </w:p>
        </w:tc>
        <w:tc>
          <w:tcPr>
            <w:tcW w:w="6846" w:type="dxa"/>
            <w:vAlign w:val="center"/>
          </w:tcPr>
          <w:p w:rsidR="00F644C8" w:rsidRPr="00A333EB" w:rsidRDefault="00F644C8" w:rsidP="00CD79C8">
            <w:pPr>
              <w:pStyle w:val="Tabletext"/>
              <w:jc w:val="left"/>
              <w:rPr>
                <w:rFonts w:cstheme="majorBidi"/>
                <w:szCs w:val="24"/>
                <w:lang w:val="fr-CH"/>
              </w:rPr>
            </w:pPr>
            <w:r w:rsidRPr="00A333EB">
              <w:rPr>
                <w:rFonts w:cstheme="majorBidi"/>
                <w:sz w:val="18"/>
                <w:szCs w:val="24"/>
                <w:lang w:val="fr-CH"/>
              </w:rPr>
              <w:t xml:space="preserve">80 </w:t>
            </w:r>
            <w:r w:rsidRPr="00A333EB">
              <w:rPr>
                <w:rFonts w:cstheme="majorBidi"/>
                <w:sz w:val="18"/>
                <w:szCs w:val="18"/>
                <w:lang w:val="fr-CH"/>
              </w:rPr>
              <w:sym w:font="Symbol" w:char="F0B4"/>
            </w:r>
            <w:r w:rsidRPr="00A333EB">
              <w:rPr>
                <w:rFonts w:cstheme="majorBidi"/>
                <w:sz w:val="18"/>
                <w:szCs w:val="24"/>
                <w:lang w:val="fr-CH"/>
              </w:rPr>
              <w:t xml:space="preserve"> 5,7 </w:t>
            </w:r>
            <w:r w:rsidRPr="00A333EB">
              <w:rPr>
                <w:rFonts w:cstheme="majorBidi"/>
                <w:sz w:val="18"/>
                <w:szCs w:val="18"/>
                <w:lang w:val="fr-CH"/>
              </w:rPr>
              <w:sym w:font="Symbol" w:char="F0B4"/>
            </w:r>
            <w:r w:rsidRPr="00A333EB">
              <w:rPr>
                <w:rFonts w:cstheme="majorBidi"/>
                <w:sz w:val="18"/>
                <w:szCs w:val="24"/>
                <w:lang w:val="fr-CH"/>
              </w:rPr>
              <w:t xml:space="preserve"> </w:t>
            </w:r>
            <w:r w:rsidRPr="00A333EB">
              <w:rPr>
                <w:rFonts w:cstheme="majorBidi"/>
                <w:noProof/>
                <w:sz w:val="18"/>
                <w:szCs w:val="24"/>
                <w:lang w:val="fr-CH"/>
              </w:rPr>
              <w:t>50,8 cm</w:t>
            </w:r>
          </w:p>
        </w:tc>
      </w:tr>
    </w:tbl>
    <w:p w:rsidR="00F644C8" w:rsidRPr="00A333EB" w:rsidRDefault="00F644C8" w:rsidP="00F644C8">
      <w:pPr>
        <w:pStyle w:val="Tablefin"/>
        <w:rPr>
          <w:rFonts w:cstheme="majorBidi"/>
          <w:sz w:val="2"/>
          <w:szCs w:val="24"/>
          <w:lang w:val="fr-CH"/>
        </w:rPr>
      </w:pPr>
    </w:p>
    <w:p w:rsidR="00CD79C8" w:rsidRPr="00A333EB" w:rsidRDefault="00CD79C8" w:rsidP="00CD79C8">
      <w:pPr>
        <w:pStyle w:val="Tablefin"/>
        <w:rPr>
          <w:lang w:val="fr-CH"/>
        </w:rPr>
      </w:pPr>
    </w:p>
    <w:p w:rsidR="00F644C8" w:rsidRPr="00A333EB" w:rsidRDefault="00F644C8" w:rsidP="00F644C8">
      <w:pPr>
        <w:pStyle w:val="Figuretitle"/>
        <w:rPr>
          <w:rFonts w:cstheme="majorBidi"/>
          <w:szCs w:val="24"/>
          <w:lang w:val="fr-CH"/>
        </w:rPr>
      </w:pPr>
      <w:r w:rsidRPr="00A333EB">
        <w:rPr>
          <w:rFonts w:cstheme="majorBidi"/>
          <w:szCs w:val="24"/>
          <w:lang w:val="fr-CH"/>
        </w:rPr>
        <w:t>Caractéristiques du badge RFID</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793"/>
        <w:gridCol w:w="6846"/>
      </w:tblGrid>
      <w:tr w:rsidR="00F644C8" w:rsidRPr="00A333EB" w:rsidTr="00CD79C8">
        <w:trPr>
          <w:jc w:val="center"/>
        </w:trPr>
        <w:tc>
          <w:tcPr>
            <w:tcW w:w="2793" w:type="dxa"/>
            <w:vAlign w:val="center"/>
          </w:tcPr>
          <w:p w:rsidR="00F644C8" w:rsidRPr="00A333EB" w:rsidRDefault="00F644C8" w:rsidP="00CD79C8">
            <w:pPr>
              <w:pStyle w:val="Tabletext"/>
              <w:jc w:val="left"/>
              <w:rPr>
                <w:rFonts w:cstheme="majorBidi"/>
                <w:szCs w:val="24"/>
                <w:lang w:val="fr-CH"/>
              </w:rPr>
            </w:pPr>
            <w:r w:rsidRPr="00A333EB">
              <w:rPr>
                <w:rFonts w:cstheme="majorBidi"/>
                <w:sz w:val="18"/>
                <w:szCs w:val="24"/>
                <w:lang w:val="fr-CH"/>
              </w:rPr>
              <w:t>Type</w:t>
            </w:r>
          </w:p>
        </w:tc>
        <w:tc>
          <w:tcPr>
            <w:tcW w:w="6846" w:type="dxa"/>
            <w:vAlign w:val="center"/>
          </w:tcPr>
          <w:p w:rsidR="00F644C8" w:rsidRPr="00A333EB" w:rsidRDefault="00F644C8" w:rsidP="00CD79C8">
            <w:pPr>
              <w:pStyle w:val="Tabletext"/>
              <w:jc w:val="left"/>
              <w:rPr>
                <w:rFonts w:cstheme="majorBidi"/>
                <w:szCs w:val="24"/>
                <w:lang w:val="fr-CH"/>
              </w:rPr>
            </w:pPr>
            <w:r w:rsidRPr="00A333EB">
              <w:rPr>
                <w:rFonts w:cstheme="majorBidi"/>
                <w:sz w:val="18"/>
                <w:szCs w:val="24"/>
                <w:lang w:val="fr-CH"/>
              </w:rPr>
              <w:t>Passif (badge autocollant)</w:t>
            </w:r>
          </w:p>
        </w:tc>
      </w:tr>
      <w:tr w:rsidR="00F644C8" w:rsidRPr="00A333EB" w:rsidTr="00CD79C8">
        <w:trPr>
          <w:jc w:val="center"/>
        </w:trPr>
        <w:tc>
          <w:tcPr>
            <w:tcW w:w="2793" w:type="dxa"/>
            <w:vAlign w:val="center"/>
          </w:tcPr>
          <w:p w:rsidR="00F644C8" w:rsidRPr="00A333EB" w:rsidRDefault="00F644C8" w:rsidP="00CD79C8">
            <w:pPr>
              <w:pStyle w:val="Tabletext"/>
              <w:jc w:val="left"/>
              <w:rPr>
                <w:rFonts w:cstheme="majorBidi"/>
                <w:szCs w:val="24"/>
                <w:lang w:val="fr-CH"/>
              </w:rPr>
            </w:pPr>
            <w:r w:rsidRPr="00A333EB">
              <w:rPr>
                <w:rFonts w:cstheme="majorBidi"/>
                <w:sz w:val="18"/>
                <w:szCs w:val="24"/>
                <w:lang w:val="fr-CH"/>
              </w:rPr>
              <w:t>Gamme de fréquences</w:t>
            </w:r>
          </w:p>
        </w:tc>
        <w:tc>
          <w:tcPr>
            <w:tcW w:w="6846" w:type="dxa"/>
            <w:vAlign w:val="center"/>
          </w:tcPr>
          <w:p w:rsidR="00F644C8" w:rsidRPr="00A333EB" w:rsidRDefault="00F644C8" w:rsidP="00CD79C8">
            <w:pPr>
              <w:pStyle w:val="Tabletext"/>
              <w:jc w:val="left"/>
              <w:rPr>
                <w:rFonts w:cstheme="majorBidi"/>
                <w:szCs w:val="24"/>
                <w:lang w:val="fr-CH"/>
              </w:rPr>
            </w:pPr>
            <w:r w:rsidRPr="00A333EB">
              <w:rPr>
                <w:rFonts w:cstheme="majorBidi"/>
                <w:sz w:val="18"/>
                <w:szCs w:val="24"/>
                <w:lang w:val="fr-CH"/>
              </w:rPr>
              <w:t>902-928 MHz</w:t>
            </w:r>
          </w:p>
        </w:tc>
      </w:tr>
      <w:tr w:rsidR="00F644C8" w:rsidRPr="00A333EB" w:rsidTr="00CD79C8">
        <w:trPr>
          <w:jc w:val="center"/>
        </w:trPr>
        <w:tc>
          <w:tcPr>
            <w:tcW w:w="2793" w:type="dxa"/>
            <w:vAlign w:val="center"/>
          </w:tcPr>
          <w:p w:rsidR="00F644C8" w:rsidRPr="00A333EB" w:rsidRDefault="00F644C8" w:rsidP="00CD79C8">
            <w:pPr>
              <w:pStyle w:val="Tabletext"/>
              <w:jc w:val="left"/>
              <w:rPr>
                <w:rFonts w:cstheme="majorBidi"/>
                <w:szCs w:val="24"/>
                <w:lang w:val="fr-CH"/>
              </w:rPr>
            </w:pPr>
            <w:r w:rsidRPr="00A333EB">
              <w:rPr>
                <w:rFonts w:cstheme="majorBidi"/>
                <w:sz w:val="18"/>
                <w:szCs w:val="24"/>
                <w:lang w:val="fr-CH"/>
              </w:rPr>
              <w:t>Polarisation</w:t>
            </w:r>
          </w:p>
        </w:tc>
        <w:tc>
          <w:tcPr>
            <w:tcW w:w="6846" w:type="dxa"/>
            <w:vAlign w:val="center"/>
          </w:tcPr>
          <w:p w:rsidR="00F644C8" w:rsidRPr="00A333EB" w:rsidRDefault="00F644C8" w:rsidP="00CD79C8">
            <w:pPr>
              <w:pStyle w:val="Tabletext"/>
              <w:jc w:val="left"/>
              <w:rPr>
                <w:rFonts w:cstheme="majorBidi"/>
                <w:szCs w:val="24"/>
                <w:lang w:val="fr-CH"/>
              </w:rPr>
            </w:pPr>
            <w:r w:rsidRPr="00A333EB">
              <w:rPr>
                <w:rFonts w:cstheme="majorBidi"/>
                <w:sz w:val="18"/>
                <w:szCs w:val="24"/>
                <w:lang w:val="fr-CH"/>
              </w:rPr>
              <w:t>Rectiligne, horizontale</w:t>
            </w:r>
          </w:p>
        </w:tc>
      </w:tr>
      <w:tr w:rsidR="00F644C8" w:rsidRPr="00A333EB" w:rsidTr="00CD79C8">
        <w:trPr>
          <w:jc w:val="center"/>
        </w:trPr>
        <w:tc>
          <w:tcPr>
            <w:tcW w:w="2793" w:type="dxa"/>
            <w:vAlign w:val="center"/>
          </w:tcPr>
          <w:p w:rsidR="00F644C8" w:rsidRPr="00A333EB" w:rsidRDefault="00F644C8" w:rsidP="00CD79C8">
            <w:pPr>
              <w:pStyle w:val="Tabletext"/>
              <w:jc w:val="left"/>
              <w:rPr>
                <w:rFonts w:cstheme="majorBidi"/>
                <w:szCs w:val="24"/>
                <w:lang w:val="fr-CH"/>
              </w:rPr>
            </w:pPr>
            <w:r w:rsidRPr="00A333EB">
              <w:rPr>
                <w:rFonts w:cstheme="majorBidi"/>
                <w:sz w:val="18"/>
                <w:szCs w:val="24"/>
                <w:lang w:val="fr-CH"/>
              </w:rPr>
              <w:t>Mémoire</w:t>
            </w:r>
          </w:p>
        </w:tc>
        <w:tc>
          <w:tcPr>
            <w:tcW w:w="6846" w:type="dxa"/>
            <w:vAlign w:val="center"/>
          </w:tcPr>
          <w:p w:rsidR="00F644C8" w:rsidRPr="00A333EB" w:rsidRDefault="00F644C8" w:rsidP="00CD79C8">
            <w:pPr>
              <w:pStyle w:val="Tabletext"/>
              <w:jc w:val="left"/>
              <w:rPr>
                <w:rFonts w:cstheme="majorBidi"/>
                <w:szCs w:val="24"/>
                <w:lang w:val="fr-CH"/>
              </w:rPr>
            </w:pPr>
            <w:r w:rsidRPr="00A333EB">
              <w:rPr>
                <w:rFonts w:cstheme="majorBidi"/>
                <w:sz w:val="18"/>
                <w:szCs w:val="24"/>
                <w:lang w:val="fr-CH"/>
              </w:rPr>
              <w:t>EEPROM</w:t>
            </w:r>
          </w:p>
        </w:tc>
      </w:tr>
    </w:tbl>
    <w:p w:rsidR="00F644C8" w:rsidRPr="00A333EB" w:rsidRDefault="00F644C8" w:rsidP="00F644C8">
      <w:pPr>
        <w:pStyle w:val="Tablefin"/>
        <w:rPr>
          <w:rFonts w:cstheme="majorBidi"/>
          <w:szCs w:val="24"/>
          <w:lang w:val="fr-CH"/>
        </w:rPr>
      </w:pPr>
    </w:p>
    <w:p w:rsidR="00F644C8" w:rsidRPr="00A333EB" w:rsidRDefault="00F644C8" w:rsidP="00F644C8">
      <w:pPr>
        <w:rPr>
          <w:rFonts w:cstheme="majorBidi"/>
          <w:szCs w:val="24"/>
          <w:lang w:val="fr-CH"/>
        </w:rPr>
      </w:pPr>
      <w:r w:rsidRPr="00A333EB">
        <w:rPr>
          <w:rFonts w:cstheme="majorBidi"/>
          <w:szCs w:val="24"/>
          <w:lang w:val="fr-CH"/>
        </w:rPr>
        <w:t>L'essai en mouvement a montré que dans un scénario réel, le téléphone portable étant fixé sur le tableau de bord (utilisation en mains libres), il existe des brouillages de niveau compris entre 4 et 6 dB qui dégradent la qualité de l'appel et le taux d'erreur sur les trames et provoquent une interruption de la communication. Le problème sur la liaison descendante est apparu dans la bande des 925 MHz du GSM étendu (scénario du cas le plus défavorable).</w:t>
      </w:r>
    </w:p>
    <w:p w:rsidR="00F644C8" w:rsidRPr="00A333EB" w:rsidRDefault="00F644C8" w:rsidP="00F644C8">
      <w:pPr>
        <w:rPr>
          <w:rFonts w:cstheme="majorBidi"/>
          <w:szCs w:val="24"/>
          <w:lang w:val="fr-CH"/>
        </w:rPr>
      </w:pPr>
      <w:r w:rsidRPr="00A333EB">
        <w:rPr>
          <w:rFonts w:cstheme="majorBidi"/>
          <w:szCs w:val="24"/>
          <w:lang w:val="fr-CH"/>
        </w:rPr>
        <w:t>En cas d'encombrement du trafic, les passagers des véhicules situés à proximité immédiate des lecteurs RFID sont confrontés à une qualité de service médiocre (interruption et dégradation de la qualité des appels).</w:t>
      </w:r>
    </w:p>
    <w:p w:rsidR="00F644C8" w:rsidRPr="00A333EB" w:rsidRDefault="00F644C8" w:rsidP="00F644C8">
      <w:pPr>
        <w:pStyle w:val="Heading1"/>
        <w:rPr>
          <w:rFonts w:cstheme="majorBidi"/>
          <w:szCs w:val="24"/>
          <w:lang w:val="fr-CH"/>
        </w:rPr>
      </w:pPr>
      <w:bookmarkStart w:id="13" w:name="_Toc304450156"/>
      <w:bookmarkStart w:id="14" w:name="_Toc304988654"/>
      <w:r w:rsidRPr="00A333EB">
        <w:rPr>
          <w:rFonts w:cstheme="majorBidi"/>
          <w:szCs w:val="24"/>
          <w:lang w:val="fr-CH"/>
        </w:rPr>
        <w:t>6</w:t>
      </w:r>
      <w:r w:rsidRPr="00A333EB">
        <w:rPr>
          <w:rFonts w:cstheme="majorBidi"/>
          <w:szCs w:val="24"/>
          <w:lang w:val="fr-CH"/>
        </w:rPr>
        <w:tab/>
        <w:t>Examen des pratiques actuelles concernant les dispositifs à courte portée</w:t>
      </w:r>
      <w:bookmarkEnd w:id="13"/>
      <w:bookmarkEnd w:id="14"/>
    </w:p>
    <w:p w:rsidR="00F644C8" w:rsidRPr="00A333EB" w:rsidRDefault="00F644C8" w:rsidP="00A333EB">
      <w:pPr>
        <w:rPr>
          <w:rFonts w:ascii="Batang" w:eastAsia="Batang" w:cstheme="majorBidi"/>
          <w:szCs w:val="24"/>
          <w:lang w:val="fr-CH"/>
        </w:rPr>
      </w:pPr>
      <w:r w:rsidRPr="00A333EB">
        <w:rPr>
          <w:rFonts w:cstheme="majorBidi"/>
          <w:szCs w:val="24"/>
          <w:lang w:val="fr-CH"/>
        </w:rPr>
        <w:t>Pour veiller à ce que les services de radiocommunication fonctionnant conformément aux Règlement des radiocommunications (RR) soient suffisamment protégés contre les SRD, diverses solutions sont actuellement mises en œuvre: gabarits d'émission, fréquences restreintes, utilisation de bandes ISM harmonisées, etc. Les gabarits d'émission et les fréquences restreintes sont indiqués dans le RR ainsi que dans les Recommandations de l'UIT</w:t>
      </w:r>
      <w:r w:rsidRPr="00A333EB">
        <w:rPr>
          <w:rFonts w:cstheme="majorBidi"/>
          <w:szCs w:val="24"/>
          <w:lang w:val="fr-CH"/>
        </w:rPr>
        <w:noBreakHyphen/>
        <w:t>R. En outre, le Rapport UIT</w:t>
      </w:r>
      <w:r w:rsidRPr="00A333EB">
        <w:rPr>
          <w:rFonts w:cstheme="majorBidi"/>
          <w:szCs w:val="24"/>
          <w:lang w:val="fr-CH"/>
        </w:rPr>
        <w:noBreakHyphen/>
        <w:t>R SM.2153 présente des solutions adoptées au niveau national pour gérer la mise en place des dispositifs SRD.</w:t>
      </w:r>
    </w:p>
    <w:p w:rsidR="00F644C8" w:rsidRPr="00A333EB" w:rsidRDefault="00F644C8" w:rsidP="00F644C8">
      <w:pPr>
        <w:pStyle w:val="Heading2"/>
        <w:rPr>
          <w:rFonts w:cstheme="majorBidi"/>
          <w:szCs w:val="24"/>
          <w:lang w:val="fr-CH"/>
        </w:rPr>
      </w:pPr>
      <w:bookmarkStart w:id="15" w:name="_Toc304450157"/>
      <w:bookmarkStart w:id="16" w:name="_Toc304988655"/>
      <w:r w:rsidRPr="00A333EB">
        <w:rPr>
          <w:rFonts w:cstheme="majorBidi"/>
          <w:szCs w:val="24"/>
          <w:lang w:val="fr-CH"/>
        </w:rPr>
        <w:lastRenderedPageBreak/>
        <w:t>6.1</w:t>
      </w:r>
      <w:r w:rsidRPr="00A333EB">
        <w:rPr>
          <w:rFonts w:cstheme="majorBidi"/>
          <w:szCs w:val="24"/>
          <w:lang w:val="fr-CH"/>
        </w:rPr>
        <w:tab/>
        <w:t>Gabarits d'émission applicables aux dispositifs à courte portée</w:t>
      </w:r>
      <w:bookmarkEnd w:id="15"/>
      <w:bookmarkEnd w:id="16"/>
    </w:p>
    <w:p w:rsidR="00F644C8" w:rsidRPr="00A333EB" w:rsidRDefault="00F644C8" w:rsidP="00F644C8">
      <w:pPr>
        <w:rPr>
          <w:rFonts w:cstheme="majorBidi"/>
          <w:szCs w:val="24"/>
          <w:lang w:val="fr-CH"/>
        </w:rPr>
      </w:pPr>
      <w:r w:rsidRPr="00A333EB">
        <w:rPr>
          <w:rFonts w:cstheme="majorBidi"/>
          <w:szCs w:val="24"/>
          <w:lang w:val="fr-CH"/>
        </w:rPr>
        <w:t>Les limites des rayonnements dans le domaine des rayonnements non essentiels indiquées à l'Appendice 3 du Règlement des radiocommunications s'appliquent aux dispositifs à courte portée. Il convient également de prendre en considération la Recommandation UIT</w:t>
      </w:r>
      <w:r w:rsidRPr="00A333EB">
        <w:rPr>
          <w:rFonts w:cstheme="majorBidi"/>
          <w:szCs w:val="24"/>
          <w:lang w:val="fr-CH"/>
        </w:rPr>
        <w:noBreakHyphen/>
        <w:t>R SM.329 en ce qui concerne les rayonnements non désirés provenant des dispositifs à courte portée.</w:t>
      </w:r>
    </w:p>
    <w:p w:rsidR="00F644C8" w:rsidRPr="00A333EB" w:rsidRDefault="00F644C8" w:rsidP="00F644C8">
      <w:pPr>
        <w:rPr>
          <w:rFonts w:cstheme="majorBidi"/>
          <w:szCs w:val="24"/>
          <w:lang w:val="fr-CH"/>
        </w:rPr>
      </w:pPr>
      <w:r w:rsidRPr="00A333EB">
        <w:rPr>
          <w:rFonts w:cstheme="majorBidi"/>
          <w:szCs w:val="24"/>
          <w:lang w:val="fr-CH"/>
        </w:rPr>
        <w:t>Les administrations peuvent aussi utiliser le Rapport UIT</w:t>
      </w:r>
      <w:r w:rsidRPr="00A333EB">
        <w:rPr>
          <w:rFonts w:cstheme="majorBidi"/>
          <w:szCs w:val="24"/>
          <w:lang w:val="fr-CH"/>
        </w:rPr>
        <w:noBreakHyphen/>
        <w:t>R SM.2153 et la Recommandation UIT</w:t>
      </w:r>
      <w:r w:rsidRPr="00A333EB">
        <w:rPr>
          <w:rFonts w:cstheme="majorBidi"/>
          <w:szCs w:val="24"/>
          <w:lang w:val="fr-CH"/>
        </w:rPr>
        <w:noBreakHyphen/>
        <w:t>R SM.1756 comme lignes directrices lorsqu'elles choisissent des bandes de fréquences et définissent des limites de puissance pour le déploiement de dispositifs à courte portée. Ces bandes de fréquences et ces limites de puissance ont été calculées en tenant compte des critères de protection, des caractéristiques et des objectifs de qualité de service des divers services de radiocommunication.</w:t>
      </w:r>
    </w:p>
    <w:p w:rsidR="00F644C8" w:rsidRPr="00A333EB" w:rsidRDefault="00F644C8" w:rsidP="00F644C8">
      <w:pPr>
        <w:rPr>
          <w:rFonts w:cstheme="majorBidi"/>
          <w:szCs w:val="24"/>
          <w:lang w:val="fr-CH"/>
        </w:rPr>
      </w:pPr>
      <w:r w:rsidRPr="00A333EB">
        <w:rPr>
          <w:rFonts w:cstheme="majorBidi"/>
          <w:szCs w:val="24"/>
          <w:lang w:val="fr-CH"/>
        </w:rPr>
        <w:t>Etant donné que les SRD peuvent être mis en place à proximité immédiate des stations d'un service de radiocommunication, l'UIT</w:t>
      </w:r>
      <w:r w:rsidRPr="00A333EB">
        <w:rPr>
          <w:rFonts w:cstheme="majorBidi"/>
          <w:szCs w:val="24"/>
          <w:lang w:val="fr-CH"/>
        </w:rPr>
        <w:noBreakHyphen/>
        <w:t>R pourrait étudier et définir des limites de rayonnement. Ces limites indiqueraient la distance de séparation nécessaire entre des SRD et de telles stations et permettraient ainsi de protéger les services de radiocommunication de façon adéquate. En outre, l'UIT pourrait orienter le choix des caractéristiques de rayonnement des SRD de façon à assurer une protection suffisante des services de radiocommunication exploités dans le cadre du RR. Enfin, ces limites de rayonnement et/ou ces gabarits pourraient être définis dans le Règlement des radiocommunications et/ou des Recommandations/Rapports de l'UIT</w:t>
      </w:r>
      <w:r w:rsidRPr="00A333EB">
        <w:rPr>
          <w:rFonts w:cstheme="majorBidi"/>
          <w:szCs w:val="24"/>
          <w:lang w:val="fr-CH"/>
        </w:rPr>
        <w:noBreakHyphen/>
        <w:t>R.</w:t>
      </w:r>
    </w:p>
    <w:p w:rsidR="00F644C8" w:rsidRPr="00A333EB" w:rsidRDefault="00F644C8" w:rsidP="00F644C8">
      <w:pPr>
        <w:pStyle w:val="Heading2"/>
        <w:rPr>
          <w:rFonts w:ascii="Batang" w:eastAsia="Batang" w:cstheme="majorBidi"/>
          <w:szCs w:val="24"/>
          <w:lang w:val="fr-CH"/>
        </w:rPr>
      </w:pPr>
      <w:bookmarkStart w:id="17" w:name="_Toc304450158"/>
      <w:bookmarkStart w:id="18" w:name="_Toc304988656"/>
      <w:r w:rsidRPr="00A333EB">
        <w:rPr>
          <w:rFonts w:cstheme="majorBidi"/>
          <w:szCs w:val="24"/>
          <w:lang w:val="fr-CH"/>
        </w:rPr>
        <w:t>6.2</w:t>
      </w:r>
      <w:r w:rsidRPr="00A333EB">
        <w:rPr>
          <w:rFonts w:cstheme="majorBidi"/>
          <w:szCs w:val="24"/>
          <w:lang w:val="fr-CH"/>
        </w:rPr>
        <w:tab/>
        <w:t>Bandes d'exclusion/fréquences restreintes applicables aux dispositifs à courte portée</w:t>
      </w:r>
      <w:bookmarkEnd w:id="17"/>
      <w:bookmarkEnd w:id="18"/>
    </w:p>
    <w:p w:rsidR="00F644C8" w:rsidRPr="00A333EB" w:rsidRDefault="00F644C8" w:rsidP="00A333EB">
      <w:pPr>
        <w:rPr>
          <w:rFonts w:cstheme="majorBidi"/>
          <w:szCs w:val="24"/>
          <w:lang w:val="fr-CH"/>
        </w:rPr>
      </w:pPr>
      <w:r w:rsidRPr="00A333EB">
        <w:rPr>
          <w:rFonts w:cstheme="majorBidi"/>
          <w:szCs w:val="24"/>
          <w:lang w:val="fr-CH"/>
        </w:rPr>
        <w:t>En règle générale et sauf indication contraire, les dispositifs à courte portée ne sont pas autorisés à utiliser les bandes de fréquences attribuées aux services suivants: service de radioastronomie, service mobile aéronautique et sécurité des personnes, et ce conformément aux dispositions pertinentes du Règlement des radiocommunications.</w:t>
      </w:r>
    </w:p>
    <w:p w:rsidR="00F644C8" w:rsidRPr="00A333EB" w:rsidRDefault="00F644C8" w:rsidP="00CD79C8">
      <w:pPr>
        <w:rPr>
          <w:rFonts w:ascii="Batang" w:eastAsia="Batang" w:cstheme="majorBidi"/>
          <w:szCs w:val="24"/>
          <w:lang w:val="fr-CH"/>
        </w:rPr>
      </w:pPr>
      <w:r w:rsidRPr="00A333EB">
        <w:rPr>
          <w:rFonts w:cstheme="majorBidi"/>
          <w:szCs w:val="24"/>
          <w:lang w:val="fr-CH"/>
        </w:rPr>
        <w:t>Certains pays spécifient dans leur réglementation nationale des bandes de fréquences dans lesquelles les dispositifs à courte portée ne sont pas autorisés à émettre intentionnellement, et ce pour protéger, vis-à-vis de ces dispositifs, des services de radiocommunication sensibles (services liés à la sécurité et services passifs). Les bandes de fréquences types sont spécifiées dans les numéros 5.82, 5.108, 5.109, 5.110, 5.149, 5.180, 5.199, 5.200, 5.223, 5.226, 5.328, 5.337, 5.340, 5.375, 5.392, 5.441, 5.444A, 5.448B et 5.497 du Règlement des radiocommunications.</w:t>
      </w:r>
    </w:p>
    <w:p w:rsidR="00F644C8" w:rsidRPr="00A333EB" w:rsidRDefault="00F644C8" w:rsidP="00F644C8">
      <w:pPr>
        <w:rPr>
          <w:rFonts w:cstheme="majorBidi"/>
          <w:szCs w:val="24"/>
          <w:lang w:val="fr-CH"/>
        </w:rPr>
      </w:pPr>
      <w:r w:rsidRPr="00A333EB">
        <w:rPr>
          <w:rFonts w:cstheme="majorBidi"/>
          <w:szCs w:val="24"/>
          <w:lang w:val="fr-CH"/>
        </w:rPr>
        <w:t xml:space="preserve">NOTE 1 </w:t>
      </w:r>
      <w:r w:rsidRPr="00A333EB">
        <w:rPr>
          <w:rFonts w:cstheme="majorBidi"/>
          <w:smallCaps/>
          <w:szCs w:val="24"/>
          <w:lang w:val="fr-CH"/>
        </w:rPr>
        <w:t>–</w:t>
      </w:r>
      <w:r w:rsidRPr="00A333EB">
        <w:rPr>
          <w:rFonts w:cstheme="majorBidi"/>
          <w:szCs w:val="24"/>
          <w:lang w:val="fr-CH"/>
        </w:rPr>
        <w:t xml:space="preserve"> Numéro 5.340 du RR: toutes les émissions sont interdites.</w:t>
      </w:r>
    </w:p>
    <w:p w:rsidR="00F644C8" w:rsidRPr="00A333EB" w:rsidRDefault="00F644C8" w:rsidP="00F644C8">
      <w:pPr>
        <w:rPr>
          <w:rFonts w:ascii="Batang" w:eastAsia="Batang" w:cstheme="majorBidi"/>
          <w:szCs w:val="24"/>
          <w:lang w:val="fr-CH"/>
        </w:rPr>
      </w:pPr>
      <w:r w:rsidRPr="00A333EB">
        <w:rPr>
          <w:rFonts w:cstheme="majorBidi"/>
          <w:szCs w:val="24"/>
          <w:lang w:val="fr-CH"/>
        </w:rPr>
        <w:t xml:space="preserve">NOTE 2 </w:t>
      </w:r>
      <w:r w:rsidRPr="00A333EB">
        <w:rPr>
          <w:rFonts w:cstheme="majorBidi"/>
          <w:smallCaps/>
          <w:szCs w:val="24"/>
          <w:lang w:val="fr-CH"/>
        </w:rPr>
        <w:t>–</w:t>
      </w:r>
      <w:r w:rsidRPr="00A333EB">
        <w:rPr>
          <w:rFonts w:cstheme="majorBidi"/>
          <w:szCs w:val="24"/>
          <w:lang w:val="fr-CH"/>
        </w:rPr>
        <w:t xml:space="preserve"> Numéro 5.149 du RR: bandes du SRA.</w:t>
      </w:r>
    </w:p>
    <w:p w:rsidR="0023357E" w:rsidRDefault="00F644C8" w:rsidP="00F644C8">
      <w:pPr>
        <w:rPr>
          <w:rFonts w:cstheme="majorBidi"/>
          <w:szCs w:val="24"/>
          <w:lang w:val="fr-CH"/>
        </w:rPr>
      </w:pPr>
      <w:r w:rsidRPr="00A333EB">
        <w:rPr>
          <w:rFonts w:cstheme="majorBidi"/>
          <w:szCs w:val="24"/>
          <w:lang w:val="fr-CH"/>
        </w:rPr>
        <w:t>S'il existe certes des dispositifs à courte portée dont la puissance d'émission est inférieure aux limites générales de rayonnements non essentiels figurant dans la Recommandation UIT</w:t>
      </w:r>
      <w:r w:rsidRPr="00A333EB">
        <w:rPr>
          <w:rFonts w:cstheme="majorBidi"/>
          <w:szCs w:val="24"/>
          <w:lang w:val="fr-CH"/>
        </w:rPr>
        <w:noBreakHyphen/>
        <w:t>R SM.329 et dans l'Appendice 3 du RR, ces limites peuvent ne pas être suffisamment contraignantes pour protéger des services sensibles contre les brouillages causés par ce type de dispositif. Dans ce cas, des techniques additionnelles de réduction des brouillages peuvent être néces</w:t>
      </w:r>
      <w:r w:rsidR="0023357E">
        <w:rPr>
          <w:rFonts w:cstheme="majorBidi"/>
          <w:szCs w:val="24"/>
          <w:lang w:val="fr-CH"/>
        </w:rPr>
        <w:t>saires en fonction des besoins.</w:t>
      </w:r>
    </w:p>
    <w:p w:rsidR="00F644C8" w:rsidRPr="00A333EB" w:rsidRDefault="00F644C8" w:rsidP="00F644C8">
      <w:pPr>
        <w:rPr>
          <w:rFonts w:cstheme="majorBidi"/>
          <w:szCs w:val="24"/>
          <w:lang w:val="fr-CH"/>
        </w:rPr>
      </w:pPr>
      <w:r w:rsidRPr="00A333EB">
        <w:rPr>
          <w:rFonts w:cstheme="majorBidi"/>
          <w:szCs w:val="24"/>
          <w:lang w:val="fr-CH"/>
        </w:rPr>
        <w:t>Etant donné que de nombreux SRD peuvent être transportés à l'étranger par des voyageurs, ils sont susceptibles de causer des brouillages et d'entraîner une dégradation de service inacceptable pour certains services de radiocommunication exploités dans d'autres pays. Les divers services de l'UIT</w:t>
      </w:r>
      <w:r w:rsidRPr="00A333EB">
        <w:rPr>
          <w:rFonts w:cstheme="majorBidi"/>
          <w:szCs w:val="24"/>
          <w:lang w:val="fr-CH"/>
        </w:rPr>
        <w:noBreakHyphen/>
        <w:t>R devraient étudier les restrictions relatives aux fréquences destinées à être utilisées par les SRD à l'échelle régionale/mondiale ainsi que l'harmonisation de ces fréquences.</w:t>
      </w:r>
    </w:p>
    <w:p w:rsidR="00F644C8" w:rsidRPr="00A333EB" w:rsidRDefault="00F644C8" w:rsidP="00A333EB">
      <w:pPr>
        <w:pStyle w:val="Heading2"/>
        <w:rPr>
          <w:rFonts w:cstheme="majorBidi"/>
          <w:szCs w:val="24"/>
          <w:lang w:val="fr-CH"/>
        </w:rPr>
      </w:pPr>
      <w:bookmarkStart w:id="19" w:name="_Toc304450159"/>
      <w:bookmarkStart w:id="20" w:name="_Toc304988657"/>
      <w:r w:rsidRPr="00A333EB">
        <w:rPr>
          <w:rFonts w:cstheme="majorBidi"/>
          <w:szCs w:val="24"/>
          <w:lang w:val="fr-CH"/>
        </w:rPr>
        <w:lastRenderedPageBreak/>
        <w:t>6.3</w:t>
      </w:r>
      <w:r w:rsidRPr="00A333EB">
        <w:rPr>
          <w:rFonts w:cstheme="majorBidi"/>
          <w:szCs w:val="24"/>
          <w:lang w:val="fr-CH"/>
        </w:rPr>
        <w:tab/>
        <w:t>Bandes harmonisées</w:t>
      </w:r>
      <w:bookmarkEnd w:id="19"/>
      <w:bookmarkEnd w:id="20"/>
    </w:p>
    <w:p w:rsidR="00F644C8" w:rsidRPr="00A333EB" w:rsidRDefault="00F644C8" w:rsidP="00A333EB">
      <w:pPr>
        <w:keepNext/>
        <w:keepLines/>
        <w:rPr>
          <w:rFonts w:cstheme="majorBidi"/>
          <w:szCs w:val="24"/>
          <w:lang w:val="fr-CH"/>
        </w:rPr>
      </w:pPr>
      <w:r w:rsidRPr="00A333EB">
        <w:rPr>
          <w:rFonts w:cstheme="majorBidi"/>
          <w:szCs w:val="24"/>
          <w:lang w:val="fr-CH"/>
        </w:rPr>
        <w:t>Comme le montre le Rapport UIT</w:t>
      </w:r>
      <w:r w:rsidRPr="00A333EB">
        <w:rPr>
          <w:rFonts w:cstheme="majorBidi"/>
          <w:szCs w:val="24"/>
          <w:lang w:val="fr-CH"/>
        </w:rPr>
        <w:noBreakHyphen/>
      </w:r>
      <w:r w:rsidRPr="00A333EB">
        <w:rPr>
          <w:rFonts w:cstheme="majorBidi"/>
          <w:color w:val="000000"/>
          <w:szCs w:val="24"/>
          <w:lang w:val="fr-CH"/>
        </w:rPr>
        <w:t>R SM.2153</w:t>
      </w:r>
      <w:r w:rsidRPr="00A333EB">
        <w:rPr>
          <w:rFonts w:cstheme="majorBidi"/>
          <w:szCs w:val="24"/>
          <w:lang w:val="fr-CH"/>
        </w:rPr>
        <w:t>, de nombreuses bandes de fréquences destinées aux dispositifs à courte portée sont déjà harmonisées à l'échelle mondiale ou régionale en vue d'une utilisation par ces dispositifs.</w:t>
      </w:r>
      <w:r w:rsidRPr="00A333EB">
        <w:rPr>
          <w:rFonts w:cstheme="majorBidi"/>
          <w:i/>
          <w:szCs w:val="24"/>
          <w:lang w:val="fr-CH"/>
        </w:rPr>
        <w:t xml:space="preserve"> </w:t>
      </w:r>
      <w:r w:rsidRPr="00A333EB">
        <w:rPr>
          <w:rFonts w:cstheme="majorBidi"/>
          <w:szCs w:val="24"/>
          <w:lang w:val="fr-CH"/>
        </w:rPr>
        <w:t>La poursuite de l'harmonisation des fréquences utilisées par les SRD transportables par les voyageurs d'un pays à un autre, du fait que ces dispositifs sont susceptibles de causer des brouillages préjudiciables à des services de radiocommunication, serait une bonne chose pour les utilisateurs, les régulateurs et les fabricants.</w:t>
      </w:r>
    </w:p>
    <w:p w:rsidR="00F644C8" w:rsidRPr="00A333EB" w:rsidRDefault="00F644C8" w:rsidP="00F644C8">
      <w:pPr>
        <w:rPr>
          <w:rFonts w:cstheme="majorBidi"/>
          <w:szCs w:val="24"/>
          <w:lang w:val="fr-CH"/>
        </w:rPr>
      </w:pPr>
      <w:r w:rsidRPr="00A333EB">
        <w:rPr>
          <w:rFonts w:cstheme="majorBidi"/>
          <w:szCs w:val="24"/>
          <w:lang w:val="fr-CH"/>
        </w:rPr>
        <w:t>Vu la très grande difficulté que présente l'harmonisation des bandes de fréquences pour l'ensemble des dispositifs à courte portée, on pourrait envisager de doter ces dispositifs d'une fonction d'accord en fréquence qui permettrait de résoudre le problème des bandes différentes d'un pays et d'une région à l'autre. L'harmonisation de la gamme d'accord en fréquence pourrait être nécessaire à l'exploitation de certains dispositifs à courte portée, ceux qui requièrent des déplacements d'un pays à l'autre. Pour ce faire, il serait possible de conclure des accords régionaux ou d'élaborer de nouvelles Recommandations/Rapport de l'UIT</w:t>
      </w:r>
      <w:r w:rsidRPr="00A333EB">
        <w:rPr>
          <w:rFonts w:cstheme="majorBidi"/>
          <w:szCs w:val="24"/>
          <w:lang w:val="fr-CH"/>
        </w:rPr>
        <w:noBreakHyphen/>
        <w:t>R pour certaines applications, conformément à la Résolution UIT</w:t>
      </w:r>
      <w:r w:rsidRPr="00A333EB">
        <w:rPr>
          <w:rFonts w:cstheme="majorBidi"/>
          <w:szCs w:val="24"/>
          <w:lang w:val="fr-CH"/>
        </w:rPr>
        <w:noBreakHyphen/>
        <w:t>R 54. On retiendra que le Rapport de la RPC contient quelques propositions pour traiter ce point à la CMR</w:t>
      </w:r>
      <w:r w:rsidRPr="00A333EB">
        <w:rPr>
          <w:rFonts w:cstheme="majorBidi"/>
          <w:szCs w:val="24"/>
          <w:lang w:val="fr-CH"/>
        </w:rPr>
        <w:noBreakHyphen/>
        <w:t>12, notamment l'élaboration d'une Résolution de la CMR.</w:t>
      </w:r>
    </w:p>
    <w:p w:rsidR="00F644C8" w:rsidRPr="00A333EB" w:rsidRDefault="00F644C8" w:rsidP="00F644C8">
      <w:pPr>
        <w:rPr>
          <w:rFonts w:cstheme="majorBidi"/>
          <w:szCs w:val="24"/>
          <w:lang w:val="fr-CH"/>
        </w:rPr>
      </w:pPr>
      <w:r w:rsidRPr="00A333EB">
        <w:rPr>
          <w:rFonts w:cstheme="majorBidi"/>
          <w:szCs w:val="24"/>
          <w:lang w:val="fr-CH"/>
        </w:rPr>
        <w:t>Les RFID sont un exemple de dispositifs à courte portée pour lesquels il serait souhaitable de disposer de bandes de fréquences harmonisées au niveau mondial.</w:t>
      </w:r>
    </w:p>
    <w:p w:rsidR="00F644C8" w:rsidRPr="00A333EB" w:rsidRDefault="00F644C8" w:rsidP="00F644C8">
      <w:pPr>
        <w:rPr>
          <w:rFonts w:cstheme="majorBidi"/>
          <w:szCs w:val="24"/>
          <w:lang w:val="fr-CH"/>
        </w:rPr>
      </w:pPr>
      <w:r w:rsidRPr="00A333EB">
        <w:rPr>
          <w:rFonts w:cstheme="majorBidi"/>
          <w:szCs w:val="24"/>
          <w:lang w:val="fr-CH"/>
        </w:rPr>
        <w:t>Les réglementations relatives aux fréquences utilisables par les RFID varient considérablement d'une région à l'autre, mais aussi selon les pays d'une même région. De nombreux pays de premier plan ont réglementé certaines des diverses bandes de fréquences utilisées par les RFID en adoptant une approche commune reposant sur des limites de champ comparables. Cette harmonisation minimale pourrait être encore renforcée.</w:t>
      </w:r>
    </w:p>
    <w:p w:rsidR="00F644C8" w:rsidRPr="00A333EB" w:rsidRDefault="00F644C8" w:rsidP="00F644C8">
      <w:pPr>
        <w:rPr>
          <w:rFonts w:cstheme="majorBidi"/>
          <w:szCs w:val="24"/>
          <w:lang w:val="fr-CH"/>
        </w:rPr>
      </w:pPr>
      <w:r w:rsidRPr="00A333EB">
        <w:rPr>
          <w:rFonts w:cstheme="majorBidi"/>
          <w:szCs w:val="24"/>
          <w:lang w:val="fr-CH"/>
        </w:rPr>
        <w:t>A l'instar d'autres technologies de communication hertzienne, la disponibilité en ressources spectrales est une condition préalable essentielle au fonctionnement de la RFID et à sa diffusion à l'échelle mondiale.</w:t>
      </w:r>
    </w:p>
    <w:p w:rsidR="00F644C8" w:rsidRPr="00A333EB" w:rsidRDefault="00F644C8" w:rsidP="00F644C8">
      <w:pPr>
        <w:pStyle w:val="Heading1"/>
        <w:rPr>
          <w:rFonts w:cstheme="majorBidi"/>
          <w:szCs w:val="24"/>
          <w:lang w:val="fr-CH"/>
        </w:rPr>
      </w:pPr>
      <w:bookmarkStart w:id="21" w:name="_Toc304450160"/>
      <w:bookmarkStart w:id="22" w:name="_Toc304988658"/>
      <w:r w:rsidRPr="00A333EB">
        <w:rPr>
          <w:rFonts w:cstheme="majorBidi"/>
          <w:szCs w:val="24"/>
          <w:lang w:val="fr-CH"/>
        </w:rPr>
        <w:t>7</w:t>
      </w:r>
      <w:r w:rsidRPr="00A333EB">
        <w:rPr>
          <w:rFonts w:cstheme="majorBidi"/>
          <w:szCs w:val="24"/>
          <w:lang w:val="fr-CH"/>
        </w:rPr>
        <w:tab/>
        <w:t>Questions connexes à la réglementation et à la mise en œuvre des dispositifs à courte portée</w:t>
      </w:r>
      <w:bookmarkEnd w:id="21"/>
      <w:bookmarkEnd w:id="22"/>
    </w:p>
    <w:p w:rsidR="00F644C8" w:rsidRPr="00A333EB" w:rsidRDefault="00F644C8" w:rsidP="00F644C8">
      <w:pPr>
        <w:rPr>
          <w:rFonts w:ascii="TimesNewRoman" w:hAnsi="TimesNewRoman" w:cstheme="majorBidi"/>
          <w:szCs w:val="24"/>
          <w:lang w:val="fr-CH"/>
        </w:rPr>
      </w:pPr>
      <w:r w:rsidRPr="00A333EB">
        <w:rPr>
          <w:rFonts w:cstheme="majorBidi"/>
          <w:szCs w:val="24"/>
          <w:lang w:val="fr-CH"/>
        </w:rPr>
        <w:t>Les SRD sont certifiés et réglementés au niveau national. Chaque administration décide en outre des bandes de fréquences dans lesquelles les SRD peuvent être déployés. Certains pays autorisent l'introduction de SRD exempts de licence dans les bandes ISM ainsi que dans d'autres bandes. Dans ce dernier cas, les SRD en question fonctionnent sous réserve de ne pas causer de brouillages aux services assujettis à licence et de ne pas demander à être protégés vis-à-vis de ces services. Ce fonctionnement repose sur le fait que ces SRD ont été certifiés sur la base d'émissions dont le niveau des signaux est très faible. Les limites des rayonnements et autres règles techniques/de fonctionnement sont généralement établies sur la base d'études de compatibilité qui sont propres à la bande et au service.</w:t>
      </w:r>
    </w:p>
    <w:p w:rsidR="00F644C8" w:rsidRPr="00A333EB" w:rsidRDefault="00F644C8" w:rsidP="00A333EB">
      <w:pPr>
        <w:rPr>
          <w:rFonts w:cstheme="majorBidi"/>
          <w:szCs w:val="24"/>
          <w:lang w:val="fr-CH"/>
        </w:rPr>
      </w:pPr>
      <w:r w:rsidRPr="00A333EB">
        <w:rPr>
          <w:rFonts w:cstheme="majorBidi"/>
          <w:szCs w:val="24"/>
          <w:lang w:val="fr-CH"/>
        </w:rPr>
        <w:t>De nombreux SRD sont actuellement déployés dans le monde entier et peuvent être transportés et utilisés dans de multiples pays, souvent à proximité immédiate de stations de services de radiocommunication. Si l'harmonisation mondiale ou régionale des règles applicables aux SRD et des bandes de fréquences qu'ils utilisent est insuffisante, des brouillages préjudiciables risquent d'être causés aux services de radiocommunication.</w:t>
      </w:r>
    </w:p>
    <w:p w:rsidR="00F644C8" w:rsidRPr="00A333EB" w:rsidRDefault="00F644C8" w:rsidP="00F644C8">
      <w:pPr>
        <w:pStyle w:val="Heading1"/>
        <w:rPr>
          <w:rFonts w:cstheme="majorBidi"/>
          <w:szCs w:val="24"/>
          <w:lang w:val="fr-CH"/>
        </w:rPr>
      </w:pPr>
      <w:bookmarkStart w:id="23" w:name="_Toc304450161"/>
      <w:bookmarkStart w:id="24" w:name="_Toc304988659"/>
      <w:r w:rsidRPr="00A333EB">
        <w:rPr>
          <w:rFonts w:cstheme="majorBidi"/>
          <w:szCs w:val="24"/>
          <w:lang w:val="fr-CH"/>
        </w:rPr>
        <w:lastRenderedPageBreak/>
        <w:t>8</w:t>
      </w:r>
      <w:r w:rsidRPr="00A333EB">
        <w:rPr>
          <w:rFonts w:cstheme="majorBidi"/>
          <w:szCs w:val="24"/>
          <w:lang w:val="fr-CH"/>
        </w:rPr>
        <w:tab/>
        <w:t>Rôle de l'UIT</w:t>
      </w:r>
      <w:r w:rsidRPr="00A333EB">
        <w:rPr>
          <w:rFonts w:cstheme="majorBidi"/>
          <w:szCs w:val="24"/>
          <w:lang w:val="fr-CH"/>
        </w:rPr>
        <w:noBreakHyphen/>
        <w:t>R</w:t>
      </w:r>
      <w:bookmarkEnd w:id="23"/>
      <w:bookmarkEnd w:id="24"/>
    </w:p>
    <w:p w:rsidR="00F644C8" w:rsidRPr="00A333EB" w:rsidRDefault="00F644C8" w:rsidP="00F644C8">
      <w:pPr>
        <w:rPr>
          <w:rFonts w:cstheme="majorBidi"/>
          <w:szCs w:val="24"/>
          <w:lang w:val="fr-CH"/>
        </w:rPr>
      </w:pPr>
      <w:r w:rsidRPr="00A333EB">
        <w:rPr>
          <w:rFonts w:cstheme="majorBidi"/>
          <w:szCs w:val="24"/>
          <w:lang w:val="fr-CH"/>
        </w:rPr>
        <w:t>Il pourrait être nécessaire de poursuivre la définition de limites de rayonnements et/ou de gabarits d'émission, les études visant à restreindre l'utilisation des fréquences par les SRD et l'harmonisation des bandes utilisées par ces dispositifs. Ces travaux pourraient aboutir à l'élaboration de Recommandations et de Rapports de l'UIT</w:t>
      </w:r>
      <w:r w:rsidRPr="00A333EB">
        <w:rPr>
          <w:rFonts w:cstheme="majorBidi"/>
          <w:szCs w:val="24"/>
          <w:lang w:val="fr-CH"/>
        </w:rPr>
        <w:noBreakHyphen/>
        <w:t>R qui fourniraient aux administrations des orientations utiles.</w:t>
      </w:r>
    </w:p>
    <w:p w:rsidR="00A333EB" w:rsidRPr="00A333EB" w:rsidRDefault="00A333EB" w:rsidP="00F644C8">
      <w:pPr>
        <w:rPr>
          <w:rFonts w:cstheme="majorBidi"/>
          <w:szCs w:val="24"/>
          <w:lang w:val="fr-CH"/>
        </w:rPr>
      </w:pPr>
    </w:p>
    <w:p w:rsidR="00A333EB" w:rsidRPr="00A333EB" w:rsidRDefault="00A333EB" w:rsidP="00F644C8">
      <w:pPr>
        <w:rPr>
          <w:rFonts w:cstheme="majorBidi"/>
          <w:szCs w:val="24"/>
          <w:lang w:val="fr-CH"/>
        </w:rPr>
      </w:pPr>
    </w:p>
    <w:p w:rsidR="00A333EB" w:rsidRPr="00A333EB" w:rsidRDefault="00A333EB" w:rsidP="00F644C8">
      <w:pPr>
        <w:rPr>
          <w:rFonts w:cstheme="majorBidi"/>
          <w:szCs w:val="24"/>
          <w:lang w:val="fr-CH"/>
        </w:rPr>
      </w:pPr>
    </w:p>
    <w:p w:rsidR="00F644C8" w:rsidRPr="00A333EB" w:rsidRDefault="00F644C8" w:rsidP="00F644C8">
      <w:pPr>
        <w:pStyle w:val="Line"/>
        <w:rPr>
          <w:lang w:val="fr-CH"/>
        </w:rPr>
      </w:pPr>
    </w:p>
    <w:p w:rsidR="00F644C8" w:rsidRPr="00A333EB" w:rsidRDefault="00F644C8" w:rsidP="00F644C8">
      <w:pPr>
        <w:rPr>
          <w:lang w:val="fr-CH"/>
        </w:rPr>
      </w:pPr>
    </w:p>
    <w:sectPr w:rsidR="00F644C8" w:rsidRPr="00A333EB" w:rsidSect="00CD79C8">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79C8" w:rsidRDefault="00CD79C8">
      <w:r>
        <w:separator/>
      </w:r>
    </w:p>
  </w:endnote>
  <w:endnote w:type="continuationSeparator" w:id="0">
    <w:p w:rsidR="00CD79C8" w:rsidRDefault="00CD7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4D"/>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79C8" w:rsidRDefault="00CD79C8">
      <w:r>
        <w:separator/>
      </w:r>
    </w:p>
  </w:footnote>
  <w:footnote w:type="continuationSeparator" w:id="0">
    <w:p w:rsidR="00CD79C8" w:rsidRDefault="00CD79C8">
      <w:r>
        <w:continuationSeparator/>
      </w:r>
    </w:p>
  </w:footnote>
  <w:footnote w:id="1">
    <w:p w:rsidR="00CD79C8" w:rsidRDefault="00CD79C8" w:rsidP="00A333EB">
      <w:pPr>
        <w:pStyle w:val="FootnoteText"/>
        <w:rPr>
          <w:rFonts w:cstheme="majorBidi"/>
          <w:szCs w:val="24"/>
        </w:rPr>
      </w:pPr>
      <w:r>
        <w:rPr>
          <w:rFonts w:cstheme="majorBidi"/>
          <w:szCs w:val="24"/>
        </w:rPr>
        <w:footnoteRef/>
      </w:r>
      <w:r>
        <w:rPr>
          <w:rFonts w:cstheme="majorBidi"/>
          <w:szCs w:val="24"/>
        </w:rPr>
        <w:tab/>
        <w:t xml:space="preserve">Ces rapports peuvent être consultés sur le site internet de l'European Communications Office (ECO): </w:t>
      </w:r>
      <w:hyperlink r:id="rId1" w:history="1">
        <w:r>
          <w:rPr>
            <w:rStyle w:val="Hyperlink"/>
            <w:rFonts w:cstheme="majorBidi"/>
            <w:szCs w:val="24"/>
          </w:rPr>
          <w:t>http://www.ero.dk/</w:t>
        </w:r>
      </w:hyperlink>
      <w:r>
        <w:rPr>
          <w:rFonts w:cstheme="majorBidi"/>
          <w:szCs w:val="24"/>
        </w:rPr>
        <w:t xml:space="preserve"> (choisir </w:t>
      </w:r>
      <w:r w:rsidR="00A333EB">
        <w:rPr>
          <w:rFonts w:cstheme="majorBidi"/>
          <w:szCs w:val="24"/>
        </w:rPr>
        <w:t>«</w:t>
      </w:r>
      <w:r>
        <w:rPr>
          <w:rFonts w:cstheme="majorBidi"/>
          <w:szCs w:val="24"/>
        </w:rPr>
        <w:t>deliverables</w:t>
      </w:r>
      <w:r w:rsidR="00A333EB">
        <w:rPr>
          <w:rFonts w:cstheme="majorBidi"/>
          <w:szCs w:val="24"/>
        </w:rPr>
        <w:t>»</w:t>
      </w:r>
      <w:r>
        <w:rPr>
          <w:rFonts w:cstheme="majorBidi"/>
          <w:szCs w:val="24"/>
        </w:rPr>
        <w:t xml:space="preserve"> puis </w:t>
      </w:r>
      <w:r w:rsidR="00A333EB">
        <w:rPr>
          <w:rFonts w:cstheme="majorBidi"/>
          <w:szCs w:val="24"/>
        </w:rPr>
        <w:t>«</w:t>
      </w:r>
      <w:r>
        <w:rPr>
          <w:rFonts w:cstheme="majorBidi"/>
          <w:szCs w:val="24"/>
        </w:rPr>
        <w:t>reports</w:t>
      </w:r>
      <w:r w:rsidR="00A333EB">
        <w:rPr>
          <w:rFonts w:cstheme="majorBidi"/>
          <w:szCs w:val="24"/>
        </w:rPr>
        <w:t>»</w:t>
      </w:r>
      <w:r>
        <w:rPr>
          <w:rFonts w:cstheme="majorBidi"/>
          <w:szCs w:val="24"/>
        </w:rPr>
        <w:t xml:space="preserve">) ou directement à l'adresse </w:t>
      </w:r>
      <w:hyperlink r:id="rId2" w:history="1">
        <w:r>
          <w:rPr>
            <w:rStyle w:val="Hyperlink"/>
            <w:rFonts w:cstheme="majorBidi"/>
            <w:szCs w:val="24"/>
          </w:rPr>
          <w:t>http://www.erodocdb.dk/doks/doccategoryECC.aspx?doccatid=4</w:t>
        </w:r>
      </w:hyperlink>
      <w:r>
        <w:rPr>
          <w:rFonts w:cstheme="majorBidi"/>
          <w:szCs w:val="2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9C8" w:rsidRDefault="00CD79C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9C8" w:rsidRPr="00132BFC" w:rsidRDefault="00CD79C8" w:rsidP="00CD79C8">
    <w:pPr>
      <w:pStyle w:val="Header"/>
      <w:rPr>
        <w:noProof/>
        <w:lang w:eastAsia="zh-CN"/>
      </w:rPr>
    </w:pPr>
    <w:r w:rsidRPr="00132BFC">
      <w:rPr>
        <w:noProof/>
        <w:lang w:val="en-US" w:eastAsia="zh-CN"/>
      </w:rPr>
      <w:drawing>
        <wp:anchor distT="0" distB="0" distL="114300" distR="114300" simplePos="0" relativeHeight="251659264" behindDoc="1" locked="0" layoutInCell="1" allowOverlap="1" wp14:anchorId="00A7779B" wp14:editId="33A43419">
          <wp:simplePos x="0" y="0"/>
          <wp:positionH relativeFrom="page">
            <wp:posOffset>0</wp:posOffset>
          </wp:positionH>
          <wp:positionV relativeFrom="page">
            <wp:posOffset>0</wp:posOffset>
          </wp:positionV>
          <wp:extent cx="7592060" cy="10753725"/>
          <wp:effectExtent l="0" t="0" r="0" b="0"/>
          <wp:wrapNone/>
          <wp:docPr id="2" name="Picture 2" descr="report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53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9C8" w:rsidRPr="00B86004" w:rsidRDefault="00CD79C8" w:rsidP="00CD79C8">
    <w:pPr>
      <w:pStyle w:val="Header"/>
      <w:jc w:val="both"/>
      <w:rPr>
        <w:b/>
        <w:bCs/>
        <w:lang w:val="en-US"/>
      </w:rPr>
    </w:pPr>
    <w:r w:rsidRPr="00B86004">
      <w:rPr>
        <w:b/>
        <w:bCs/>
      </w:rPr>
      <w:fldChar w:fldCharType="begin"/>
    </w:r>
    <w:r w:rsidRPr="00B86004">
      <w:rPr>
        <w:b/>
        <w:bCs/>
        <w:lang w:val="en-US"/>
      </w:rPr>
      <w:instrText xml:space="preserve"> PAGE </w:instrText>
    </w:r>
    <w:r w:rsidRPr="00B86004">
      <w:rPr>
        <w:b/>
        <w:bCs/>
      </w:rPr>
      <w:fldChar w:fldCharType="separate"/>
    </w:r>
    <w:r w:rsidR="0023357E">
      <w:rPr>
        <w:b/>
        <w:bCs/>
        <w:noProof/>
        <w:lang w:val="en-US"/>
      </w:rPr>
      <w:t>ii</w:t>
    </w:r>
    <w:r w:rsidRPr="00B86004">
      <w:rPr>
        <w:b/>
        <w:bCs/>
      </w:rPr>
      <w:fldChar w:fldCharType="end"/>
    </w:r>
    <w:r w:rsidRPr="00B86004">
      <w:rPr>
        <w:b/>
        <w:bCs/>
        <w:lang w:val="en-US"/>
      </w:rPr>
      <w:tab/>
    </w:r>
    <w:r>
      <w:fldChar w:fldCharType="begin"/>
    </w:r>
    <w:r w:rsidRPr="00F644C8">
      <w:rPr>
        <w:lang w:val="en-US"/>
      </w:rPr>
      <w:instrText xml:space="preserve"> DOCPROPERTY "Header 1" \* MERGEFORMAT </w:instrText>
    </w:r>
    <w:r>
      <w:fldChar w:fldCharType="separate"/>
    </w:r>
    <w:r w:rsidR="00A333EB" w:rsidRPr="00A333EB">
      <w:rPr>
        <w:b/>
        <w:bCs/>
        <w:lang w:val="en-US"/>
      </w:rPr>
      <w:t xml:space="preserve">Rap. </w:t>
    </w:r>
    <w:r>
      <w:rPr>
        <w:b/>
        <w:bCs/>
        <w:lang w:val="en-US"/>
      </w:rPr>
      <w:fldChar w:fldCharType="end"/>
    </w:r>
    <w:r w:rsidRPr="00F644C8">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23357E">
      <w:rPr>
        <w:b/>
        <w:bCs/>
        <w:noProof/>
      </w:rPr>
      <w:t>UIT-R  SM.2210</w:t>
    </w:r>
    <w:r w:rsidRPr="00B86004">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9C8" w:rsidRDefault="00CD79C8">
    <w:pPr>
      <w:pStyle w:val="Header"/>
    </w:pPr>
    <w:r>
      <w:tab/>
    </w:r>
    <w:r w:rsidR="0023357E">
      <w:fldChar w:fldCharType="begin"/>
    </w:r>
    <w:r w:rsidR="0023357E">
      <w:instrText xml:space="preserve"> DOCPROPERTY "Header" \* MERGEFORMAT </w:instrText>
    </w:r>
    <w:r w:rsidR="0023357E">
      <w:fldChar w:fldCharType="separate"/>
    </w:r>
    <w:r w:rsidR="00A333EB" w:rsidRPr="00A333EB">
      <w:rPr>
        <w:b/>
        <w:bCs/>
      </w:rPr>
      <w:t xml:space="preserve">Rec. </w:t>
    </w:r>
    <w:r w:rsidR="0023357E">
      <w:rPr>
        <w:b/>
        <w:bCs/>
      </w:rPr>
      <w:fldChar w:fldCharType="end"/>
    </w:r>
    <w:r>
      <w:rPr>
        <w:b/>
        <w:bCs/>
      </w:rPr>
      <w:t xml:space="preserve"> </w:t>
    </w:r>
    <w:r>
      <w:rPr>
        <w:b/>
        <w:bCs/>
      </w:rPr>
      <w:fldChar w:fldCharType="begin"/>
    </w:r>
    <w:r>
      <w:rPr>
        <w:b/>
        <w:bCs/>
      </w:rPr>
      <w:instrText>styleref href</w:instrText>
    </w:r>
    <w:r>
      <w:rPr>
        <w:b/>
        <w:bCs/>
      </w:rPr>
      <w:fldChar w:fldCharType="separate"/>
    </w:r>
    <w:r w:rsidR="00A333EB">
      <w:rPr>
        <w:b/>
        <w:bCs/>
        <w:noProof/>
      </w:rPr>
      <w:t>UIT-R  SM.2210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9C8" w:rsidRDefault="00CD79C8" w:rsidP="00CD79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3357E">
      <w:rPr>
        <w:rStyle w:val="PageNumber"/>
        <w:b/>
        <w:bCs/>
        <w:noProof/>
        <w:lang w:val="en-US"/>
      </w:rPr>
      <w:t>8</w:t>
    </w:r>
    <w:r>
      <w:rPr>
        <w:rStyle w:val="PageNumber"/>
        <w:b/>
        <w:bCs/>
      </w:rPr>
      <w:fldChar w:fldCharType="end"/>
    </w:r>
    <w:r>
      <w:rPr>
        <w:lang w:val="en-US"/>
      </w:rPr>
      <w:tab/>
    </w:r>
    <w:r>
      <w:fldChar w:fldCharType="begin"/>
    </w:r>
    <w:r w:rsidRPr="00F644C8">
      <w:rPr>
        <w:lang w:val="en-US"/>
      </w:rPr>
      <w:instrText xml:space="preserve"> DOCPROPERTY "Header 1" \* MERGEFORMAT </w:instrText>
    </w:r>
    <w:r>
      <w:fldChar w:fldCharType="separate"/>
    </w:r>
    <w:r w:rsidR="00A333EB" w:rsidRPr="00A333EB">
      <w:rPr>
        <w:b/>
        <w:bCs/>
        <w:lang w:val="en-US"/>
      </w:rPr>
      <w:t xml:space="preserve">Rap. </w:t>
    </w:r>
    <w:r>
      <w:rPr>
        <w:b/>
        <w:bCs/>
        <w:lang w:val="en-US"/>
      </w:rPr>
      <w:fldChar w:fldCharType="end"/>
    </w:r>
    <w:r w:rsidRPr="00F644C8">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23357E">
      <w:rPr>
        <w:b/>
        <w:bCs/>
        <w:noProof/>
      </w:rPr>
      <w:t>UIT-R  SM.2210</w:t>
    </w:r>
    <w:r w:rsidRPr="00B86004">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9C8" w:rsidRDefault="00CD79C8" w:rsidP="00CD79C8">
    <w:pPr>
      <w:pStyle w:val="Header"/>
    </w:pPr>
    <w:r>
      <w:tab/>
    </w:r>
    <w:r>
      <w:fldChar w:fldCharType="begin"/>
    </w:r>
    <w:r w:rsidRPr="00F644C8">
      <w:rPr>
        <w:lang w:val="en-US"/>
      </w:rPr>
      <w:instrText xml:space="preserve"> DOCPROPERTY "Header 1" \* MERGEFORMAT </w:instrText>
    </w:r>
    <w:r>
      <w:fldChar w:fldCharType="separate"/>
    </w:r>
    <w:r w:rsidR="00A333EB" w:rsidRPr="00A333EB">
      <w:rPr>
        <w:b/>
        <w:bCs/>
        <w:lang w:val="en-US"/>
      </w:rPr>
      <w:t xml:space="preserve">Rap. </w:t>
    </w:r>
    <w:r>
      <w:rPr>
        <w:b/>
        <w:bCs/>
        <w:lang w:val="en-US"/>
      </w:rPr>
      <w:fldChar w:fldCharType="end"/>
    </w:r>
    <w:r w:rsidRPr="00F644C8">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23357E">
      <w:rPr>
        <w:b/>
        <w:bCs/>
        <w:noProof/>
      </w:rPr>
      <w:t>UIT-R  SM.2210</w:t>
    </w:r>
    <w:r w:rsidRPr="00B86004">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3357E">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4C8"/>
    <w:rsid w:val="00217EBF"/>
    <w:rsid w:val="0023357E"/>
    <w:rsid w:val="00242AEE"/>
    <w:rsid w:val="002D76C4"/>
    <w:rsid w:val="0052529D"/>
    <w:rsid w:val="00607D68"/>
    <w:rsid w:val="007468DA"/>
    <w:rsid w:val="009E00A8"/>
    <w:rsid w:val="00A333EB"/>
    <w:rsid w:val="00A6617B"/>
    <w:rsid w:val="00AB0DC8"/>
    <w:rsid w:val="00B44E24"/>
    <w:rsid w:val="00CD79C8"/>
    <w:rsid w:val="00DF4176"/>
    <w:rsid w:val="00F644C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F644C8"/>
    <w:rPr>
      <w:color w:val="0000FF"/>
      <w:u w:val="single"/>
    </w:rPr>
  </w:style>
  <w:style w:type="character" w:customStyle="1" w:styleId="Heading1Char">
    <w:name w:val="Heading 1 Char"/>
    <w:basedOn w:val="DefaultParagraphFont"/>
    <w:link w:val="Heading1"/>
    <w:rsid w:val="00F644C8"/>
    <w:rPr>
      <w:b/>
      <w:sz w:val="24"/>
      <w:lang w:val="fr-FR" w:eastAsia="en-US"/>
    </w:rPr>
  </w:style>
  <w:style w:type="character" w:customStyle="1" w:styleId="FootnoteTextChar">
    <w:name w:val="Footnote Text Char"/>
    <w:basedOn w:val="DefaultParagraphFont"/>
    <w:link w:val="FootnoteText"/>
    <w:uiPriority w:val="99"/>
    <w:locked/>
    <w:rsid w:val="00F644C8"/>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F644C8"/>
    <w:rPr>
      <w:color w:val="0000FF"/>
      <w:u w:val="single"/>
    </w:rPr>
  </w:style>
  <w:style w:type="character" w:customStyle="1" w:styleId="Heading1Char">
    <w:name w:val="Heading 1 Char"/>
    <w:basedOn w:val="DefaultParagraphFont"/>
    <w:link w:val="Heading1"/>
    <w:rsid w:val="00F644C8"/>
    <w:rPr>
      <w:b/>
      <w:sz w:val="24"/>
      <w:lang w:val="fr-FR" w:eastAsia="en-US"/>
    </w:rPr>
  </w:style>
  <w:style w:type="character" w:customStyle="1" w:styleId="FootnoteTextChar">
    <w:name w:val="Footnote Text Char"/>
    <w:basedOn w:val="DefaultParagraphFont"/>
    <w:link w:val="FootnoteText"/>
    <w:uiPriority w:val="99"/>
    <w:locked/>
    <w:rsid w:val="00F644C8"/>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fr"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itu.int/ITU-R/go/patents/fr" TargetMode="Externa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www.erodocdb.dk/doks/doccategoryECC.aspx?doccatid=4" TargetMode="External"/><Relationship Id="rId1" Type="http://schemas.openxmlformats.org/officeDocument/2006/relationships/hyperlink" Target="http://www.ero.d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AC143A-016A-4865-9C04-DC3099A09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19</TotalTime>
  <Pages>12</Pages>
  <Words>4391</Words>
  <Characters>25981</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30312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Delaroque, Marceline</dc:creator>
  <cp:keywords/>
  <dc:description/>
  <cp:lastModifiedBy>brice</cp:lastModifiedBy>
  <cp:revision>3</cp:revision>
  <cp:lastPrinted>2005-02-10T15:54:00Z</cp:lastPrinted>
  <dcterms:created xsi:type="dcterms:W3CDTF">2011-09-28T13:42:00Z</dcterms:created>
  <dcterms:modified xsi:type="dcterms:W3CDTF">2011-09-30T12:34:00Z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