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604A" w:rsidRDefault="0022604A" w:rsidP="0022604A"/>
    <w:p w:rsidR="0022604A" w:rsidRDefault="0022604A" w:rsidP="0022604A"/>
    <w:p w:rsidR="0022604A" w:rsidRDefault="0022604A" w:rsidP="0022604A"/>
    <w:p w:rsidR="0022604A" w:rsidRDefault="0022604A" w:rsidP="0022604A"/>
    <w:p w:rsidR="0022604A" w:rsidRDefault="0022604A" w:rsidP="0022604A"/>
    <w:p w:rsidR="0022604A" w:rsidRDefault="0022604A" w:rsidP="0022604A"/>
    <w:p w:rsidR="0022604A" w:rsidRDefault="0022604A" w:rsidP="0022604A"/>
    <w:p w:rsidR="0022604A" w:rsidRDefault="0022604A" w:rsidP="0022604A"/>
    <w:p w:rsidR="0022604A" w:rsidRDefault="0022604A" w:rsidP="0022604A"/>
    <w:p w:rsidR="0022604A" w:rsidRDefault="0022604A" w:rsidP="0022604A"/>
    <w:p w:rsidR="0022604A" w:rsidRDefault="0022604A" w:rsidP="0022604A"/>
    <w:p w:rsidR="0022604A" w:rsidRDefault="0022604A" w:rsidP="0022604A"/>
    <w:tbl>
      <w:tblPr>
        <w:tblW w:w="10089" w:type="dxa"/>
        <w:tblLook w:val="01E0"/>
      </w:tblPr>
      <w:tblGrid>
        <w:gridCol w:w="10089"/>
      </w:tblGrid>
      <w:tr w:rsidR="0022604A" w:rsidRPr="00BF3B93" w:rsidTr="009958B0">
        <w:tc>
          <w:tcPr>
            <w:tcW w:w="10089" w:type="dxa"/>
          </w:tcPr>
          <w:p w:rsidR="0022604A" w:rsidRPr="00EF1E72" w:rsidRDefault="0022604A" w:rsidP="009958B0">
            <w:pPr>
              <w:spacing w:before="380" w:line="280" w:lineRule="exact"/>
              <w:jc w:val="right"/>
              <w:rPr>
                <w:rFonts w:ascii="Tahoma" w:hAnsi="Tahoma" w:cs="Tahoma"/>
                <w:b/>
                <w:bCs/>
                <w:iCs/>
                <w:color w:val="509141"/>
                <w:sz w:val="32"/>
                <w:szCs w:val="32"/>
                <w:lang w:val="en-US"/>
              </w:rPr>
            </w:pPr>
            <w:r w:rsidRPr="00EF1E72">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6" o:title=""/>
                </v:shape>
                <o:OLEObject Type="Embed" ProgID="Equation.3" ShapeID="_x0000_i1025" DrawAspect="Content" ObjectID="_1330861833" r:id="rId7"/>
              </w:object>
            </w:r>
          </w:p>
          <w:p w:rsidR="0022604A" w:rsidRPr="00BF3B93" w:rsidRDefault="0022604A" w:rsidP="009958B0">
            <w:pPr>
              <w:spacing w:before="380" w:line="280" w:lineRule="exact"/>
              <w:jc w:val="right"/>
              <w:rPr>
                <w:rFonts w:ascii="Tahoma" w:hAnsi="Tahoma" w:cs="Tahoma"/>
                <w:b/>
                <w:bCs/>
                <w:iCs/>
                <w:color w:val="509141"/>
                <w:sz w:val="36"/>
                <w:szCs w:val="36"/>
                <w:lang w:val="fr-CH"/>
              </w:rPr>
            </w:pPr>
            <w:r w:rsidRPr="00BF3B93">
              <w:rPr>
                <w:rFonts w:ascii="Tahoma" w:hAnsi="Tahoma" w:cs="Tahoma"/>
                <w:b/>
                <w:bCs/>
                <w:iCs/>
                <w:color w:val="509141"/>
                <w:sz w:val="36"/>
                <w:szCs w:val="36"/>
                <w:lang w:val="fr-CH"/>
              </w:rPr>
              <w:t>Report  ITU-R  SA.2067</w:t>
            </w:r>
          </w:p>
          <w:p w:rsidR="0022604A" w:rsidRPr="00BF3B93" w:rsidRDefault="0022604A" w:rsidP="009958B0">
            <w:pPr>
              <w:spacing w:before="80" w:line="280" w:lineRule="exact"/>
              <w:jc w:val="right"/>
              <w:rPr>
                <w:rFonts w:ascii="Tahoma" w:hAnsi="Tahoma" w:cs="Tahoma"/>
                <w:iCs/>
                <w:color w:val="509141"/>
                <w:szCs w:val="24"/>
                <w:lang w:val="fr-CH"/>
              </w:rPr>
            </w:pPr>
            <w:r w:rsidRPr="00BF3B93">
              <w:rPr>
                <w:rFonts w:ascii="Tahoma" w:hAnsi="Tahoma" w:cs="Tahoma"/>
                <w:b/>
                <w:bCs/>
                <w:iCs/>
                <w:color w:val="509141"/>
                <w:szCs w:val="24"/>
                <w:lang w:val="fr-CH"/>
              </w:rPr>
              <w:t>(11/</w:t>
            </w:r>
            <w:r>
              <w:rPr>
                <w:rFonts w:ascii="Tahoma" w:hAnsi="Tahoma" w:cs="Tahoma"/>
                <w:b/>
                <w:bCs/>
                <w:iCs/>
                <w:color w:val="509141"/>
                <w:szCs w:val="24"/>
                <w:lang w:val="fr-CH"/>
              </w:rPr>
              <w:t>2005</w:t>
            </w:r>
            <w:r w:rsidRPr="00BF3B93">
              <w:rPr>
                <w:rFonts w:ascii="Tahoma" w:hAnsi="Tahoma" w:cs="Tahoma"/>
                <w:b/>
                <w:bCs/>
                <w:iCs/>
                <w:color w:val="509141"/>
                <w:szCs w:val="24"/>
                <w:lang w:val="fr-CH"/>
              </w:rPr>
              <w:t>)</w:t>
            </w:r>
          </w:p>
        </w:tc>
      </w:tr>
      <w:tr w:rsidR="0022604A" w:rsidRPr="00B5710B" w:rsidTr="009958B0">
        <w:tc>
          <w:tcPr>
            <w:tcW w:w="10089" w:type="dxa"/>
          </w:tcPr>
          <w:p w:rsidR="0022604A" w:rsidRPr="00BF3B93" w:rsidRDefault="0022604A" w:rsidP="009958B0">
            <w:pPr>
              <w:spacing w:before="80" w:line="500" w:lineRule="exact"/>
              <w:jc w:val="right"/>
              <w:rPr>
                <w:rFonts w:ascii="Tahoma" w:hAnsi="Tahoma" w:cs="Tahoma"/>
                <w:b/>
                <w:bCs/>
                <w:iCs/>
                <w:color w:val="509141"/>
                <w:sz w:val="44"/>
                <w:szCs w:val="44"/>
                <w:lang w:val="en-US"/>
              </w:rPr>
            </w:pPr>
          </w:p>
          <w:p w:rsidR="0022604A" w:rsidRPr="00EF1E72" w:rsidRDefault="0022604A" w:rsidP="009958B0">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Use of the 13.75 to 14.0 GHz band by the space research service and the fixed</w:t>
            </w:r>
            <w:r>
              <w:rPr>
                <w:rFonts w:ascii="Tahoma" w:hAnsi="Tahoma" w:cs="Tahoma"/>
                <w:b/>
                <w:bCs/>
                <w:iCs/>
                <w:color w:val="509141"/>
                <w:sz w:val="44"/>
                <w:szCs w:val="44"/>
                <w:lang w:val="en-US"/>
              </w:rPr>
              <w:noBreakHyphen/>
              <w:t>satellite service</w:t>
            </w:r>
          </w:p>
          <w:p w:rsidR="0022604A" w:rsidRPr="00EF1E72" w:rsidRDefault="0022604A" w:rsidP="009958B0">
            <w:pPr>
              <w:spacing w:before="80" w:line="500" w:lineRule="exact"/>
              <w:jc w:val="right"/>
              <w:rPr>
                <w:rFonts w:ascii="Tahoma" w:hAnsi="Tahoma" w:cs="Tahoma"/>
                <w:b/>
                <w:bCs/>
                <w:iCs/>
                <w:color w:val="509141"/>
                <w:sz w:val="44"/>
                <w:szCs w:val="44"/>
                <w:lang w:val="en-US"/>
              </w:rPr>
            </w:pPr>
            <w:r w:rsidRPr="00EF1E72">
              <w:rPr>
                <w:rFonts w:ascii="Tahoma" w:hAnsi="Tahoma" w:cs="Tahoma"/>
                <w:b/>
                <w:bCs/>
                <w:iCs/>
                <w:color w:val="509141"/>
                <w:sz w:val="44"/>
                <w:szCs w:val="44"/>
                <w:lang w:val="en-US"/>
              </w:rPr>
              <w:t xml:space="preserve">  </w:t>
            </w:r>
          </w:p>
        </w:tc>
      </w:tr>
      <w:tr w:rsidR="0022604A" w:rsidRPr="00EF1E72" w:rsidTr="009958B0">
        <w:tc>
          <w:tcPr>
            <w:tcW w:w="10089" w:type="dxa"/>
          </w:tcPr>
          <w:p w:rsidR="0022604A" w:rsidRPr="00EF1E72" w:rsidRDefault="0022604A" w:rsidP="009958B0">
            <w:pPr>
              <w:spacing w:before="80" w:line="280" w:lineRule="exact"/>
              <w:ind w:right="640"/>
              <w:rPr>
                <w:rFonts w:ascii="Tahoma" w:hAnsi="Tahoma" w:cs="Tahoma"/>
                <w:b/>
                <w:bCs/>
                <w:iCs/>
                <w:color w:val="243285"/>
                <w:sz w:val="32"/>
                <w:szCs w:val="32"/>
                <w:lang w:val="en-US"/>
              </w:rPr>
            </w:pPr>
          </w:p>
          <w:p w:rsidR="0022604A" w:rsidRPr="00EF1E72" w:rsidRDefault="0022604A" w:rsidP="009958B0">
            <w:pPr>
              <w:spacing w:before="80" w:line="280" w:lineRule="exact"/>
              <w:ind w:right="640"/>
              <w:rPr>
                <w:rFonts w:ascii="Tahoma" w:hAnsi="Tahoma" w:cs="Tahoma"/>
                <w:b/>
                <w:bCs/>
                <w:iCs/>
                <w:color w:val="243285"/>
                <w:sz w:val="32"/>
                <w:szCs w:val="32"/>
                <w:lang w:val="en-US"/>
              </w:rPr>
            </w:pPr>
          </w:p>
          <w:p w:rsidR="0022604A" w:rsidRPr="00EF1E72" w:rsidRDefault="0022604A" w:rsidP="009958B0">
            <w:pPr>
              <w:spacing w:before="80" w:line="280" w:lineRule="exact"/>
              <w:ind w:right="640"/>
              <w:rPr>
                <w:rFonts w:ascii="Tahoma" w:hAnsi="Tahoma" w:cs="Tahoma"/>
                <w:b/>
                <w:bCs/>
                <w:iCs/>
                <w:color w:val="243285"/>
                <w:sz w:val="32"/>
                <w:szCs w:val="32"/>
                <w:lang w:val="en-US"/>
              </w:rPr>
            </w:pPr>
          </w:p>
          <w:p w:rsidR="0022604A" w:rsidRPr="00EF1E72" w:rsidRDefault="0022604A" w:rsidP="009958B0">
            <w:pPr>
              <w:spacing w:before="80" w:after="180" w:line="360" w:lineRule="exact"/>
              <w:jc w:val="right"/>
              <w:rPr>
                <w:rFonts w:ascii="Tahoma" w:hAnsi="Tahoma" w:cs="Tahoma"/>
                <w:b/>
                <w:bCs/>
                <w:iCs/>
                <w:color w:val="243285"/>
                <w:sz w:val="36"/>
                <w:szCs w:val="36"/>
                <w:lang w:val="en-US"/>
              </w:rPr>
            </w:pPr>
          </w:p>
          <w:p w:rsidR="0022604A" w:rsidRPr="00EF1E72" w:rsidRDefault="0022604A" w:rsidP="009958B0">
            <w:pPr>
              <w:spacing w:before="80" w:after="180" w:line="360" w:lineRule="exact"/>
              <w:jc w:val="right"/>
              <w:rPr>
                <w:rFonts w:ascii="Tahoma" w:hAnsi="Tahoma" w:cs="Tahoma"/>
                <w:b/>
                <w:bCs/>
                <w:iCs/>
                <w:color w:val="509141"/>
                <w:sz w:val="36"/>
                <w:szCs w:val="36"/>
                <w:lang w:val="en-US"/>
              </w:rPr>
            </w:pPr>
            <w:r w:rsidRPr="00EF1E72">
              <w:rPr>
                <w:rFonts w:ascii="Tahoma" w:hAnsi="Tahoma" w:cs="Tahoma"/>
                <w:b/>
                <w:bCs/>
                <w:iCs/>
                <w:color w:val="509141"/>
                <w:sz w:val="36"/>
                <w:szCs w:val="36"/>
                <w:lang w:val="en-US"/>
              </w:rPr>
              <w:t>SA Series</w:t>
            </w:r>
          </w:p>
          <w:p w:rsidR="0022604A" w:rsidRPr="00EF1E72" w:rsidRDefault="0022604A" w:rsidP="009958B0">
            <w:pPr>
              <w:spacing w:before="80" w:line="420" w:lineRule="exact"/>
              <w:jc w:val="right"/>
              <w:rPr>
                <w:rFonts w:ascii="Tahoma" w:hAnsi="Tahoma" w:cs="Tahoma"/>
                <w:b/>
                <w:bCs/>
                <w:iCs/>
                <w:color w:val="509141"/>
                <w:sz w:val="36"/>
                <w:szCs w:val="36"/>
                <w:lang w:val="en-US"/>
              </w:rPr>
            </w:pPr>
            <w:r w:rsidRPr="00EF1E72">
              <w:rPr>
                <w:rFonts w:ascii="Tahoma" w:hAnsi="Tahoma" w:cs="Tahoma"/>
                <w:b/>
                <w:bCs/>
                <w:iCs/>
                <w:color w:val="509141"/>
                <w:sz w:val="36"/>
                <w:szCs w:val="36"/>
                <w:lang w:val="en-US"/>
              </w:rPr>
              <w:t>Space applications and meteorology</w:t>
            </w:r>
          </w:p>
        </w:tc>
      </w:tr>
    </w:tbl>
    <w:p w:rsidR="0022604A" w:rsidRDefault="0022604A" w:rsidP="0022604A">
      <w:pPr>
        <w:spacing w:before="80"/>
        <w:rPr>
          <w:i/>
          <w:sz w:val="22"/>
          <w:lang w:val="en-US"/>
        </w:rPr>
      </w:pPr>
    </w:p>
    <w:p w:rsidR="0022604A" w:rsidRDefault="0022604A" w:rsidP="0022604A">
      <w:pPr>
        <w:spacing w:before="80"/>
        <w:rPr>
          <w:i/>
          <w:sz w:val="22"/>
          <w:lang w:val="en-US"/>
        </w:rPr>
      </w:pPr>
    </w:p>
    <w:p w:rsidR="0022604A" w:rsidRDefault="0022604A" w:rsidP="0022604A">
      <w:pPr>
        <w:spacing w:before="80"/>
        <w:rPr>
          <w:i/>
          <w:sz w:val="22"/>
          <w:lang w:val="en-US"/>
        </w:rPr>
      </w:pPr>
    </w:p>
    <w:p w:rsidR="0022604A" w:rsidRDefault="0022604A" w:rsidP="0022604A">
      <w:pPr>
        <w:spacing w:before="80"/>
        <w:rPr>
          <w:i/>
          <w:sz w:val="22"/>
          <w:lang w:val="en-US"/>
        </w:rPr>
      </w:pPr>
    </w:p>
    <w:p w:rsidR="0022604A" w:rsidRDefault="0022604A" w:rsidP="0022604A">
      <w:pPr>
        <w:spacing w:before="80"/>
        <w:rPr>
          <w:i/>
          <w:sz w:val="22"/>
          <w:lang w:val="en-US"/>
        </w:rPr>
      </w:pPr>
    </w:p>
    <w:p w:rsidR="0022604A" w:rsidRDefault="0022604A" w:rsidP="0022604A">
      <w:pPr>
        <w:spacing w:before="80"/>
        <w:rPr>
          <w:i/>
          <w:sz w:val="22"/>
          <w:lang w:val="en-US"/>
        </w:rPr>
      </w:pPr>
    </w:p>
    <w:p w:rsidR="0022604A" w:rsidRDefault="0022604A" w:rsidP="0022604A">
      <w:pPr>
        <w:rPr>
          <w:rFonts w:ascii="Palatino Linotype" w:hAnsi="Palatino Linotype"/>
          <w:lang w:val="en-US"/>
        </w:rPr>
        <w:sectPr w:rsidR="0022604A" w:rsidSect="009958B0">
          <w:headerReference w:type="even" r:id="rId8"/>
          <w:headerReference w:type="default" r:id="rId9"/>
          <w:pgSz w:w="11907" w:h="16840" w:code="9"/>
          <w:pgMar w:top="1089" w:right="1089" w:bottom="284" w:left="1089" w:header="567" w:footer="284" w:gutter="0"/>
          <w:pgNumType w:start="1"/>
          <w:cols w:space="720"/>
        </w:sectPr>
      </w:pPr>
    </w:p>
    <w:p w:rsidR="0022604A" w:rsidRDefault="0022604A" w:rsidP="0022604A">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22604A" w:rsidRDefault="0022604A" w:rsidP="0022604A">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22604A" w:rsidRDefault="0022604A" w:rsidP="0022604A">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22604A" w:rsidRDefault="0022604A" w:rsidP="0022604A">
      <w:pPr>
        <w:pStyle w:val="Heading1"/>
        <w:spacing w:before="400"/>
        <w:jc w:val="center"/>
        <w:rPr>
          <w:szCs w:val="24"/>
          <w:lang w:val="en-US"/>
        </w:rPr>
      </w:pPr>
    </w:p>
    <w:p w:rsidR="0022604A" w:rsidRDefault="0022604A" w:rsidP="0022604A">
      <w:pPr>
        <w:pStyle w:val="Heading1"/>
        <w:spacing w:before="540"/>
        <w:jc w:val="center"/>
        <w:rPr>
          <w:szCs w:val="24"/>
          <w:lang w:val="en-US"/>
        </w:rPr>
      </w:pPr>
      <w:bookmarkStart w:id="1" w:name="_Toc256067079"/>
      <w:bookmarkStart w:id="2" w:name="_Toc256067158"/>
      <w:r>
        <w:rPr>
          <w:szCs w:val="24"/>
          <w:lang w:val="en-US"/>
        </w:rPr>
        <w:t>Policy on Intellectual Property Right (IPR)</w:t>
      </w:r>
      <w:bookmarkEnd w:id="1"/>
      <w:bookmarkEnd w:id="2"/>
    </w:p>
    <w:p w:rsidR="0022604A" w:rsidRDefault="0022604A" w:rsidP="0022604A">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22604A" w:rsidRDefault="0022604A" w:rsidP="0022604A">
      <w:pPr>
        <w:jc w:val="center"/>
        <w:rPr>
          <w:sz w:val="22"/>
          <w:lang w:val="en-US"/>
        </w:rPr>
      </w:pPr>
    </w:p>
    <w:p w:rsidR="0022604A" w:rsidRDefault="0022604A" w:rsidP="0022604A">
      <w:pPr>
        <w:jc w:val="center"/>
        <w:rPr>
          <w:sz w:val="22"/>
          <w:lang w:val="en-US"/>
        </w:rPr>
      </w:pPr>
    </w:p>
    <w:p w:rsidR="0022604A" w:rsidRDefault="0022604A" w:rsidP="0022604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22604A" w:rsidRPr="00B5710B" w:rsidTr="009958B0">
        <w:tc>
          <w:tcPr>
            <w:tcW w:w="9360" w:type="dxa"/>
            <w:gridSpan w:val="2"/>
            <w:tcBorders>
              <w:top w:val="single" w:sz="12" w:space="0" w:color="000080"/>
              <w:left w:val="single" w:sz="12" w:space="0" w:color="000080"/>
              <w:bottom w:val="nil"/>
              <w:right w:val="single" w:sz="12" w:space="0" w:color="000080"/>
            </w:tcBorders>
          </w:tcPr>
          <w:p w:rsidR="0022604A" w:rsidRPr="00C7761D" w:rsidRDefault="0022604A" w:rsidP="009958B0">
            <w:pPr>
              <w:pStyle w:val="ChapNo"/>
              <w:spacing w:before="240"/>
              <w:rPr>
                <w:sz w:val="22"/>
                <w:szCs w:val="22"/>
                <w:lang w:val="en-US"/>
              </w:rPr>
            </w:pPr>
            <w:r w:rsidRPr="00C7761D">
              <w:rPr>
                <w:sz w:val="22"/>
                <w:szCs w:val="22"/>
                <w:lang w:val="en-US"/>
              </w:rPr>
              <w:t xml:space="preserve">Series of ITU-R Reports </w:t>
            </w:r>
          </w:p>
          <w:p w:rsidR="0022604A" w:rsidRDefault="0022604A" w:rsidP="009958B0">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1"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22604A" w:rsidTr="009958B0">
        <w:tc>
          <w:tcPr>
            <w:tcW w:w="1140" w:type="dxa"/>
            <w:tcBorders>
              <w:top w:val="nil"/>
              <w:left w:val="single" w:sz="12" w:space="0" w:color="000080"/>
              <w:bottom w:val="nil"/>
              <w:right w:val="nil"/>
            </w:tcBorders>
          </w:tcPr>
          <w:p w:rsidR="0022604A" w:rsidRDefault="0022604A" w:rsidP="009958B0">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22604A" w:rsidRDefault="0022604A" w:rsidP="009958B0">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22604A" w:rsidTr="009958B0">
        <w:tc>
          <w:tcPr>
            <w:tcW w:w="1140" w:type="dxa"/>
            <w:tcBorders>
              <w:top w:val="nil"/>
              <w:left w:val="single" w:sz="12" w:space="0" w:color="000080"/>
              <w:bottom w:val="nil"/>
              <w:right w:val="nil"/>
            </w:tcBorders>
            <w:shd w:val="clear" w:color="auto" w:fill="auto"/>
          </w:tcPr>
          <w:p w:rsidR="0022604A" w:rsidRPr="006F2B77" w:rsidRDefault="0022604A" w:rsidP="009958B0">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22604A" w:rsidRPr="006F2B77" w:rsidRDefault="0022604A" w:rsidP="009958B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22604A" w:rsidRPr="00B5710B" w:rsidTr="009958B0">
        <w:tc>
          <w:tcPr>
            <w:tcW w:w="1140" w:type="dxa"/>
            <w:tcBorders>
              <w:top w:val="nil"/>
              <w:left w:val="single" w:sz="12" w:space="0" w:color="000080"/>
              <w:bottom w:val="nil"/>
              <w:right w:val="nil"/>
            </w:tcBorders>
          </w:tcPr>
          <w:p w:rsidR="0022604A" w:rsidRDefault="0022604A" w:rsidP="009958B0">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22604A" w:rsidRDefault="0022604A" w:rsidP="009958B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22604A" w:rsidRPr="00D55B55" w:rsidTr="009958B0">
        <w:tc>
          <w:tcPr>
            <w:tcW w:w="1140" w:type="dxa"/>
            <w:tcBorders>
              <w:top w:val="nil"/>
              <w:left w:val="single" w:sz="12" w:space="0" w:color="000080"/>
              <w:bottom w:val="nil"/>
              <w:right w:val="nil"/>
            </w:tcBorders>
            <w:shd w:val="clear" w:color="auto" w:fill="auto"/>
          </w:tcPr>
          <w:p w:rsidR="0022604A" w:rsidRPr="00D55B55" w:rsidRDefault="0022604A" w:rsidP="009958B0">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22604A" w:rsidRPr="00D55B55" w:rsidRDefault="0022604A" w:rsidP="009958B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22604A" w:rsidRPr="00BD3F5C" w:rsidTr="009958B0">
        <w:tc>
          <w:tcPr>
            <w:tcW w:w="1140" w:type="dxa"/>
            <w:tcBorders>
              <w:top w:val="nil"/>
              <w:left w:val="single" w:sz="12" w:space="0" w:color="000080"/>
              <w:bottom w:val="nil"/>
              <w:right w:val="nil"/>
            </w:tcBorders>
            <w:shd w:val="clear" w:color="auto" w:fill="auto"/>
          </w:tcPr>
          <w:p w:rsidR="0022604A" w:rsidRPr="00BD3F5C" w:rsidRDefault="0022604A" w:rsidP="009958B0">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22604A" w:rsidRPr="00BD3F5C" w:rsidRDefault="0022604A" w:rsidP="009958B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22604A" w:rsidRPr="00D069F2" w:rsidTr="009958B0">
        <w:tc>
          <w:tcPr>
            <w:tcW w:w="1140" w:type="dxa"/>
            <w:tcBorders>
              <w:top w:val="nil"/>
              <w:left w:val="single" w:sz="12" w:space="0" w:color="000080"/>
              <w:bottom w:val="nil"/>
              <w:right w:val="nil"/>
            </w:tcBorders>
            <w:shd w:val="clear" w:color="auto" w:fill="auto"/>
          </w:tcPr>
          <w:p w:rsidR="0022604A" w:rsidRPr="00D069F2" w:rsidRDefault="0022604A" w:rsidP="009958B0">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22604A" w:rsidRPr="00D069F2" w:rsidRDefault="0022604A" w:rsidP="009958B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22604A" w:rsidRPr="008D3D8D" w:rsidTr="009958B0">
        <w:tc>
          <w:tcPr>
            <w:tcW w:w="1140" w:type="dxa"/>
            <w:tcBorders>
              <w:top w:val="nil"/>
              <w:left w:val="single" w:sz="12" w:space="0" w:color="000080"/>
              <w:bottom w:val="nil"/>
              <w:right w:val="nil"/>
            </w:tcBorders>
            <w:shd w:val="clear" w:color="auto" w:fill="auto"/>
          </w:tcPr>
          <w:p w:rsidR="0022604A" w:rsidRPr="008D3D8D" w:rsidRDefault="0022604A" w:rsidP="009958B0">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22604A" w:rsidRPr="008D3D8D" w:rsidRDefault="0022604A" w:rsidP="009958B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22604A" w:rsidRPr="002D77AF" w:rsidTr="009958B0">
        <w:tc>
          <w:tcPr>
            <w:tcW w:w="1140" w:type="dxa"/>
            <w:tcBorders>
              <w:top w:val="nil"/>
              <w:left w:val="single" w:sz="12" w:space="0" w:color="000080"/>
              <w:bottom w:val="nil"/>
              <w:right w:val="nil"/>
            </w:tcBorders>
            <w:shd w:val="clear" w:color="auto" w:fill="auto"/>
          </w:tcPr>
          <w:p w:rsidR="0022604A" w:rsidRPr="002D77AF" w:rsidRDefault="0022604A" w:rsidP="009958B0">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22604A" w:rsidRPr="002D77AF" w:rsidRDefault="0022604A" w:rsidP="009958B0">
            <w:pPr>
              <w:spacing w:before="30" w:after="30"/>
              <w:jc w:val="left"/>
              <w:rPr>
                <w:sz w:val="20"/>
                <w:lang w:val="fr-CH"/>
              </w:rPr>
            </w:pPr>
            <w:r w:rsidRPr="002D77AF">
              <w:rPr>
                <w:sz w:val="20"/>
                <w:lang w:val="fr-CH"/>
              </w:rPr>
              <w:t>Radiowave propagation</w:t>
            </w:r>
          </w:p>
        </w:tc>
      </w:tr>
      <w:tr w:rsidR="0022604A" w:rsidRPr="003B4EE8" w:rsidTr="009958B0">
        <w:tc>
          <w:tcPr>
            <w:tcW w:w="1140" w:type="dxa"/>
            <w:tcBorders>
              <w:top w:val="nil"/>
              <w:left w:val="single" w:sz="12" w:space="0" w:color="000080"/>
              <w:bottom w:val="nil"/>
              <w:right w:val="nil"/>
            </w:tcBorders>
            <w:shd w:val="clear" w:color="auto" w:fill="auto"/>
          </w:tcPr>
          <w:p w:rsidR="0022604A" w:rsidRPr="003B4EE8" w:rsidRDefault="0022604A" w:rsidP="009958B0">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22604A" w:rsidRPr="003B4EE8" w:rsidRDefault="0022604A" w:rsidP="009958B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22604A" w:rsidRPr="00CB1116" w:rsidTr="009958B0">
        <w:tc>
          <w:tcPr>
            <w:tcW w:w="1140" w:type="dxa"/>
            <w:tcBorders>
              <w:top w:val="nil"/>
              <w:left w:val="single" w:sz="12" w:space="0" w:color="000080"/>
              <w:bottom w:val="nil"/>
              <w:right w:val="nil"/>
            </w:tcBorders>
            <w:shd w:val="clear" w:color="auto" w:fill="auto"/>
          </w:tcPr>
          <w:p w:rsidR="0022604A" w:rsidRPr="00CB1116" w:rsidRDefault="0022604A" w:rsidP="009958B0">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22604A" w:rsidRPr="00CB1116" w:rsidRDefault="0022604A" w:rsidP="009958B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22604A" w:rsidRPr="00C114A7" w:rsidTr="009958B0">
        <w:tc>
          <w:tcPr>
            <w:tcW w:w="1140" w:type="dxa"/>
            <w:tcBorders>
              <w:top w:val="nil"/>
              <w:left w:val="single" w:sz="12" w:space="0" w:color="000080"/>
              <w:bottom w:val="nil"/>
              <w:right w:val="nil"/>
            </w:tcBorders>
            <w:shd w:val="clear" w:color="auto" w:fill="auto"/>
          </w:tcPr>
          <w:p w:rsidR="0022604A" w:rsidRPr="00C114A7" w:rsidRDefault="0022604A" w:rsidP="009958B0">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22604A" w:rsidRPr="00C114A7" w:rsidRDefault="0022604A" w:rsidP="009958B0">
            <w:pPr>
              <w:spacing w:before="30" w:after="30"/>
              <w:jc w:val="left"/>
              <w:rPr>
                <w:sz w:val="20"/>
                <w:lang w:val="en-US"/>
              </w:rPr>
            </w:pPr>
            <w:r w:rsidRPr="00C114A7">
              <w:rPr>
                <w:sz w:val="20"/>
                <w:lang w:val="en-US"/>
              </w:rPr>
              <w:t>Fixed</w:t>
            </w:r>
            <w:r>
              <w:rPr>
                <w:sz w:val="20"/>
                <w:lang w:val="en-US"/>
              </w:rPr>
              <w:t>-</w:t>
            </w:r>
            <w:r w:rsidRPr="00C114A7">
              <w:rPr>
                <w:sz w:val="20"/>
                <w:lang w:val="en-US"/>
              </w:rPr>
              <w:t>satellite service</w:t>
            </w:r>
          </w:p>
        </w:tc>
      </w:tr>
      <w:tr w:rsidR="0022604A" w:rsidRPr="00C114A7" w:rsidTr="009958B0">
        <w:tc>
          <w:tcPr>
            <w:tcW w:w="1140" w:type="dxa"/>
            <w:tcBorders>
              <w:top w:val="nil"/>
              <w:left w:val="single" w:sz="12" w:space="0" w:color="000080"/>
              <w:bottom w:val="nil"/>
              <w:right w:val="nil"/>
            </w:tcBorders>
            <w:shd w:val="clear" w:color="auto" w:fill="F3F3F3"/>
          </w:tcPr>
          <w:p w:rsidR="0022604A" w:rsidRPr="00C114A7" w:rsidRDefault="0022604A" w:rsidP="009958B0">
            <w:pPr>
              <w:spacing w:before="30" w:after="30"/>
              <w:ind w:left="57"/>
              <w:jc w:val="left"/>
              <w:rPr>
                <w:b/>
                <w:bCs/>
                <w:color w:val="000080"/>
                <w:sz w:val="20"/>
                <w:lang w:val="en-US"/>
              </w:rPr>
            </w:pPr>
            <w:r w:rsidRPr="00C114A7">
              <w:rPr>
                <w:b/>
                <w:bCs/>
                <w:color w:val="000080"/>
                <w:sz w:val="20"/>
                <w:lang w:val="en-US"/>
              </w:rPr>
              <w:t>SA</w:t>
            </w:r>
          </w:p>
        </w:tc>
        <w:tc>
          <w:tcPr>
            <w:tcW w:w="8220" w:type="dxa"/>
            <w:tcBorders>
              <w:top w:val="nil"/>
              <w:left w:val="nil"/>
              <w:bottom w:val="nil"/>
              <w:right w:val="single" w:sz="12" w:space="0" w:color="000080"/>
            </w:tcBorders>
            <w:shd w:val="clear" w:color="auto" w:fill="F3F3F3"/>
          </w:tcPr>
          <w:p w:rsidR="0022604A" w:rsidRPr="00C114A7" w:rsidRDefault="0022604A" w:rsidP="009958B0">
            <w:pPr>
              <w:spacing w:before="30" w:after="30"/>
              <w:jc w:val="left"/>
              <w:rPr>
                <w:b/>
                <w:bCs/>
                <w:color w:val="000080"/>
                <w:sz w:val="20"/>
                <w:lang w:val="en-US"/>
              </w:rPr>
            </w:pPr>
            <w:r w:rsidRPr="00C114A7">
              <w:rPr>
                <w:b/>
                <w:bCs/>
                <w:color w:val="000080"/>
                <w:sz w:val="20"/>
                <w:lang w:val="en-US"/>
              </w:rPr>
              <w:t>Space applications and meteorology</w:t>
            </w:r>
          </w:p>
        </w:tc>
      </w:tr>
      <w:tr w:rsidR="0022604A" w:rsidRPr="00B5710B" w:rsidTr="009958B0">
        <w:tc>
          <w:tcPr>
            <w:tcW w:w="1140" w:type="dxa"/>
            <w:tcBorders>
              <w:top w:val="nil"/>
              <w:left w:val="single" w:sz="12" w:space="0" w:color="000080"/>
              <w:bottom w:val="nil"/>
              <w:right w:val="nil"/>
            </w:tcBorders>
          </w:tcPr>
          <w:p w:rsidR="0022604A" w:rsidRDefault="0022604A" w:rsidP="009958B0">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22604A" w:rsidRDefault="0022604A" w:rsidP="009958B0">
            <w:pPr>
              <w:spacing w:before="30" w:after="30"/>
              <w:jc w:val="left"/>
              <w:rPr>
                <w:sz w:val="20"/>
                <w:lang w:val="en-US"/>
              </w:rPr>
            </w:pPr>
            <w:r>
              <w:rPr>
                <w:sz w:val="20"/>
                <w:lang w:val="en-US"/>
              </w:rPr>
              <w:t>Frequency sharing and coordination between fixed-satellite and fixed service systems</w:t>
            </w:r>
          </w:p>
        </w:tc>
      </w:tr>
      <w:tr w:rsidR="0022604A" w:rsidTr="009958B0">
        <w:tc>
          <w:tcPr>
            <w:tcW w:w="1140" w:type="dxa"/>
            <w:tcBorders>
              <w:top w:val="nil"/>
              <w:left w:val="single" w:sz="12" w:space="0" w:color="000080"/>
              <w:bottom w:val="single" w:sz="12" w:space="0" w:color="000080"/>
              <w:right w:val="nil"/>
            </w:tcBorders>
          </w:tcPr>
          <w:p w:rsidR="0022604A" w:rsidRDefault="0022604A" w:rsidP="009958B0">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22604A" w:rsidRDefault="0022604A" w:rsidP="009958B0">
            <w:pPr>
              <w:spacing w:before="30" w:after="180"/>
              <w:jc w:val="left"/>
              <w:rPr>
                <w:sz w:val="20"/>
                <w:lang w:val="en-US"/>
              </w:rPr>
            </w:pPr>
            <w:r>
              <w:rPr>
                <w:sz w:val="20"/>
                <w:lang w:val="en-US"/>
              </w:rPr>
              <w:t>Spectrum management</w:t>
            </w:r>
          </w:p>
        </w:tc>
      </w:tr>
    </w:tbl>
    <w:p w:rsidR="0022604A" w:rsidRDefault="0022604A" w:rsidP="0022604A">
      <w:pPr>
        <w:spacing w:before="30" w:after="30"/>
        <w:jc w:val="center"/>
        <w:rPr>
          <w:sz w:val="20"/>
          <w:lang w:val="en-US"/>
        </w:rPr>
      </w:pPr>
    </w:p>
    <w:tbl>
      <w:tblPr>
        <w:tblpPr w:leftFromText="180" w:rightFromText="180" w:vertAnchor="text" w:tblpX="-5771" w:tblpY="-4031"/>
        <w:tblW w:w="0" w:type="auto"/>
        <w:tblLook w:val="0000"/>
      </w:tblPr>
      <w:tblGrid>
        <w:gridCol w:w="720"/>
      </w:tblGrid>
      <w:tr w:rsidR="0022604A" w:rsidTr="009958B0">
        <w:tc>
          <w:tcPr>
            <w:tcW w:w="720" w:type="dxa"/>
          </w:tcPr>
          <w:p w:rsidR="0022604A" w:rsidRDefault="0022604A" w:rsidP="009958B0">
            <w:pPr>
              <w:jc w:val="center"/>
              <w:rPr>
                <w:sz w:val="22"/>
                <w:lang w:val="en-US"/>
              </w:rPr>
            </w:pPr>
          </w:p>
        </w:tc>
      </w:tr>
    </w:tbl>
    <w:p w:rsidR="0022604A" w:rsidRDefault="0022604A" w:rsidP="0022604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22604A" w:rsidRPr="00B5710B" w:rsidTr="009958B0">
        <w:tc>
          <w:tcPr>
            <w:tcW w:w="9360" w:type="dxa"/>
            <w:tcBorders>
              <w:top w:val="single" w:sz="12" w:space="0" w:color="000080"/>
              <w:left w:val="single" w:sz="12" w:space="0" w:color="000080"/>
              <w:bottom w:val="single" w:sz="12" w:space="0" w:color="000080"/>
              <w:right w:val="single" w:sz="12" w:space="0" w:color="000080"/>
            </w:tcBorders>
          </w:tcPr>
          <w:p w:rsidR="0022604A" w:rsidRPr="00EF1E72" w:rsidRDefault="0022604A" w:rsidP="009958B0">
            <w:pPr>
              <w:spacing w:after="120"/>
              <w:jc w:val="left"/>
              <w:rPr>
                <w:b/>
                <w:bCs/>
                <w:sz w:val="20"/>
                <w:lang w:val="en-US"/>
              </w:rPr>
            </w:pPr>
            <w:r w:rsidRPr="00EF1E72">
              <w:rPr>
                <w:i/>
                <w:iCs/>
                <w:sz w:val="20"/>
                <w:lang w:val="en-US"/>
              </w:rPr>
              <w:t xml:space="preserve">            </w:t>
            </w:r>
            <w:r w:rsidRPr="00EF1E72">
              <w:rPr>
                <w:b/>
                <w:bCs/>
                <w:i/>
                <w:iCs/>
                <w:sz w:val="20"/>
                <w:lang w:val="en-US"/>
              </w:rPr>
              <w:t>Note</w:t>
            </w:r>
            <w:r w:rsidRPr="00EF1E72">
              <w:rPr>
                <w:i/>
                <w:iCs/>
                <w:sz w:val="20"/>
                <w:lang w:val="en-US"/>
              </w:rPr>
              <w:t xml:space="preserve">: This ITU-R Report was approved in English by the Study Group under the procedure detailed </w:t>
            </w:r>
            <w:r w:rsidRPr="00EF1E72">
              <w:rPr>
                <w:i/>
                <w:iCs/>
                <w:sz w:val="20"/>
                <w:lang w:val="en-US"/>
              </w:rPr>
              <w:br/>
              <w:t xml:space="preserve">            in Resolution  ITU-R 1.</w:t>
            </w:r>
          </w:p>
        </w:tc>
      </w:tr>
    </w:tbl>
    <w:p w:rsidR="0022604A" w:rsidRDefault="0022604A" w:rsidP="0022604A">
      <w:pPr>
        <w:spacing w:before="0"/>
        <w:jc w:val="center"/>
        <w:rPr>
          <w:sz w:val="22"/>
          <w:lang w:val="en-US"/>
        </w:rPr>
      </w:pPr>
    </w:p>
    <w:p w:rsidR="0022604A" w:rsidRDefault="0022604A" w:rsidP="0022604A">
      <w:pPr>
        <w:spacing w:before="0"/>
        <w:jc w:val="center"/>
        <w:rPr>
          <w:sz w:val="22"/>
          <w:lang w:val="en-US"/>
        </w:rPr>
      </w:pPr>
    </w:p>
    <w:p w:rsidR="0022604A" w:rsidRDefault="0022604A" w:rsidP="0022604A">
      <w:pPr>
        <w:spacing w:before="0"/>
        <w:jc w:val="right"/>
        <w:rPr>
          <w:i/>
          <w:iCs/>
          <w:sz w:val="20"/>
          <w:lang w:val="en-US"/>
        </w:rPr>
      </w:pPr>
      <w:r>
        <w:rPr>
          <w:i/>
          <w:iCs/>
          <w:sz w:val="20"/>
          <w:lang w:val="en-US"/>
        </w:rPr>
        <w:t>Electronic Publication</w:t>
      </w:r>
    </w:p>
    <w:p w:rsidR="0022604A" w:rsidRDefault="0022604A" w:rsidP="0022604A">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2010</w:t>
      </w:r>
    </w:p>
    <w:p w:rsidR="0022604A" w:rsidRDefault="0022604A" w:rsidP="0022604A">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2010</w:t>
      </w:r>
    </w:p>
    <w:p w:rsidR="0022604A" w:rsidRDefault="0022604A" w:rsidP="0022604A">
      <w:pPr>
        <w:rPr>
          <w:sz w:val="18"/>
          <w:szCs w:val="18"/>
          <w:lang w:val="en-US"/>
        </w:rPr>
      </w:pPr>
      <w:r>
        <w:rPr>
          <w:sz w:val="18"/>
          <w:szCs w:val="18"/>
          <w:lang w:val="en-US"/>
        </w:rPr>
        <w:t>All rights reserved. No part of this publication may be reproduced, by any means whatsoever, without written permission of ITU.</w:t>
      </w:r>
    </w:p>
    <w:p w:rsidR="0022604A" w:rsidRDefault="0022604A" w:rsidP="0022604A">
      <w:pPr>
        <w:tabs>
          <w:tab w:val="clear" w:pos="794"/>
          <w:tab w:val="clear" w:pos="1191"/>
          <w:tab w:val="clear" w:pos="1588"/>
          <w:tab w:val="clear" w:pos="1985"/>
        </w:tabs>
        <w:overflowPunct/>
        <w:autoSpaceDE/>
        <w:autoSpaceDN/>
        <w:adjustRightInd/>
        <w:spacing w:before="0"/>
        <w:jc w:val="left"/>
        <w:rPr>
          <w:i/>
          <w:sz w:val="20"/>
          <w:lang w:val="en-US"/>
        </w:rPr>
        <w:sectPr w:rsidR="0022604A">
          <w:pgSz w:w="11907" w:h="16834"/>
          <w:pgMar w:top="1418" w:right="1134" w:bottom="1134" w:left="1134" w:header="720" w:footer="482" w:gutter="0"/>
          <w:paperSrc w:first="15" w:other="15"/>
          <w:pgNumType w:fmt="lowerRoman" w:start="2"/>
          <w:cols w:space="720"/>
        </w:sectPr>
      </w:pPr>
    </w:p>
    <w:p w:rsidR="007B7775" w:rsidRPr="00BC4BDE" w:rsidRDefault="007B7775" w:rsidP="007B7775">
      <w:pPr>
        <w:pStyle w:val="RecNo"/>
        <w:spacing w:before="0"/>
        <w:rPr>
          <w:lang w:val="en-US"/>
        </w:rPr>
      </w:pPr>
      <w:bookmarkStart w:id="4" w:name="irecnoe"/>
      <w:bookmarkEnd w:id="4"/>
      <w:r w:rsidRPr="00BC4BDE">
        <w:rPr>
          <w:lang w:val="en-US"/>
        </w:rPr>
        <w:lastRenderedPageBreak/>
        <w:t xml:space="preserve">REPORT  </w:t>
      </w:r>
      <w:r w:rsidR="00775BF1" w:rsidRPr="00BC4BDE">
        <w:rPr>
          <w:rStyle w:val="href"/>
          <w:lang w:val="en-US"/>
        </w:rPr>
        <w:t xml:space="preserve">ITU-R  </w:t>
      </w:r>
      <w:r w:rsidRPr="00BC4BDE">
        <w:rPr>
          <w:rStyle w:val="href"/>
          <w:lang w:val="en-US"/>
        </w:rPr>
        <w:t>SA.2067</w:t>
      </w:r>
    </w:p>
    <w:p w:rsidR="007B7775" w:rsidRPr="004C0A79" w:rsidRDefault="007B7775" w:rsidP="007B7775">
      <w:pPr>
        <w:pStyle w:val="Reptitle"/>
        <w:rPr>
          <w:lang w:val="en-US"/>
        </w:rPr>
      </w:pPr>
      <w:r w:rsidRPr="004C0A79">
        <w:rPr>
          <w:lang w:val="en-US"/>
        </w:rPr>
        <w:t>Use of the 13.75 to 14.0 GHz band by the space research service</w:t>
      </w:r>
      <w:r w:rsidRPr="004C0A79">
        <w:rPr>
          <w:lang w:val="en-US"/>
        </w:rPr>
        <w:br/>
        <w:t>and the fixed-satellite service</w:t>
      </w:r>
    </w:p>
    <w:p w:rsidR="007B7775" w:rsidRPr="007B7775" w:rsidRDefault="007B7775" w:rsidP="007B7775">
      <w:pPr>
        <w:pStyle w:val="Repdate"/>
        <w:rPr>
          <w:lang w:val="en-US"/>
        </w:rPr>
      </w:pPr>
      <w:r w:rsidRPr="007B7775">
        <w:rPr>
          <w:lang w:val="en-US"/>
        </w:rPr>
        <w:t>(2005)</w:t>
      </w:r>
    </w:p>
    <w:p w:rsidR="007B7775" w:rsidRPr="007B7775" w:rsidRDefault="007B7775" w:rsidP="007B7775">
      <w:pPr>
        <w:spacing w:before="240"/>
        <w:jc w:val="center"/>
        <w:rPr>
          <w:lang w:val="en-US"/>
        </w:rPr>
      </w:pPr>
      <w:r w:rsidRPr="007B7775">
        <w:rPr>
          <w:lang w:val="en-US"/>
        </w:rPr>
        <w:t>CONTENTS</w:t>
      </w:r>
    </w:p>
    <w:p w:rsidR="00BC4BDE" w:rsidRPr="00BC4BDE" w:rsidRDefault="00BC4BDE" w:rsidP="00BC4BDE">
      <w:pPr>
        <w:pStyle w:val="toc0"/>
        <w:ind w:right="992"/>
        <w:rPr>
          <w:noProof/>
          <w:lang w:val="en-US"/>
        </w:rPr>
      </w:pPr>
      <w:bookmarkStart w:id="5" w:name="_Toc84242619"/>
      <w:bookmarkStart w:id="6" w:name="_Toc224981448"/>
      <w:r>
        <w:rPr>
          <w:lang w:val="en-US"/>
        </w:rPr>
        <w:tab/>
        <w:t>Page</w:t>
      </w:r>
    </w:p>
    <w:p w:rsidR="00BC4BDE" w:rsidRDefault="00BC4BDE" w:rsidP="00BC4BDE">
      <w:pPr>
        <w:pStyle w:val="TOC1"/>
        <w:ind w:right="992"/>
        <w:rPr>
          <w:rFonts w:ascii="Calibri" w:eastAsia="SimSun" w:hAnsi="Calibri" w:cs="Arial"/>
          <w:noProof/>
          <w:sz w:val="22"/>
          <w:szCs w:val="22"/>
          <w:lang w:eastAsia="zh-CN"/>
        </w:rPr>
      </w:pPr>
      <w:r w:rsidRPr="00031FDD">
        <w:rPr>
          <w:noProof/>
        </w:rPr>
        <w:t>1</w:t>
      </w:r>
      <w:r>
        <w:rPr>
          <w:rFonts w:ascii="Calibri" w:eastAsia="SimSun" w:hAnsi="Calibri" w:cs="Arial"/>
          <w:noProof/>
          <w:sz w:val="22"/>
          <w:szCs w:val="22"/>
          <w:lang w:eastAsia="zh-CN"/>
        </w:rPr>
        <w:tab/>
      </w:r>
      <w:r w:rsidRPr="00BC4BDE">
        <w:rPr>
          <w:noProof/>
        </w:rPr>
        <w:t>Introduction</w:t>
      </w:r>
      <w:r>
        <w:rPr>
          <w:noProof/>
        </w:rPr>
        <w:tab/>
      </w:r>
      <w:r>
        <w:rPr>
          <w:noProof/>
        </w:rPr>
        <w:tab/>
        <w:t>2</w:t>
      </w:r>
    </w:p>
    <w:p w:rsidR="00BC4BDE" w:rsidRDefault="00BC4BDE" w:rsidP="00BC4BDE">
      <w:pPr>
        <w:pStyle w:val="TOC1"/>
        <w:ind w:right="992"/>
        <w:rPr>
          <w:rFonts w:ascii="Calibri" w:eastAsia="SimSun" w:hAnsi="Calibri" w:cs="Arial"/>
          <w:noProof/>
          <w:sz w:val="22"/>
          <w:szCs w:val="22"/>
          <w:lang w:eastAsia="zh-CN"/>
        </w:rPr>
      </w:pPr>
      <w:r w:rsidRPr="00031FDD">
        <w:rPr>
          <w:noProof/>
        </w:rPr>
        <w:t>2</w:t>
      </w:r>
      <w:r>
        <w:rPr>
          <w:rFonts w:ascii="Calibri" w:eastAsia="SimSun" w:hAnsi="Calibri" w:cs="Arial"/>
          <w:noProof/>
          <w:sz w:val="22"/>
          <w:szCs w:val="22"/>
          <w:lang w:eastAsia="zh-CN"/>
        </w:rPr>
        <w:tab/>
      </w:r>
      <w:r w:rsidRPr="00031FDD">
        <w:rPr>
          <w:noProof/>
        </w:rPr>
        <w:t xml:space="preserve">Use of the 13.75-14.0 GHz band by data relay satellite systems of the space research </w:t>
      </w:r>
      <w:r w:rsidRPr="00BC4BDE">
        <w:rPr>
          <w:noProof/>
        </w:rPr>
        <w:t>service</w:t>
      </w:r>
      <w:r>
        <w:rPr>
          <w:noProof/>
        </w:rPr>
        <w:tab/>
      </w:r>
      <w:r>
        <w:rPr>
          <w:noProof/>
        </w:rPr>
        <w:tab/>
        <w:t>2</w:t>
      </w:r>
    </w:p>
    <w:p w:rsidR="00BC4BDE" w:rsidRDefault="00BC4BDE" w:rsidP="006D69F1">
      <w:pPr>
        <w:pStyle w:val="TOC2"/>
        <w:ind w:right="992"/>
        <w:rPr>
          <w:rFonts w:ascii="Calibri" w:eastAsia="SimSun" w:hAnsi="Calibri" w:cs="Arial"/>
          <w:noProof/>
          <w:sz w:val="22"/>
          <w:szCs w:val="22"/>
          <w:lang w:eastAsia="zh-CN"/>
        </w:rPr>
      </w:pPr>
      <w:r w:rsidRPr="00031FDD">
        <w:rPr>
          <w:noProof/>
        </w:rPr>
        <w:t>2.</w:t>
      </w:r>
      <w:r w:rsidR="006D69F1">
        <w:rPr>
          <w:noProof/>
        </w:rPr>
        <w:t>1</w:t>
      </w:r>
      <w:r>
        <w:rPr>
          <w:rFonts w:ascii="Calibri" w:eastAsia="SimSun" w:hAnsi="Calibri" w:cs="Arial"/>
          <w:noProof/>
          <w:sz w:val="22"/>
          <w:szCs w:val="22"/>
          <w:lang w:eastAsia="zh-CN"/>
        </w:rPr>
        <w:tab/>
      </w:r>
      <w:r w:rsidRPr="00031FDD">
        <w:rPr>
          <w:noProof/>
        </w:rPr>
        <w:t xml:space="preserve">Data relay satellite </w:t>
      </w:r>
      <w:r w:rsidRPr="00BC4BDE">
        <w:rPr>
          <w:noProof/>
        </w:rPr>
        <w:t>networks</w:t>
      </w:r>
      <w:r>
        <w:rPr>
          <w:noProof/>
        </w:rPr>
        <w:tab/>
      </w:r>
      <w:r>
        <w:rPr>
          <w:noProof/>
        </w:rPr>
        <w:tab/>
        <w:t>2</w:t>
      </w:r>
    </w:p>
    <w:p w:rsidR="00BC4BDE" w:rsidRDefault="00BC4BDE" w:rsidP="006D69F1">
      <w:pPr>
        <w:pStyle w:val="TOC3"/>
        <w:ind w:right="992"/>
        <w:rPr>
          <w:rFonts w:ascii="Calibri" w:eastAsia="SimSun" w:hAnsi="Calibri" w:cs="Arial"/>
          <w:noProof/>
          <w:sz w:val="22"/>
          <w:szCs w:val="22"/>
          <w:lang w:eastAsia="zh-CN"/>
        </w:rPr>
      </w:pPr>
      <w:r w:rsidRPr="00031FDD">
        <w:rPr>
          <w:noProof/>
        </w:rPr>
        <w:t>2.</w:t>
      </w:r>
      <w:r w:rsidR="006D69F1">
        <w:rPr>
          <w:noProof/>
        </w:rPr>
        <w:t>1</w:t>
      </w:r>
      <w:r w:rsidRPr="00031FDD">
        <w:rPr>
          <w:noProof/>
        </w:rPr>
        <w:t>.1</w:t>
      </w:r>
      <w:r>
        <w:rPr>
          <w:rFonts w:ascii="Calibri" w:eastAsia="SimSun" w:hAnsi="Calibri" w:cs="Arial"/>
          <w:noProof/>
          <w:sz w:val="22"/>
          <w:szCs w:val="22"/>
          <w:lang w:eastAsia="zh-CN"/>
        </w:rPr>
        <w:tab/>
      </w:r>
      <w:r w:rsidRPr="00031FDD">
        <w:rPr>
          <w:noProof/>
        </w:rPr>
        <w:t xml:space="preserve">Use of the 13.75-14 GHz </w:t>
      </w:r>
      <w:r w:rsidRPr="00BC4BDE">
        <w:rPr>
          <w:noProof/>
        </w:rPr>
        <w:t>band</w:t>
      </w:r>
      <w:r>
        <w:rPr>
          <w:noProof/>
        </w:rPr>
        <w:tab/>
      </w:r>
      <w:r>
        <w:rPr>
          <w:noProof/>
        </w:rPr>
        <w:tab/>
        <w:t>2</w:t>
      </w:r>
    </w:p>
    <w:p w:rsidR="00BC4BDE" w:rsidRDefault="00BC4BDE" w:rsidP="006D69F1">
      <w:pPr>
        <w:pStyle w:val="TOC3"/>
        <w:ind w:right="992"/>
        <w:rPr>
          <w:rFonts w:ascii="Calibri" w:eastAsia="SimSun" w:hAnsi="Calibri" w:cs="Arial"/>
          <w:noProof/>
          <w:sz w:val="22"/>
          <w:szCs w:val="22"/>
          <w:lang w:eastAsia="zh-CN"/>
        </w:rPr>
      </w:pPr>
      <w:r w:rsidRPr="00031FDD">
        <w:rPr>
          <w:noProof/>
        </w:rPr>
        <w:t>2.</w:t>
      </w:r>
      <w:r w:rsidR="006D69F1">
        <w:rPr>
          <w:noProof/>
        </w:rPr>
        <w:t>1</w:t>
      </w:r>
      <w:r w:rsidRPr="00031FDD">
        <w:rPr>
          <w:noProof/>
        </w:rPr>
        <w:t>.2</w:t>
      </w:r>
      <w:r>
        <w:rPr>
          <w:rFonts w:ascii="Calibri" w:eastAsia="SimSun" w:hAnsi="Calibri" w:cs="Arial"/>
          <w:noProof/>
          <w:sz w:val="22"/>
          <w:szCs w:val="22"/>
          <w:lang w:eastAsia="zh-CN"/>
        </w:rPr>
        <w:tab/>
      </w:r>
      <w:r w:rsidRPr="00031FDD">
        <w:rPr>
          <w:noProof/>
        </w:rPr>
        <w:t xml:space="preserve">Bandwidth </w:t>
      </w:r>
      <w:r w:rsidRPr="00BC4BDE">
        <w:rPr>
          <w:noProof/>
        </w:rPr>
        <w:t>requirements</w:t>
      </w:r>
      <w:r>
        <w:rPr>
          <w:noProof/>
        </w:rPr>
        <w:tab/>
      </w:r>
      <w:r>
        <w:rPr>
          <w:noProof/>
        </w:rPr>
        <w:tab/>
        <w:t>4</w:t>
      </w:r>
    </w:p>
    <w:p w:rsidR="00BC4BDE" w:rsidRDefault="00BC4BDE" w:rsidP="00DC443B">
      <w:pPr>
        <w:pStyle w:val="TOC2"/>
        <w:ind w:right="992"/>
        <w:rPr>
          <w:rFonts w:ascii="Calibri" w:eastAsia="SimSun" w:hAnsi="Calibri" w:cs="Arial"/>
          <w:noProof/>
          <w:sz w:val="22"/>
          <w:szCs w:val="22"/>
          <w:lang w:eastAsia="zh-CN"/>
        </w:rPr>
      </w:pPr>
      <w:r w:rsidRPr="00031FDD">
        <w:rPr>
          <w:noProof/>
        </w:rPr>
        <w:t>2.</w:t>
      </w:r>
      <w:r w:rsidR="00DC443B">
        <w:rPr>
          <w:noProof/>
        </w:rPr>
        <w:t>2</w:t>
      </w:r>
      <w:r>
        <w:rPr>
          <w:rFonts w:ascii="Calibri" w:eastAsia="SimSun" w:hAnsi="Calibri" w:cs="Arial"/>
          <w:noProof/>
          <w:sz w:val="22"/>
          <w:szCs w:val="22"/>
          <w:lang w:eastAsia="zh-CN"/>
        </w:rPr>
        <w:tab/>
      </w:r>
      <w:r w:rsidRPr="00031FDD">
        <w:rPr>
          <w:noProof/>
        </w:rPr>
        <w:t xml:space="preserve">Summary and </w:t>
      </w:r>
      <w:r w:rsidRPr="00BC4BDE">
        <w:rPr>
          <w:noProof/>
        </w:rPr>
        <w:t>conclusions</w:t>
      </w:r>
      <w:r>
        <w:rPr>
          <w:noProof/>
        </w:rPr>
        <w:tab/>
      </w:r>
      <w:r>
        <w:rPr>
          <w:noProof/>
        </w:rPr>
        <w:tab/>
        <w:t>4</w:t>
      </w:r>
    </w:p>
    <w:p w:rsidR="00BC4BDE" w:rsidRDefault="00BC4BDE" w:rsidP="00BC4BDE">
      <w:pPr>
        <w:pStyle w:val="TOC1"/>
        <w:ind w:right="992"/>
        <w:rPr>
          <w:rFonts w:ascii="Calibri" w:eastAsia="SimSun" w:hAnsi="Calibri" w:cs="Arial"/>
          <w:noProof/>
          <w:sz w:val="22"/>
          <w:szCs w:val="22"/>
          <w:lang w:eastAsia="zh-CN"/>
        </w:rPr>
      </w:pPr>
      <w:r w:rsidRPr="00031FDD">
        <w:rPr>
          <w:noProof/>
        </w:rPr>
        <w:t>3</w:t>
      </w:r>
      <w:r>
        <w:rPr>
          <w:rFonts w:ascii="Calibri" w:eastAsia="SimSun" w:hAnsi="Calibri" w:cs="Arial"/>
          <w:noProof/>
          <w:sz w:val="22"/>
          <w:szCs w:val="22"/>
          <w:lang w:eastAsia="zh-CN"/>
        </w:rPr>
        <w:tab/>
      </w:r>
      <w:r w:rsidRPr="00031FDD">
        <w:rPr>
          <w:noProof/>
        </w:rPr>
        <w:t>Permissible levels of interference in data relay satellite systems that use the 13.75</w:t>
      </w:r>
      <w:r w:rsidRPr="00031FDD">
        <w:rPr>
          <w:noProof/>
        </w:rPr>
        <w:noBreakHyphen/>
        <w:t xml:space="preserve">14 GHz </w:t>
      </w:r>
      <w:r w:rsidRPr="00BC4BDE">
        <w:rPr>
          <w:noProof/>
        </w:rPr>
        <w:t>band</w:t>
      </w:r>
      <w:r>
        <w:rPr>
          <w:noProof/>
        </w:rPr>
        <w:tab/>
      </w:r>
      <w:r>
        <w:rPr>
          <w:noProof/>
        </w:rPr>
        <w:tab/>
        <w:t>4</w:t>
      </w:r>
    </w:p>
    <w:p w:rsidR="00BC4BDE" w:rsidRDefault="00BC4BDE" w:rsidP="00BC4BDE">
      <w:pPr>
        <w:pStyle w:val="TOC2"/>
        <w:ind w:right="992"/>
        <w:rPr>
          <w:rFonts w:ascii="Calibri" w:eastAsia="SimSun" w:hAnsi="Calibri" w:cs="Arial"/>
          <w:noProof/>
          <w:sz w:val="22"/>
          <w:szCs w:val="22"/>
          <w:lang w:eastAsia="zh-CN"/>
        </w:rPr>
      </w:pPr>
      <w:r w:rsidRPr="00031FDD">
        <w:rPr>
          <w:noProof/>
        </w:rPr>
        <w:t>3.1</w:t>
      </w:r>
      <w:r>
        <w:rPr>
          <w:rFonts w:ascii="Calibri" w:eastAsia="SimSun" w:hAnsi="Calibri" w:cs="Arial"/>
          <w:noProof/>
          <w:sz w:val="22"/>
          <w:szCs w:val="22"/>
          <w:lang w:eastAsia="zh-CN"/>
        </w:rPr>
        <w:tab/>
      </w:r>
      <w:r w:rsidRPr="00031FDD">
        <w:rPr>
          <w:noProof/>
        </w:rPr>
        <w:t xml:space="preserve">Protection criteria for data relay satellite </w:t>
      </w:r>
      <w:r w:rsidRPr="00BC4BDE">
        <w:rPr>
          <w:noProof/>
        </w:rPr>
        <w:t>systems</w:t>
      </w:r>
      <w:r>
        <w:rPr>
          <w:noProof/>
        </w:rPr>
        <w:tab/>
      </w:r>
      <w:r>
        <w:rPr>
          <w:noProof/>
        </w:rPr>
        <w:tab/>
        <w:t>4</w:t>
      </w:r>
    </w:p>
    <w:p w:rsidR="00BC4BDE" w:rsidRDefault="00BC4BDE" w:rsidP="00BC4BDE">
      <w:pPr>
        <w:pStyle w:val="TOC2"/>
        <w:ind w:right="992"/>
        <w:rPr>
          <w:rFonts w:ascii="Calibri" w:eastAsia="SimSun" w:hAnsi="Calibri" w:cs="Arial"/>
          <w:noProof/>
          <w:sz w:val="22"/>
          <w:szCs w:val="22"/>
          <w:lang w:eastAsia="zh-CN"/>
        </w:rPr>
      </w:pPr>
      <w:r w:rsidRPr="00031FDD">
        <w:rPr>
          <w:noProof/>
        </w:rPr>
        <w:t>3.2</w:t>
      </w:r>
      <w:r>
        <w:rPr>
          <w:rFonts w:ascii="Calibri" w:eastAsia="SimSun" w:hAnsi="Calibri" w:cs="Arial"/>
          <w:noProof/>
          <w:sz w:val="22"/>
          <w:szCs w:val="22"/>
          <w:lang w:eastAsia="zh-CN"/>
        </w:rPr>
        <w:tab/>
      </w:r>
      <w:r w:rsidRPr="00031FDD">
        <w:rPr>
          <w:noProof/>
        </w:rPr>
        <w:t xml:space="preserve">Characterization of interference to the international space station (ISS) from the emissions of a global deployment of FSS GSO earth </w:t>
      </w:r>
      <w:r w:rsidRPr="00BC4BDE">
        <w:rPr>
          <w:noProof/>
        </w:rPr>
        <w:t>stations</w:t>
      </w:r>
      <w:r>
        <w:rPr>
          <w:noProof/>
        </w:rPr>
        <w:tab/>
      </w:r>
      <w:r>
        <w:rPr>
          <w:noProof/>
        </w:rPr>
        <w:tab/>
        <w:t>5</w:t>
      </w:r>
    </w:p>
    <w:p w:rsidR="00BC4BDE" w:rsidRDefault="00BC4BDE" w:rsidP="00BC4BDE">
      <w:pPr>
        <w:pStyle w:val="TOC3"/>
        <w:ind w:right="992"/>
        <w:rPr>
          <w:rFonts w:ascii="Calibri" w:eastAsia="SimSun" w:hAnsi="Calibri" w:cs="Arial"/>
          <w:noProof/>
          <w:sz w:val="22"/>
          <w:szCs w:val="22"/>
          <w:lang w:eastAsia="zh-CN"/>
        </w:rPr>
      </w:pPr>
      <w:r w:rsidRPr="00031FDD">
        <w:rPr>
          <w:noProof/>
        </w:rPr>
        <w:t>3.2.1</w:t>
      </w:r>
      <w:r>
        <w:rPr>
          <w:rFonts w:ascii="Calibri" w:eastAsia="SimSun" w:hAnsi="Calibri" w:cs="Arial"/>
          <w:noProof/>
          <w:sz w:val="22"/>
          <w:szCs w:val="22"/>
          <w:lang w:eastAsia="zh-CN"/>
        </w:rPr>
        <w:tab/>
      </w:r>
      <w:r w:rsidRPr="00031FDD">
        <w:rPr>
          <w:noProof/>
        </w:rPr>
        <w:t xml:space="preserve">FSS earth station </w:t>
      </w:r>
      <w:r w:rsidRPr="00BC4BDE">
        <w:rPr>
          <w:noProof/>
        </w:rPr>
        <w:t>characteristics</w:t>
      </w:r>
      <w:r>
        <w:rPr>
          <w:noProof/>
        </w:rPr>
        <w:tab/>
      </w:r>
      <w:r>
        <w:rPr>
          <w:noProof/>
        </w:rPr>
        <w:tab/>
        <w:t>5</w:t>
      </w:r>
    </w:p>
    <w:p w:rsidR="00BC4BDE" w:rsidRDefault="00BC4BDE" w:rsidP="00BC4BDE">
      <w:pPr>
        <w:pStyle w:val="TOC3"/>
        <w:ind w:right="992"/>
        <w:rPr>
          <w:rFonts w:ascii="Calibri" w:eastAsia="SimSun" w:hAnsi="Calibri" w:cs="Arial"/>
          <w:noProof/>
          <w:sz w:val="22"/>
          <w:szCs w:val="22"/>
          <w:lang w:eastAsia="zh-CN"/>
        </w:rPr>
      </w:pPr>
      <w:r w:rsidRPr="00031FDD">
        <w:rPr>
          <w:noProof/>
        </w:rPr>
        <w:t>3.2.2</w:t>
      </w:r>
      <w:r>
        <w:rPr>
          <w:rFonts w:ascii="Calibri" w:eastAsia="SimSun" w:hAnsi="Calibri" w:cs="Arial"/>
          <w:noProof/>
          <w:sz w:val="22"/>
          <w:szCs w:val="22"/>
          <w:lang w:eastAsia="zh-CN"/>
        </w:rPr>
        <w:tab/>
      </w:r>
      <w:r w:rsidRPr="00031FDD">
        <w:rPr>
          <w:noProof/>
        </w:rPr>
        <w:t xml:space="preserve">GSO satellite locations and </w:t>
      </w:r>
      <w:r w:rsidRPr="00BC4BDE">
        <w:rPr>
          <w:noProof/>
        </w:rPr>
        <w:t>distributions</w:t>
      </w:r>
      <w:r>
        <w:rPr>
          <w:noProof/>
        </w:rPr>
        <w:tab/>
      </w:r>
      <w:r>
        <w:rPr>
          <w:noProof/>
        </w:rPr>
        <w:tab/>
        <w:t>5</w:t>
      </w:r>
    </w:p>
    <w:p w:rsidR="00BC4BDE" w:rsidRDefault="00BC4BDE" w:rsidP="00BC4BDE">
      <w:pPr>
        <w:pStyle w:val="TOC3"/>
        <w:ind w:right="992"/>
        <w:rPr>
          <w:rFonts w:ascii="Calibri" w:eastAsia="SimSun" w:hAnsi="Calibri" w:cs="Arial"/>
          <w:noProof/>
          <w:sz w:val="22"/>
          <w:szCs w:val="22"/>
          <w:lang w:eastAsia="zh-CN"/>
        </w:rPr>
      </w:pPr>
      <w:r w:rsidRPr="00031FDD">
        <w:rPr>
          <w:noProof/>
        </w:rPr>
        <w:t>3.2.3</w:t>
      </w:r>
      <w:r>
        <w:rPr>
          <w:rFonts w:ascii="Calibri" w:eastAsia="SimSun" w:hAnsi="Calibri" w:cs="Arial"/>
          <w:noProof/>
          <w:sz w:val="22"/>
          <w:szCs w:val="22"/>
          <w:lang w:eastAsia="zh-CN"/>
        </w:rPr>
        <w:tab/>
      </w:r>
      <w:r w:rsidRPr="00031FDD">
        <w:rPr>
          <w:noProof/>
        </w:rPr>
        <w:t xml:space="preserve">Statistics of the interference to the </w:t>
      </w:r>
      <w:r w:rsidRPr="00BC4BDE">
        <w:rPr>
          <w:noProof/>
        </w:rPr>
        <w:t>ISS</w:t>
      </w:r>
      <w:r>
        <w:rPr>
          <w:noProof/>
        </w:rPr>
        <w:tab/>
      </w:r>
      <w:r>
        <w:rPr>
          <w:noProof/>
        </w:rPr>
        <w:tab/>
        <w:t>7</w:t>
      </w:r>
    </w:p>
    <w:p w:rsidR="00BC4BDE" w:rsidRDefault="00BC4BDE" w:rsidP="00BC4BDE">
      <w:pPr>
        <w:pStyle w:val="TOC3"/>
        <w:ind w:right="992"/>
        <w:rPr>
          <w:rFonts w:ascii="Calibri" w:eastAsia="SimSun" w:hAnsi="Calibri" w:cs="Arial"/>
          <w:noProof/>
          <w:sz w:val="22"/>
          <w:szCs w:val="22"/>
          <w:lang w:eastAsia="zh-CN"/>
        </w:rPr>
      </w:pPr>
      <w:r w:rsidRPr="00031FDD">
        <w:rPr>
          <w:noProof/>
        </w:rPr>
        <w:t>3.2.4</w:t>
      </w:r>
      <w:r>
        <w:rPr>
          <w:rFonts w:ascii="Calibri" w:eastAsia="SimSun" w:hAnsi="Calibri" w:cs="Arial"/>
          <w:noProof/>
          <w:sz w:val="22"/>
          <w:szCs w:val="22"/>
          <w:lang w:eastAsia="zh-CN"/>
        </w:rPr>
        <w:tab/>
      </w:r>
      <w:r w:rsidRPr="00031FDD">
        <w:rPr>
          <w:noProof/>
        </w:rPr>
        <w:t xml:space="preserve">Discussion of </w:t>
      </w:r>
      <w:r w:rsidRPr="00BC4BDE">
        <w:rPr>
          <w:noProof/>
        </w:rPr>
        <w:t>results</w:t>
      </w:r>
      <w:r>
        <w:rPr>
          <w:noProof/>
        </w:rPr>
        <w:tab/>
      </w:r>
      <w:r>
        <w:rPr>
          <w:noProof/>
        </w:rPr>
        <w:tab/>
        <w:t>9</w:t>
      </w:r>
    </w:p>
    <w:p w:rsidR="00BC4BDE" w:rsidRDefault="00BC4BDE" w:rsidP="00BC4BDE">
      <w:pPr>
        <w:pStyle w:val="TOC2"/>
        <w:ind w:right="992"/>
        <w:rPr>
          <w:rFonts w:ascii="Calibri" w:eastAsia="SimSun" w:hAnsi="Calibri" w:cs="Arial"/>
          <w:noProof/>
          <w:sz w:val="22"/>
          <w:szCs w:val="22"/>
          <w:lang w:eastAsia="zh-CN"/>
        </w:rPr>
      </w:pPr>
      <w:r w:rsidRPr="00031FDD">
        <w:rPr>
          <w:noProof/>
        </w:rPr>
        <w:t>3.3</w:t>
      </w:r>
      <w:r>
        <w:rPr>
          <w:rFonts w:ascii="Calibri" w:eastAsia="SimSun" w:hAnsi="Calibri" w:cs="Arial"/>
          <w:noProof/>
          <w:sz w:val="22"/>
          <w:szCs w:val="22"/>
          <w:lang w:eastAsia="zh-CN"/>
        </w:rPr>
        <w:tab/>
      </w:r>
      <w:r w:rsidRPr="00031FDD">
        <w:rPr>
          <w:noProof/>
        </w:rPr>
        <w:t xml:space="preserve">Derivation of FSS earth station e.i.r.p. density limits for the protection of international space station </w:t>
      </w:r>
      <w:r w:rsidRPr="00BC4BDE">
        <w:rPr>
          <w:noProof/>
        </w:rPr>
        <w:t>operations</w:t>
      </w:r>
      <w:r>
        <w:rPr>
          <w:noProof/>
        </w:rPr>
        <w:tab/>
      </w:r>
      <w:r>
        <w:rPr>
          <w:noProof/>
        </w:rPr>
        <w:tab/>
        <w:t>9</w:t>
      </w:r>
    </w:p>
    <w:p w:rsidR="00BC4BDE" w:rsidRDefault="00BC4BDE" w:rsidP="00BC4BDE">
      <w:pPr>
        <w:pStyle w:val="TOC3"/>
        <w:ind w:right="992"/>
        <w:rPr>
          <w:rFonts w:ascii="Calibri" w:eastAsia="SimSun" w:hAnsi="Calibri" w:cs="Arial"/>
          <w:noProof/>
          <w:sz w:val="22"/>
          <w:szCs w:val="22"/>
          <w:lang w:eastAsia="zh-CN"/>
        </w:rPr>
      </w:pPr>
      <w:r w:rsidRPr="00031FDD">
        <w:rPr>
          <w:noProof/>
        </w:rPr>
        <w:t>3.3.1</w:t>
      </w:r>
      <w:r>
        <w:rPr>
          <w:rFonts w:ascii="Calibri" w:eastAsia="SimSun" w:hAnsi="Calibri" w:cs="Arial"/>
          <w:noProof/>
          <w:sz w:val="22"/>
          <w:szCs w:val="22"/>
          <w:lang w:eastAsia="zh-CN"/>
        </w:rPr>
        <w:tab/>
      </w:r>
      <w:r w:rsidRPr="00031FDD">
        <w:rPr>
          <w:noProof/>
        </w:rPr>
        <w:t xml:space="preserve">International space station forward link system </w:t>
      </w:r>
      <w:r w:rsidRPr="00BC4BDE">
        <w:rPr>
          <w:noProof/>
        </w:rPr>
        <w:t>parameters</w:t>
      </w:r>
      <w:r>
        <w:rPr>
          <w:noProof/>
        </w:rPr>
        <w:tab/>
      </w:r>
      <w:r>
        <w:rPr>
          <w:noProof/>
        </w:rPr>
        <w:tab/>
        <w:t>10</w:t>
      </w:r>
    </w:p>
    <w:p w:rsidR="00BC4BDE" w:rsidRDefault="00BC4BDE" w:rsidP="00BC4BDE">
      <w:pPr>
        <w:pStyle w:val="TOC3"/>
        <w:ind w:right="992"/>
        <w:rPr>
          <w:rFonts w:ascii="Calibri" w:eastAsia="SimSun" w:hAnsi="Calibri" w:cs="Arial"/>
          <w:noProof/>
          <w:sz w:val="22"/>
          <w:szCs w:val="22"/>
          <w:lang w:eastAsia="zh-CN"/>
        </w:rPr>
      </w:pPr>
      <w:r w:rsidRPr="00031FDD">
        <w:rPr>
          <w:noProof/>
        </w:rPr>
        <w:t>3.3.2</w:t>
      </w:r>
      <w:r>
        <w:rPr>
          <w:rFonts w:ascii="Calibri" w:eastAsia="SimSun" w:hAnsi="Calibri" w:cs="Arial"/>
          <w:noProof/>
          <w:sz w:val="22"/>
          <w:szCs w:val="22"/>
          <w:lang w:eastAsia="zh-CN"/>
        </w:rPr>
        <w:tab/>
      </w:r>
      <w:r w:rsidRPr="00031FDD">
        <w:rPr>
          <w:noProof/>
        </w:rPr>
        <w:t xml:space="preserve">Earth station deployment </w:t>
      </w:r>
      <w:r w:rsidRPr="00BC4BDE">
        <w:rPr>
          <w:noProof/>
        </w:rPr>
        <w:t>methodology</w:t>
      </w:r>
      <w:r>
        <w:rPr>
          <w:noProof/>
        </w:rPr>
        <w:tab/>
      </w:r>
      <w:r>
        <w:rPr>
          <w:noProof/>
        </w:rPr>
        <w:tab/>
        <w:t>11</w:t>
      </w:r>
    </w:p>
    <w:p w:rsidR="00BC4BDE" w:rsidRDefault="00BC4BDE" w:rsidP="00BC4BDE">
      <w:pPr>
        <w:pStyle w:val="TOC3"/>
        <w:ind w:right="992"/>
        <w:rPr>
          <w:rFonts w:ascii="Calibri" w:eastAsia="SimSun" w:hAnsi="Calibri" w:cs="Arial"/>
          <w:noProof/>
          <w:sz w:val="22"/>
          <w:szCs w:val="22"/>
          <w:lang w:eastAsia="zh-CN"/>
        </w:rPr>
      </w:pPr>
      <w:r w:rsidRPr="00031FDD">
        <w:rPr>
          <w:noProof/>
        </w:rPr>
        <w:t>3.3.3</w:t>
      </w:r>
      <w:r>
        <w:rPr>
          <w:rFonts w:ascii="Calibri" w:eastAsia="SimSun" w:hAnsi="Calibri" w:cs="Arial"/>
          <w:noProof/>
          <w:sz w:val="22"/>
          <w:szCs w:val="22"/>
          <w:lang w:eastAsia="zh-CN"/>
        </w:rPr>
        <w:tab/>
      </w:r>
      <w:r w:rsidRPr="00031FDD">
        <w:rPr>
          <w:noProof/>
        </w:rPr>
        <w:t xml:space="preserve">Analysis </w:t>
      </w:r>
      <w:r w:rsidRPr="00BC4BDE">
        <w:rPr>
          <w:noProof/>
        </w:rPr>
        <w:t>results</w:t>
      </w:r>
      <w:r>
        <w:rPr>
          <w:noProof/>
        </w:rPr>
        <w:tab/>
      </w:r>
      <w:r>
        <w:rPr>
          <w:noProof/>
        </w:rPr>
        <w:tab/>
      </w:r>
      <w:r w:rsidRPr="00BC4BDE">
        <w:rPr>
          <w:noProof/>
        </w:rPr>
        <w:t>1</w:t>
      </w:r>
      <w:r>
        <w:rPr>
          <w:noProof/>
        </w:rPr>
        <w:t>3</w:t>
      </w:r>
    </w:p>
    <w:p w:rsidR="00BC4BDE" w:rsidRDefault="00BC4BDE" w:rsidP="00BC4BDE">
      <w:pPr>
        <w:pStyle w:val="TOC2"/>
        <w:ind w:right="992"/>
        <w:rPr>
          <w:rFonts w:ascii="Calibri" w:eastAsia="SimSun" w:hAnsi="Calibri" w:cs="Arial"/>
          <w:noProof/>
          <w:sz w:val="22"/>
          <w:szCs w:val="22"/>
          <w:lang w:eastAsia="zh-CN"/>
        </w:rPr>
      </w:pPr>
      <w:r w:rsidRPr="00031FDD">
        <w:rPr>
          <w:noProof/>
        </w:rPr>
        <w:t>3.4</w:t>
      </w:r>
      <w:r>
        <w:rPr>
          <w:rFonts w:ascii="Calibri" w:eastAsia="SimSun" w:hAnsi="Calibri" w:cs="Arial"/>
          <w:noProof/>
          <w:sz w:val="22"/>
          <w:szCs w:val="22"/>
          <w:lang w:eastAsia="zh-CN"/>
        </w:rPr>
        <w:tab/>
      </w:r>
      <w:r w:rsidRPr="00031FDD">
        <w:rPr>
          <w:noProof/>
        </w:rPr>
        <w:t xml:space="preserve">Summary and </w:t>
      </w:r>
      <w:r w:rsidRPr="00BC4BDE">
        <w:rPr>
          <w:noProof/>
        </w:rPr>
        <w:t>conclusions</w:t>
      </w:r>
      <w:r>
        <w:rPr>
          <w:noProof/>
        </w:rPr>
        <w:tab/>
      </w:r>
      <w:r>
        <w:rPr>
          <w:noProof/>
        </w:rPr>
        <w:tab/>
        <w:t>19</w:t>
      </w:r>
    </w:p>
    <w:p w:rsidR="00BC4BDE" w:rsidRDefault="00BC4BDE" w:rsidP="00BC4BDE">
      <w:pPr>
        <w:pStyle w:val="TOC1"/>
        <w:ind w:right="992"/>
        <w:rPr>
          <w:rFonts w:ascii="Calibri" w:eastAsia="SimSun" w:hAnsi="Calibri" w:cs="Arial"/>
          <w:noProof/>
          <w:sz w:val="22"/>
          <w:szCs w:val="22"/>
          <w:lang w:eastAsia="zh-CN"/>
        </w:rPr>
      </w:pPr>
      <w:r w:rsidRPr="00031FDD">
        <w:rPr>
          <w:noProof/>
        </w:rPr>
        <w:t>4</w:t>
      </w:r>
      <w:r>
        <w:rPr>
          <w:rFonts w:ascii="Calibri" w:eastAsia="SimSun" w:hAnsi="Calibri" w:cs="Arial"/>
          <w:noProof/>
          <w:sz w:val="22"/>
          <w:szCs w:val="22"/>
          <w:lang w:eastAsia="zh-CN"/>
        </w:rPr>
        <w:tab/>
      </w:r>
      <w:r w:rsidRPr="00031FDD">
        <w:rPr>
          <w:noProof/>
        </w:rPr>
        <w:t xml:space="preserve">Interference to geostationary FSS satellites from data relay satellite systems operating in the 13.75-14 GHz </w:t>
      </w:r>
      <w:r w:rsidRPr="00BC4BDE">
        <w:rPr>
          <w:noProof/>
        </w:rPr>
        <w:t>band</w:t>
      </w:r>
      <w:r>
        <w:rPr>
          <w:noProof/>
        </w:rPr>
        <w:tab/>
      </w:r>
      <w:r>
        <w:rPr>
          <w:noProof/>
        </w:rPr>
        <w:tab/>
        <w:t>20</w:t>
      </w:r>
    </w:p>
    <w:p w:rsidR="00BC4BDE" w:rsidRDefault="00BC4BDE" w:rsidP="00BC4BDE">
      <w:pPr>
        <w:pStyle w:val="TOC2"/>
        <w:ind w:right="992"/>
        <w:rPr>
          <w:rFonts w:ascii="Calibri" w:eastAsia="SimSun" w:hAnsi="Calibri" w:cs="Arial"/>
          <w:noProof/>
          <w:sz w:val="22"/>
          <w:szCs w:val="22"/>
          <w:lang w:eastAsia="zh-CN"/>
        </w:rPr>
      </w:pPr>
      <w:r w:rsidRPr="00031FDD">
        <w:rPr>
          <w:noProof/>
        </w:rPr>
        <w:t>4.1</w:t>
      </w:r>
      <w:r>
        <w:rPr>
          <w:rFonts w:ascii="Calibri" w:eastAsia="SimSun" w:hAnsi="Calibri" w:cs="Arial"/>
          <w:noProof/>
          <w:sz w:val="22"/>
          <w:szCs w:val="22"/>
          <w:lang w:eastAsia="zh-CN"/>
        </w:rPr>
        <w:tab/>
      </w:r>
      <w:r w:rsidRPr="00031FDD">
        <w:rPr>
          <w:noProof/>
        </w:rPr>
        <w:t xml:space="preserve">Orbit separation for the United States of America tracking and data relay </w:t>
      </w:r>
      <w:r w:rsidRPr="00BC4BDE">
        <w:rPr>
          <w:noProof/>
        </w:rPr>
        <w:t>satellites</w:t>
      </w:r>
      <w:r>
        <w:rPr>
          <w:noProof/>
        </w:rPr>
        <w:tab/>
      </w:r>
      <w:r>
        <w:rPr>
          <w:noProof/>
        </w:rPr>
        <w:tab/>
        <w:t>20</w:t>
      </w:r>
    </w:p>
    <w:p w:rsidR="00BC4BDE" w:rsidRDefault="00BC4BDE" w:rsidP="00BC4BDE">
      <w:pPr>
        <w:pStyle w:val="TOC2"/>
        <w:ind w:right="992"/>
        <w:rPr>
          <w:rFonts w:ascii="Calibri" w:eastAsia="SimSun" w:hAnsi="Calibri" w:cs="Arial"/>
          <w:noProof/>
          <w:sz w:val="22"/>
          <w:szCs w:val="22"/>
          <w:lang w:eastAsia="zh-CN"/>
        </w:rPr>
      </w:pPr>
      <w:r w:rsidRPr="00031FDD">
        <w:rPr>
          <w:noProof/>
        </w:rPr>
        <w:t>4.2</w:t>
      </w:r>
      <w:r>
        <w:rPr>
          <w:rFonts w:ascii="Calibri" w:eastAsia="SimSun" w:hAnsi="Calibri" w:cs="Arial"/>
          <w:noProof/>
          <w:sz w:val="22"/>
          <w:szCs w:val="22"/>
          <w:lang w:eastAsia="zh-CN"/>
        </w:rPr>
        <w:tab/>
      </w:r>
      <w:r w:rsidRPr="00031FDD">
        <w:rPr>
          <w:noProof/>
        </w:rPr>
        <w:t xml:space="preserve">Power flux-density levels at the geostationary-satellite </w:t>
      </w:r>
      <w:r w:rsidRPr="00BC4BDE">
        <w:rPr>
          <w:noProof/>
        </w:rPr>
        <w:t>orbit</w:t>
      </w:r>
      <w:r>
        <w:rPr>
          <w:noProof/>
        </w:rPr>
        <w:tab/>
      </w:r>
      <w:r>
        <w:rPr>
          <w:noProof/>
        </w:rPr>
        <w:tab/>
        <w:t>20</w:t>
      </w:r>
    </w:p>
    <w:p w:rsidR="007B7775" w:rsidRPr="004C0A79" w:rsidRDefault="007B7775" w:rsidP="007B7775">
      <w:pPr>
        <w:pStyle w:val="Heading1"/>
        <w:keepNext w:val="0"/>
        <w:keepLines w:val="0"/>
        <w:rPr>
          <w:lang w:val="en-US"/>
        </w:rPr>
      </w:pPr>
      <w:r>
        <w:rPr>
          <w:lang w:val="en-US"/>
        </w:rPr>
        <w:br w:type="page"/>
      </w:r>
      <w:bookmarkStart w:id="7" w:name="_Toc224981503"/>
      <w:bookmarkStart w:id="8" w:name="_Toc225065792"/>
      <w:bookmarkStart w:id="9" w:name="_Toc226261820"/>
      <w:bookmarkStart w:id="10" w:name="_Toc256067080"/>
      <w:bookmarkStart w:id="11" w:name="_Toc256067159"/>
      <w:r w:rsidRPr="004C0A79">
        <w:rPr>
          <w:lang w:val="en-US"/>
        </w:rPr>
        <w:lastRenderedPageBreak/>
        <w:t>1</w:t>
      </w:r>
      <w:r w:rsidRPr="004C0A79">
        <w:rPr>
          <w:lang w:val="en-US"/>
        </w:rPr>
        <w:tab/>
        <w:t>Introduction</w:t>
      </w:r>
      <w:bookmarkEnd w:id="5"/>
      <w:bookmarkEnd w:id="6"/>
      <w:bookmarkEnd w:id="7"/>
      <w:bookmarkEnd w:id="8"/>
      <w:bookmarkEnd w:id="9"/>
      <w:bookmarkEnd w:id="10"/>
      <w:bookmarkEnd w:id="11"/>
    </w:p>
    <w:p w:rsidR="007B7775" w:rsidRPr="007B7775" w:rsidRDefault="007B7775" w:rsidP="007B7775">
      <w:pPr>
        <w:rPr>
          <w:lang w:val="en-US"/>
        </w:rPr>
      </w:pPr>
      <w:r w:rsidRPr="007B7775">
        <w:rPr>
          <w:lang w:val="en-US"/>
        </w:rPr>
        <w:t>This Report explains the use of the 13.75-14 GHz band by the space research service (SRS) data relay satellite systems, reviews the permissible levels of interference for SRS data relay satellite systems from Earth-to-space links operating in the fixed satellite service (FSS), and reviews the interference to FSS satellites in geostationary orbit from SRS data relay satellite systems.</w:t>
      </w:r>
    </w:p>
    <w:p w:rsidR="007B7775" w:rsidRPr="004C0A79" w:rsidRDefault="007B7775" w:rsidP="007B7775">
      <w:pPr>
        <w:pStyle w:val="Heading1"/>
        <w:keepNext w:val="0"/>
        <w:keepLines w:val="0"/>
        <w:rPr>
          <w:lang w:val="en-US"/>
        </w:rPr>
      </w:pPr>
      <w:bookmarkStart w:id="12" w:name="_Toc84242620"/>
      <w:bookmarkStart w:id="13" w:name="_Toc224981450"/>
      <w:bookmarkStart w:id="14" w:name="_Toc224981504"/>
      <w:bookmarkStart w:id="15" w:name="_Toc225065793"/>
      <w:bookmarkStart w:id="16" w:name="_Toc226261821"/>
      <w:bookmarkStart w:id="17" w:name="_Toc256067081"/>
      <w:bookmarkStart w:id="18" w:name="_Toc256067160"/>
      <w:r w:rsidRPr="004C0A79">
        <w:rPr>
          <w:lang w:val="en-US"/>
        </w:rPr>
        <w:t>2</w:t>
      </w:r>
      <w:r w:rsidRPr="004C0A79">
        <w:rPr>
          <w:lang w:val="en-US"/>
        </w:rPr>
        <w:tab/>
        <w:t>Use of the 13.75-14.0 GHz band by data relay satellite systems of the space research service</w:t>
      </w:r>
      <w:bookmarkEnd w:id="12"/>
      <w:bookmarkEnd w:id="13"/>
      <w:bookmarkEnd w:id="14"/>
      <w:bookmarkEnd w:id="15"/>
      <w:bookmarkEnd w:id="16"/>
      <w:bookmarkEnd w:id="17"/>
      <w:bookmarkEnd w:id="18"/>
    </w:p>
    <w:p w:rsidR="007B7775" w:rsidRPr="007B7775" w:rsidRDefault="007B7775" w:rsidP="007B7775">
      <w:pPr>
        <w:rPr>
          <w:lang w:val="en-US"/>
        </w:rPr>
      </w:pPr>
      <w:r w:rsidRPr="007B7775">
        <w:rPr>
          <w:lang w:val="en-US"/>
        </w:rPr>
        <w:t>The purpose of this section is to address the use by the space research service of frequencies near 14 GHz and to describe the bandwidth requirements.</w:t>
      </w:r>
    </w:p>
    <w:p w:rsidR="007B7775" w:rsidRPr="004C0A79" w:rsidRDefault="007B7775" w:rsidP="006D69F1">
      <w:pPr>
        <w:pStyle w:val="Heading2"/>
        <w:keepNext w:val="0"/>
        <w:keepLines w:val="0"/>
        <w:rPr>
          <w:lang w:val="en-US"/>
        </w:rPr>
      </w:pPr>
      <w:bookmarkStart w:id="19" w:name="_Toc84242621"/>
      <w:bookmarkStart w:id="20" w:name="_Toc224981451"/>
      <w:bookmarkStart w:id="21" w:name="_Toc224981505"/>
      <w:bookmarkStart w:id="22" w:name="_Toc225065794"/>
      <w:bookmarkStart w:id="23" w:name="_Toc226261822"/>
      <w:bookmarkStart w:id="24" w:name="_Toc256067082"/>
      <w:bookmarkStart w:id="25" w:name="_Toc256067161"/>
      <w:r w:rsidRPr="004C0A79">
        <w:rPr>
          <w:lang w:val="en-US"/>
        </w:rPr>
        <w:t>2.</w:t>
      </w:r>
      <w:r w:rsidR="006D69F1">
        <w:rPr>
          <w:lang w:val="en-US"/>
        </w:rPr>
        <w:t>1</w:t>
      </w:r>
      <w:r w:rsidRPr="004C0A79">
        <w:rPr>
          <w:lang w:val="en-US"/>
        </w:rPr>
        <w:tab/>
        <w:t>Data relay satellite networks</w:t>
      </w:r>
      <w:bookmarkEnd w:id="19"/>
      <w:bookmarkEnd w:id="20"/>
      <w:bookmarkEnd w:id="21"/>
      <w:bookmarkEnd w:id="22"/>
      <w:bookmarkEnd w:id="23"/>
      <w:bookmarkEnd w:id="24"/>
      <w:bookmarkEnd w:id="25"/>
    </w:p>
    <w:p w:rsidR="007B7775" w:rsidRPr="004C0A79" w:rsidRDefault="007B7775" w:rsidP="006D69F1">
      <w:pPr>
        <w:pStyle w:val="Heading3"/>
        <w:keepNext w:val="0"/>
        <w:keepLines w:val="0"/>
        <w:rPr>
          <w:lang w:val="en-US"/>
        </w:rPr>
      </w:pPr>
      <w:bookmarkStart w:id="26" w:name="_Toc84242622"/>
      <w:bookmarkStart w:id="27" w:name="_Toc224981506"/>
      <w:bookmarkStart w:id="28" w:name="_Toc225065795"/>
      <w:bookmarkStart w:id="29" w:name="_Toc226261823"/>
      <w:bookmarkStart w:id="30" w:name="_Toc256067083"/>
      <w:bookmarkStart w:id="31" w:name="_Toc256067162"/>
      <w:r w:rsidRPr="004C0A79">
        <w:rPr>
          <w:lang w:val="en-US"/>
        </w:rPr>
        <w:t>2.</w:t>
      </w:r>
      <w:r w:rsidR="006D69F1">
        <w:rPr>
          <w:lang w:val="en-US"/>
        </w:rPr>
        <w:t>1</w:t>
      </w:r>
      <w:r w:rsidRPr="004C0A79">
        <w:rPr>
          <w:lang w:val="en-US"/>
        </w:rPr>
        <w:t>.1</w:t>
      </w:r>
      <w:r w:rsidRPr="004C0A79">
        <w:rPr>
          <w:lang w:val="en-US"/>
        </w:rPr>
        <w:tab/>
        <w:t>Use of the 13.75-14 GHz band</w:t>
      </w:r>
      <w:bookmarkEnd w:id="26"/>
      <w:bookmarkEnd w:id="27"/>
      <w:bookmarkEnd w:id="28"/>
      <w:bookmarkEnd w:id="29"/>
      <w:bookmarkEnd w:id="30"/>
      <w:bookmarkEnd w:id="31"/>
      <w:r w:rsidRPr="004C0A79">
        <w:rPr>
          <w:lang w:val="en-US"/>
        </w:rPr>
        <w:t xml:space="preserve"> </w:t>
      </w:r>
    </w:p>
    <w:p w:rsidR="007B7775" w:rsidRPr="007B7775" w:rsidRDefault="007B7775" w:rsidP="007B7775">
      <w:pPr>
        <w:rPr>
          <w:lang w:val="en-US"/>
        </w:rPr>
      </w:pPr>
      <w:r w:rsidRPr="007B7775">
        <w:rPr>
          <w:lang w:val="en-US"/>
        </w:rPr>
        <w:t xml:space="preserve">In 1983, the </w:t>
      </w:r>
      <w:smartTag w:uri="urn:schemas-microsoft-com:office:smarttags" w:element="place">
        <w:smartTag w:uri="urn:schemas-microsoft-com:office:smarttags" w:element="country-region">
          <w:r w:rsidRPr="007B7775">
            <w:rPr>
              <w:lang w:val="en-US"/>
            </w:rPr>
            <w:t>United States of America</w:t>
          </w:r>
        </w:smartTag>
      </w:smartTag>
      <w:r w:rsidRPr="007B7775">
        <w:rPr>
          <w:lang w:val="en-US"/>
        </w:rPr>
        <w:t xml:space="preserve"> launched the first satellite in its global tracking and data relay satellite system (TDRSS) data relay satellite network. TDRSS relays commands, scientific data and spacecraft health and safety information for a number of NASA low-Earth orbit (LEO) satellites such as the International Space Station, space shuttle, Landsat as well as a number of non-NASA flight missions, including international or joint venture missions.</w:t>
      </w:r>
    </w:p>
    <w:p w:rsidR="007B7775" w:rsidRPr="007B7775" w:rsidRDefault="007B7775" w:rsidP="007B7775">
      <w:pPr>
        <w:rPr>
          <w:lang w:val="en-US"/>
        </w:rPr>
      </w:pPr>
      <w:r w:rsidRPr="007B7775">
        <w:rPr>
          <w:lang w:val="en-US"/>
        </w:rPr>
        <w:t>The TDRSS network uses frequencies around 2 GHz, 13/15 GHz and 23/26 GHz to operate and to receive data from low-orbiting satellites. The 13/15 GHz bands are also used for feeder links for the geostationary TDRSS network.</w:t>
      </w:r>
    </w:p>
    <w:p w:rsidR="007B7775" w:rsidRDefault="007B7775" w:rsidP="00775BF1">
      <w:pPr>
        <w:rPr>
          <w:lang w:val="en-US"/>
        </w:rPr>
      </w:pPr>
      <w:r w:rsidRPr="007B7775">
        <w:rPr>
          <w:lang w:val="en-US"/>
        </w:rPr>
        <w:t xml:space="preserve">Operational tracking and data relay satellites (TDRS) are located at the orbital positions: 41°, 46°, 171° and 174° W longitude on the geostationary orbit. The forward link from the TDRS to a LEO spacecraft, relaying critical command, control and ranging data, is centred at 13.775 GHz in the lower portion of the band 13.75-14 GHz. Furthermore, the 13.75-14 GHz band is one segment of several allocations to the space research service between 13.4 and 15.35 GHz that are extensively used for forward and return links to low-Earth orbiting satellites and for feeder links to connect TDRS satellites to their earth stations. </w:t>
      </w:r>
      <w:r w:rsidRPr="00022AD6">
        <w:rPr>
          <w:lang w:val="en-US"/>
        </w:rPr>
        <w:t>This extensive use is evident in the frequency plan for the TDRSS data relay satellite network shown in Fig. 1, particularly between 13.4-14.05 GHz and 14.6</w:t>
      </w:r>
      <w:r>
        <w:rPr>
          <w:lang w:val="en-US"/>
        </w:rPr>
        <w:noBreakHyphen/>
      </w:r>
      <w:r w:rsidRPr="00022AD6">
        <w:rPr>
          <w:lang w:val="en-US"/>
        </w:rPr>
        <w:t xml:space="preserve">15.225 GHz. </w:t>
      </w:r>
      <w:r w:rsidRPr="007B7775">
        <w:rPr>
          <w:lang w:val="en-US"/>
        </w:rPr>
        <w:t>This use is the culmination of substantial investments that have been made in system trade-off studies, the development and qualification of space hardware, and the development and implementation of satellite systems and earth stations comprising the TDRSS data relay network.</w:t>
      </w:r>
    </w:p>
    <w:p w:rsidR="007B7775" w:rsidRPr="00B5710B" w:rsidRDefault="00B5710B" w:rsidP="00A80CE6">
      <w:pPr>
        <w:pStyle w:val="Figure"/>
        <w:rPr>
          <w:lang w:val="en-US"/>
        </w:rPr>
      </w:pPr>
      <w:r w:rsidRPr="00271587">
        <w:rPr>
          <w:lang w:val="en-US"/>
        </w:rPr>
        <w:object w:dxaOrig="11780" w:dyaOrig="19031">
          <v:shape id="_x0000_i1026" type="#_x0000_t75" style="width:472.8pt;height:765pt" o:ole="">
            <v:imagedata r:id="rId12" o:title=""/>
          </v:shape>
          <o:OLEObject Type="Embed" ProgID="CorelDRAW.Graphic.14" ShapeID="_x0000_i1026" DrawAspect="Content" ObjectID="_1330861834" r:id="rId13"/>
        </w:object>
      </w:r>
    </w:p>
    <w:p w:rsidR="00A80CE6" w:rsidRPr="004C0A79" w:rsidRDefault="00A80CE6" w:rsidP="006D69F1">
      <w:pPr>
        <w:pStyle w:val="Heading3"/>
        <w:rPr>
          <w:lang w:val="en-US"/>
        </w:rPr>
      </w:pPr>
      <w:bookmarkStart w:id="32" w:name="_Toc84242623"/>
      <w:bookmarkStart w:id="33" w:name="_Toc224981507"/>
      <w:bookmarkStart w:id="34" w:name="_Toc225065796"/>
      <w:bookmarkStart w:id="35" w:name="_Toc226261824"/>
      <w:bookmarkStart w:id="36" w:name="_Toc256067084"/>
      <w:bookmarkStart w:id="37" w:name="_Toc256067163"/>
      <w:bookmarkStart w:id="38" w:name="_Toc84242624"/>
      <w:bookmarkStart w:id="39" w:name="_Toc224981452"/>
      <w:bookmarkStart w:id="40" w:name="_Toc224981508"/>
      <w:bookmarkStart w:id="41" w:name="_Toc225065797"/>
      <w:r w:rsidRPr="004C0A79">
        <w:rPr>
          <w:lang w:val="en-US"/>
        </w:rPr>
        <w:lastRenderedPageBreak/>
        <w:t>2.</w:t>
      </w:r>
      <w:r w:rsidR="006D69F1">
        <w:rPr>
          <w:lang w:val="en-US"/>
        </w:rPr>
        <w:t>1</w:t>
      </w:r>
      <w:r w:rsidRPr="004C0A79">
        <w:rPr>
          <w:lang w:val="en-US"/>
        </w:rPr>
        <w:t>.2</w:t>
      </w:r>
      <w:r w:rsidRPr="004C0A79">
        <w:rPr>
          <w:lang w:val="en-US"/>
        </w:rPr>
        <w:tab/>
        <w:t>Bandwidth requirements</w:t>
      </w:r>
      <w:bookmarkEnd w:id="32"/>
      <w:bookmarkEnd w:id="33"/>
      <w:bookmarkEnd w:id="34"/>
      <w:bookmarkEnd w:id="35"/>
      <w:bookmarkEnd w:id="36"/>
      <w:bookmarkEnd w:id="37"/>
    </w:p>
    <w:p w:rsidR="00A80CE6" w:rsidRPr="00022AD6" w:rsidRDefault="00A80CE6" w:rsidP="00A80CE6">
      <w:pPr>
        <w:rPr>
          <w:lang w:val="en-US"/>
        </w:rPr>
      </w:pPr>
      <w:r w:rsidRPr="00022AD6">
        <w:rPr>
          <w:lang w:val="en-US"/>
        </w:rPr>
        <w:t>The bandwidth requirements are pictured in Fig. </w:t>
      </w:r>
      <w:r>
        <w:rPr>
          <w:lang w:val="en-US"/>
        </w:rPr>
        <w:t>1</w:t>
      </w:r>
      <w:r w:rsidRPr="00022AD6">
        <w:rPr>
          <w:lang w:val="en-US"/>
        </w:rPr>
        <w:t xml:space="preserve">. </w:t>
      </w:r>
      <w:r w:rsidRPr="007B7775">
        <w:rPr>
          <w:lang w:val="en-US"/>
        </w:rPr>
        <w:t xml:space="preserve">The top portion of this figure shows the links between the TDRS and the LEO satellites in the 13.75-14.0 GHz band. The forward service links (two independent links per TDRS spacecraft) from the TDRS to low-Earth orbit satellites are used for command, control and ranging and for transmission of data and video. </w:t>
      </w:r>
      <w:r w:rsidRPr="00022AD6">
        <w:rPr>
          <w:lang w:val="en-US"/>
        </w:rPr>
        <w:t>The forward link design is capable of supporting a 25 </w:t>
      </w:r>
      <w:r>
        <w:rPr>
          <w:lang w:val="en-US"/>
        </w:rPr>
        <w:t>M</w:t>
      </w:r>
      <w:r w:rsidRPr="00022AD6">
        <w:rPr>
          <w:lang w:val="en-US"/>
        </w:rPr>
        <w:t>Symbol/s transmission rate at a centre frequency of 13.775 GHz.</w:t>
      </w:r>
    </w:p>
    <w:p w:rsidR="00A80CE6" w:rsidRPr="007B7775" w:rsidRDefault="00A80CE6" w:rsidP="00A80CE6">
      <w:pPr>
        <w:rPr>
          <w:lang w:val="en-US"/>
        </w:rPr>
      </w:pPr>
      <w:r w:rsidRPr="00022AD6">
        <w:rPr>
          <w:lang w:val="en-US"/>
        </w:rPr>
        <w:t>The bandwidth is typically 6 MHz in the case of command and control data, where in most cases the low-rate information data is spread with a 3.08</w:t>
      </w:r>
      <w:r>
        <w:rPr>
          <w:lang w:val="en-US"/>
        </w:rPr>
        <w:t> M</w:t>
      </w:r>
      <w:r w:rsidRPr="00022AD6">
        <w:rPr>
          <w:lang w:val="en-US"/>
        </w:rPr>
        <w:t xml:space="preserve">chip/s pseudo-random noise (PN) code. </w:t>
      </w:r>
      <w:r w:rsidRPr="007B7775">
        <w:rPr>
          <w:lang w:val="en-US"/>
        </w:rPr>
        <w:t xml:space="preserve">However, in the case of the International Space Station, a bandwidth of 10 MHz is the minimum required to provide for the high-speed TCP/IP data protocols needed for payload telescience, payload management and additional Earth-to-space voice transmission capability effected via the TDRSS network. A 50 MHz bandwidth is required for sending higher rate data to a spacecraft or high resolution digital video information to the space shuttle or space station for tele-science and tele-medicine. Reliable transmissions of commands in the 10 MHz around 13.775 MHz are the most critical. </w:t>
      </w:r>
      <w:r w:rsidRPr="00022AD6">
        <w:rPr>
          <w:lang w:val="en-US"/>
        </w:rPr>
        <w:t xml:space="preserve">The bottom portion of Fig. 1 shows a feeder link used to transmit wideband signals received by the TDRS from LEO satellites to the TDRSS data relay satellite network earth station. </w:t>
      </w:r>
      <w:r w:rsidRPr="007B7775">
        <w:rPr>
          <w:lang w:val="en-US"/>
        </w:rPr>
        <w:t>The signals consist primarily of scientific data and spacecraft telemetry. The bandwidth of this link may be up to 225 MHz centred around 13.9 GHz.</w:t>
      </w:r>
    </w:p>
    <w:p w:rsidR="007B7775" w:rsidRPr="007B7775" w:rsidRDefault="007B7775" w:rsidP="006D69F1">
      <w:pPr>
        <w:pStyle w:val="Heading2"/>
        <w:keepNext w:val="0"/>
        <w:keepLines w:val="0"/>
        <w:rPr>
          <w:lang w:val="en-US"/>
        </w:rPr>
      </w:pPr>
      <w:bookmarkStart w:id="42" w:name="_Toc226261825"/>
      <w:bookmarkStart w:id="43" w:name="_Toc256067085"/>
      <w:bookmarkStart w:id="44" w:name="_Toc256067164"/>
      <w:r w:rsidRPr="007B7775">
        <w:rPr>
          <w:lang w:val="en-US"/>
        </w:rPr>
        <w:t>2.</w:t>
      </w:r>
      <w:r w:rsidR="006D69F1">
        <w:rPr>
          <w:lang w:val="en-US"/>
        </w:rPr>
        <w:t>2</w:t>
      </w:r>
      <w:r w:rsidRPr="007B7775">
        <w:rPr>
          <w:lang w:val="en-US"/>
        </w:rPr>
        <w:tab/>
        <w:t>Summary and conclusions</w:t>
      </w:r>
      <w:bookmarkEnd w:id="38"/>
      <w:bookmarkEnd w:id="39"/>
      <w:bookmarkEnd w:id="40"/>
      <w:bookmarkEnd w:id="41"/>
      <w:bookmarkEnd w:id="42"/>
      <w:bookmarkEnd w:id="43"/>
      <w:bookmarkEnd w:id="44"/>
    </w:p>
    <w:p w:rsidR="007B7775" w:rsidRPr="007B7775" w:rsidRDefault="007B7775" w:rsidP="007B7775">
      <w:pPr>
        <w:rPr>
          <w:lang w:val="en-US"/>
        </w:rPr>
      </w:pPr>
      <w:r w:rsidRPr="007B7775">
        <w:rPr>
          <w:lang w:val="en-US"/>
        </w:rPr>
        <w:t>This section has addressed the use and bandwidth requirements of the TDRSS network within the 13.75-14 GHz band. Based on studies within ITU</w:t>
      </w:r>
      <w:r w:rsidRPr="007B7775">
        <w:rPr>
          <w:lang w:val="en-US"/>
        </w:rPr>
        <w:noBreakHyphen/>
        <w:t>R, the following are concluded for data relay satellite networks:</w:t>
      </w:r>
    </w:p>
    <w:p w:rsidR="007B7775" w:rsidRPr="004C0A79" w:rsidRDefault="007B7775" w:rsidP="007B7775">
      <w:pPr>
        <w:pStyle w:val="enumlev1"/>
        <w:rPr>
          <w:lang w:val="en-US"/>
        </w:rPr>
      </w:pPr>
      <w:r w:rsidRPr="004C0A79">
        <w:rPr>
          <w:lang w:val="en-US"/>
        </w:rPr>
        <w:t>–</w:t>
      </w:r>
      <w:r w:rsidRPr="004C0A79">
        <w:rPr>
          <w:lang w:val="en-US"/>
        </w:rPr>
        <w:tab/>
        <w:t>a comprehensive frequency plan delineates the use of segments of the spectrum extending from 13.4 GHz to 15.225 GHz for service links to low-orbiting satellites and for feeder links to centrally located earth stations;</w:t>
      </w:r>
    </w:p>
    <w:p w:rsidR="007B7775" w:rsidRPr="004C0A79" w:rsidRDefault="007B7775" w:rsidP="007B7775">
      <w:pPr>
        <w:pStyle w:val="enumlev1"/>
        <w:rPr>
          <w:lang w:val="en-US"/>
        </w:rPr>
      </w:pPr>
      <w:r w:rsidRPr="004C0A79">
        <w:rPr>
          <w:lang w:val="en-US"/>
        </w:rPr>
        <w:t>–</w:t>
      </w:r>
      <w:r w:rsidRPr="004C0A79">
        <w:rPr>
          <w:lang w:val="en-US"/>
        </w:rPr>
        <w:tab/>
        <w:t>the primary command and control link from the tracking and data relay satellite (TDRS) to the International Space Station is centred at 13.775 GHz with a bandwidth of 10 MHz;</w:t>
      </w:r>
    </w:p>
    <w:p w:rsidR="007B7775" w:rsidRPr="004C0A79" w:rsidRDefault="007B7775" w:rsidP="007B7775">
      <w:pPr>
        <w:pStyle w:val="enumlev1"/>
        <w:rPr>
          <w:lang w:val="en-US"/>
        </w:rPr>
      </w:pPr>
      <w:r w:rsidRPr="004C0A79">
        <w:rPr>
          <w:lang w:val="en-US"/>
        </w:rPr>
        <w:t>–</w:t>
      </w:r>
      <w:r w:rsidRPr="004C0A79">
        <w:rPr>
          <w:lang w:val="en-US"/>
        </w:rPr>
        <w:tab/>
        <w:t>an important forward link to low-orbiting satellites operates with a centre frequency of 13.775 GHz and a bandwidth that can range from 6 MHz to 50 MHz depending on the application;</w:t>
      </w:r>
    </w:p>
    <w:p w:rsidR="007B7775" w:rsidRPr="00F701FF" w:rsidRDefault="007B7775" w:rsidP="007B7775">
      <w:pPr>
        <w:pStyle w:val="Heading1"/>
        <w:rPr>
          <w:lang w:val="en-US"/>
        </w:rPr>
      </w:pPr>
      <w:bookmarkStart w:id="45" w:name="_Toc84242625"/>
      <w:bookmarkStart w:id="46" w:name="_Toc224981453"/>
      <w:bookmarkStart w:id="47" w:name="_Toc224981509"/>
      <w:bookmarkStart w:id="48" w:name="_Toc225065798"/>
      <w:bookmarkStart w:id="49" w:name="_Toc226261826"/>
      <w:bookmarkStart w:id="50" w:name="_Toc256067086"/>
      <w:bookmarkStart w:id="51" w:name="_Toc256067165"/>
      <w:r w:rsidRPr="00F701FF">
        <w:rPr>
          <w:lang w:val="en-US"/>
        </w:rPr>
        <w:t>3</w:t>
      </w:r>
      <w:r w:rsidRPr="00F701FF">
        <w:rPr>
          <w:lang w:val="en-US"/>
        </w:rPr>
        <w:tab/>
        <w:t>Permissible levels of interference in data relay satellite systems that use the 13.75</w:t>
      </w:r>
      <w:r w:rsidRPr="00F701FF">
        <w:rPr>
          <w:lang w:val="en-US"/>
        </w:rPr>
        <w:noBreakHyphen/>
        <w:t>14 GHz band</w:t>
      </w:r>
      <w:bookmarkStart w:id="52" w:name="_Toc84242626"/>
      <w:bookmarkEnd w:id="45"/>
      <w:bookmarkEnd w:id="46"/>
      <w:bookmarkEnd w:id="47"/>
      <w:bookmarkEnd w:id="48"/>
      <w:bookmarkEnd w:id="49"/>
      <w:bookmarkEnd w:id="50"/>
      <w:bookmarkEnd w:id="51"/>
    </w:p>
    <w:p w:rsidR="007B7775" w:rsidRPr="007B7775" w:rsidRDefault="007B7775" w:rsidP="00AF7569">
      <w:pPr>
        <w:rPr>
          <w:lang w:val="en-US"/>
        </w:rPr>
      </w:pPr>
      <w:r w:rsidRPr="00F701FF">
        <w:rPr>
          <w:lang w:val="en-US"/>
        </w:rPr>
        <w:t>This section presents criteria for protection of data relay satellite systems operating in the 13.75</w:t>
      </w:r>
      <w:r w:rsidR="00772C08">
        <w:rPr>
          <w:lang w:val="en-US"/>
        </w:rPr>
        <w:noBreakHyphen/>
      </w:r>
      <w:r w:rsidRPr="00F701FF">
        <w:rPr>
          <w:lang w:val="en-US"/>
        </w:rPr>
        <w:t>14</w:t>
      </w:r>
      <w:r w:rsidR="00772C08">
        <w:rPr>
          <w:lang w:val="en-US"/>
        </w:rPr>
        <w:t> </w:t>
      </w:r>
      <w:r w:rsidRPr="00F701FF">
        <w:rPr>
          <w:lang w:val="en-US"/>
        </w:rPr>
        <w:t xml:space="preserve">GHz band from Earth-to-space links operating in the FSS. </w:t>
      </w:r>
      <w:r w:rsidRPr="007B7775">
        <w:rPr>
          <w:lang w:val="en-US"/>
        </w:rPr>
        <w:t xml:space="preserve">The criteria consist of a permissible level of interference signal power in a specified reference bandwidth at the output of the receiving antenna that is not to be exceeded for more than a specified percentage of time and locations. The largest possible reference bandwidths are specified in order to enable the greatest possible sharing benefit from averaging interfering signal power over bandwidth. </w:t>
      </w:r>
    </w:p>
    <w:p w:rsidR="007B7775" w:rsidRPr="007B7775" w:rsidRDefault="007B7775" w:rsidP="007B7775">
      <w:pPr>
        <w:pStyle w:val="Heading2"/>
        <w:rPr>
          <w:lang w:val="en-US"/>
        </w:rPr>
      </w:pPr>
      <w:bookmarkStart w:id="53" w:name="_Toc224981454"/>
      <w:bookmarkStart w:id="54" w:name="_Toc224981510"/>
      <w:bookmarkStart w:id="55" w:name="_Toc225065799"/>
      <w:bookmarkStart w:id="56" w:name="_Toc226261827"/>
      <w:bookmarkStart w:id="57" w:name="_Toc256067087"/>
      <w:bookmarkStart w:id="58" w:name="_Toc256067166"/>
      <w:r w:rsidRPr="007B7775">
        <w:rPr>
          <w:lang w:val="en-US"/>
        </w:rPr>
        <w:t>3.1</w:t>
      </w:r>
      <w:r w:rsidRPr="007B7775">
        <w:rPr>
          <w:lang w:val="en-US"/>
        </w:rPr>
        <w:tab/>
        <w:t>Protection criteria for data relay satellite systems</w:t>
      </w:r>
      <w:bookmarkEnd w:id="52"/>
      <w:bookmarkEnd w:id="53"/>
      <w:bookmarkEnd w:id="54"/>
      <w:bookmarkEnd w:id="55"/>
      <w:bookmarkEnd w:id="56"/>
      <w:bookmarkEnd w:id="57"/>
      <w:bookmarkEnd w:id="58"/>
    </w:p>
    <w:p w:rsidR="007B7775" w:rsidRPr="007B7775" w:rsidRDefault="007B7775" w:rsidP="00082C7A">
      <w:pPr>
        <w:rPr>
          <w:lang w:val="en-US"/>
        </w:rPr>
      </w:pPr>
      <w:r w:rsidRPr="007B7775">
        <w:rPr>
          <w:lang w:val="en-US"/>
        </w:rPr>
        <w:t>Recommendation ITU</w:t>
      </w:r>
      <w:r w:rsidRPr="007B7775">
        <w:rPr>
          <w:lang w:val="en-US"/>
        </w:rPr>
        <w:noBreakHyphen/>
        <w:t xml:space="preserve">R SA.1155 gives the permissible level of degradation to a data relay satellite link as a 0.4 dB reduction in link power margin, which occurs with an </w:t>
      </w:r>
      <w:r w:rsidRPr="007B7775">
        <w:rPr>
          <w:i/>
          <w:lang w:val="en-US"/>
        </w:rPr>
        <w:t>I</w:t>
      </w:r>
      <w:r w:rsidRPr="007B7775">
        <w:rPr>
          <w:lang w:val="en-US"/>
        </w:rPr>
        <w:t>/</w:t>
      </w:r>
      <w:r w:rsidRPr="007B7775">
        <w:rPr>
          <w:i/>
          <w:lang w:val="en-US"/>
        </w:rPr>
        <w:t>N</w:t>
      </w:r>
      <w:r w:rsidRPr="007B7775">
        <w:rPr>
          <w:lang w:val="en-US"/>
        </w:rPr>
        <w:t xml:space="preserve"> of </w:t>
      </w:r>
      <w:r w:rsidR="00082C7A">
        <w:rPr>
          <w:lang w:val="en-US"/>
        </w:rPr>
        <w:t>–</w:t>
      </w:r>
      <w:r w:rsidRPr="007B7775">
        <w:rPr>
          <w:lang w:val="en-US"/>
        </w:rPr>
        <w:t xml:space="preserve">10 dB. From this, an aggregate protection criteria of </w:t>
      </w:r>
      <w:r w:rsidR="00082C7A">
        <w:rPr>
          <w:lang w:val="en-US"/>
        </w:rPr>
        <w:t>–</w:t>
      </w:r>
      <w:r w:rsidRPr="007B7775">
        <w:rPr>
          <w:lang w:val="en-US"/>
        </w:rPr>
        <w:t xml:space="preserve">178 dB(W/kHz) measured at the input to the victim receiver to be exceeded no more than 0.1% of the time is derived. This is equivalent to </w:t>
      </w:r>
      <w:r w:rsidR="002C09A4">
        <w:rPr>
          <w:lang w:val="en-US"/>
        </w:rPr>
        <w:t>–</w:t>
      </w:r>
      <w:r w:rsidRPr="007B7775">
        <w:rPr>
          <w:lang w:val="en-US"/>
        </w:rPr>
        <w:t>138 dB(W/10 MHz).</w:t>
      </w:r>
      <w:r w:rsidR="00AF7569">
        <w:rPr>
          <w:lang w:val="en-US"/>
        </w:rPr>
        <w:t xml:space="preserve"> </w:t>
      </w:r>
      <w:r w:rsidRPr="00F701FF">
        <w:rPr>
          <w:lang w:val="en-US"/>
        </w:rPr>
        <w:t>The </w:t>
      </w:r>
      <w:r w:rsidRPr="00F701FF">
        <w:rPr>
          <w:i/>
          <w:lang w:val="en-US"/>
        </w:rPr>
        <w:t>I</w:t>
      </w:r>
      <w:r w:rsidRPr="00F701FF">
        <w:rPr>
          <w:lang w:val="en-US"/>
        </w:rPr>
        <w:t>/</w:t>
      </w:r>
      <w:r w:rsidRPr="00F701FF">
        <w:rPr>
          <w:i/>
          <w:lang w:val="en-US"/>
        </w:rPr>
        <w:t>N</w:t>
      </w:r>
      <w:r w:rsidRPr="00F701FF">
        <w:rPr>
          <w:lang w:val="en-US"/>
        </w:rPr>
        <w:t xml:space="preserve"> criterion of </w:t>
      </w:r>
      <w:r w:rsidR="002C09A4">
        <w:rPr>
          <w:lang w:val="en-US"/>
        </w:rPr>
        <w:t>–</w:t>
      </w:r>
      <w:r w:rsidRPr="00F701FF">
        <w:rPr>
          <w:lang w:val="en-US"/>
        </w:rPr>
        <w:t xml:space="preserve">10 dB is applicable over a bandwidth of 10 MHz centred at 13.775 GHz, </w:t>
      </w:r>
      <w:r w:rsidRPr="00F701FF">
        <w:rPr>
          <w:lang w:val="en-US"/>
        </w:rPr>
        <w:lastRenderedPageBreak/>
        <w:t xml:space="preserve">although operations can extend over a bandwidth of up to 50 MHz centred at the same frequency. </w:t>
      </w:r>
      <w:r w:rsidRPr="007B7775">
        <w:rPr>
          <w:lang w:val="en-US"/>
        </w:rPr>
        <w:t>In order to achieve the desired link availabilities, the interference threshold should not be exceeded for more than 0.1% of the time as a result of the emissions of FSS earth stations in the Earth-to-space direction. The 0.1% of the time is based on the orbital period of the low-orbiting satellites as given in Recommendation ITU</w:t>
      </w:r>
      <w:r w:rsidRPr="007B7775">
        <w:rPr>
          <w:lang w:val="en-US"/>
        </w:rPr>
        <w:noBreakHyphen/>
        <w:t>R SA.1155.</w:t>
      </w:r>
    </w:p>
    <w:p w:rsidR="007B7775" w:rsidRPr="007B7775" w:rsidRDefault="007B7775" w:rsidP="007B7775">
      <w:pPr>
        <w:pStyle w:val="Heading2"/>
        <w:rPr>
          <w:lang w:val="en-US"/>
        </w:rPr>
      </w:pPr>
      <w:bookmarkStart w:id="59" w:name="_Toc84242627"/>
      <w:bookmarkStart w:id="60" w:name="_Toc224981455"/>
      <w:bookmarkStart w:id="61" w:name="_Toc224981511"/>
      <w:bookmarkStart w:id="62" w:name="_Toc225065800"/>
      <w:bookmarkStart w:id="63" w:name="_Toc226261828"/>
      <w:bookmarkStart w:id="64" w:name="_Toc256067088"/>
      <w:bookmarkStart w:id="65" w:name="_Toc256067167"/>
      <w:r w:rsidRPr="007B7775">
        <w:rPr>
          <w:lang w:val="en-US"/>
        </w:rPr>
        <w:t>3.2</w:t>
      </w:r>
      <w:r w:rsidRPr="007B7775">
        <w:rPr>
          <w:lang w:val="en-US"/>
        </w:rPr>
        <w:tab/>
        <w:t>Characterization of interference to the international space station (ISS) from the emissions of a global deployment of FSS GSO earth stations</w:t>
      </w:r>
      <w:bookmarkEnd w:id="59"/>
      <w:bookmarkEnd w:id="60"/>
      <w:bookmarkEnd w:id="61"/>
      <w:bookmarkEnd w:id="62"/>
      <w:bookmarkEnd w:id="63"/>
      <w:bookmarkEnd w:id="64"/>
      <w:bookmarkEnd w:id="65"/>
    </w:p>
    <w:p w:rsidR="007B7775" w:rsidRPr="007B7775" w:rsidRDefault="007B7775" w:rsidP="007B7775">
      <w:pPr>
        <w:rPr>
          <w:lang w:val="en-US"/>
        </w:rPr>
      </w:pPr>
      <w:r w:rsidRPr="007B7775">
        <w:rPr>
          <w:lang w:val="en-US"/>
        </w:rPr>
        <w:t>This section presents the results of an analysis to determine the probability of interference to the ISS for the worst-case orbit for a range of FSS earth station characteristics.</w:t>
      </w:r>
    </w:p>
    <w:p w:rsidR="007B7775" w:rsidRPr="00DF7412" w:rsidRDefault="007B7775" w:rsidP="007B7775">
      <w:pPr>
        <w:pStyle w:val="Heading3"/>
        <w:rPr>
          <w:lang w:val="en-US"/>
        </w:rPr>
      </w:pPr>
      <w:bookmarkStart w:id="66" w:name="_Toc84242628"/>
      <w:bookmarkStart w:id="67" w:name="_Toc224981512"/>
      <w:bookmarkStart w:id="68" w:name="_Toc225065801"/>
      <w:bookmarkStart w:id="69" w:name="_Toc226261829"/>
      <w:bookmarkStart w:id="70" w:name="_Toc256067089"/>
      <w:bookmarkStart w:id="71" w:name="_Toc256067168"/>
      <w:r w:rsidRPr="00DF7412">
        <w:rPr>
          <w:lang w:val="en-US"/>
        </w:rPr>
        <w:t>3.2.1</w:t>
      </w:r>
      <w:r w:rsidRPr="00DF7412">
        <w:rPr>
          <w:lang w:val="en-US"/>
        </w:rPr>
        <w:tab/>
        <w:t>FSS earth station characteristics</w:t>
      </w:r>
      <w:bookmarkEnd w:id="66"/>
      <w:bookmarkEnd w:id="67"/>
      <w:bookmarkEnd w:id="68"/>
      <w:bookmarkEnd w:id="69"/>
      <w:bookmarkEnd w:id="70"/>
      <w:bookmarkEnd w:id="71"/>
    </w:p>
    <w:p w:rsidR="00A6617B" w:rsidRDefault="007B7775" w:rsidP="007B7775">
      <w:pPr>
        <w:rPr>
          <w:lang w:val="en-US"/>
        </w:rPr>
      </w:pPr>
      <w:r w:rsidRPr="00F701FF">
        <w:rPr>
          <w:lang w:val="en-US"/>
        </w:rPr>
        <w:t>Table</w:t>
      </w:r>
      <w:r>
        <w:rPr>
          <w:lang w:val="en-US"/>
        </w:rPr>
        <w:t> </w:t>
      </w:r>
      <w:r w:rsidRPr="00F701FF">
        <w:rPr>
          <w:lang w:val="en-US"/>
        </w:rPr>
        <w:t xml:space="preserve">1 is a summary of the characteristics of the FSS earth station populations used in the simulations described within this section. </w:t>
      </w:r>
      <w:r w:rsidRPr="007B7775">
        <w:rPr>
          <w:lang w:val="en-US"/>
        </w:rPr>
        <w:t>The FSS earth station antenna pattern given in Recommendation ITU</w:t>
      </w:r>
      <w:r w:rsidRPr="007B7775">
        <w:rPr>
          <w:lang w:val="en-US"/>
        </w:rPr>
        <w:noBreakHyphen/>
        <w:t>R S.465-5 was used for the analysis presented in this section. A limited set of simulations were performed comparing results derived from the use of Recommendation ITU</w:t>
      </w:r>
      <w:r w:rsidRPr="007B7775">
        <w:rPr>
          <w:lang w:val="en-US"/>
        </w:rPr>
        <w:noBreakHyphen/>
        <w:t>R S.465-5 and Recommendation ITU</w:t>
      </w:r>
      <w:r w:rsidRPr="007B7775">
        <w:rPr>
          <w:lang w:val="en-US"/>
        </w:rPr>
        <w:noBreakHyphen/>
        <w:t>R S.1428 and it was found that the difference was less than 1 dB.</w:t>
      </w:r>
    </w:p>
    <w:p w:rsidR="007F3386" w:rsidRPr="007F3386" w:rsidRDefault="007F3386" w:rsidP="007F3386">
      <w:pPr>
        <w:pStyle w:val="TableNo"/>
        <w:rPr>
          <w:lang w:val="en-US"/>
        </w:rPr>
      </w:pPr>
      <w:r w:rsidRPr="007F3386">
        <w:rPr>
          <w:lang w:val="en-US"/>
        </w:rPr>
        <w:t>TABLE 1</w:t>
      </w:r>
    </w:p>
    <w:p w:rsidR="007F3386" w:rsidRPr="007F3386" w:rsidRDefault="007F3386" w:rsidP="007F3386">
      <w:pPr>
        <w:pStyle w:val="Tabletitle"/>
        <w:rPr>
          <w:lang w:val="en-US"/>
        </w:rPr>
      </w:pPr>
      <w:r w:rsidRPr="007F3386">
        <w:rPr>
          <w:lang w:val="en-US"/>
        </w:rPr>
        <w:t>Characteristics of FSS earth station populations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3"/>
        <w:gridCol w:w="1358"/>
        <w:gridCol w:w="1984"/>
        <w:gridCol w:w="1983"/>
        <w:gridCol w:w="1532"/>
        <w:gridCol w:w="1529"/>
      </w:tblGrid>
      <w:tr w:rsidR="007F3386" w:rsidRPr="00B5710B">
        <w:trPr>
          <w:trHeight w:val="20"/>
          <w:jc w:val="center"/>
        </w:trPr>
        <w:tc>
          <w:tcPr>
            <w:tcW w:w="1080" w:type="dxa"/>
            <w:vAlign w:val="center"/>
          </w:tcPr>
          <w:p w:rsidR="007F3386" w:rsidRPr="007F3386" w:rsidRDefault="007F3386" w:rsidP="007F3386">
            <w:pPr>
              <w:pStyle w:val="Tablehead"/>
              <w:rPr>
                <w:lang w:val="en-US"/>
              </w:rPr>
            </w:pPr>
            <w:r w:rsidRPr="007F3386">
              <w:rPr>
                <w:lang w:val="en-US"/>
              </w:rPr>
              <w:t>Earth station signal info data rate</w:t>
            </w:r>
          </w:p>
        </w:tc>
        <w:tc>
          <w:tcPr>
            <w:tcW w:w="1170" w:type="dxa"/>
            <w:vAlign w:val="center"/>
          </w:tcPr>
          <w:p w:rsidR="007F3386" w:rsidRPr="007F3386" w:rsidRDefault="007F3386" w:rsidP="007F3386">
            <w:pPr>
              <w:pStyle w:val="Tablehead"/>
              <w:rPr>
                <w:lang w:val="en-US"/>
              </w:rPr>
            </w:pPr>
            <w:r w:rsidRPr="007F3386">
              <w:rPr>
                <w:lang w:val="en-US"/>
              </w:rPr>
              <w:t>Earth station transmit data rate</w:t>
            </w:r>
          </w:p>
        </w:tc>
        <w:tc>
          <w:tcPr>
            <w:tcW w:w="1710" w:type="dxa"/>
            <w:vAlign w:val="center"/>
          </w:tcPr>
          <w:p w:rsidR="007F3386" w:rsidRPr="00974E4E" w:rsidRDefault="007F3386" w:rsidP="007F3386">
            <w:pPr>
              <w:pStyle w:val="Tablehead"/>
              <w:rPr>
                <w:lang w:val="en-US"/>
              </w:rPr>
            </w:pPr>
            <w:r w:rsidRPr="00974E4E">
              <w:rPr>
                <w:lang w:val="en-US"/>
              </w:rPr>
              <w:t>Signal bandwidth occupancy at satellite transponder</w:t>
            </w:r>
          </w:p>
        </w:tc>
        <w:tc>
          <w:tcPr>
            <w:tcW w:w="1709" w:type="dxa"/>
            <w:vAlign w:val="center"/>
          </w:tcPr>
          <w:p w:rsidR="007F3386" w:rsidRDefault="007F3386" w:rsidP="007F3386">
            <w:pPr>
              <w:pStyle w:val="Tablehead"/>
            </w:pPr>
            <w:r>
              <w:t>Antenna</w:t>
            </w:r>
            <w:r>
              <w:br/>
              <w:t>diameter</w:t>
            </w:r>
          </w:p>
        </w:tc>
        <w:tc>
          <w:tcPr>
            <w:tcW w:w="1320" w:type="dxa"/>
            <w:vAlign w:val="center"/>
          </w:tcPr>
          <w:p w:rsidR="007F3386" w:rsidRPr="007F3386" w:rsidRDefault="007F3386" w:rsidP="007F3386">
            <w:pPr>
              <w:pStyle w:val="Tablehead"/>
              <w:rPr>
                <w:lang w:val="en-US"/>
              </w:rPr>
            </w:pPr>
            <w:r w:rsidRPr="007F3386">
              <w:rPr>
                <w:lang w:val="en-US"/>
              </w:rPr>
              <w:t>e.i.r.p. (includes 1 dB transmit loss)</w:t>
            </w:r>
          </w:p>
        </w:tc>
        <w:tc>
          <w:tcPr>
            <w:tcW w:w="1318" w:type="dxa"/>
            <w:vAlign w:val="center"/>
          </w:tcPr>
          <w:p w:rsidR="007F3386" w:rsidRPr="00974E4E" w:rsidRDefault="007F3386" w:rsidP="007F3386">
            <w:pPr>
              <w:pStyle w:val="Tablehead"/>
              <w:rPr>
                <w:highlight w:val="yellow"/>
                <w:lang w:val="en-US"/>
              </w:rPr>
            </w:pPr>
            <w:r w:rsidRPr="00974E4E">
              <w:rPr>
                <w:lang w:val="en-US"/>
              </w:rPr>
              <w:t>Average e.i.r.p. density (dB(W/Hz)</w:t>
            </w:r>
            <w:r>
              <w:rPr>
                <w:lang w:val="en-US"/>
              </w:rPr>
              <w:t>)</w:t>
            </w:r>
          </w:p>
        </w:tc>
      </w:tr>
      <w:tr w:rsidR="007F3386">
        <w:trPr>
          <w:trHeight w:val="20"/>
          <w:jc w:val="center"/>
        </w:trPr>
        <w:tc>
          <w:tcPr>
            <w:tcW w:w="1080" w:type="dxa"/>
            <w:vAlign w:val="center"/>
          </w:tcPr>
          <w:p w:rsidR="007F3386" w:rsidRDefault="007F3386" w:rsidP="007F3386">
            <w:pPr>
              <w:pStyle w:val="Tabletext"/>
              <w:jc w:val="center"/>
            </w:pPr>
            <w:r>
              <w:t>16 kbit/s</w:t>
            </w:r>
          </w:p>
        </w:tc>
        <w:tc>
          <w:tcPr>
            <w:tcW w:w="1170" w:type="dxa"/>
            <w:vAlign w:val="center"/>
          </w:tcPr>
          <w:p w:rsidR="007F3386" w:rsidRDefault="007F3386" w:rsidP="007F3386">
            <w:pPr>
              <w:pStyle w:val="Tabletext"/>
              <w:jc w:val="center"/>
            </w:pPr>
            <w:r>
              <w:t>32 kbit/s</w:t>
            </w:r>
          </w:p>
        </w:tc>
        <w:tc>
          <w:tcPr>
            <w:tcW w:w="1710" w:type="dxa"/>
            <w:vAlign w:val="center"/>
          </w:tcPr>
          <w:p w:rsidR="007F3386" w:rsidRDefault="007F3386" w:rsidP="007F3386">
            <w:pPr>
              <w:pStyle w:val="Tabletext"/>
              <w:jc w:val="center"/>
            </w:pPr>
            <w:r>
              <w:t>33.6 kHz</w:t>
            </w:r>
          </w:p>
        </w:tc>
        <w:tc>
          <w:tcPr>
            <w:tcW w:w="1709" w:type="dxa"/>
            <w:vAlign w:val="center"/>
          </w:tcPr>
          <w:p w:rsidR="007F3386" w:rsidRDefault="007F3386" w:rsidP="007F3386">
            <w:pPr>
              <w:pStyle w:val="Tabletext"/>
              <w:jc w:val="center"/>
            </w:pPr>
            <w:r>
              <w:t>0.5 m (34.6 dBi)</w:t>
            </w:r>
          </w:p>
        </w:tc>
        <w:tc>
          <w:tcPr>
            <w:tcW w:w="1320" w:type="dxa"/>
            <w:vAlign w:val="center"/>
          </w:tcPr>
          <w:p w:rsidR="007F3386" w:rsidRDefault="007F3386" w:rsidP="007F3386">
            <w:pPr>
              <w:pStyle w:val="Tabletext"/>
              <w:jc w:val="center"/>
            </w:pPr>
            <w:r>
              <w:t>33.6 dBW</w:t>
            </w:r>
          </w:p>
        </w:tc>
        <w:tc>
          <w:tcPr>
            <w:tcW w:w="1318" w:type="dxa"/>
            <w:vAlign w:val="center"/>
          </w:tcPr>
          <w:p w:rsidR="007F3386" w:rsidRDefault="007F3386" w:rsidP="007F3386">
            <w:pPr>
              <w:pStyle w:val="Tabletext"/>
              <w:jc w:val="center"/>
              <w:rPr>
                <w:highlight w:val="yellow"/>
              </w:rPr>
            </w:pPr>
            <w:r>
              <w:t>−11.7</w:t>
            </w:r>
          </w:p>
        </w:tc>
      </w:tr>
      <w:tr w:rsidR="007F3386">
        <w:trPr>
          <w:trHeight w:val="20"/>
          <w:jc w:val="center"/>
        </w:trPr>
        <w:tc>
          <w:tcPr>
            <w:tcW w:w="1080" w:type="dxa"/>
            <w:vAlign w:val="center"/>
          </w:tcPr>
          <w:p w:rsidR="007F3386" w:rsidRDefault="007F3386" w:rsidP="007F3386">
            <w:pPr>
              <w:pStyle w:val="Tabletext"/>
              <w:jc w:val="center"/>
            </w:pPr>
            <w:r>
              <w:t>64 kbit/s</w:t>
            </w:r>
          </w:p>
        </w:tc>
        <w:tc>
          <w:tcPr>
            <w:tcW w:w="1170" w:type="dxa"/>
            <w:vAlign w:val="center"/>
          </w:tcPr>
          <w:p w:rsidR="007F3386" w:rsidRDefault="007F3386" w:rsidP="007F3386">
            <w:pPr>
              <w:pStyle w:val="Tabletext"/>
              <w:jc w:val="center"/>
            </w:pPr>
            <w:r>
              <w:t>128 kbit/s</w:t>
            </w:r>
          </w:p>
        </w:tc>
        <w:tc>
          <w:tcPr>
            <w:tcW w:w="1710" w:type="dxa"/>
            <w:vAlign w:val="center"/>
          </w:tcPr>
          <w:p w:rsidR="007F3386" w:rsidRDefault="007F3386" w:rsidP="007F3386">
            <w:pPr>
              <w:pStyle w:val="Tabletext"/>
              <w:jc w:val="center"/>
            </w:pPr>
            <w:r>
              <w:t>134.4 kHz</w:t>
            </w:r>
          </w:p>
        </w:tc>
        <w:tc>
          <w:tcPr>
            <w:tcW w:w="1709" w:type="dxa"/>
            <w:vAlign w:val="center"/>
          </w:tcPr>
          <w:p w:rsidR="007F3386" w:rsidRDefault="007F3386" w:rsidP="007F3386">
            <w:pPr>
              <w:pStyle w:val="Tabletext"/>
              <w:jc w:val="center"/>
            </w:pPr>
            <w:r>
              <w:t>1.0 m (41.0 dBi)</w:t>
            </w:r>
          </w:p>
        </w:tc>
        <w:tc>
          <w:tcPr>
            <w:tcW w:w="1320" w:type="dxa"/>
            <w:vAlign w:val="center"/>
          </w:tcPr>
          <w:p w:rsidR="007F3386" w:rsidRDefault="007F3386" w:rsidP="007F3386">
            <w:pPr>
              <w:pStyle w:val="Tabletext"/>
              <w:jc w:val="center"/>
            </w:pPr>
            <w:r>
              <w:t>40 dBW</w:t>
            </w:r>
          </w:p>
        </w:tc>
        <w:tc>
          <w:tcPr>
            <w:tcW w:w="1318" w:type="dxa"/>
            <w:vAlign w:val="center"/>
          </w:tcPr>
          <w:p w:rsidR="007F3386" w:rsidRDefault="007F3386" w:rsidP="007F3386">
            <w:pPr>
              <w:pStyle w:val="Tabletext"/>
              <w:jc w:val="center"/>
              <w:rPr>
                <w:highlight w:val="yellow"/>
              </w:rPr>
            </w:pPr>
            <w:r>
              <w:t>−11.3</w:t>
            </w:r>
          </w:p>
        </w:tc>
      </w:tr>
      <w:tr w:rsidR="007F3386">
        <w:trPr>
          <w:trHeight w:val="20"/>
          <w:jc w:val="center"/>
        </w:trPr>
        <w:tc>
          <w:tcPr>
            <w:tcW w:w="1080" w:type="dxa"/>
            <w:vAlign w:val="center"/>
          </w:tcPr>
          <w:p w:rsidR="007F3386" w:rsidRDefault="007F3386" w:rsidP="007F3386">
            <w:pPr>
              <w:pStyle w:val="Tabletext"/>
              <w:jc w:val="center"/>
            </w:pPr>
            <w:r>
              <w:t>1 Mbit/s</w:t>
            </w:r>
          </w:p>
        </w:tc>
        <w:tc>
          <w:tcPr>
            <w:tcW w:w="1170" w:type="dxa"/>
            <w:vAlign w:val="center"/>
          </w:tcPr>
          <w:p w:rsidR="007F3386" w:rsidRDefault="007F3386" w:rsidP="007F3386">
            <w:pPr>
              <w:pStyle w:val="Tabletext"/>
              <w:jc w:val="center"/>
            </w:pPr>
            <w:r>
              <w:t>2 Mbit/s</w:t>
            </w:r>
          </w:p>
        </w:tc>
        <w:tc>
          <w:tcPr>
            <w:tcW w:w="1710" w:type="dxa"/>
            <w:vAlign w:val="center"/>
          </w:tcPr>
          <w:p w:rsidR="007F3386" w:rsidRDefault="007F3386" w:rsidP="007F3386">
            <w:pPr>
              <w:pStyle w:val="Tabletext"/>
              <w:jc w:val="center"/>
            </w:pPr>
            <w:r>
              <w:t>2.1 MHz</w:t>
            </w:r>
          </w:p>
        </w:tc>
        <w:tc>
          <w:tcPr>
            <w:tcW w:w="1709" w:type="dxa"/>
            <w:vAlign w:val="center"/>
          </w:tcPr>
          <w:p w:rsidR="007F3386" w:rsidRDefault="007F3386" w:rsidP="007F3386">
            <w:pPr>
              <w:pStyle w:val="Tabletext"/>
              <w:jc w:val="center"/>
            </w:pPr>
            <w:r>
              <w:t>1.8 m (45.7 dBi)</w:t>
            </w:r>
          </w:p>
        </w:tc>
        <w:tc>
          <w:tcPr>
            <w:tcW w:w="1320" w:type="dxa"/>
            <w:vAlign w:val="center"/>
          </w:tcPr>
          <w:p w:rsidR="007F3386" w:rsidRDefault="007F3386" w:rsidP="007F3386">
            <w:pPr>
              <w:pStyle w:val="Tabletext"/>
              <w:jc w:val="center"/>
            </w:pPr>
            <w:r>
              <w:t>50.7 dBW</w:t>
            </w:r>
          </w:p>
        </w:tc>
        <w:tc>
          <w:tcPr>
            <w:tcW w:w="1318" w:type="dxa"/>
            <w:vAlign w:val="center"/>
          </w:tcPr>
          <w:p w:rsidR="007F3386" w:rsidRDefault="007F3386" w:rsidP="007F3386">
            <w:pPr>
              <w:pStyle w:val="Tabletext"/>
              <w:jc w:val="center"/>
              <w:rPr>
                <w:highlight w:val="yellow"/>
              </w:rPr>
            </w:pPr>
            <w:r>
              <w:t>−12.5</w:t>
            </w:r>
          </w:p>
        </w:tc>
      </w:tr>
      <w:tr w:rsidR="007F3386">
        <w:trPr>
          <w:trHeight w:val="20"/>
          <w:jc w:val="center"/>
        </w:trPr>
        <w:tc>
          <w:tcPr>
            <w:tcW w:w="1080" w:type="dxa"/>
            <w:vAlign w:val="center"/>
          </w:tcPr>
          <w:p w:rsidR="007F3386" w:rsidRDefault="007F3386" w:rsidP="007F3386">
            <w:pPr>
              <w:pStyle w:val="Tabletext"/>
              <w:jc w:val="center"/>
            </w:pPr>
            <w:r>
              <w:t>2 Mbit/s</w:t>
            </w:r>
          </w:p>
        </w:tc>
        <w:tc>
          <w:tcPr>
            <w:tcW w:w="1170" w:type="dxa"/>
            <w:vAlign w:val="center"/>
          </w:tcPr>
          <w:p w:rsidR="007F3386" w:rsidRDefault="007F3386" w:rsidP="007F3386">
            <w:pPr>
              <w:pStyle w:val="Tabletext"/>
              <w:jc w:val="center"/>
            </w:pPr>
            <w:r>
              <w:t>2 Mbit/s</w:t>
            </w:r>
          </w:p>
        </w:tc>
        <w:tc>
          <w:tcPr>
            <w:tcW w:w="1710" w:type="dxa"/>
            <w:vAlign w:val="center"/>
          </w:tcPr>
          <w:p w:rsidR="007F3386" w:rsidRDefault="007F3386" w:rsidP="007F3386">
            <w:pPr>
              <w:pStyle w:val="Tabletext"/>
              <w:jc w:val="center"/>
            </w:pPr>
            <w:r>
              <w:t>2.1 MHz</w:t>
            </w:r>
          </w:p>
        </w:tc>
        <w:tc>
          <w:tcPr>
            <w:tcW w:w="1709" w:type="dxa"/>
            <w:vAlign w:val="center"/>
          </w:tcPr>
          <w:p w:rsidR="007F3386" w:rsidRDefault="007F3386" w:rsidP="007F3386">
            <w:pPr>
              <w:pStyle w:val="Tabletext"/>
              <w:jc w:val="center"/>
            </w:pPr>
            <w:r>
              <w:t>3.0 m (50.2 dBi)</w:t>
            </w:r>
          </w:p>
        </w:tc>
        <w:tc>
          <w:tcPr>
            <w:tcW w:w="1320" w:type="dxa"/>
            <w:vAlign w:val="center"/>
          </w:tcPr>
          <w:p w:rsidR="007F3386" w:rsidRDefault="007F3386" w:rsidP="007F3386">
            <w:pPr>
              <w:pStyle w:val="Tabletext"/>
              <w:jc w:val="center"/>
            </w:pPr>
            <w:r>
              <w:t>55.2 dBW</w:t>
            </w:r>
          </w:p>
        </w:tc>
        <w:tc>
          <w:tcPr>
            <w:tcW w:w="1318" w:type="dxa"/>
            <w:vAlign w:val="center"/>
          </w:tcPr>
          <w:p w:rsidR="007F3386" w:rsidRDefault="007F3386" w:rsidP="007F3386">
            <w:pPr>
              <w:pStyle w:val="Tabletext"/>
              <w:jc w:val="center"/>
              <w:rPr>
                <w:highlight w:val="yellow"/>
              </w:rPr>
            </w:pPr>
            <w:r>
              <w:t>−8.0</w:t>
            </w:r>
          </w:p>
        </w:tc>
      </w:tr>
      <w:tr w:rsidR="007F3386">
        <w:trPr>
          <w:trHeight w:val="467"/>
          <w:jc w:val="center"/>
        </w:trPr>
        <w:tc>
          <w:tcPr>
            <w:tcW w:w="1080" w:type="dxa"/>
            <w:vAlign w:val="center"/>
          </w:tcPr>
          <w:p w:rsidR="007F3386" w:rsidRDefault="007F3386" w:rsidP="007F3386">
            <w:pPr>
              <w:pStyle w:val="Tabletext"/>
              <w:jc w:val="center"/>
            </w:pPr>
            <w:r>
              <w:t>34 Mbit/s</w:t>
            </w:r>
          </w:p>
        </w:tc>
        <w:tc>
          <w:tcPr>
            <w:tcW w:w="1170" w:type="dxa"/>
            <w:vAlign w:val="center"/>
          </w:tcPr>
          <w:p w:rsidR="007F3386" w:rsidRDefault="007F3386" w:rsidP="007F3386">
            <w:pPr>
              <w:pStyle w:val="Tabletext"/>
              <w:jc w:val="center"/>
            </w:pPr>
            <w:r>
              <w:t>34 Mbit/s</w:t>
            </w:r>
          </w:p>
        </w:tc>
        <w:tc>
          <w:tcPr>
            <w:tcW w:w="1710" w:type="dxa"/>
            <w:vAlign w:val="center"/>
          </w:tcPr>
          <w:p w:rsidR="007F3386" w:rsidRDefault="007F3386" w:rsidP="007F3386">
            <w:pPr>
              <w:pStyle w:val="Tabletext"/>
              <w:jc w:val="center"/>
            </w:pPr>
            <w:r>
              <w:t>35.7 MHz</w:t>
            </w:r>
          </w:p>
        </w:tc>
        <w:tc>
          <w:tcPr>
            <w:tcW w:w="1709" w:type="dxa"/>
            <w:vAlign w:val="center"/>
          </w:tcPr>
          <w:p w:rsidR="007F3386" w:rsidRDefault="007F3386" w:rsidP="007F3386">
            <w:pPr>
              <w:pStyle w:val="Tabletext"/>
              <w:jc w:val="center"/>
            </w:pPr>
            <w:r>
              <w:t>4.5 m (53.7 dBi)</w:t>
            </w:r>
          </w:p>
        </w:tc>
        <w:tc>
          <w:tcPr>
            <w:tcW w:w="1320" w:type="dxa"/>
            <w:vAlign w:val="center"/>
          </w:tcPr>
          <w:p w:rsidR="007F3386" w:rsidRDefault="007F3386" w:rsidP="007F3386">
            <w:pPr>
              <w:pStyle w:val="Tabletext"/>
              <w:jc w:val="center"/>
            </w:pPr>
            <w:r>
              <w:t xml:space="preserve">69.7 dBW </w:t>
            </w:r>
            <w:r>
              <w:br/>
              <w:t>(in 34 MHz)</w:t>
            </w:r>
          </w:p>
        </w:tc>
        <w:tc>
          <w:tcPr>
            <w:tcW w:w="1318" w:type="dxa"/>
            <w:vAlign w:val="center"/>
          </w:tcPr>
          <w:p w:rsidR="007F3386" w:rsidRDefault="007F3386" w:rsidP="007F3386">
            <w:pPr>
              <w:pStyle w:val="Tabletext"/>
              <w:jc w:val="center"/>
              <w:rPr>
                <w:highlight w:val="yellow"/>
              </w:rPr>
            </w:pPr>
            <w:r>
              <w:t>−5.8</w:t>
            </w:r>
          </w:p>
        </w:tc>
      </w:tr>
    </w:tbl>
    <w:p w:rsidR="007B7775" w:rsidRDefault="007B7775" w:rsidP="007F3386">
      <w:pPr>
        <w:pStyle w:val="Tablefin"/>
      </w:pPr>
    </w:p>
    <w:p w:rsidR="00A42B50" w:rsidRPr="00A42B50" w:rsidRDefault="00A42B50" w:rsidP="00A42B50">
      <w:pPr>
        <w:pStyle w:val="Heading3"/>
        <w:rPr>
          <w:lang w:val="en-US"/>
        </w:rPr>
      </w:pPr>
      <w:bookmarkStart w:id="72" w:name="_Toc225065802"/>
      <w:bookmarkStart w:id="73" w:name="_Toc226261830"/>
      <w:bookmarkStart w:id="74" w:name="_Toc256067090"/>
      <w:bookmarkStart w:id="75" w:name="_Toc256067169"/>
      <w:r w:rsidRPr="00A42B50">
        <w:rPr>
          <w:lang w:val="en-US"/>
        </w:rPr>
        <w:t>3.2.2</w:t>
      </w:r>
      <w:r w:rsidRPr="00A42B50">
        <w:rPr>
          <w:lang w:val="en-US"/>
        </w:rPr>
        <w:tab/>
        <w:t>GSO satellite locations and distributions</w:t>
      </w:r>
      <w:bookmarkEnd w:id="72"/>
      <w:bookmarkEnd w:id="73"/>
      <w:bookmarkEnd w:id="74"/>
      <w:bookmarkEnd w:id="75"/>
    </w:p>
    <w:p w:rsidR="00A42B50" w:rsidRPr="00A42B50" w:rsidRDefault="00A42B50" w:rsidP="00A42B50">
      <w:pPr>
        <w:rPr>
          <w:b/>
          <w:lang w:val="en-US"/>
        </w:rPr>
      </w:pPr>
      <w:r w:rsidRPr="00A42B50">
        <w:rPr>
          <w:lang w:val="en-US"/>
        </w:rPr>
        <w:t>A 120 FSS GSO satellite constellation, equally placed 3</w:t>
      </w:r>
      <w:r>
        <w:sym w:font="Symbol" w:char="F0B0"/>
      </w:r>
      <w:r w:rsidRPr="00A42B50">
        <w:rPr>
          <w:lang w:val="en-US"/>
        </w:rPr>
        <w:t xml:space="preserve"> apart in the geostationary orbit, was used in the analysis.</w:t>
      </w:r>
    </w:p>
    <w:p w:rsidR="00A42B50" w:rsidRPr="00974E4E" w:rsidRDefault="00A42B50" w:rsidP="00A42B50">
      <w:pPr>
        <w:rPr>
          <w:lang w:val="en-US"/>
        </w:rPr>
      </w:pPr>
      <w:r w:rsidRPr="00A42B50">
        <w:rPr>
          <w:lang w:val="en-US"/>
        </w:rPr>
        <w:t>The 4.5 m FSS Gateway earth station distribution is based on the locations of Urban Population Center (UPC) around the world. The UPCs are obtained from the “</w:t>
      </w:r>
      <w:r w:rsidRPr="00A42B50">
        <w:rPr>
          <w:i/>
          <w:lang w:val="en-US"/>
        </w:rPr>
        <w:t>Urban Agglomerations, 1950</w:t>
      </w:r>
      <w:r w:rsidRPr="00A42B50">
        <w:rPr>
          <w:i/>
          <w:lang w:val="en-US"/>
        </w:rPr>
        <w:noBreakHyphen/>
        <w:t xml:space="preserve">2015, United Nation Population Division, NY, </w:t>
      </w:r>
      <w:smartTag w:uri="urn:schemas-microsoft-com:office:smarttags" w:element="place">
        <w:smartTag w:uri="urn:schemas-microsoft-com:office:smarttags" w:element="country-region">
          <w:r w:rsidRPr="00A42B50">
            <w:rPr>
              <w:i/>
              <w:lang w:val="en-US"/>
            </w:rPr>
            <w:t>USA</w:t>
          </w:r>
        </w:smartTag>
      </w:smartTag>
      <w:r w:rsidRPr="00A42B50">
        <w:rPr>
          <w:lang w:val="en-US"/>
        </w:rPr>
        <w:t xml:space="preserve">”. All the selected UPCs are projected to have a population of one million or more by the year 2015. A total of 326 UPCs were identified. Each satellite will be capable of supporting two links in the same channel using orthogonal polarizations. A total of 240 cities were selected from the urban agglomerations. </w:t>
      </w:r>
      <w:r w:rsidRPr="00974E4E">
        <w:rPr>
          <w:lang w:val="en-US"/>
        </w:rPr>
        <w:t>The cities were selected based on the satellite capacity and that the elevation angle to the satellite was greater than 20</w:t>
      </w:r>
      <w:r>
        <w:sym w:font="Symbol" w:char="F0B0"/>
      </w:r>
      <w:r w:rsidRPr="00974E4E">
        <w:rPr>
          <w:lang w:val="en-US"/>
        </w:rPr>
        <w:t>. The resultant distribution of earth stations is shown in Fig. </w:t>
      </w:r>
      <w:r>
        <w:rPr>
          <w:lang w:val="en-US"/>
        </w:rPr>
        <w:t>2</w:t>
      </w:r>
      <w:r w:rsidRPr="00974E4E">
        <w:rPr>
          <w:lang w:val="en-US"/>
        </w:rPr>
        <w:t>.</w:t>
      </w:r>
    </w:p>
    <w:p w:rsidR="00A42B50" w:rsidRPr="00974E4E" w:rsidRDefault="00A42B50" w:rsidP="00A42B50">
      <w:pPr>
        <w:pStyle w:val="FigureNo"/>
        <w:rPr>
          <w:lang w:val="en-US"/>
        </w:rPr>
      </w:pPr>
      <w:r w:rsidRPr="00974E4E">
        <w:rPr>
          <w:lang w:val="en-US"/>
        </w:rPr>
        <w:lastRenderedPageBreak/>
        <w:t xml:space="preserve">Figure </w:t>
      </w:r>
      <w:r>
        <w:rPr>
          <w:lang w:val="en-US"/>
        </w:rPr>
        <w:t>2</w:t>
      </w:r>
    </w:p>
    <w:p w:rsidR="00A42B50" w:rsidRPr="00974E4E" w:rsidRDefault="00A42B50" w:rsidP="00A80CE6">
      <w:pPr>
        <w:pStyle w:val="Figuretitle"/>
        <w:spacing w:after="240"/>
        <w:rPr>
          <w:lang w:val="en-US"/>
        </w:rPr>
      </w:pPr>
      <w:r w:rsidRPr="00974E4E">
        <w:rPr>
          <w:lang w:val="en-US"/>
        </w:rPr>
        <w:t>Worldwide distribution of 4.5</w:t>
      </w:r>
      <w:r>
        <w:rPr>
          <w:lang w:val="en-US"/>
        </w:rPr>
        <w:t xml:space="preserve"> </w:t>
      </w:r>
      <w:r w:rsidRPr="00974E4E">
        <w:rPr>
          <w:lang w:val="en-US"/>
        </w:rPr>
        <w:t xml:space="preserve">m </w:t>
      </w:r>
      <w:r w:rsidR="00A80CE6">
        <w:rPr>
          <w:lang w:val="en-US"/>
        </w:rPr>
        <w:t>g</w:t>
      </w:r>
      <w:r w:rsidRPr="00974E4E">
        <w:rPr>
          <w:lang w:val="en-US"/>
        </w:rPr>
        <w:t xml:space="preserve">round </w:t>
      </w:r>
      <w:r>
        <w:rPr>
          <w:lang w:val="en-US"/>
        </w:rPr>
        <w:t>s</w:t>
      </w:r>
      <w:r w:rsidRPr="00974E4E">
        <w:rPr>
          <w:lang w:val="en-US"/>
        </w:rPr>
        <w:t>tations</w:t>
      </w:r>
    </w:p>
    <w:p w:rsidR="00A42B50" w:rsidRDefault="00AC2806" w:rsidP="00A42B50">
      <w:pPr>
        <w:pStyle w:val="Figure"/>
      </w:pPr>
      <w:r>
        <w:object w:dxaOrig="9242" w:dyaOrig="4778">
          <v:shape id="_x0000_i1027" type="#_x0000_t75" style="width:462pt;height:239.4pt" o:ole="">
            <v:imagedata r:id="rId14" o:title=""/>
          </v:shape>
          <o:OLEObject Type="Embed" ProgID="CorelDraw.Graphic.12" ShapeID="_x0000_i1027" DrawAspect="Content" ObjectID="_1330861835" r:id="rId15"/>
        </w:object>
      </w:r>
    </w:p>
    <w:p w:rsidR="00A42B50" w:rsidRDefault="00A42B50" w:rsidP="00D43F24">
      <w:pPr>
        <w:pStyle w:val="Normalaftertitle"/>
        <w:rPr>
          <w:lang w:val="en-US"/>
        </w:rPr>
      </w:pPr>
      <w:r w:rsidRPr="00A42B50">
        <w:rPr>
          <w:lang w:val="en-US"/>
        </w:rPr>
        <w:t>The FSS earth stations were randomly distributed worldwide based on the population in each continent. The FSS earth stations were randomly allocated to satellites in the geosynchronous arc for which the elevation angle exceeded 20</w:t>
      </w:r>
      <w:r>
        <w:sym w:font="Symbol" w:char="F0B0"/>
      </w:r>
      <w:r w:rsidRPr="00A42B50">
        <w:rPr>
          <w:lang w:val="en-US"/>
        </w:rPr>
        <w:t xml:space="preserve">. For each FSS earth station, a satellite with free channels was randomly selected from this group of satellites. The azimuth and elevation angle for the FSS earth station antenna was computed for the selected satellite. In densely populated areas such as </w:t>
      </w:r>
      <w:smartTag w:uri="urn:schemas-microsoft-com:office:smarttags" w:element="place">
        <w:r w:rsidRPr="00A42B50">
          <w:rPr>
            <w:lang w:val="en-US"/>
          </w:rPr>
          <w:t>Europe</w:t>
        </w:r>
      </w:smartTag>
      <w:r w:rsidRPr="00A42B50">
        <w:rPr>
          <w:lang w:val="en-US"/>
        </w:rPr>
        <w:t xml:space="preserve"> the total number of ground stations exceeds the total number of satellites in the visible arc. Some of the ground stations were not assigned a satellite and were removed from the analysis. Similarly, satellites above the oceans did not have sufficient ground stations to fill them to capacity. Consequently, those satellites were not fully utilized. </w:t>
      </w:r>
      <w:r w:rsidRPr="00974E4E">
        <w:rPr>
          <w:lang w:val="en-US"/>
        </w:rPr>
        <w:t>Table 2 shows the maximum channel capacity and utilizations of the GSO satellites supporting the different types of FSS earth stations.</w:t>
      </w:r>
    </w:p>
    <w:p w:rsidR="008632D5" w:rsidRPr="008632D5" w:rsidRDefault="008632D5" w:rsidP="008632D5">
      <w:pPr>
        <w:pStyle w:val="TableNo"/>
        <w:rPr>
          <w:lang w:val="en-US"/>
        </w:rPr>
      </w:pPr>
      <w:r w:rsidRPr="008632D5">
        <w:rPr>
          <w:lang w:val="en-US"/>
        </w:rPr>
        <w:t>TABLE 2</w:t>
      </w:r>
    </w:p>
    <w:p w:rsidR="008632D5" w:rsidRPr="008632D5" w:rsidRDefault="008632D5" w:rsidP="008632D5">
      <w:pPr>
        <w:pStyle w:val="Tabletitle"/>
        <w:rPr>
          <w:lang w:val="en-US"/>
        </w:rPr>
      </w:pPr>
      <w:r w:rsidRPr="008632D5">
        <w:rPr>
          <w:lang w:val="en-US"/>
        </w:rPr>
        <w:t>FSS earth station allocations for the simulation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0"/>
        <w:gridCol w:w="1394"/>
        <w:gridCol w:w="1654"/>
        <w:gridCol w:w="1394"/>
        <w:gridCol w:w="1480"/>
        <w:gridCol w:w="1394"/>
        <w:gridCol w:w="1193"/>
      </w:tblGrid>
      <w:tr w:rsidR="008632D5" w:rsidRPr="00974E4E">
        <w:trPr>
          <w:trHeight w:val="20"/>
          <w:jc w:val="center"/>
        </w:trPr>
        <w:tc>
          <w:tcPr>
            <w:tcW w:w="1166" w:type="dxa"/>
            <w:vAlign w:val="center"/>
          </w:tcPr>
          <w:p w:rsidR="008632D5" w:rsidRPr="00974E4E" w:rsidRDefault="008632D5" w:rsidP="008632D5">
            <w:pPr>
              <w:pStyle w:val="Tablehead"/>
            </w:pPr>
            <w:r w:rsidRPr="00974E4E">
              <w:t>Antenna diameter</w:t>
            </w:r>
            <w:r w:rsidR="00A80CE6">
              <w:br/>
              <w:t>(m)</w:t>
            </w:r>
          </w:p>
        </w:tc>
        <w:tc>
          <w:tcPr>
            <w:tcW w:w="1440" w:type="dxa"/>
            <w:vAlign w:val="center"/>
          </w:tcPr>
          <w:p w:rsidR="008632D5" w:rsidRPr="00974E4E" w:rsidRDefault="008632D5" w:rsidP="008632D5">
            <w:pPr>
              <w:pStyle w:val="Tablehead"/>
            </w:pPr>
            <w:r w:rsidRPr="00974E4E">
              <w:t>Signal BW occupancy at satellite transponder</w:t>
            </w:r>
          </w:p>
        </w:tc>
        <w:tc>
          <w:tcPr>
            <w:tcW w:w="1710" w:type="dxa"/>
            <w:vAlign w:val="center"/>
          </w:tcPr>
          <w:p w:rsidR="008632D5" w:rsidRPr="008632D5" w:rsidRDefault="008632D5" w:rsidP="008632D5">
            <w:pPr>
              <w:pStyle w:val="Tablehead"/>
              <w:rPr>
                <w:lang w:val="en-US"/>
              </w:rPr>
            </w:pPr>
            <w:r w:rsidRPr="008632D5">
              <w:rPr>
                <w:lang w:val="en-US"/>
              </w:rPr>
              <w:t>FSS earth station carriers in 10 MHz bandwidth</w:t>
            </w:r>
          </w:p>
        </w:tc>
        <w:tc>
          <w:tcPr>
            <w:tcW w:w="1440" w:type="dxa"/>
            <w:vAlign w:val="center"/>
          </w:tcPr>
          <w:p w:rsidR="008632D5" w:rsidRPr="008632D5" w:rsidRDefault="008632D5" w:rsidP="008632D5">
            <w:pPr>
              <w:pStyle w:val="Tablehead"/>
              <w:rPr>
                <w:lang w:val="en-US"/>
              </w:rPr>
            </w:pPr>
            <w:r w:rsidRPr="008632D5">
              <w:rPr>
                <w:lang w:val="en-US"/>
              </w:rPr>
              <w:t>FSS earth station carriers in 10 MHz per satellite</w:t>
            </w:r>
          </w:p>
        </w:tc>
        <w:tc>
          <w:tcPr>
            <w:tcW w:w="1530" w:type="dxa"/>
            <w:vAlign w:val="center"/>
          </w:tcPr>
          <w:p w:rsidR="008632D5" w:rsidRPr="00974E4E" w:rsidRDefault="008632D5" w:rsidP="008632D5">
            <w:pPr>
              <w:pStyle w:val="Tablehead"/>
              <w:rPr>
                <w:lang w:val="en-US"/>
              </w:rPr>
            </w:pPr>
            <w:r w:rsidRPr="00974E4E">
              <w:rPr>
                <w:lang w:val="en-US"/>
              </w:rPr>
              <w:t>Maximum carriers (FSS earth station) for constellation</w:t>
            </w:r>
          </w:p>
        </w:tc>
        <w:tc>
          <w:tcPr>
            <w:tcW w:w="1440" w:type="dxa"/>
            <w:vAlign w:val="center"/>
          </w:tcPr>
          <w:p w:rsidR="008632D5" w:rsidRPr="00974E4E" w:rsidRDefault="008632D5" w:rsidP="008632D5">
            <w:pPr>
              <w:pStyle w:val="Tablehead"/>
            </w:pPr>
            <w:r w:rsidRPr="00974E4E">
              <w:t>FSS earth station assignments</w:t>
            </w:r>
          </w:p>
        </w:tc>
        <w:tc>
          <w:tcPr>
            <w:tcW w:w="1231" w:type="dxa"/>
            <w:vAlign w:val="center"/>
          </w:tcPr>
          <w:p w:rsidR="008632D5" w:rsidRPr="00974E4E" w:rsidRDefault="008632D5" w:rsidP="008632D5">
            <w:pPr>
              <w:pStyle w:val="Tablehead"/>
              <w:ind w:left="-57"/>
            </w:pPr>
            <w:r w:rsidRPr="00974E4E">
              <w:t>Utilization (%)</w:t>
            </w:r>
          </w:p>
        </w:tc>
      </w:tr>
      <w:tr w:rsidR="008632D5" w:rsidRPr="00974E4E">
        <w:trPr>
          <w:jc w:val="center"/>
        </w:trPr>
        <w:tc>
          <w:tcPr>
            <w:tcW w:w="1166" w:type="dxa"/>
            <w:vAlign w:val="center"/>
          </w:tcPr>
          <w:p w:rsidR="008632D5" w:rsidRPr="00974E4E" w:rsidRDefault="008632D5" w:rsidP="008632D5">
            <w:pPr>
              <w:pStyle w:val="Tabletext"/>
              <w:jc w:val="center"/>
            </w:pPr>
            <w:r w:rsidRPr="00974E4E">
              <w:t>0.5</w:t>
            </w:r>
          </w:p>
        </w:tc>
        <w:tc>
          <w:tcPr>
            <w:tcW w:w="1440" w:type="dxa"/>
            <w:vAlign w:val="center"/>
          </w:tcPr>
          <w:p w:rsidR="008632D5" w:rsidRPr="00974E4E" w:rsidRDefault="008632D5" w:rsidP="008632D5">
            <w:pPr>
              <w:pStyle w:val="Tabletext"/>
              <w:jc w:val="center"/>
            </w:pPr>
            <w:r w:rsidRPr="00974E4E">
              <w:t>33.6 kHz</w:t>
            </w:r>
          </w:p>
        </w:tc>
        <w:tc>
          <w:tcPr>
            <w:tcW w:w="1710" w:type="dxa"/>
            <w:vAlign w:val="center"/>
          </w:tcPr>
          <w:p w:rsidR="008632D5" w:rsidRPr="00974E4E" w:rsidRDefault="008632D5" w:rsidP="008632D5">
            <w:pPr>
              <w:pStyle w:val="Tabletext"/>
              <w:jc w:val="center"/>
            </w:pPr>
            <w:r w:rsidRPr="00974E4E">
              <w:t>300</w:t>
            </w:r>
          </w:p>
        </w:tc>
        <w:tc>
          <w:tcPr>
            <w:tcW w:w="1440" w:type="dxa"/>
            <w:vAlign w:val="center"/>
          </w:tcPr>
          <w:p w:rsidR="008632D5" w:rsidRPr="00974E4E" w:rsidRDefault="008632D5" w:rsidP="008632D5">
            <w:pPr>
              <w:pStyle w:val="Tabletext"/>
              <w:jc w:val="center"/>
            </w:pPr>
            <w:r w:rsidRPr="00974E4E">
              <w:t>600</w:t>
            </w:r>
          </w:p>
        </w:tc>
        <w:tc>
          <w:tcPr>
            <w:tcW w:w="1530" w:type="dxa"/>
            <w:vAlign w:val="center"/>
          </w:tcPr>
          <w:p w:rsidR="008632D5" w:rsidRPr="00974E4E" w:rsidRDefault="008632D5" w:rsidP="008632D5">
            <w:pPr>
              <w:pStyle w:val="Tabletext"/>
              <w:jc w:val="center"/>
            </w:pPr>
            <w:r w:rsidRPr="00974E4E">
              <w:t>72 000</w:t>
            </w:r>
          </w:p>
        </w:tc>
        <w:tc>
          <w:tcPr>
            <w:tcW w:w="1440" w:type="dxa"/>
            <w:vAlign w:val="center"/>
          </w:tcPr>
          <w:p w:rsidR="008632D5" w:rsidRPr="00974E4E" w:rsidRDefault="008632D5" w:rsidP="008632D5">
            <w:pPr>
              <w:pStyle w:val="Tabletext"/>
              <w:jc w:val="center"/>
            </w:pPr>
            <w:r w:rsidRPr="00974E4E">
              <w:t>60 251</w:t>
            </w:r>
          </w:p>
        </w:tc>
        <w:tc>
          <w:tcPr>
            <w:tcW w:w="1231" w:type="dxa"/>
            <w:vAlign w:val="center"/>
          </w:tcPr>
          <w:p w:rsidR="008632D5" w:rsidRPr="00974E4E" w:rsidRDefault="008632D5" w:rsidP="008632D5">
            <w:pPr>
              <w:pStyle w:val="Tabletext"/>
              <w:jc w:val="center"/>
            </w:pPr>
            <w:r w:rsidRPr="00974E4E">
              <w:t>83.6</w:t>
            </w:r>
          </w:p>
        </w:tc>
      </w:tr>
      <w:tr w:rsidR="008632D5" w:rsidRPr="00974E4E">
        <w:trPr>
          <w:jc w:val="center"/>
        </w:trPr>
        <w:tc>
          <w:tcPr>
            <w:tcW w:w="1166" w:type="dxa"/>
            <w:vAlign w:val="center"/>
          </w:tcPr>
          <w:p w:rsidR="008632D5" w:rsidRPr="00974E4E" w:rsidRDefault="008632D5" w:rsidP="008632D5">
            <w:pPr>
              <w:pStyle w:val="Tabletext"/>
              <w:jc w:val="center"/>
            </w:pPr>
            <w:r w:rsidRPr="00974E4E">
              <w:t>1.0</w:t>
            </w:r>
          </w:p>
        </w:tc>
        <w:tc>
          <w:tcPr>
            <w:tcW w:w="1440" w:type="dxa"/>
            <w:vAlign w:val="center"/>
          </w:tcPr>
          <w:p w:rsidR="008632D5" w:rsidRPr="00974E4E" w:rsidRDefault="008632D5" w:rsidP="008632D5">
            <w:pPr>
              <w:pStyle w:val="Tabletext"/>
              <w:jc w:val="center"/>
            </w:pPr>
            <w:r w:rsidRPr="00974E4E">
              <w:t>134.4 kHz</w:t>
            </w:r>
          </w:p>
        </w:tc>
        <w:tc>
          <w:tcPr>
            <w:tcW w:w="1710" w:type="dxa"/>
            <w:vAlign w:val="center"/>
          </w:tcPr>
          <w:p w:rsidR="008632D5" w:rsidRPr="00974E4E" w:rsidRDefault="008632D5" w:rsidP="008632D5">
            <w:pPr>
              <w:pStyle w:val="Tabletext"/>
              <w:jc w:val="center"/>
            </w:pPr>
            <w:r w:rsidRPr="00974E4E">
              <w:t>75</w:t>
            </w:r>
          </w:p>
        </w:tc>
        <w:tc>
          <w:tcPr>
            <w:tcW w:w="1440" w:type="dxa"/>
            <w:vAlign w:val="center"/>
          </w:tcPr>
          <w:p w:rsidR="008632D5" w:rsidRPr="00974E4E" w:rsidRDefault="008632D5" w:rsidP="008632D5">
            <w:pPr>
              <w:pStyle w:val="Tabletext"/>
              <w:jc w:val="center"/>
            </w:pPr>
            <w:r w:rsidRPr="00974E4E">
              <w:t>150</w:t>
            </w:r>
          </w:p>
        </w:tc>
        <w:tc>
          <w:tcPr>
            <w:tcW w:w="1530" w:type="dxa"/>
            <w:vAlign w:val="center"/>
          </w:tcPr>
          <w:p w:rsidR="008632D5" w:rsidRPr="00974E4E" w:rsidRDefault="008632D5" w:rsidP="008632D5">
            <w:pPr>
              <w:pStyle w:val="Tabletext"/>
              <w:jc w:val="center"/>
            </w:pPr>
            <w:r w:rsidRPr="00974E4E">
              <w:t>18 000</w:t>
            </w:r>
          </w:p>
        </w:tc>
        <w:tc>
          <w:tcPr>
            <w:tcW w:w="1440" w:type="dxa"/>
            <w:vAlign w:val="center"/>
          </w:tcPr>
          <w:p w:rsidR="008632D5" w:rsidRPr="00974E4E" w:rsidRDefault="008632D5" w:rsidP="008632D5">
            <w:pPr>
              <w:pStyle w:val="Tabletext"/>
              <w:jc w:val="center"/>
            </w:pPr>
            <w:r w:rsidRPr="00974E4E">
              <w:t>15 100</w:t>
            </w:r>
          </w:p>
        </w:tc>
        <w:tc>
          <w:tcPr>
            <w:tcW w:w="1231" w:type="dxa"/>
            <w:vAlign w:val="center"/>
          </w:tcPr>
          <w:p w:rsidR="008632D5" w:rsidRPr="00974E4E" w:rsidRDefault="008632D5" w:rsidP="008632D5">
            <w:pPr>
              <w:pStyle w:val="Tabletext"/>
              <w:jc w:val="center"/>
            </w:pPr>
            <w:r w:rsidRPr="00974E4E">
              <w:t>83.8</w:t>
            </w:r>
          </w:p>
        </w:tc>
      </w:tr>
      <w:tr w:rsidR="008632D5" w:rsidRPr="00974E4E">
        <w:trPr>
          <w:jc w:val="center"/>
        </w:trPr>
        <w:tc>
          <w:tcPr>
            <w:tcW w:w="1166" w:type="dxa"/>
            <w:vAlign w:val="center"/>
          </w:tcPr>
          <w:p w:rsidR="008632D5" w:rsidRPr="00974E4E" w:rsidRDefault="008632D5" w:rsidP="008632D5">
            <w:pPr>
              <w:pStyle w:val="Tabletext"/>
              <w:jc w:val="center"/>
            </w:pPr>
            <w:r w:rsidRPr="00974E4E">
              <w:t>1.8</w:t>
            </w:r>
          </w:p>
        </w:tc>
        <w:tc>
          <w:tcPr>
            <w:tcW w:w="1440" w:type="dxa"/>
            <w:vAlign w:val="center"/>
          </w:tcPr>
          <w:p w:rsidR="008632D5" w:rsidRPr="00974E4E" w:rsidRDefault="008632D5" w:rsidP="008632D5">
            <w:pPr>
              <w:pStyle w:val="Tabletext"/>
              <w:jc w:val="center"/>
            </w:pPr>
            <w:r w:rsidRPr="00974E4E">
              <w:t>2.1 MHz</w:t>
            </w:r>
          </w:p>
        </w:tc>
        <w:tc>
          <w:tcPr>
            <w:tcW w:w="1710" w:type="dxa"/>
            <w:vAlign w:val="center"/>
          </w:tcPr>
          <w:p w:rsidR="008632D5" w:rsidRPr="00974E4E" w:rsidRDefault="008632D5" w:rsidP="008632D5">
            <w:pPr>
              <w:pStyle w:val="Tabletext"/>
              <w:jc w:val="center"/>
            </w:pPr>
            <w:r w:rsidRPr="00974E4E">
              <w:t>5</w:t>
            </w:r>
          </w:p>
        </w:tc>
        <w:tc>
          <w:tcPr>
            <w:tcW w:w="1440" w:type="dxa"/>
            <w:vAlign w:val="center"/>
          </w:tcPr>
          <w:p w:rsidR="008632D5" w:rsidRPr="00974E4E" w:rsidRDefault="008632D5" w:rsidP="008632D5">
            <w:pPr>
              <w:pStyle w:val="Tabletext"/>
              <w:jc w:val="center"/>
            </w:pPr>
            <w:r w:rsidRPr="00974E4E">
              <w:t>10</w:t>
            </w:r>
          </w:p>
        </w:tc>
        <w:tc>
          <w:tcPr>
            <w:tcW w:w="1530" w:type="dxa"/>
            <w:vAlign w:val="center"/>
          </w:tcPr>
          <w:p w:rsidR="008632D5" w:rsidRPr="00974E4E" w:rsidRDefault="008632D5" w:rsidP="008632D5">
            <w:pPr>
              <w:pStyle w:val="Tabletext"/>
              <w:jc w:val="center"/>
            </w:pPr>
            <w:r w:rsidRPr="00974E4E">
              <w:t>1 200</w:t>
            </w:r>
          </w:p>
        </w:tc>
        <w:tc>
          <w:tcPr>
            <w:tcW w:w="1440" w:type="dxa"/>
            <w:vAlign w:val="center"/>
          </w:tcPr>
          <w:p w:rsidR="008632D5" w:rsidRPr="00974E4E" w:rsidRDefault="008632D5" w:rsidP="008632D5">
            <w:pPr>
              <w:pStyle w:val="Tabletext"/>
              <w:jc w:val="center"/>
            </w:pPr>
            <w:r w:rsidRPr="00974E4E">
              <w:t>1 000</w:t>
            </w:r>
          </w:p>
        </w:tc>
        <w:tc>
          <w:tcPr>
            <w:tcW w:w="1231" w:type="dxa"/>
            <w:vAlign w:val="center"/>
          </w:tcPr>
          <w:p w:rsidR="008632D5" w:rsidRPr="00974E4E" w:rsidRDefault="008632D5" w:rsidP="008632D5">
            <w:pPr>
              <w:pStyle w:val="Tabletext"/>
              <w:jc w:val="center"/>
            </w:pPr>
            <w:r w:rsidRPr="00974E4E">
              <w:t>83.3</w:t>
            </w:r>
          </w:p>
        </w:tc>
      </w:tr>
      <w:tr w:rsidR="008632D5" w:rsidRPr="00974E4E">
        <w:trPr>
          <w:jc w:val="center"/>
        </w:trPr>
        <w:tc>
          <w:tcPr>
            <w:tcW w:w="1166" w:type="dxa"/>
            <w:vAlign w:val="center"/>
          </w:tcPr>
          <w:p w:rsidR="008632D5" w:rsidRPr="00974E4E" w:rsidRDefault="008632D5" w:rsidP="008632D5">
            <w:pPr>
              <w:pStyle w:val="Tabletext"/>
              <w:jc w:val="center"/>
            </w:pPr>
            <w:r w:rsidRPr="00974E4E">
              <w:t>3.0</w:t>
            </w:r>
          </w:p>
        </w:tc>
        <w:tc>
          <w:tcPr>
            <w:tcW w:w="1440" w:type="dxa"/>
            <w:vAlign w:val="center"/>
          </w:tcPr>
          <w:p w:rsidR="008632D5" w:rsidRPr="00974E4E" w:rsidRDefault="008632D5" w:rsidP="008632D5">
            <w:pPr>
              <w:pStyle w:val="Tabletext"/>
              <w:jc w:val="center"/>
            </w:pPr>
            <w:r w:rsidRPr="00974E4E">
              <w:t>2.1 MHz</w:t>
            </w:r>
          </w:p>
        </w:tc>
        <w:tc>
          <w:tcPr>
            <w:tcW w:w="1710" w:type="dxa"/>
            <w:vAlign w:val="center"/>
          </w:tcPr>
          <w:p w:rsidR="008632D5" w:rsidRPr="00974E4E" w:rsidRDefault="008632D5" w:rsidP="008632D5">
            <w:pPr>
              <w:pStyle w:val="Tabletext"/>
              <w:jc w:val="center"/>
            </w:pPr>
            <w:r w:rsidRPr="00974E4E">
              <w:t>5</w:t>
            </w:r>
          </w:p>
        </w:tc>
        <w:tc>
          <w:tcPr>
            <w:tcW w:w="1440" w:type="dxa"/>
            <w:vAlign w:val="center"/>
          </w:tcPr>
          <w:p w:rsidR="008632D5" w:rsidRPr="00974E4E" w:rsidRDefault="008632D5" w:rsidP="008632D5">
            <w:pPr>
              <w:pStyle w:val="Tabletext"/>
              <w:jc w:val="center"/>
            </w:pPr>
            <w:r w:rsidRPr="00974E4E">
              <w:t>10</w:t>
            </w:r>
          </w:p>
        </w:tc>
        <w:tc>
          <w:tcPr>
            <w:tcW w:w="1530" w:type="dxa"/>
            <w:vAlign w:val="center"/>
          </w:tcPr>
          <w:p w:rsidR="008632D5" w:rsidRPr="00974E4E" w:rsidRDefault="008632D5" w:rsidP="008632D5">
            <w:pPr>
              <w:pStyle w:val="Tabletext"/>
              <w:jc w:val="center"/>
            </w:pPr>
            <w:r w:rsidRPr="00974E4E">
              <w:t>1 200</w:t>
            </w:r>
          </w:p>
        </w:tc>
        <w:tc>
          <w:tcPr>
            <w:tcW w:w="1440" w:type="dxa"/>
            <w:vAlign w:val="center"/>
          </w:tcPr>
          <w:p w:rsidR="008632D5" w:rsidRPr="00974E4E" w:rsidRDefault="008632D5" w:rsidP="008632D5">
            <w:pPr>
              <w:pStyle w:val="Tabletext"/>
              <w:jc w:val="center"/>
            </w:pPr>
            <w:r w:rsidRPr="00974E4E">
              <w:t>1 000</w:t>
            </w:r>
          </w:p>
        </w:tc>
        <w:tc>
          <w:tcPr>
            <w:tcW w:w="1231" w:type="dxa"/>
            <w:vAlign w:val="center"/>
          </w:tcPr>
          <w:p w:rsidR="008632D5" w:rsidRPr="00974E4E" w:rsidRDefault="008632D5" w:rsidP="008632D5">
            <w:pPr>
              <w:pStyle w:val="Tabletext"/>
              <w:jc w:val="center"/>
            </w:pPr>
            <w:r w:rsidRPr="00974E4E">
              <w:t>83.3</w:t>
            </w:r>
          </w:p>
        </w:tc>
      </w:tr>
      <w:tr w:rsidR="008632D5" w:rsidRPr="00974E4E">
        <w:trPr>
          <w:jc w:val="center"/>
        </w:trPr>
        <w:tc>
          <w:tcPr>
            <w:tcW w:w="1166" w:type="dxa"/>
            <w:vAlign w:val="center"/>
          </w:tcPr>
          <w:p w:rsidR="008632D5" w:rsidRPr="00974E4E" w:rsidRDefault="008632D5" w:rsidP="008632D5">
            <w:pPr>
              <w:pStyle w:val="Tabletext"/>
              <w:jc w:val="center"/>
            </w:pPr>
            <w:r w:rsidRPr="00974E4E">
              <w:t>4.5</w:t>
            </w:r>
          </w:p>
        </w:tc>
        <w:tc>
          <w:tcPr>
            <w:tcW w:w="1440" w:type="dxa"/>
            <w:vAlign w:val="center"/>
          </w:tcPr>
          <w:p w:rsidR="008632D5" w:rsidRPr="00974E4E" w:rsidRDefault="008632D5" w:rsidP="008632D5">
            <w:pPr>
              <w:pStyle w:val="Tabletext"/>
              <w:jc w:val="center"/>
            </w:pPr>
            <w:r w:rsidRPr="00974E4E">
              <w:t>35.7 MHz</w:t>
            </w:r>
          </w:p>
        </w:tc>
        <w:tc>
          <w:tcPr>
            <w:tcW w:w="1710" w:type="dxa"/>
            <w:vAlign w:val="center"/>
          </w:tcPr>
          <w:p w:rsidR="008632D5" w:rsidRPr="00974E4E" w:rsidRDefault="008632D5" w:rsidP="008632D5">
            <w:pPr>
              <w:pStyle w:val="Tabletext"/>
              <w:jc w:val="center"/>
            </w:pPr>
            <w:r w:rsidRPr="00974E4E">
              <w:t>1</w:t>
            </w:r>
          </w:p>
        </w:tc>
        <w:tc>
          <w:tcPr>
            <w:tcW w:w="1440" w:type="dxa"/>
            <w:vAlign w:val="center"/>
          </w:tcPr>
          <w:p w:rsidR="008632D5" w:rsidRPr="00974E4E" w:rsidRDefault="008632D5" w:rsidP="008632D5">
            <w:pPr>
              <w:pStyle w:val="Tabletext"/>
              <w:jc w:val="center"/>
            </w:pPr>
            <w:r w:rsidRPr="00974E4E">
              <w:t>2</w:t>
            </w:r>
          </w:p>
        </w:tc>
        <w:tc>
          <w:tcPr>
            <w:tcW w:w="1530" w:type="dxa"/>
            <w:vAlign w:val="center"/>
          </w:tcPr>
          <w:p w:rsidR="008632D5" w:rsidRPr="00974E4E" w:rsidRDefault="008632D5" w:rsidP="008632D5">
            <w:pPr>
              <w:pStyle w:val="Tabletext"/>
              <w:jc w:val="center"/>
            </w:pPr>
            <w:r w:rsidRPr="00974E4E">
              <w:t>240</w:t>
            </w:r>
          </w:p>
        </w:tc>
        <w:tc>
          <w:tcPr>
            <w:tcW w:w="1440" w:type="dxa"/>
            <w:vAlign w:val="center"/>
          </w:tcPr>
          <w:p w:rsidR="008632D5" w:rsidRPr="00974E4E" w:rsidRDefault="008632D5" w:rsidP="008632D5">
            <w:pPr>
              <w:pStyle w:val="Tabletext"/>
              <w:jc w:val="center"/>
            </w:pPr>
            <w:r w:rsidRPr="00974E4E">
              <w:t>240</w:t>
            </w:r>
          </w:p>
        </w:tc>
        <w:tc>
          <w:tcPr>
            <w:tcW w:w="1231" w:type="dxa"/>
            <w:vAlign w:val="center"/>
          </w:tcPr>
          <w:p w:rsidR="008632D5" w:rsidRPr="00974E4E" w:rsidRDefault="008632D5" w:rsidP="008632D5">
            <w:pPr>
              <w:pStyle w:val="Tabletext"/>
              <w:jc w:val="center"/>
            </w:pPr>
            <w:r w:rsidRPr="00974E4E">
              <w:t>100.0</w:t>
            </w:r>
          </w:p>
        </w:tc>
      </w:tr>
    </w:tbl>
    <w:p w:rsidR="004262DB" w:rsidRDefault="004262DB" w:rsidP="008632D5">
      <w:pPr>
        <w:pStyle w:val="Tablefin"/>
      </w:pPr>
    </w:p>
    <w:p w:rsidR="004262DB" w:rsidRPr="00974E4E" w:rsidRDefault="004262DB" w:rsidP="004262DB">
      <w:pPr>
        <w:pStyle w:val="Heading3"/>
        <w:rPr>
          <w:lang w:val="en-US"/>
        </w:rPr>
      </w:pPr>
      <w:bookmarkStart w:id="76" w:name="_Toc225065803"/>
      <w:bookmarkStart w:id="77" w:name="_Toc226261831"/>
      <w:bookmarkStart w:id="78" w:name="_Toc256067091"/>
      <w:bookmarkStart w:id="79" w:name="_Toc256067170"/>
      <w:r w:rsidRPr="00974E4E">
        <w:rPr>
          <w:lang w:val="en-US"/>
        </w:rPr>
        <w:lastRenderedPageBreak/>
        <w:t>3.2.3</w:t>
      </w:r>
      <w:r w:rsidRPr="00974E4E">
        <w:rPr>
          <w:lang w:val="en-US"/>
        </w:rPr>
        <w:tab/>
        <w:t>Statistics of the interference to the ISS</w:t>
      </w:r>
      <w:bookmarkEnd w:id="76"/>
      <w:bookmarkEnd w:id="77"/>
      <w:bookmarkEnd w:id="78"/>
      <w:bookmarkEnd w:id="79"/>
    </w:p>
    <w:p w:rsidR="004262DB" w:rsidRPr="004262DB" w:rsidRDefault="004262DB" w:rsidP="00A80CE6">
      <w:pPr>
        <w:rPr>
          <w:lang w:val="en-US"/>
        </w:rPr>
      </w:pPr>
      <w:r w:rsidRPr="004262DB">
        <w:rPr>
          <w:lang w:val="en-US"/>
        </w:rPr>
        <w:t>Simulations, using the orbital geometry of the ISS, were set up to quantify the interference from the FSS earth station emissions. The ISS has an orbit inclination of 51.6</w:t>
      </w:r>
      <w:r>
        <w:rPr>
          <w:rFonts w:ascii="Symbol" w:hAnsi="Symbol"/>
        </w:rPr>
        <w:sym w:font="Symbol" w:char="F0B0"/>
      </w:r>
      <w:r>
        <w:rPr>
          <w:rFonts w:ascii="Symbol" w:hAnsi="Symbol"/>
        </w:rPr>
        <w:t></w:t>
      </w:r>
      <w:r w:rsidRPr="004262DB">
        <w:rPr>
          <w:lang w:val="en-US"/>
        </w:rPr>
        <w:t>and an altitude of 390 km. In order to make sure that the results are representative, the ground tracks of the ISS must cover the Earth evenly so that the signal from each earth station will be included in the calculations. In all, four separate simulations with 45 orbits each, were performed and the results were combined to generate the final earth station interference characteristics. The ascending node of the ISS trajectory in each simulation was shifted 2</w:t>
      </w:r>
      <w:r>
        <w:rPr>
          <w:rFonts w:ascii="Symbol" w:hAnsi="Symbol"/>
        </w:rPr>
        <w:sym w:font="Symbol" w:char="F0B0"/>
      </w:r>
      <w:r>
        <w:rPr>
          <w:rFonts w:ascii="Symbol" w:hAnsi="Symbol"/>
        </w:rPr>
        <w:t></w:t>
      </w:r>
      <w:r w:rsidRPr="004262DB">
        <w:rPr>
          <w:lang w:val="en-US"/>
        </w:rPr>
        <w:t>from the previous one to ensure that it covered different parts of the Earth. The method is equivalent to a single simulation of about 20 days.</w:t>
      </w:r>
    </w:p>
    <w:p w:rsidR="00C65A1E" w:rsidRDefault="004262DB" w:rsidP="000A3913">
      <w:pPr>
        <w:rPr>
          <w:lang w:val="en-US"/>
        </w:rPr>
      </w:pPr>
      <w:r w:rsidRPr="004262DB">
        <w:rPr>
          <w:lang w:val="en-US"/>
        </w:rPr>
        <w:t xml:space="preserve">The ISS uses a tracking antenna with a 1.8 m diameter and a peak gain of 45.2 dBi. </w:t>
      </w:r>
      <w:r w:rsidRPr="00326887">
        <w:rPr>
          <w:lang w:val="en-US"/>
        </w:rPr>
        <w:t>The antenna pattern, shown in Fig</w:t>
      </w:r>
      <w:r w:rsidR="000A3913">
        <w:rPr>
          <w:lang w:val="en-US"/>
        </w:rPr>
        <w:t>.</w:t>
      </w:r>
      <w:r w:rsidRPr="00326887">
        <w:rPr>
          <w:lang w:val="en-US"/>
        </w:rPr>
        <w:t xml:space="preserve"> 3, is based on actual test data. </w:t>
      </w:r>
      <w:r w:rsidRPr="004262DB">
        <w:rPr>
          <w:lang w:val="en-US"/>
        </w:rPr>
        <w:t>There is a circuit loss of 2.0 dB between the antenna and the receiver. This 1.8 m antenna is used to track and communicate with the data relay satellites (DRS) in geosynchronous orbit (GSO).</w:t>
      </w:r>
    </w:p>
    <w:p w:rsidR="00C65A1E" w:rsidRPr="00B03793" w:rsidRDefault="00C65A1E" w:rsidP="009303EF">
      <w:pPr>
        <w:rPr>
          <w:lang w:val="en-US"/>
        </w:rPr>
      </w:pPr>
      <w:r w:rsidRPr="004262DB">
        <w:rPr>
          <w:lang w:val="en-US"/>
        </w:rPr>
        <w:t xml:space="preserve">The level of interference is determined as a function of time. Depending on the ground track of the </w:t>
      </w:r>
      <w:r w:rsidR="00A80CE6">
        <w:rPr>
          <w:lang w:val="en-US"/>
        </w:rPr>
        <w:t>ISS</w:t>
      </w:r>
      <w:r w:rsidRPr="004262DB">
        <w:rPr>
          <w:lang w:val="en-US"/>
        </w:rPr>
        <w:t xml:space="preserve">, the level of interference during any orbit will vary and the one with the greatest interference is marked as the worst case. </w:t>
      </w:r>
      <w:r w:rsidRPr="00B03793">
        <w:rPr>
          <w:lang w:val="en-US"/>
        </w:rPr>
        <w:t>Figure 4 shows the probability of exceedance vs. the interference level for the worst-case orbit from the simulations. Figure 5 shows the probability of interference vs. earth station e.i.r.p. density at the equivalent Recommendation ITU</w:t>
      </w:r>
      <w:r w:rsidRPr="00B03793">
        <w:rPr>
          <w:lang w:val="en-US"/>
        </w:rPr>
        <w:noBreakHyphen/>
        <w:t>R SA.1155 protection threshold of</w:t>
      </w:r>
      <w:r w:rsidR="009303EF">
        <w:rPr>
          <w:lang w:val="en-US"/>
        </w:rPr>
        <w:t> </w:t>
      </w:r>
      <w:r w:rsidR="008E09C6">
        <w:rPr>
          <w:lang w:val="en-US"/>
        </w:rPr>
        <w:fldChar w:fldCharType="begin"/>
      </w:r>
      <w:r w:rsidR="002C09A4">
        <w:rPr>
          <w:lang w:val="en-US"/>
        </w:rPr>
        <w:instrText xml:space="preserve"> EQ  </w:instrText>
      </w:r>
      <w:r w:rsidR="002C09A4" w:rsidRPr="00B03793">
        <w:rPr>
          <w:lang w:val="en-US"/>
        </w:rPr>
        <w:instrText>–141 dBW/10 MHz.</w:instrText>
      </w:r>
      <w:r w:rsidR="008E09C6">
        <w:rPr>
          <w:lang w:val="en-US"/>
        </w:rPr>
        <w:fldChar w:fldCharType="end"/>
      </w:r>
    </w:p>
    <w:p w:rsidR="004262DB" w:rsidRDefault="004262DB" w:rsidP="004262DB">
      <w:pPr>
        <w:pStyle w:val="FigureNo"/>
      </w:pPr>
      <w:r>
        <w:t>Figure 3</w:t>
      </w:r>
    </w:p>
    <w:p w:rsidR="004262DB" w:rsidRDefault="004262DB" w:rsidP="004262DB">
      <w:pPr>
        <w:pStyle w:val="Figuretitle"/>
      </w:pPr>
      <w:r>
        <w:t>ISS antenna pattern</w:t>
      </w:r>
    </w:p>
    <w:p w:rsidR="004262DB" w:rsidRDefault="00B5076C" w:rsidP="004262DB">
      <w:pPr>
        <w:pStyle w:val="Figure"/>
      </w:pPr>
      <w:r>
        <w:object w:dxaOrig="8726" w:dyaOrig="5562">
          <v:shape id="_x0000_i1028" type="#_x0000_t75" style="width:436.2pt;height:278.4pt" o:ole="" o:allowoverlap="f">
            <v:imagedata r:id="rId16" o:title=""/>
          </v:shape>
          <o:OLEObject Type="Embed" ProgID="CorelDraw.Graphic.12" ShapeID="_x0000_i1028" DrawAspect="Content" ObjectID="_1330861836" r:id="rId17"/>
        </w:object>
      </w:r>
    </w:p>
    <w:p w:rsidR="004262DB" w:rsidRPr="004262DB" w:rsidRDefault="004262DB" w:rsidP="004262DB">
      <w:pPr>
        <w:pStyle w:val="FigureNo"/>
        <w:rPr>
          <w:lang w:val="en-US"/>
        </w:rPr>
      </w:pPr>
      <w:r w:rsidRPr="004262DB">
        <w:rPr>
          <w:lang w:val="en-US"/>
        </w:rPr>
        <w:lastRenderedPageBreak/>
        <w:t>Figure 4</w:t>
      </w:r>
    </w:p>
    <w:p w:rsidR="004262DB" w:rsidRPr="004262DB" w:rsidRDefault="004262DB" w:rsidP="004262DB">
      <w:pPr>
        <w:pStyle w:val="Figuretitle"/>
        <w:rPr>
          <w:lang w:val="en-US"/>
        </w:rPr>
      </w:pPr>
      <w:r w:rsidRPr="004262DB">
        <w:rPr>
          <w:lang w:val="en-US"/>
        </w:rPr>
        <w:t>Worst-case single orbit interference from the FSS earth stations</w:t>
      </w:r>
    </w:p>
    <w:p w:rsidR="004262DB" w:rsidRDefault="00C434C8" w:rsidP="004262DB">
      <w:pPr>
        <w:pStyle w:val="Figure"/>
      </w:pPr>
      <w:r>
        <w:object w:dxaOrig="8269" w:dyaOrig="5284">
          <v:shape id="_x0000_i1029" type="#_x0000_t75" style="width:413.4pt;height:264pt" o:ole="">
            <v:imagedata r:id="rId18" o:title=""/>
          </v:shape>
          <o:OLEObject Type="Embed" ProgID="CorelDraw.Graphic.12" ShapeID="_x0000_i1029" DrawAspect="Content" ObjectID="_1330861837" r:id="rId19"/>
        </w:object>
      </w:r>
    </w:p>
    <w:p w:rsidR="004262DB" w:rsidRPr="00B03793" w:rsidRDefault="004262DB" w:rsidP="004262DB">
      <w:pPr>
        <w:pStyle w:val="FigureNo"/>
        <w:rPr>
          <w:lang w:val="en-US"/>
        </w:rPr>
      </w:pPr>
      <w:r w:rsidRPr="00B03793">
        <w:rPr>
          <w:lang w:val="en-US"/>
        </w:rPr>
        <w:t>Figure 5</w:t>
      </w:r>
    </w:p>
    <w:p w:rsidR="004262DB" w:rsidRPr="00B03793" w:rsidRDefault="004262DB" w:rsidP="004262DB">
      <w:pPr>
        <w:pStyle w:val="Figuretitle"/>
        <w:rPr>
          <w:lang w:val="en-US"/>
        </w:rPr>
      </w:pPr>
      <w:r w:rsidRPr="00B03793">
        <w:rPr>
          <w:lang w:val="en-US"/>
        </w:rPr>
        <w:t>Probability that the interference exceeds FS –141 dB(W/10 MHz) vs. e.i.r.p. density</w:t>
      </w:r>
      <w:r w:rsidRPr="00B03793">
        <w:rPr>
          <w:lang w:val="en-US"/>
        </w:rPr>
        <w:br/>
        <w:t>of FSS earth stations (worst-case orbit)</w:t>
      </w:r>
    </w:p>
    <w:p w:rsidR="004262DB" w:rsidRPr="00B03793" w:rsidRDefault="00C434C8" w:rsidP="004262DB">
      <w:pPr>
        <w:pStyle w:val="Figure"/>
        <w:rPr>
          <w:lang w:val="en-US"/>
        </w:rPr>
      </w:pPr>
      <w:r>
        <w:object w:dxaOrig="8179" w:dyaOrig="5284">
          <v:shape id="_x0000_i1030" type="#_x0000_t75" style="width:409.2pt;height:264pt" o:ole="">
            <v:imagedata r:id="rId20" o:title=""/>
          </v:shape>
          <o:OLEObject Type="Embed" ProgID="CorelDraw.Graphic.12" ShapeID="_x0000_i1030" DrawAspect="Content" ObjectID="_1330861838" r:id="rId21"/>
        </w:object>
      </w:r>
    </w:p>
    <w:p w:rsidR="00857E16" w:rsidRDefault="00857E16">
      <w:pPr>
        <w:tabs>
          <w:tab w:val="clear" w:pos="794"/>
          <w:tab w:val="clear" w:pos="1191"/>
          <w:tab w:val="clear" w:pos="1588"/>
          <w:tab w:val="clear" w:pos="1985"/>
        </w:tabs>
        <w:overflowPunct/>
        <w:autoSpaceDE/>
        <w:autoSpaceDN/>
        <w:adjustRightInd/>
        <w:spacing w:before="0"/>
        <w:jc w:val="left"/>
        <w:textAlignment w:val="auto"/>
        <w:rPr>
          <w:b/>
          <w:lang w:val="en-US"/>
        </w:rPr>
      </w:pPr>
      <w:bookmarkStart w:id="80" w:name="_Toc84242631"/>
      <w:bookmarkStart w:id="81" w:name="_Toc224981515"/>
      <w:bookmarkStart w:id="82" w:name="_Toc225065804"/>
      <w:bookmarkStart w:id="83" w:name="_Toc226261832"/>
      <w:bookmarkStart w:id="84" w:name="_Toc256067092"/>
      <w:bookmarkStart w:id="85" w:name="_Toc256067171"/>
      <w:r>
        <w:rPr>
          <w:lang w:val="en-US"/>
        </w:rPr>
        <w:br w:type="page"/>
      </w:r>
    </w:p>
    <w:p w:rsidR="004262DB" w:rsidRPr="00B03793" w:rsidRDefault="004262DB" w:rsidP="004262DB">
      <w:pPr>
        <w:pStyle w:val="Heading3"/>
        <w:rPr>
          <w:lang w:val="en-US"/>
        </w:rPr>
      </w:pPr>
      <w:r w:rsidRPr="00B03793">
        <w:rPr>
          <w:lang w:val="en-US"/>
        </w:rPr>
        <w:lastRenderedPageBreak/>
        <w:t>3.2.4</w:t>
      </w:r>
      <w:r w:rsidRPr="00B03793">
        <w:rPr>
          <w:lang w:val="en-US"/>
        </w:rPr>
        <w:tab/>
        <w:t>Discussion of results</w:t>
      </w:r>
      <w:bookmarkEnd w:id="80"/>
      <w:bookmarkEnd w:id="81"/>
      <w:bookmarkEnd w:id="82"/>
      <w:bookmarkEnd w:id="83"/>
      <w:bookmarkEnd w:id="84"/>
      <w:bookmarkEnd w:id="85"/>
    </w:p>
    <w:p w:rsidR="004262DB" w:rsidRDefault="004262DB" w:rsidP="007E7DE8">
      <w:pPr>
        <w:rPr>
          <w:lang w:val="en-US"/>
        </w:rPr>
      </w:pPr>
      <w:r w:rsidRPr="00B03793">
        <w:rPr>
          <w:lang w:val="en-US"/>
        </w:rPr>
        <w:t>Table 3 summarizes the probability of exceedance for the various FSS GSO earth station antenna sizes, as derived from the Recommendation ITU</w:t>
      </w:r>
      <w:r w:rsidRPr="00B03793">
        <w:rPr>
          <w:lang w:val="en-US"/>
        </w:rPr>
        <w:noBreakHyphen/>
        <w:t xml:space="preserve">R SA.1155 protection criteria of </w:t>
      </w:r>
      <w:r>
        <w:rPr>
          <w:lang w:val="en-US"/>
        </w:rPr>
        <w:t>–</w:t>
      </w:r>
      <w:r w:rsidRPr="00B03793">
        <w:rPr>
          <w:lang w:val="en-US"/>
        </w:rPr>
        <w:t>178 dB</w:t>
      </w:r>
      <w:r w:rsidR="007E7DE8">
        <w:rPr>
          <w:lang w:val="en-US"/>
        </w:rPr>
        <w:t>(</w:t>
      </w:r>
      <w:r w:rsidRPr="00B03793">
        <w:rPr>
          <w:lang w:val="en-US"/>
        </w:rPr>
        <w:t>W/kHz</w:t>
      </w:r>
      <w:r w:rsidR="007E7DE8">
        <w:rPr>
          <w:lang w:val="en-US"/>
        </w:rPr>
        <w:t>)</w:t>
      </w:r>
      <w:r w:rsidRPr="00B03793">
        <w:rPr>
          <w:lang w:val="en-US"/>
        </w:rPr>
        <w:t xml:space="preserve"> at the receiver input. The corresponding interference density at the ISS antenna with the 2.0 dB circuit loss is –176 dB(W/kHz</w:t>
      </w:r>
      <w:r>
        <w:rPr>
          <w:lang w:val="en-US"/>
        </w:rPr>
        <w:t>)</w:t>
      </w:r>
      <w:r w:rsidRPr="00B03793">
        <w:rPr>
          <w:lang w:val="en-US"/>
        </w:rPr>
        <w:t xml:space="preserve">, which is equivalent to an interference power of −138 dBW within the 10 MHz bandwidth. </w:t>
      </w:r>
      <w:r w:rsidRPr="004262DB">
        <w:rPr>
          <w:lang w:val="en-US"/>
        </w:rPr>
        <w:t xml:space="preserve">Allocating equal interference to GSO and to </w:t>
      </w:r>
      <w:r w:rsidR="007E7DE8">
        <w:rPr>
          <w:lang w:val="en-US"/>
        </w:rPr>
        <w:t>non-</w:t>
      </w:r>
      <w:r w:rsidRPr="004262DB">
        <w:rPr>
          <w:lang w:val="en-US"/>
        </w:rPr>
        <w:t>GSO FSS, the acceptable interference contribution from the GSO FSS is 3 dB lower than the aggregate interference at the antenna input. The maximum acceptable interference from the GSO FSS per Recommendation ITU</w:t>
      </w:r>
      <w:r w:rsidRPr="004262DB">
        <w:rPr>
          <w:lang w:val="en-US"/>
        </w:rPr>
        <w:noBreakHyphen/>
        <w:t>R SA.1155 is –141 dBW in 10 MHz for no more than 0.1% of the time. As the Table shows, the criteria of Recommendation ITU</w:t>
      </w:r>
      <w:r w:rsidRPr="004262DB">
        <w:rPr>
          <w:lang w:val="en-US"/>
        </w:rPr>
        <w:noBreakHyphen/>
        <w:t>R SA.1155 are not satisfied, even when using a 4.5 m diameter FSS earth station transmitting antenna. Accommodation of FSS earth stations using smaller diameter antennas will require some adjustment to the sharing criteria and to the emission characteristics of FSS earth stations.</w:t>
      </w:r>
    </w:p>
    <w:p w:rsidR="004E1FCD" w:rsidRPr="00DF7412" w:rsidRDefault="004E1FCD" w:rsidP="004E1FCD">
      <w:pPr>
        <w:pStyle w:val="TableNo"/>
        <w:rPr>
          <w:lang w:val="en-US"/>
        </w:rPr>
      </w:pPr>
      <w:r w:rsidRPr="00DF7412">
        <w:rPr>
          <w:lang w:val="en-US"/>
        </w:rPr>
        <w:t>TABLE 3</w:t>
      </w:r>
    </w:p>
    <w:p w:rsidR="004E1FCD" w:rsidRPr="00B03793" w:rsidRDefault="004E1FCD" w:rsidP="004E1FCD">
      <w:pPr>
        <w:pStyle w:val="Tabletitle"/>
        <w:rPr>
          <w:lang w:val="en-US"/>
        </w:rPr>
      </w:pPr>
      <w:r w:rsidRPr="00B03793">
        <w:rPr>
          <w:lang w:val="en-US"/>
        </w:rPr>
        <w:t>Interference results from the worst-case orbits</w:t>
      </w:r>
    </w:p>
    <w:tbl>
      <w:tblPr>
        <w:tblW w:w="9639" w:type="dxa"/>
        <w:jc w:val="center"/>
        <w:tblLayout w:type="fixed"/>
        <w:tblLook w:val="0000"/>
      </w:tblPr>
      <w:tblGrid>
        <w:gridCol w:w="2448"/>
        <w:gridCol w:w="2085"/>
        <w:gridCol w:w="954"/>
        <w:gridCol w:w="1038"/>
        <w:gridCol w:w="1038"/>
        <w:gridCol w:w="1038"/>
        <w:gridCol w:w="1038"/>
      </w:tblGrid>
      <w:tr w:rsidR="004E1FCD" w:rsidRPr="00B5710B">
        <w:trPr>
          <w:trHeight w:val="600"/>
          <w:jc w:val="center"/>
        </w:trPr>
        <w:tc>
          <w:tcPr>
            <w:tcW w:w="1949" w:type="dxa"/>
            <w:vMerge w:val="restart"/>
            <w:tcBorders>
              <w:top w:val="single" w:sz="4" w:space="0" w:color="auto"/>
              <w:left w:val="single" w:sz="4" w:space="0" w:color="auto"/>
              <w:right w:val="single" w:sz="4" w:space="0" w:color="auto"/>
            </w:tcBorders>
            <w:vAlign w:val="center"/>
          </w:tcPr>
          <w:p w:rsidR="004E1FCD" w:rsidRPr="00B03793" w:rsidRDefault="004E1FCD" w:rsidP="004E1FCD">
            <w:pPr>
              <w:pStyle w:val="Tablehead"/>
              <w:rPr>
                <w:rFonts w:eastAsia="Arial Unicode MS"/>
                <w:lang w:val="en-US"/>
              </w:rPr>
            </w:pPr>
            <w:r w:rsidRPr="00B03793">
              <w:rPr>
                <w:lang w:val="en-US"/>
              </w:rPr>
              <w:t>Aggregate interference power density at receiver input (dB(W/kHz)</w:t>
            </w:r>
            <w:r>
              <w:rPr>
                <w:lang w:val="en-US"/>
              </w:rPr>
              <w:t>)</w:t>
            </w:r>
          </w:p>
        </w:tc>
        <w:tc>
          <w:tcPr>
            <w:tcW w:w="1660" w:type="dxa"/>
            <w:vMerge w:val="restart"/>
            <w:tcBorders>
              <w:top w:val="single" w:sz="4" w:space="0" w:color="auto"/>
              <w:left w:val="nil"/>
              <w:right w:val="single" w:sz="4" w:space="0" w:color="auto"/>
            </w:tcBorders>
            <w:vAlign w:val="center"/>
          </w:tcPr>
          <w:p w:rsidR="004E1FCD" w:rsidRPr="004E1FCD" w:rsidRDefault="004E1FCD" w:rsidP="004E1FCD">
            <w:pPr>
              <w:pStyle w:val="Tablehead"/>
              <w:rPr>
                <w:rFonts w:eastAsia="Arial Unicode MS"/>
                <w:lang w:val="en-US"/>
              </w:rPr>
            </w:pPr>
            <w:r w:rsidRPr="004E1FCD">
              <w:rPr>
                <w:lang w:val="en-US"/>
              </w:rPr>
              <w:t>Equivalent maximum GSO FSS interference power at ISS antenna (dBW/10 MHz)</w:t>
            </w:r>
          </w:p>
        </w:tc>
        <w:tc>
          <w:tcPr>
            <w:tcW w:w="4068" w:type="dxa"/>
            <w:gridSpan w:val="5"/>
            <w:tcBorders>
              <w:top w:val="single" w:sz="4" w:space="0" w:color="auto"/>
              <w:left w:val="nil"/>
              <w:bottom w:val="single" w:sz="4" w:space="0" w:color="auto"/>
              <w:right w:val="single" w:sz="4" w:space="0" w:color="000000"/>
            </w:tcBorders>
            <w:vAlign w:val="center"/>
          </w:tcPr>
          <w:p w:rsidR="004E1FCD" w:rsidRPr="004E1FCD" w:rsidRDefault="004E1FCD" w:rsidP="004E1FCD">
            <w:pPr>
              <w:pStyle w:val="Tablehead"/>
              <w:rPr>
                <w:rFonts w:eastAsia="Arial Unicode MS"/>
                <w:lang w:val="en-US"/>
              </w:rPr>
            </w:pPr>
            <w:r w:rsidRPr="004E1FCD">
              <w:rPr>
                <w:lang w:val="en-US"/>
              </w:rPr>
              <w:t>Probability of exceedance for FSS ground stations (%)</w:t>
            </w:r>
          </w:p>
        </w:tc>
      </w:tr>
      <w:tr w:rsidR="004E1FCD">
        <w:trPr>
          <w:trHeight w:val="255"/>
          <w:jc w:val="center"/>
        </w:trPr>
        <w:tc>
          <w:tcPr>
            <w:tcW w:w="2448" w:type="dxa"/>
            <w:vMerge/>
            <w:tcBorders>
              <w:left w:val="single" w:sz="4" w:space="0" w:color="auto"/>
              <w:bottom w:val="single" w:sz="4" w:space="0" w:color="auto"/>
              <w:right w:val="single" w:sz="4" w:space="0" w:color="auto"/>
            </w:tcBorders>
            <w:vAlign w:val="center"/>
          </w:tcPr>
          <w:p w:rsidR="004E1FCD" w:rsidRPr="004E1FCD" w:rsidRDefault="004E1FCD" w:rsidP="004E1FCD">
            <w:pPr>
              <w:pStyle w:val="Tablehead"/>
              <w:rPr>
                <w:rFonts w:eastAsia="Arial Unicode MS"/>
                <w:lang w:val="en-US"/>
              </w:rPr>
            </w:pPr>
          </w:p>
        </w:tc>
        <w:tc>
          <w:tcPr>
            <w:tcW w:w="1660" w:type="dxa"/>
            <w:vMerge/>
            <w:tcBorders>
              <w:left w:val="nil"/>
              <w:bottom w:val="single" w:sz="4" w:space="0" w:color="auto"/>
              <w:right w:val="single" w:sz="4" w:space="0" w:color="auto"/>
            </w:tcBorders>
            <w:vAlign w:val="center"/>
          </w:tcPr>
          <w:p w:rsidR="004E1FCD" w:rsidRPr="004E1FCD" w:rsidRDefault="004E1FCD" w:rsidP="004E1FCD">
            <w:pPr>
              <w:pStyle w:val="Tablehead"/>
              <w:rPr>
                <w:rFonts w:eastAsia="Arial Unicode MS"/>
                <w:lang w:val="en-US"/>
              </w:rPr>
            </w:pPr>
          </w:p>
        </w:tc>
        <w:tc>
          <w:tcPr>
            <w:tcW w:w="760" w:type="dxa"/>
            <w:tcBorders>
              <w:top w:val="nil"/>
              <w:left w:val="nil"/>
              <w:bottom w:val="single" w:sz="4" w:space="0" w:color="auto"/>
              <w:right w:val="single" w:sz="4" w:space="0" w:color="auto"/>
            </w:tcBorders>
            <w:vAlign w:val="center"/>
          </w:tcPr>
          <w:p w:rsidR="004E1FCD" w:rsidRDefault="004E1FCD" w:rsidP="004E1FCD">
            <w:pPr>
              <w:pStyle w:val="Tablehead"/>
              <w:rPr>
                <w:rFonts w:eastAsia="Arial Unicode MS"/>
              </w:rPr>
            </w:pPr>
            <w:r>
              <w:t>0.5 m</w:t>
            </w:r>
          </w:p>
        </w:tc>
        <w:tc>
          <w:tcPr>
            <w:tcW w:w="827" w:type="dxa"/>
            <w:tcBorders>
              <w:top w:val="nil"/>
              <w:left w:val="nil"/>
              <w:bottom w:val="single" w:sz="4" w:space="0" w:color="auto"/>
              <w:right w:val="single" w:sz="4" w:space="0" w:color="auto"/>
            </w:tcBorders>
            <w:vAlign w:val="center"/>
          </w:tcPr>
          <w:p w:rsidR="004E1FCD" w:rsidRDefault="004E1FCD" w:rsidP="004E1FCD">
            <w:pPr>
              <w:pStyle w:val="Tablehead"/>
              <w:rPr>
                <w:rFonts w:eastAsia="Arial Unicode MS"/>
              </w:rPr>
            </w:pPr>
            <w:r>
              <w:t>1.0 m</w:t>
            </w:r>
          </w:p>
        </w:tc>
        <w:tc>
          <w:tcPr>
            <w:tcW w:w="827" w:type="dxa"/>
            <w:tcBorders>
              <w:top w:val="nil"/>
              <w:left w:val="nil"/>
              <w:bottom w:val="single" w:sz="4" w:space="0" w:color="auto"/>
              <w:right w:val="single" w:sz="4" w:space="0" w:color="auto"/>
            </w:tcBorders>
            <w:vAlign w:val="center"/>
          </w:tcPr>
          <w:p w:rsidR="004E1FCD" w:rsidRDefault="004E1FCD" w:rsidP="004E1FCD">
            <w:pPr>
              <w:pStyle w:val="Tablehead"/>
              <w:rPr>
                <w:rFonts w:eastAsia="Arial Unicode MS"/>
              </w:rPr>
            </w:pPr>
            <w:r>
              <w:t>1.8 m</w:t>
            </w:r>
          </w:p>
        </w:tc>
        <w:tc>
          <w:tcPr>
            <w:tcW w:w="827" w:type="dxa"/>
            <w:tcBorders>
              <w:top w:val="nil"/>
              <w:left w:val="nil"/>
              <w:bottom w:val="single" w:sz="4" w:space="0" w:color="auto"/>
              <w:right w:val="single" w:sz="4" w:space="0" w:color="auto"/>
            </w:tcBorders>
            <w:vAlign w:val="center"/>
          </w:tcPr>
          <w:p w:rsidR="004E1FCD" w:rsidRDefault="004E1FCD" w:rsidP="004E1FCD">
            <w:pPr>
              <w:pStyle w:val="Tablehead"/>
              <w:rPr>
                <w:rFonts w:eastAsia="Arial Unicode MS"/>
              </w:rPr>
            </w:pPr>
            <w:r>
              <w:t>3.0 m</w:t>
            </w:r>
          </w:p>
        </w:tc>
        <w:tc>
          <w:tcPr>
            <w:tcW w:w="827" w:type="dxa"/>
            <w:tcBorders>
              <w:top w:val="nil"/>
              <w:left w:val="nil"/>
              <w:bottom w:val="single" w:sz="4" w:space="0" w:color="auto"/>
              <w:right w:val="single" w:sz="4" w:space="0" w:color="auto"/>
            </w:tcBorders>
            <w:vAlign w:val="center"/>
          </w:tcPr>
          <w:p w:rsidR="004E1FCD" w:rsidRDefault="004E1FCD" w:rsidP="004E1FCD">
            <w:pPr>
              <w:pStyle w:val="Tablehead"/>
              <w:rPr>
                <w:rFonts w:eastAsia="Arial Unicode MS"/>
              </w:rPr>
            </w:pPr>
            <w:r>
              <w:t>4.5 m</w:t>
            </w:r>
          </w:p>
        </w:tc>
      </w:tr>
      <w:tr w:rsidR="004E1FCD">
        <w:trPr>
          <w:trHeight w:val="255"/>
          <w:jc w:val="center"/>
        </w:trPr>
        <w:tc>
          <w:tcPr>
            <w:tcW w:w="1949" w:type="dxa"/>
            <w:tcBorders>
              <w:top w:val="nil"/>
              <w:left w:val="single" w:sz="4" w:space="0" w:color="auto"/>
              <w:bottom w:val="nil"/>
              <w:right w:val="single" w:sz="4" w:space="0" w:color="auto"/>
            </w:tcBorders>
            <w:vAlign w:val="center"/>
          </w:tcPr>
          <w:p w:rsidR="004E1FCD" w:rsidRDefault="004E1FCD" w:rsidP="004E1FCD">
            <w:pPr>
              <w:pStyle w:val="Tabletext"/>
              <w:jc w:val="center"/>
              <w:rPr>
                <w:rFonts w:eastAsia="Arial Unicode MS"/>
              </w:rPr>
            </w:pPr>
            <w:r>
              <w:t>−178 (SA.1155)</w:t>
            </w:r>
          </w:p>
        </w:tc>
        <w:tc>
          <w:tcPr>
            <w:tcW w:w="1660" w:type="dxa"/>
            <w:tcBorders>
              <w:top w:val="nil"/>
              <w:left w:val="nil"/>
              <w:bottom w:val="nil"/>
              <w:right w:val="single" w:sz="4" w:space="0" w:color="auto"/>
            </w:tcBorders>
            <w:vAlign w:val="center"/>
          </w:tcPr>
          <w:p w:rsidR="004E1FCD" w:rsidRDefault="004E1FCD" w:rsidP="004E1FCD">
            <w:pPr>
              <w:pStyle w:val="Tabletext"/>
              <w:jc w:val="center"/>
            </w:pPr>
            <w:r>
              <w:t>−141</w:t>
            </w:r>
          </w:p>
        </w:tc>
        <w:tc>
          <w:tcPr>
            <w:tcW w:w="760" w:type="dxa"/>
            <w:tcBorders>
              <w:top w:val="nil"/>
              <w:left w:val="nil"/>
              <w:bottom w:val="nil"/>
              <w:right w:val="single" w:sz="4" w:space="0" w:color="auto"/>
            </w:tcBorders>
            <w:vAlign w:val="center"/>
          </w:tcPr>
          <w:p w:rsidR="004E1FCD" w:rsidRDefault="004E1FCD" w:rsidP="004E1FCD">
            <w:pPr>
              <w:pStyle w:val="Tabletext"/>
              <w:jc w:val="center"/>
            </w:pPr>
            <w:r>
              <w:t>9.49</w:t>
            </w:r>
          </w:p>
        </w:tc>
        <w:tc>
          <w:tcPr>
            <w:tcW w:w="827" w:type="dxa"/>
            <w:tcBorders>
              <w:top w:val="nil"/>
              <w:left w:val="nil"/>
              <w:bottom w:val="nil"/>
              <w:right w:val="single" w:sz="4" w:space="0" w:color="auto"/>
            </w:tcBorders>
            <w:vAlign w:val="center"/>
          </w:tcPr>
          <w:p w:rsidR="004E1FCD" w:rsidRDefault="004E1FCD" w:rsidP="004E1FCD">
            <w:pPr>
              <w:pStyle w:val="Tabletext"/>
              <w:jc w:val="center"/>
            </w:pPr>
            <w:r>
              <w:t>4.38</w:t>
            </w:r>
          </w:p>
        </w:tc>
        <w:tc>
          <w:tcPr>
            <w:tcW w:w="827" w:type="dxa"/>
            <w:tcBorders>
              <w:top w:val="nil"/>
              <w:left w:val="nil"/>
              <w:bottom w:val="nil"/>
              <w:right w:val="single" w:sz="4" w:space="0" w:color="auto"/>
            </w:tcBorders>
            <w:vAlign w:val="center"/>
          </w:tcPr>
          <w:p w:rsidR="004E1FCD" w:rsidRDefault="004E1FCD" w:rsidP="004E1FCD">
            <w:pPr>
              <w:pStyle w:val="Tabletext"/>
              <w:jc w:val="center"/>
            </w:pPr>
            <w:r>
              <w:t>0.67</w:t>
            </w:r>
          </w:p>
        </w:tc>
        <w:tc>
          <w:tcPr>
            <w:tcW w:w="827" w:type="dxa"/>
            <w:tcBorders>
              <w:top w:val="nil"/>
              <w:left w:val="nil"/>
              <w:bottom w:val="nil"/>
              <w:right w:val="single" w:sz="4" w:space="0" w:color="auto"/>
            </w:tcBorders>
            <w:vAlign w:val="center"/>
          </w:tcPr>
          <w:p w:rsidR="004E1FCD" w:rsidRDefault="004E1FCD" w:rsidP="004E1FCD">
            <w:pPr>
              <w:pStyle w:val="Tabletext"/>
              <w:jc w:val="center"/>
            </w:pPr>
            <w:r>
              <w:t>1.27</w:t>
            </w:r>
          </w:p>
        </w:tc>
        <w:tc>
          <w:tcPr>
            <w:tcW w:w="827" w:type="dxa"/>
            <w:tcBorders>
              <w:top w:val="nil"/>
              <w:left w:val="nil"/>
              <w:bottom w:val="nil"/>
              <w:right w:val="single" w:sz="4" w:space="0" w:color="auto"/>
            </w:tcBorders>
            <w:vAlign w:val="center"/>
          </w:tcPr>
          <w:p w:rsidR="004E1FCD" w:rsidRDefault="004E1FCD" w:rsidP="004E1FCD">
            <w:pPr>
              <w:pStyle w:val="Tabletext"/>
              <w:jc w:val="center"/>
            </w:pPr>
            <w:r>
              <w:t>0.16</w:t>
            </w:r>
          </w:p>
        </w:tc>
      </w:tr>
      <w:tr w:rsidR="004E1FCD">
        <w:trPr>
          <w:trHeight w:val="255"/>
          <w:jc w:val="center"/>
        </w:trPr>
        <w:tc>
          <w:tcPr>
            <w:tcW w:w="1949" w:type="dxa"/>
            <w:tcBorders>
              <w:top w:val="nil"/>
              <w:left w:val="single" w:sz="4" w:space="0" w:color="auto"/>
              <w:bottom w:val="nil"/>
              <w:right w:val="single" w:sz="4" w:space="0" w:color="auto"/>
            </w:tcBorders>
            <w:vAlign w:val="center"/>
          </w:tcPr>
          <w:p w:rsidR="004E1FCD" w:rsidRDefault="004E1FCD" w:rsidP="004E1FCD">
            <w:pPr>
              <w:pStyle w:val="Tabletext"/>
              <w:jc w:val="center"/>
              <w:rPr>
                <w:rFonts w:eastAsia="Arial Unicode MS"/>
              </w:rPr>
            </w:pPr>
            <w:r>
              <w:t>−176</w:t>
            </w:r>
          </w:p>
        </w:tc>
        <w:tc>
          <w:tcPr>
            <w:tcW w:w="1660" w:type="dxa"/>
            <w:tcBorders>
              <w:top w:val="nil"/>
              <w:left w:val="nil"/>
              <w:bottom w:val="nil"/>
              <w:right w:val="single" w:sz="4" w:space="0" w:color="auto"/>
            </w:tcBorders>
            <w:vAlign w:val="center"/>
          </w:tcPr>
          <w:p w:rsidR="004E1FCD" w:rsidRDefault="004E1FCD" w:rsidP="004E1FCD">
            <w:pPr>
              <w:pStyle w:val="Tabletext"/>
              <w:jc w:val="center"/>
            </w:pPr>
            <w:r>
              <w:t>−140</w:t>
            </w:r>
          </w:p>
        </w:tc>
        <w:tc>
          <w:tcPr>
            <w:tcW w:w="760" w:type="dxa"/>
            <w:tcBorders>
              <w:top w:val="nil"/>
              <w:left w:val="nil"/>
              <w:bottom w:val="nil"/>
              <w:right w:val="single" w:sz="4" w:space="0" w:color="auto"/>
            </w:tcBorders>
            <w:vAlign w:val="center"/>
          </w:tcPr>
          <w:p w:rsidR="004E1FCD" w:rsidRDefault="004E1FCD" w:rsidP="004E1FCD">
            <w:pPr>
              <w:pStyle w:val="Tabletext"/>
              <w:jc w:val="center"/>
            </w:pPr>
            <w:r>
              <w:t>8.82</w:t>
            </w:r>
          </w:p>
        </w:tc>
        <w:tc>
          <w:tcPr>
            <w:tcW w:w="827" w:type="dxa"/>
            <w:tcBorders>
              <w:top w:val="nil"/>
              <w:left w:val="nil"/>
              <w:bottom w:val="nil"/>
              <w:right w:val="single" w:sz="4" w:space="0" w:color="auto"/>
            </w:tcBorders>
            <w:vAlign w:val="center"/>
          </w:tcPr>
          <w:p w:rsidR="004E1FCD" w:rsidRDefault="004E1FCD" w:rsidP="004E1FCD">
            <w:pPr>
              <w:pStyle w:val="Tabletext"/>
              <w:jc w:val="center"/>
            </w:pPr>
            <w:r>
              <w:t>3.64</w:t>
            </w:r>
          </w:p>
        </w:tc>
        <w:tc>
          <w:tcPr>
            <w:tcW w:w="827" w:type="dxa"/>
            <w:tcBorders>
              <w:top w:val="nil"/>
              <w:left w:val="nil"/>
              <w:bottom w:val="nil"/>
              <w:right w:val="single" w:sz="4" w:space="0" w:color="auto"/>
            </w:tcBorders>
            <w:vAlign w:val="center"/>
          </w:tcPr>
          <w:p w:rsidR="004E1FCD" w:rsidRDefault="004E1FCD" w:rsidP="004E1FCD">
            <w:pPr>
              <w:pStyle w:val="Tabletext"/>
              <w:jc w:val="center"/>
            </w:pPr>
            <w:r>
              <w:t>0.59</w:t>
            </w:r>
          </w:p>
        </w:tc>
        <w:tc>
          <w:tcPr>
            <w:tcW w:w="827" w:type="dxa"/>
            <w:tcBorders>
              <w:top w:val="nil"/>
              <w:left w:val="nil"/>
              <w:bottom w:val="nil"/>
              <w:right w:val="single" w:sz="4" w:space="0" w:color="auto"/>
            </w:tcBorders>
            <w:vAlign w:val="center"/>
          </w:tcPr>
          <w:p w:rsidR="004E1FCD" w:rsidRDefault="004E1FCD" w:rsidP="004E1FCD">
            <w:pPr>
              <w:pStyle w:val="Tabletext"/>
              <w:jc w:val="center"/>
            </w:pPr>
            <w:r>
              <w:t>1.05</w:t>
            </w:r>
          </w:p>
        </w:tc>
        <w:tc>
          <w:tcPr>
            <w:tcW w:w="827" w:type="dxa"/>
            <w:tcBorders>
              <w:top w:val="nil"/>
              <w:left w:val="nil"/>
              <w:bottom w:val="nil"/>
              <w:right w:val="single" w:sz="4" w:space="0" w:color="auto"/>
            </w:tcBorders>
            <w:vAlign w:val="center"/>
          </w:tcPr>
          <w:p w:rsidR="004E1FCD" w:rsidRDefault="004E1FCD" w:rsidP="004E1FCD">
            <w:pPr>
              <w:pStyle w:val="Tabletext"/>
              <w:jc w:val="center"/>
            </w:pPr>
            <w:r>
              <w:t>0.15</w:t>
            </w:r>
          </w:p>
        </w:tc>
      </w:tr>
      <w:tr w:rsidR="004E1FCD">
        <w:trPr>
          <w:trHeight w:val="255"/>
          <w:jc w:val="center"/>
        </w:trPr>
        <w:tc>
          <w:tcPr>
            <w:tcW w:w="1949" w:type="dxa"/>
            <w:tcBorders>
              <w:top w:val="nil"/>
              <w:left w:val="single" w:sz="4" w:space="0" w:color="auto"/>
              <w:bottom w:val="nil"/>
              <w:right w:val="single" w:sz="4" w:space="0" w:color="auto"/>
            </w:tcBorders>
            <w:vAlign w:val="center"/>
          </w:tcPr>
          <w:p w:rsidR="004E1FCD" w:rsidRDefault="004E1FCD" w:rsidP="004E1FCD">
            <w:pPr>
              <w:pStyle w:val="Tabletext"/>
              <w:jc w:val="center"/>
              <w:rPr>
                <w:rFonts w:eastAsia="Arial Unicode MS"/>
              </w:rPr>
            </w:pPr>
            <w:r>
              <w:t>−175</w:t>
            </w:r>
          </w:p>
        </w:tc>
        <w:tc>
          <w:tcPr>
            <w:tcW w:w="1660" w:type="dxa"/>
            <w:tcBorders>
              <w:top w:val="nil"/>
              <w:left w:val="nil"/>
              <w:bottom w:val="nil"/>
              <w:right w:val="single" w:sz="4" w:space="0" w:color="auto"/>
            </w:tcBorders>
            <w:vAlign w:val="center"/>
          </w:tcPr>
          <w:p w:rsidR="004E1FCD" w:rsidRDefault="004E1FCD" w:rsidP="004E1FCD">
            <w:pPr>
              <w:pStyle w:val="Tabletext"/>
              <w:jc w:val="center"/>
            </w:pPr>
            <w:r>
              <w:t>−139</w:t>
            </w:r>
          </w:p>
        </w:tc>
        <w:tc>
          <w:tcPr>
            <w:tcW w:w="760" w:type="dxa"/>
            <w:tcBorders>
              <w:top w:val="nil"/>
              <w:left w:val="nil"/>
              <w:bottom w:val="nil"/>
              <w:right w:val="single" w:sz="4" w:space="0" w:color="auto"/>
            </w:tcBorders>
            <w:vAlign w:val="center"/>
          </w:tcPr>
          <w:p w:rsidR="004E1FCD" w:rsidRDefault="004E1FCD" w:rsidP="004E1FCD">
            <w:pPr>
              <w:pStyle w:val="Tabletext"/>
              <w:jc w:val="center"/>
            </w:pPr>
            <w:r>
              <w:t>8.41</w:t>
            </w:r>
          </w:p>
        </w:tc>
        <w:tc>
          <w:tcPr>
            <w:tcW w:w="827" w:type="dxa"/>
            <w:tcBorders>
              <w:top w:val="nil"/>
              <w:left w:val="nil"/>
              <w:bottom w:val="nil"/>
              <w:right w:val="single" w:sz="4" w:space="0" w:color="auto"/>
            </w:tcBorders>
            <w:vAlign w:val="center"/>
          </w:tcPr>
          <w:p w:rsidR="004E1FCD" w:rsidRDefault="004E1FCD" w:rsidP="004E1FCD">
            <w:pPr>
              <w:pStyle w:val="Tabletext"/>
              <w:jc w:val="center"/>
            </w:pPr>
            <w:r>
              <w:t>2.90</w:t>
            </w:r>
          </w:p>
        </w:tc>
        <w:tc>
          <w:tcPr>
            <w:tcW w:w="827" w:type="dxa"/>
            <w:tcBorders>
              <w:top w:val="nil"/>
              <w:left w:val="nil"/>
              <w:bottom w:val="nil"/>
              <w:right w:val="single" w:sz="4" w:space="0" w:color="auto"/>
            </w:tcBorders>
            <w:vAlign w:val="center"/>
          </w:tcPr>
          <w:p w:rsidR="004E1FCD" w:rsidRDefault="004E1FCD" w:rsidP="004E1FCD">
            <w:pPr>
              <w:pStyle w:val="Tabletext"/>
              <w:jc w:val="center"/>
            </w:pPr>
            <w:r>
              <w:t>0.53</w:t>
            </w:r>
          </w:p>
        </w:tc>
        <w:tc>
          <w:tcPr>
            <w:tcW w:w="827" w:type="dxa"/>
            <w:tcBorders>
              <w:top w:val="nil"/>
              <w:left w:val="nil"/>
              <w:bottom w:val="nil"/>
              <w:right w:val="single" w:sz="4" w:space="0" w:color="auto"/>
            </w:tcBorders>
            <w:vAlign w:val="center"/>
          </w:tcPr>
          <w:p w:rsidR="004E1FCD" w:rsidRDefault="004E1FCD" w:rsidP="004E1FCD">
            <w:pPr>
              <w:pStyle w:val="Tabletext"/>
              <w:jc w:val="center"/>
            </w:pPr>
            <w:r>
              <w:t>0.91</w:t>
            </w:r>
          </w:p>
        </w:tc>
        <w:tc>
          <w:tcPr>
            <w:tcW w:w="827" w:type="dxa"/>
            <w:tcBorders>
              <w:top w:val="nil"/>
              <w:left w:val="nil"/>
              <w:bottom w:val="nil"/>
              <w:right w:val="single" w:sz="4" w:space="0" w:color="auto"/>
            </w:tcBorders>
            <w:vAlign w:val="center"/>
          </w:tcPr>
          <w:p w:rsidR="004E1FCD" w:rsidRDefault="004E1FCD" w:rsidP="004E1FCD">
            <w:pPr>
              <w:pStyle w:val="Tabletext"/>
              <w:jc w:val="center"/>
            </w:pPr>
            <w:r>
              <w:t>0.14</w:t>
            </w:r>
          </w:p>
        </w:tc>
      </w:tr>
      <w:tr w:rsidR="004E1FCD">
        <w:trPr>
          <w:trHeight w:val="255"/>
          <w:jc w:val="center"/>
        </w:trPr>
        <w:tc>
          <w:tcPr>
            <w:tcW w:w="1949" w:type="dxa"/>
            <w:tcBorders>
              <w:top w:val="nil"/>
              <w:left w:val="single" w:sz="4" w:space="0" w:color="auto"/>
              <w:bottom w:val="nil"/>
              <w:right w:val="single" w:sz="4" w:space="0" w:color="auto"/>
            </w:tcBorders>
            <w:vAlign w:val="center"/>
          </w:tcPr>
          <w:p w:rsidR="004E1FCD" w:rsidRDefault="004E1FCD" w:rsidP="004E1FCD">
            <w:pPr>
              <w:pStyle w:val="Tabletext"/>
              <w:jc w:val="center"/>
              <w:rPr>
                <w:rFonts w:eastAsia="Arial Unicode MS"/>
              </w:rPr>
            </w:pPr>
            <w:r>
              <w:t>−170</w:t>
            </w:r>
          </w:p>
        </w:tc>
        <w:tc>
          <w:tcPr>
            <w:tcW w:w="1660"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−138</w:t>
            </w:r>
          </w:p>
        </w:tc>
        <w:tc>
          <w:tcPr>
            <w:tcW w:w="760"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8.13</w:t>
            </w:r>
          </w:p>
        </w:tc>
        <w:tc>
          <w:tcPr>
            <w:tcW w:w="827"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2.22</w:t>
            </w:r>
          </w:p>
        </w:tc>
        <w:tc>
          <w:tcPr>
            <w:tcW w:w="827"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0.47</w:t>
            </w:r>
          </w:p>
        </w:tc>
        <w:tc>
          <w:tcPr>
            <w:tcW w:w="827"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0.80</w:t>
            </w:r>
          </w:p>
        </w:tc>
        <w:tc>
          <w:tcPr>
            <w:tcW w:w="827"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0.13</w:t>
            </w:r>
          </w:p>
        </w:tc>
      </w:tr>
      <w:tr w:rsidR="004E1FCD">
        <w:trPr>
          <w:trHeight w:val="255"/>
          <w:jc w:val="center"/>
        </w:trPr>
        <w:tc>
          <w:tcPr>
            <w:tcW w:w="1949" w:type="dxa"/>
            <w:tcBorders>
              <w:top w:val="nil"/>
              <w:left w:val="single" w:sz="4" w:space="0" w:color="auto"/>
              <w:bottom w:val="nil"/>
              <w:right w:val="single" w:sz="4" w:space="0" w:color="auto"/>
            </w:tcBorders>
            <w:vAlign w:val="center"/>
          </w:tcPr>
          <w:p w:rsidR="004E1FCD" w:rsidRDefault="004E1FCD" w:rsidP="004E1FCD">
            <w:pPr>
              <w:pStyle w:val="Tabletext"/>
              <w:jc w:val="center"/>
              <w:rPr>
                <w:rFonts w:eastAsia="Arial Unicode MS"/>
              </w:rPr>
            </w:pPr>
            <w:r>
              <w:t>−169</w:t>
            </w:r>
          </w:p>
        </w:tc>
        <w:tc>
          <w:tcPr>
            <w:tcW w:w="1660"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−136</w:t>
            </w:r>
          </w:p>
        </w:tc>
        <w:tc>
          <w:tcPr>
            <w:tcW w:w="760"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5.74</w:t>
            </w:r>
          </w:p>
        </w:tc>
        <w:tc>
          <w:tcPr>
            <w:tcW w:w="827"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1.50</w:t>
            </w:r>
          </w:p>
        </w:tc>
        <w:tc>
          <w:tcPr>
            <w:tcW w:w="827"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0.34</w:t>
            </w:r>
          </w:p>
        </w:tc>
        <w:tc>
          <w:tcPr>
            <w:tcW w:w="827"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0.25</w:t>
            </w:r>
          </w:p>
        </w:tc>
        <w:tc>
          <w:tcPr>
            <w:tcW w:w="827"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0.10</w:t>
            </w:r>
          </w:p>
        </w:tc>
      </w:tr>
      <w:tr w:rsidR="004E1FCD">
        <w:trPr>
          <w:trHeight w:val="255"/>
          <w:jc w:val="center"/>
        </w:trPr>
        <w:tc>
          <w:tcPr>
            <w:tcW w:w="1949" w:type="dxa"/>
            <w:tcBorders>
              <w:top w:val="nil"/>
              <w:left w:val="single" w:sz="4" w:space="0" w:color="auto"/>
              <w:bottom w:val="nil"/>
              <w:right w:val="single" w:sz="4" w:space="0" w:color="auto"/>
            </w:tcBorders>
            <w:vAlign w:val="center"/>
          </w:tcPr>
          <w:p w:rsidR="004E1FCD" w:rsidRDefault="004E1FCD" w:rsidP="004E1FCD">
            <w:pPr>
              <w:pStyle w:val="Tabletext"/>
              <w:jc w:val="center"/>
              <w:rPr>
                <w:rFonts w:eastAsia="Arial Unicode MS"/>
              </w:rPr>
            </w:pPr>
            <w:r>
              <w:t>−168</w:t>
            </w:r>
          </w:p>
        </w:tc>
        <w:tc>
          <w:tcPr>
            <w:tcW w:w="1660"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−135</w:t>
            </w:r>
          </w:p>
        </w:tc>
        <w:tc>
          <w:tcPr>
            <w:tcW w:w="760"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4.26</w:t>
            </w:r>
          </w:p>
        </w:tc>
        <w:tc>
          <w:tcPr>
            <w:tcW w:w="827"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1.30</w:t>
            </w:r>
          </w:p>
        </w:tc>
        <w:tc>
          <w:tcPr>
            <w:tcW w:w="827"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0.34</w:t>
            </w:r>
          </w:p>
        </w:tc>
        <w:tc>
          <w:tcPr>
            <w:tcW w:w="827"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0.56</w:t>
            </w:r>
          </w:p>
        </w:tc>
        <w:tc>
          <w:tcPr>
            <w:tcW w:w="827"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0.09</w:t>
            </w:r>
          </w:p>
        </w:tc>
      </w:tr>
      <w:tr w:rsidR="004E1FCD">
        <w:trPr>
          <w:trHeight w:val="255"/>
          <w:jc w:val="center"/>
        </w:trPr>
        <w:tc>
          <w:tcPr>
            <w:tcW w:w="1949" w:type="dxa"/>
            <w:tcBorders>
              <w:top w:val="nil"/>
              <w:left w:val="single" w:sz="4" w:space="0" w:color="auto"/>
              <w:bottom w:val="nil"/>
              <w:right w:val="single" w:sz="4" w:space="0" w:color="auto"/>
            </w:tcBorders>
            <w:vAlign w:val="center"/>
          </w:tcPr>
          <w:p w:rsidR="004E1FCD" w:rsidRDefault="004E1FCD" w:rsidP="004E1FCD">
            <w:pPr>
              <w:pStyle w:val="Tabletext"/>
              <w:jc w:val="center"/>
              <w:rPr>
                <w:rFonts w:eastAsia="Arial Unicode MS"/>
              </w:rPr>
            </w:pPr>
            <w:r>
              <w:t>−167</w:t>
            </w:r>
          </w:p>
        </w:tc>
        <w:tc>
          <w:tcPr>
            <w:tcW w:w="1660"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−130</w:t>
            </w:r>
          </w:p>
        </w:tc>
        <w:tc>
          <w:tcPr>
            <w:tcW w:w="760"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1.03</w:t>
            </w:r>
          </w:p>
        </w:tc>
        <w:tc>
          <w:tcPr>
            <w:tcW w:w="827"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0.47</w:t>
            </w:r>
          </w:p>
        </w:tc>
        <w:tc>
          <w:tcPr>
            <w:tcW w:w="827"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0.10</w:t>
            </w:r>
          </w:p>
        </w:tc>
        <w:tc>
          <w:tcPr>
            <w:tcW w:w="827"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0.29</w:t>
            </w:r>
          </w:p>
        </w:tc>
        <w:tc>
          <w:tcPr>
            <w:tcW w:w="827"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w:t>
            </w:r>
          </w:p>
        </w:tc>
      </w:tr>
      <w:tr w:rsidR="004E1FCD">
        <w:trPr>
          <w:trHeight w:val="255"/>
          <w:jc w:val="center"/>
        </w:trPr>
        <w:tc>
          <w:tcPr>
            <w:tcW w:w="1949" w:type="dxa"/>
            <w:tcBorders>
              <w:top w:val="nil"/>
              <w:left w:val="single" w:sz="4" w:space="0" w:color="auto"/>
              <w:bottom w:val="nil"/>
              <w:right w:val="single" w:sz="4" w:space="0" w:color="auto"/>
            </w:tcBorders>
            <w:vAlign w:val="center"/>
          </w:tcPr>
          <w:p w:rsidR="004E1FCD" w:rsidRDefault="004E1FCD" w:rsidP="004E1FCD">
            <w:pPr>
              <w:pStyle w:val="Tabletext"/>
              <w:jc w:val="center"/>
              <w:rPr>
                <w:rFonts w:eastAsia="Arial Unicode MS"/>
              </w:rPr>
            </w:pPr>
            <w:r>
              <w:t>−166</w:t>
            </w:r>
          </w:p>
        </w:tc>
        <w:tc>
          <w:tcPr>
            <w:tcW w:w="1660"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−129</w:t>
            </w:r>
          </w:p>
        </w:tc>
        <w:tc>
          <w:tcPr>
            <w:tcW w:w="760"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0.61</w:t>
            </w:r>
          </w:p>
        </w:tc>
        <w:tc>
          <w:tcPr>
            <w:tcW w:w="827"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0.30</w:t>
            </w:r>
          </w:p>
        </w:tc>
        <w:tc>
          <w:tcPr>
            <w:tcW w:w="827"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0.08</w:t>
            </w:r>
          </w:p>
        </w:tc>
        <w:tc>
          <w:tcPr>
            <w:tcW w:w="827"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0.26</w:t>
            </w:r>
          </w:p>
        </w:tc>
        <w:tc>
          <w:tcPr>
            <w:tcW w:w="827"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w:t>
            </w:r>
          </w:p>
        </w:tc>
      </w:tr>
      <w:tr w:rsidR="004E1FCD">
        <w:trPr>
          <w:trHeight w:val="255"/>
          <w:jc w:val="center"/>
        </w:trPr>
        <w:tc>
          <w:tcPr>
            <w:tcW w:w="1949" w:type="dxa"/>
            <w:tcBorders>
              <w:top w:val="nil"/>
              <w:left w:val="single" w:sz="4" w:space="0" w:color="auto"/>
              <w:bottom w:val="nil"/>
              <w:right w:val="single" w:sz="4" w:space="0" w:color="auto"/>
            </w:tcBorders>
            <w:vAlign w:val="center"/>
          </w:tcPr>
          <w:p w:rsidR="004E1FCD" w:rsidRDefault="004E1FCD" w:rsidP="004E1FCD">
            <w:pPr>
              <w:pStyle w:val="Tabletext"/>
              <w:jc w:val="center"/>
              <w:rPr>
                <w:rFonts w:eastAsia="Arial Unicode MS"/>
              </w:rPr>
            </w:pPr>
            <w:r>
              <w:t>−165</w:t>
            </w:r>
          </w:p>
        </w:tc>
        <w:tc>
          <w:tcPr>
            <w:tcW w:w="1660"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−128</w:t>
            </w:r>
          </w:p>
        </w:tc>
        <w:tc>
          <w:tcPr>
            <w:tcW w:w="760"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0.27</w:t>
            </w:r>
          </w:p>
        </w:tc>
        <w:tc>
          <w:tcPr>
            <w:tcW w:w="827"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0.14</w:t>
            </w:r>
          </w:p>
        </w:tc>
        <w:tc>
          <w:tcPr>
            <w:tcW w:w="827"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0.06</w:t>
            </w:r>
          </w:p>
        </w:tc>
        <w:tc>
          <w:tcPr>
            <w:tcW w:w="827"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0.22</w:t>
            </w:r>
          </w:p>
        </w:tc>
        <w:tc>
          <w:tcPr>
            <w:tcW w:w="827"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w:t>
            </w:r>
          </w:p>
        </w:tc>
      </w:tr>
      <w:tr w:rsidR="004E1FCD">
        <w:trPr>
          <w:trHeight w:val="255"/>
          <w:jc w:val="center"/>
        </w:trPr>
        <w:tc>
          <w:tcPr>
            <w:tcW w:w="1949" w:type="dxa"/>
            <w:tcBorders>
              <w:top w:val="nil"/>
              <w:left w:val="single" w:sz="4" w:space="0" w:color="auto"/>
              <w:bottom w:val="nil"/>
              <w:right w:val="single" w:sz="4" w:space="0" w:color="auto"/>
            </w:tcBorders>
            <w:vAlign w:val="center"/>
          </w:tcPr>
          <w:p w:rsidR="004E1FCD" w:rsidRDefault="004E1FCD" w:rsidP="004E1FCD">
            <w:pPr>
              <w:pStyle w:val="Tabletext"/>
              <w:jc w:val="center"/>
              <w:rPr>
                <w:rFonts w:eastAsia="Arial Unicode MS"/>
              </w:rPr>
            </w:pPr>
            <w:r>
              <w:rPr>
                <w:rFonts w:eastAsia="Arial Unicode MS"/>
              </w:rPr>
              <w:t>−164</w:t>
            </w:r>
          </w:p>
        </w:tc>
        <w:tc>
          <w:tcPr>
            <w:tcW w:w="1660"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−127</w:t>
            </w:r>
          </w:p>
        </w:tc>
        <w:tc>
          <w:tcPr>
            <w:tcW w:w="760"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0.18</w:t>
            </w:r>
          </w:p>
        </w:tc>
        <w:tc>
          <w:tcPr>
            <w:tcW w:w="827"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0.03</w:t>
            </w:r>
          </w:p>
        </w:tc>
        <w:tc>
          <w:tcPr>
            <w:tcW w:w="827"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0.05</w:t>
            </w:r>
          </w:p>
        </w:tc>
        <w:tc>
          <w:tcPr>
            <w:tcW w:w="827"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0.14</w:t>
            </w:r>
          </w:p>
        </w:tc>
        <w:tc>
          <w:tcPr>
            <w:tcW w:w="827"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w:t>
            </w:r>
          </w:p>
        </w:tc>
      </w:tr>
      <w:tr w:rsidR="004E1FCD">
        <w:trPr>
          <w:trHeight w:val="255"/>
          <w:jc w:val="center"/>
        </w:trPr>
        <w:tc>
          <w:tcPr>
            <w:tcW w:w="1949" w:type="dxa"/>
            <w:tcBorders>
              <w:top w:val="nil"/>
              <w:left w:val="single" w:sz="4" w:space="0" w:color="auto"/>
              <w:bottom w:val="nil"/>
              <w:right w:val="single" w:sz="4" w:space="0" w:color="auto"/>
            </w:tcBorders>
            <w:vAlign w:val="center"/>
          </w:tcPr>
          <w:p w:rsidR="004E1FCD" w:rsidRDefault="004E1FCD" w:rsidP="004E1FCD">
            <w:pPr>
              <w:pStyle w:val="Tabletext"/>
              <w:jc w:val="center"/>
              <w:rPr>
                <w:rFonts w:eastAsia="Arial Unicode MS"/>
              </w:rPr>
            </w:pPr>
            <w:r>
              <w:rPr>
                <w:rFonts w:eastAsia="Arial Unicode MS"/>
              </w:rPr>
              <w:t>−163</w:t>
            </w:r>
          </w:p>
        </w:tc>
        <w:tc>
          <w:tcPr>
            <w:tcW w:w="1660"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−126</w:t>
            </w:r>
          </w:p>
        </w:tc>
        <w:tc>
          <w:tcPr>
            <w:tcW w:w="760"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0.08</w:t>
            </w:r>
          </w:p>
        </w:tc>
        <w:tc>
          <w:tcPr>
            <w:tcW w:w="827"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w:t>
            </w:r>
          </w:p>
        </w:tc>
        <w:tc>
          <w:tcPr>
            <w:tcW w:w="827"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w:t>
            </w:r>
          </w:p>
        </w:tc>
        <w:tc>
          <w:tcPr>
            <w:tcW w:w="827"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0.12</w:t>
            </w:r>
          </w:p>
        </w:tc>
        <w:tc>
          <w:tcPr>
            <w:tcW w:w="827" w:type="dxa"/>
            <w:tcBorders>
              <w:top w:val="nil"/>
              <w:left w:val="nil"/>
              <w:bottom w:val="nil"/>
              <w:right w:val="single" w:sz="4" w:space="0" w:color="auto"/>
            </w:tcBorders>
            <w:vAlign w:val="center"/>
          </w:tcPr>
          <w:p w:rsidR="004E1FCD" w:rsidRDefault="004E1FCD" w:rsidP="004E1FCD">
            <w:pPr>
              <w:pStyle w:val="Tabletext"/>
              <w:jc w:val="center"/>
              <w:rPr>
                <w:rFonts w:eastAsia="Arial Unicode MS"/>
              </w:rPr>
            </w:pPr>
            <w:r>
              <w:t>*</w:t>
            </w:r>
          </w:p>
        </w:tc>
      </w:tr>
      <w:tr w:rsidR="004E1FCD">
        <w:trPr>
          <w:trHeight w:val="240"/>
          <w:jc w:val="center"/>
        </w:trPr>
        <w:tc>
          <w:tcPr>
            <w:tcW w:w="1949" w:type="dxa"/>
            <w:tcBorders>
              <w:top w:val="nil"/>
              <w:left w:val="single" w:sz="4" w:space="0" w:color="auto"/>
              <w:bottom w:val="single" w:sz="4" w:space="0" w:color="auto"/>
              <w:right w:val="single" w:sz="4" w:space="0" w:color="auto"/>
            </w:tcBorders>
            <w:vAlign w:val="center"/>
          </w:tcPr>
          <w:p w:rsidR="004E1FCD" w:rsidRDefault="004E1FCD" w:rsidP="004E1FCD">
            <w:pPr>
              <w:pStyle w:val="Tabletext"/>
              <w:jc w:val="center"/>
              <w:rPr>
                <w:rFonts w:eastAsia="Arial Unicode MS"/>
              </w:rPr>
            </w:pPr>
            <w:r>
              <w:rPr>
                <w:rFonts w:eastAsia="Arial Unicode MS"/>
              </w:rPr>
              <w:t>−162</w:t>
            </w:r>
          </w:p>
        </w:tc>
        <w:tc>
          <w:tcPr>
            <w:tcW w:w="1660" w:type="dxa"/>
            <w:tcBorders>
              <w:top w:val="nil"/>
              <w:left w:val="nil"/>
              <w:bottom w:val="single" w:sz="4" w:space="0" w:color="auto"/>
              <w:right w:val="single" w:sz="4" w:space="0" w:color="auto"/>
            </w:tcBorders>
            <w:vAlign w:val="center"/>
          </w:tcPr>
          <w:p w:rsidR="004E1FCD" w:rsidRDefault="004E1FCD" w:rsidP="004E1FCD">
            <w:pPr>
              <w:pStyle w:val="Tabletext"/>
              <w:jc w:val="center"/>
              <w:rPr>
                <w:rFonts w:eastAsia="Arial Unicode MS"/>
              </w:rPr>
            </w:pPr>
            <w:r>
              <w:t>−125</w:t>
            </w:r>
          </w:p>
        </w:tc>
        <w:tc>
          <w:tcPr>
            <w:tcW w:w="760" w:type="dxa"/>
            <w:tcBorders>
              <w:top w:val="nil"/>
              <w:left w:val="nil"/>
              <w:bottom w:val="single" w:sz="4" w:space="0" w:color="auto"/>
              <w:right w:val="single" w:sz="4" w:space="0" w:color="auto"/>
            </w:tcBorders>
            <w:vAlign w:val="center"/>
          </w:tcPr>
          <w:p w:rsidR="004E1FCD" w:rsidRDefault="004E1FCD" w:rsidP="004E1FCD">
            <w:pPr>
              <w:pStyle w:val="Tabletext"/>
              <w:jc w:val="center"/>
              <w:rPr>
                <w:rFonts w:eastAsia="Arial Unicode MS"/>
              </w:rPr>
            </w:pPr>
            <w:r>
              <w:t>*</w:t>
            </w:r>
          </w:p>
        </w:tc>
        <w:tc>
          <w:tcPr>
            <w:tcW w:w="827" w:type="dxa"/>
            <w:tcBorders>
              <w:top w:val="nil"/>
              <w:left w:val="nil"/>
              <w:bottom w:val="single" w:sz="4" w:space="0" w:color="auto"/>
              <w:right w:val="single" w:sz="4" w:space="0" w:color="auto"/>
            </w:tcBorders>
            <w:vAlign w:val="center"/>
          </w:tcPr>
          <w:p w:rsidR="004E1FCD" w:rsidRDefault="004E1FCD" w:rsidP="004E1FCD">
            <w:pPr>
              <w:pStyle w:val="Tabletext"/>
              <w:jc w:val="center"/>
              <w:rPr>
                <w:rFonts w:eastAsia="Arial Unicode MS"/>
              </w:rPr>
            </w:pPr>
            <w:r>
              <w:t>*</w:t>
            </w:r>
          </w:p>
        </w:tc>
        <w:tc>
          <w:tcPr>
            <w:tcW w:w="827" w:type="dxa"/>
            <w:tcBorders>
              <w:top w:val="nil"/>
              <w:left w:val="nil"/>
              <w:bottom w:val="single" w:sz="4" w:space="0" w:color="auto"/>
              <w:right w:val="single" w:sz="4" w:space="0" w:color="auto"/>
            </w:tcBorders>
            <w:vAlign w:val="center"/>
          </w:tcPr>
          <w:p w:rsidR="004E1FCD" w:rsidRDefault="004E1FCD" w:rsidP="004E1FCD">
            <w:pPr>
              <w:pStyle w:val="Tabletext"/>
              <w:jc w:val="center"/>
              <w:rPr>
                <w:rFonts w:eastAsia="Arial Unicode MS"/>
              </w:rPr>
            </w:pPr>
            <w:r>
              <w:t>*</w:t>
            </w:r>
          </w:p>
        </w:tc>
        <w:tc>
          <w:tcPr>
            <w:tcW w:w="827" w:type="dxa"/>
            <w:tcBorders>
              <w:top w:val="nil"/>
              <w:left w:val="nil"/>
              <w:bottom w:val="single" w:sz="4" w:space="0" w:color="auto"/>
              <w:right w:val="single" w:sz="4" w:space="0" w:color="auto"/>
            </w:tcBorders>
            <w:vAlign w:val="center"/>
          </w:tcPr>
          <w:p w:rsidR="004E1FCD" w:rsidRDefault="004E1FCD" w:rsidP="004E1FCD">
            <w:pPr>
              <w:pStyle w:val="Tabletext"/>
              <w:jc w:val="center"/>
              <w:rPr>
                <w:rFonts w:eastAsia="Arial Unicode MS"/>
              </w:rPr>
            </w:pPr>
            <w:r>
              <w:t>0.09</w:t>
            </w:r>
          </w:p>
        </w:tc>
        <w:tc>
          <w:tcPr>
            <w:tcW w:w="827" w:type="dxa"/>
            <w:tcBorders>
              <w:top w:val="nil"/>
              <w:left w:val="nil"/>
              <w:bottom w:val="single" w:sz="4" w:space="0" w:color="auto"/>
              <w:right w:val="single" w:sz="4" w:space="0" w:color="auto"/>
            </w:tcBorders>
            <w:vAlign w:val="center"/>
          </w:tcPr>
          <w:p w:rsidR="004E1FCD" w:rsidRDefault="004E1FCD" w:rsidP="004E1FCD">
            <w:pPr>
              <w:pStyle w:val="Tabletext"/>
              <w:jc w:val="center"/>
              <w:rPr>
                <w:rFonts w:eastAsia="Arial Unicode MS"/>
              </w:rPr>
            </w:pPr>
            <w:r>
              <w:t>*</w:t>
            </w:r>
          </w:p>
        </w:tc>
      </w:tr>
      <w:tr w:rsidR="004E1FCD" w:rsidRPr="007E7DE8">
        <w:trPr>
          <w:trHeight w:val="240"/>
          <w:jc w:val="center"/>
        </w:trPr>
        <w:tc>
          <w:tcPr>
            <w:tcW w:w="7677" w:type="dxa"/>
            <w:gridSpan w:val="7"/>
            <w:tcBorders>
              <w:top w:val="single" w:sz="4" w:space="0" w:color="auto"/>
            </w:tcBorders>
            <w:vAlign w:val="center"/>
          </w:tcPr>
          <w:p w:rsidR="004E1FCD" w:rsidRPr="007E7DE8" w:rsidRDefault="004E1FCD" w:rsidP="004E1FCD">
            <w:pPr>
              <w:pStyle w:val="Tablelegend"/>
              <w:rPr>
                <w:lang w:val="en-US"/>
              </w:rPr>
            </w:pPr>
            <w:r w:rsidRPr="007E7DE8">
              <w:rPr>
                <w:lang w:val="en-US"/>
              </w:rPr>
              <w:t>*</w:t>
            </w:r>
            <w:r w:rsidRPr="007E7DE8">
              <w:rPr>
                <w:lang w:val="en-US"/>
              </w:rPr>
              <w:tab/>
              <w:t>Negligible percentage</w:t>
            </w:r>
            <w:r w:rsidR="007E7DE8" w:rsidRPr="007E7DE8">
              <w:rPr>
                <w:lang w:val="en-US"/>
              </w:rPr>
              <w:t>.</w:t>
            </w:r>
            <w:r w:rsidRPr="007E7DE8">
              <w:rPr>
                <w:lang w:val="en-US"/>
              </w:rPr>
              <w:t xml:space="preserve"> </w:t>
            </w:r>
          </w:p>
        </w:tc>
      </w:tr>
    </w:tbl>
    <w:p w:rsidR="006943B9" w:rsidRPr="004262DB" w:rsidRDefault="006943B9" w:rsidP="004E1FCD">
      <w:pPr>
        <w:pStyle w:val="Tablefin"/>
      </w:pPr>
    </w:p>
    <w:p w:rsidR="006943B9" w:rsidRPr="00B03793" w:rsidRDefault="006943B9" w:rsidP="006943B9">
      <w:pPr>
        <w:pStyle w:val="Heading2"/>
        <w:rPr>
          <w:lang w:val="en-US"/>
        </w:rPr>
      </w:pPr>
      <w:bookmarkStart w:id="86" w:name="_Toc225065805"/>
      <w:bookmarkStart w:id="87" w:name="_Toc226261833"/>
      <w:bookmarkStart w:id="88" w:name="_Toc256067093"/>
      <w:bookmarkStart w:id="89" w:name="_Toc256067172"/>
      <w:r w:rsidRPr="00B03793">
        <w:rPr>
          <w:lang w:val="en-US"/>
        </w:rPr>
        <w:t>3.3</w:t>
      </w:r>
      <w:r w:rsidRPr="00B03793">
        <w:rPr>
          <w:lang w:val="en-US"/>
        </w:rPr>
        <w:tab/>
        <w:t>Derivation of FSS earth station e.i.r.p. density limits for the protection of international space station operations</w:t>
      </w:r>
      <w:bookmarkEnd w:id="86"/>
      <w:bookmarkEnd w:id="87"/>
      <w:bookmarkEnd w:id="88"/>
      <w:bookmarkEnd w:id="89"/>
    </w:p>
    <w:p w:rsidR="006943B9" w:rsidRPr="006943B9" w:rsidRDefault="006943B9" w:rsidP="006943B9">
      <w:pPr>
        <w:rPr>
          <w:lang w:val="en-US"/>
        </w:rPr>
      </w:pPr>
      <w:r w:rsidRPr="00B03793">
        <w:rPr>
          <w:lang w:val="en-US"/>
        </w:rPr>
        <w:t xml:space="preserve">This section differs from </w:t>
      </w:r>
      <w:r>
        <w:rPr>
          <w:lang w:val="en-US"/>
        </w:rPr>
        <w:t>§</w:t>
      </w:r>
      <w:r w:rsidRPr="00B03793">
        <w:rPr>
          <w:lang w:val="en-US"/>
        </w:rPr>
        <w:t xml:space="preserve"> 3.2 in that </w:t>
      </w:r>
      <w:r>
        <w:rPr>
          <w:lang w:val="en-US"/>
        </w:rPr>
        <w:t>§ </w:t>
      </w:r>
      <w:r w:rsidRPr="00B03793">
        <w:rPr>
          <w:lang w:val="en-US"/>
        </w:rPr>
        <w:t>3.2 is based on Recommendation ITU</w:t>
      </w:r>
      <w:r w:rsidRPr="00B03793">
        <w:rPr>
          <w:lang w:val="en-US"/>
        </w:rPr>
        <w:noBreakHyphen/>
        <w:t>R SA.1155 protection criteria whereas this section provides an analysis based on a relaxation of the Recommendation ITU</w:t>
      </w:r>
      <w:r w:rsidRPr="00B03793">
        <w:rPr>
          <w:lang w:val="en-US"/>
        </w:rPr>
        <w:noBreakHyphen/>
        <w:t xml:space="preserve">R SA.1155 protection criteria arriving at potential sharing conditions. </w:t>
      </w:r>
      <w:r w:rsidRPr="006943B9">
        <w:rPr>
          <w:lang w:val="en-US"/>
        </w:rPr>
        <w:t>The analysis presented in this section uses the average of many orbits as opposed to the single orbit criteria used in Recommendation ITU</w:t>
      </w:r>
      <w:r w:rsidRPr="006943B9">
        <w:rPr>
          <w:lang w:val="en-US"/>
        </w:rPr>
        <w:noBreakHyphen/>
        <w:t xml:space="preserve">R SA.1155. </w:t>
      </w:r>
    </w:p>
    <w:p w:rsidR="00857E16" w:rsidRDefault="00857E16">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6943B9" w:rsidRPr="006943B9" w:rsidRDefault="006943B9" w:rsidP="006943B9">
      <w:pPr>
        <w:rPr>
          <w:lang w:val="en-US"/>
        </w:rPr>
      </w:pPr>
      <w:r w:rsidRPr="00B03793">
        <w:rPr>
          <w:lang w:val="en-US"/>
        </w:rPr>
        <w:lastRenderedPageBreak/>
        <w:t xml:space="preserve">This section also provides an analysis of the ISS forward link system parameters and derives the interference threshold level that could be tolerated using the ISS </w:t>
      </w:r>
      <w:r w:rsidRPr="007E7DE8">
        <w:rPr>
          <w:i/>
          <w:iCs/>
          <w:lang w:val="en-US"/>
        </w:rPr>
        <w:t>I</w:t>
      </w:r>
      <w:r w:rsidRPr="00B03793">
        <w:rPr>
          <w:lang w:val="en-US"/>
        </w:rPr>
        <w:t>/</w:t>
      </w:r>
      <w:r w:rsidRPr="007E7DE8">
        <w:rPr>
          <w:i/>
          <w:iCs/>
          <w:lang w:val="en-US"/>
        </w:rPr>
        <w:t>N</w:t>
      </w:r>
      <w:r w:rsidRPr="00B03793">
        <w:rPr>
          <w:lang w:val="en-US"/>
        </w:rPr>
        <w:t xml:space="preserve"> criterion of –6 dB. </w:t>
      </w:r>
      <w:r w:rsidRPr="006943B9">
        <w:rPr>
          <w:lang w:val="en-US"/>
        </w:rPr>
        <w:t xml:space="preserve">This interference threshold level is then used in the earth station deployments scenarios to analyse the impact to ISS operations in this band. The 99.90% availability criterion (average) of the ISS link is used to determine the e.i.r.p. transmit levels that could be tolerated from each antenna diameter included in this analysis. </w:t>
      </w:r>
      <w:r w:rsidRPr="00B03793">
        <w:rPr>
          <w:lang w:val="en-US"/>
        </w:rPr>
        <w:t xml:space="preserve">FSS earth stations with antenna sizes ranging from 75 cm to 4.5 m were examined in homogeneous deployments. Earth station parameters used in the simulations are shown in Table 5. </w:t>
      </w:r>
      <w:r w:rsidRPr="006943B9">
        <w:rPr>
          <w:lang w:val="en-US"/>
        </w:rPr>
        <w:t>Recommendation ITU</w:t>
      </w:r>
      <w:r w:rsidRPr="006943B9">
        <w:rPr>
          <w:lang w:val="en-US"/>
        </w:rPr>
        <w:noBreakHyphen/>
        <w:t>R S.1428 was used for the antenna radiation pattern. The allowable e.i.r.p. transmit levels for each antenna diameter form an e.i.r.p. mask for permissible earth station operations in this band which do not cause unacceptable degradation of the performance of the forward link.</w:t>
      </w:r>
    </w:p>
    <w:p w:rsidR="006943B9" w:rsidRPr="006943B9" w:rsidRDefault="006943B9" w:rsidP="006943B9">
      <w:pPr>
        <w:rPr>
          <w:lang w:val="en-US"/>
        </w:rPr>
      </w:pPr>
      <w:r w:rsidRPr="006943B9">
        <w:rPr>
          <w:lang w:val="en-US"/>
        </w:rPr>
        <w:t xml:space="preserve">The FSS earth station e.i.r.p. spectral densities are derived from scenarios where all earth stations were transmitting. </w:t>
      </w:r>
      <w:r w:rsidRPr="00B03793">
        <w:rPr>
          <w:lang w:val="en-US"/>
        </w:rPr>
        <w:t>The spectral density of the emissions are assumed to be uniform over the bandwidth associated with each type of FSS earth station and are specified in dB(W/Hz</w:t>
      </w:r>
      <w:r>
        <w:rPr>
          <w:lang w:val="en-US"/>
        </w:rPr>
        <w:t>)</w:t>
      </w:r>
      <w:r w:rsidRPr="00B03793">
        <w:rPr>
          <w:lang w:val="en-US"/>
        </w:rPr>
        <w:t xml:space="preserve">. </w:t>
      </w:r>
      <w:r w:rsidRPr="006943B9">
        <w:rPr>
          <w:lang w:val="en-US"/>
        </w:rPr>
        <w:t>As a result, these e.i.r.p. spectral densities are assumed to apply over a bandwidth of 10 MHz as well as other bandwidths.</w:t>
      </w:r>
    </w:p>
    <w:p w:rsidR="006943B9" w:rsidRPr="006943B9" w:rsidRDefault="006943B9" w:rsidP="006943B9">
      <w:pPr>
        <w:pStyle w:val="Heading3"/>
        <w:rPr>
          <w:lang w:val="en-US"/>
        </w:rPr>
      </w:pPr>
      <w:bookmarkStart w:id="90" w:name="_Toc84242633"/>
      <w:bookmarkStart w:id="91" w:name="_Toc224981517"/>
      <w:bookmarkStart w:id="92" w:name="_Toc225065806"/>
      <w:bookmarkStart w:id="93" w:name="_Toc226261834"/>
      <w:bookmarkStart w:id="94" w:name="_Toc256067094"/>
      <w:bookmarkStart w:id="95" w:name="_Toc256067173"/>
      <w:r w:rsidRPr="006943B9">
        <w:rPr>
          <w:lang w:val="en-US"/>
        </w:rPr>
        <w:t>3.3.1</w:t>
      </w:r>
      <w:r w:rsidRPr="006943B9">
        <w:rPr>
          <w:lang w:val="en-US"/>
        </w:rPr>
        <w:tab/>
        <w:t>International space station forward link system parameters</w:t>
      </w:r>
      <w:bookmarkEnd w:id="90"/>
      <w:bookmarkEnd w:id="91"/>
      <w:bookmarkEnd w:id="92"/>
      <w:bookmarkEnd w:id="93"/>
      <w:bookmarkEnd w:id="94"/>
      <w:bookmarkEnd w:id="95"/>
    </w:p>
    <w:p w:rsidR="00A42B50" w:rsidRDefault="006943B9" w:rsidP="007E7DE8">
      <w:pPr>
        <w:rPr>
          <w:lang w:val="en-US"/>
        </w:rPr>
      </w:pPr>
      <w:r w:rsidRPr="006943B9">
        <w:rPr>
          <w:lang w:val="en-US"/>
        </w:rPr>
        <w:t xml:space="preserve">The ISS relies on the DRS forward and return links for transmissions of critical ISS data and telemetry to and from the ground control center. The forward link, centred at 13.775 GHz, enables transmission of critical real time command and control data from the </w:t>
      </w:r>
      <w:smartTag w:uri="urn:schemas-microsoft-com:office:smarttags" w:element="place">
        <w:smartTag w:uri="urn:schemas-microsoft-com:office:smarttags" w:element="PlaceName">
          <w:r w:rsidRPr="006943B9">
            <w:rPr>
              <w:lang w:val="en-US"/>
            </w:rPr>
            <w:t>Ground</w:t>
          </w:r>
        </w:smartTag>
        <w:r w:rsidRPr="006943B9">
          <w:rPr>
            <w:lang w:val="en-US"/>
          </w:rPr>
          <w:t xml:space="preserve"> </w:t>
        </w:r>
        <w:smartTag w:uri="urn:schemas-microsoft-com:office:smarttags" w:element="PlaceName">
          <w:r w:rsidRPr="006943B9">
            <w:rPr>
              <w:lang w:val="en-US"/>
            </w:rPr>
            <w:t>Mission</w:t>
          </w:r>
        </w:smartTag>
        <w:r w:rsidRPr="006943B9">
          <w:rPr>
            <w:lang w:val="en-US"/>
          </w:rPr>
          <w:t xml:space="preserve"> </w:t>
        </w:r>
        <w:smartTag w:uri="urn:schemas-microsoft-com:office:smarttags" w:element="PlaceName">
          <w:r w:rsidRPr="006943B9">
            <w:rPr>
              <w:lang w:val="en-US"/>
            </w:rPr>
            <w:t>Control</w:t>
          </w:r>
        </w:smartTag>
        <w:r w:rsidRPr="006943B9">
          <w:rPr>
            <w:lang w:val="en-US"/>
          </w:rPr>
          <w:t xml:space="preserve"> </w:t>
        </w:r>
        <w:smartTag w:uri="urn:schemas-microsoft-com:office:smarttags" w:element="PlaceType">
          <w:r w:rsidRPr="006943B9">
            <w:rPr>
              <w:lang w:val="en-US"/>
            </w:rPr>
            <w:t>Center</w:t>
          </w:r>
        </w:smartTag>
      </w:smartTag>
      <w:r w:rsidRPr="006943B9">
        <w:rPr>
          <w:lang w:val="en-US"/>
        </w:rPr>
        <w:t xml:space="preserve"> to manage the required communications functions in support of mission and science objectives of the ISS. The forward link data includes station video conferencing, control centre-to-ISS voice communications, and high-speed TCP/IP data protocols for payload tele-science and payload management. </w:t>
      </w:r>
      <w:r w:rsidRPr="00B03793">
        <w:rPr>
          <w:lang w:val="en-US"/>
        </w:rPr>
        <w:t xml:space="preserve">In accordance with the DRS specified signal design options, a minimum RF bandwidth of 10 MHz is necessary to accommodate the data rate of 9 Mbit/s with uncoded QPSK modulation and necessary guard bandwidth. </w:t>
      </w:r>
      <w:r w:rsidRPr="006943B9">
        <w:rPr>
          <w:lang w:val="en-US"/>
        </w:rPr>
        <w:t xml:space="preserve">The use of coding with the QPSK modulation would require more bandwidth than the 10 MHz considered in this analysis. </w:t>
      </w:r>
      <w:r w:rsidRPr="00B03793">
        <w:rPr>
          <w:lang w:val="en-US"/>
        </w:rPr>
        <w:t>Table 4 shows the link budget with a data threshold, in terms of the received power to noise power spectral density ratio (</w:t>
      </w:r>
      <w:r w:rsidRPr="00B03793">
        <w:rPr>
          <w:i/>
          <w:iCs/>
          <w:lang w:val="en-US"/>
        </w:rPr>
        <w:t>C</w:t>
      </w:r>
      <w:r w:rsidRPr="00B03793">
        <w:rPr>
          <w:lang w:val="en-US"/>
        </w:rPr>
        <w:t>/</w:t>
      </w:r>
      <w:r w:rsidRPr="00B03793">
        <w:rPr>
          <w:i/>
          <w:iCs/>
          <w:lang w:val="en-US"/>
        </w:rPr>
        <w:t>N</w:t>
      </w:r>
      <w:r w:rsidRPr="00B03793">
        <w:rPr>
          <w:vertAlign w:val="subscript"/>
          <w:lang w:val="en-US"/>
        </w:rPr>
        <w:t>0</w:t>
      </w:r>
      <w:r w:rsidRPr="00B03793">
        <w:rPr>
          <w:lang w:val="en-US"/>
        </w:rPr>
        <w:t>) and total received power (</w:t>
      </w:r>
      <w:r w:rsidRPr="00B03793">
        <w:rPr>
          <w:i/>
          <w:iCs/>
          <w:lang w:val="en-US"/>
        </w:rPr>
        <w:t>C</w:t>
      </w:r>
      <w:r w:rsidRPr="00B03793">
        <w:rPr>
          <w:lang w:val="en-US"/>
        </w:rPr>
        <w:t>), of 80.5 dB</w:t>
      </w:r>
      <w:r w:rsidRPr="00B03793">
        <w:rPr>
          <w:lang w:val="en-US"/>
        </w:rPr>
        <w:noBreakHyphen/>
        <w:t xml:space="preserve">Hz and </w:t>
      </w:r>
      <w:r w:rsidR="007E7DE8" w:rsidRPr="007E7DE8">
        <w:rPr>
          <w:lang w:val="en-US"/>
        </w:rPr>
        <w:t>–</w:t>
      </w:r>
      <w:r w:rsidRPr="00B03793">
        <w:rPr>
          <w:lang w:val="en-US"/>
        </w:rPr>
        <w:t>121.7</w:t>
      </w:r>
      <w:r w:rsidR="007E7DE8">
        <w:rPr>
          <w:lang w:val="en-US"/>
        </w:rPr>
        <w:t xml:space="preserve"> </w:t>
      </w:r>
      <w:r w:rsidRPr="00B03793">
        <w:rPr>
          <w:lang w:val="en-US"/>
        </w:rPr>
        <w:t>dBW</w:t>
      </w:r>
      <w:r w:rsidRPr="00B03793">
        <w:rPr>
          <w:b/>
          <w:lang w:val="en-US"/>
        </w:rPr>
        <w:t xml:space="preserve"> </w:t>
      </w:r>
      <w:r w:rsidRPr="00B03793">
        <w:rPr>
          <w:lang w:val="en-US"/>
        </w:rPr>
        <w:t>respectively.</w:t>
      </w:r>
    </w:p>
    <w:p w:rsidR="000C21C2" w:rsidRPr="000C21C2" w:rsidRDefault="000C21C2" w:rsidP="000C21C2">
      <w:pPr>
        <w:pStyle w:val="TableNo"/>
        <w:rPr>
          <w:lang w:val="en-US"/>
        </w:rPr>
      </w:pPr>
      <w:r w:rsidRPr="000C21C2">
        <w:rPr>
          <w:lang w:val="en-US"/>
        </w:rPr>
        <w:t>TABLE 4</w:t>
      </w:r>
    </w:p>
    <w:p w:rsidR="000C21C2" w:rsidRPr="000C21C2" w:rsidRDefault="000C21C2" w:rsidP="000C21C2">
      <w:pPr>
        <w:pStyle w:val="Tabletitle"/>
        <w:rPr>
          <w:lang w:val="en-US"/>
        </w:rPr>
      </w:pPr>
      <w:r w:rsidRPr="000C21C2">
        <w:rPr>
          <w:lang w:val="en-US"/>
        </w:rPr>
        <w:t>Link budget for the forward link</w:t>
      </w:r>
    </w:p>
    <w:tbl>
      <w:tblPr>
        <w:tblW w:w="9639" w:type="dxa"/>
        <w:jc w:val="center"/>
        <w:tblInd w:w="-20" w:type="dxa"/>
        <w:tblLayout w:type="fixed"/>
        <w:tblLook w:val="0000"/>
      </w:tblPr>
      <w:tblGrid>
        <w:gridCol w:w="720"/>
        <w:gridCol w:w="3600"/>
        <w:gridCol w:w="1052"/>
        <w:gridCol w:w="4267"/>
      </w:tblGrid>
      <w:tr w:rsidR="000C21C2">
        <w:trPr>
          <w:cantSplit/>
          <w:trHeight w:val="216"/>
          <w:jc w:val="center"/>
        </w:trPr>
        <w:tc>
          <w:tcPr>
            <w:tcW w:w="720" w:type="dxa"/>
            <w:tcBorders>
              <w:top w:val="single" w:sz="4" w:space="0" w:color="auto"/>
              <w:left w:val="single" w:sz="4" w:space="0" w:color="auto"/>
              <w:bottom w:val="nil"/>
              <w:right w:val="nil"/>
            </w:tcBorders>
            <w:tcMar>
              <w:left w:w="57" w:type="dxa"/>
              <w:right w:w="57" w:type="dxa"/>
            </w:tcMar>
            <w:vAlign w:val="center"/>
          </w:tcPr>
          <w:p w:rsidR="000C21C2" w:rsidRPr="000C21C2" w:rsidRDefault="000C21C2" w:rsidP="000C21C2">
            <w:pPr>
              <w:pStyle w:val="Tablehead"/>
              <w:rPr>
                <w:rFonts w:eastAsia="Arial Unicode MS"/>
                <w:lang w:val="en-US"/>
              </w:rPr>
            </w:pPr>
          </w:p>
        </w:tc>
        <w:tc>
          <w:tcPr>
            <w:tcW w:w="3600" w:type="dxa"/>
            <w:tcBorders>
              <w:top w:val="single" w:sz="4" w:space="0" w:color="auto"/>
              <w:left w:val="single" w:sz="4" w:space="0" w:color="auto"/>
              <w:bottom w:val="single" w:sz="4" w:space="0" w:color="auto"/>
              <w:right w:val="nil"/>
            </w:tcBorders>
            <w:tcMar>
              <w:left w:w="57" w:type="dxa"/>
              <w:right w:w="57" w:type="dxa"/>
            </w:tcMar>
            <w:vAlign w:val="center"/>
          </w:tcPr>
          <w:p w:rsidR="000C21C2" w:rsidRDefault="000C21C2" w:rsidP="000C21C2">
            <w:pPr>
              <w:pStyle w:val="Tablehead"/>
              <w:rPr>
                <w:rFonts w:eastAsia="Arial Unicode MS"/>
              </w:rPr>
            </w:pPr>
            <w:r>
              <w:t>Parameter</w:t>
            </w:r>
          </w:p>
        </w:tc>
        <w:tc>
          <w:tcPr>
            <w:tcW w:w="10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C21C2" w:rsidRDefault="000C21C2" w:rsidP="00B5076C">
            <w:pPr>
              <w:pStyle w:val="Tablehead"/>
              <w:rPr>
                <w:rFonts w:eastAsia="Arial Unicode MS"/>
              </w:rPr>
            </w:pPr>
            <w:r>
              <w:t>Value</w:t>
            </w:r>
          </w:p>
        </w:tc>
        <w:tc>
          <w:tcPr>
            <w:tcW w:w="4267" w:type="dxa"/>
            <w:tcBorders>
              <w:top w:val="single" w:sz="4" w:space="0" w:color="auto"/>
              <w:left w:val="nil"/>
              <w:bottom w:val="single" w:sz="4" w:space="0" w:color="auto"/>
              <w:right w:val="single" w:sz="4" w:space="0" w:color="auto"/>
            </w:tcBorders>
            <w:tcMar>
              <w:left w:w="57" w:type="dxa"/>
              <w:right w:w="57" w:type="dxa"/>
            </w:tcMar>
            <w:vAlign w:val="center"/>
          </w:tcPr>
          <w:p w:rsidR="000C21C2" w:rsidRDefault="000C21C2" w:rsidP="000C21C2">
            <w:pPr>
              <w:pStyle w:val="Tablehead"/>
              <w:rPr>
                <w:rFonts w:eastAsia="Arial Unicode MS"/>
              </w:rPr>
            </w:pPr>
            <w:r>
              <w:t>Source</w:t>
            </w:r>
          </w:p>
        </w:tc>
      </w:tr>
      <w:tr w:rsidR="000C21C2" w:rsidRPr="00B5710B">
        <w:trPr>
          <w:cantSplit/>
          <w:trHeight w:val="216"/>
          <w:jc w:val="center"/>
        </w:trPr>
        <w:tc>
          <w:tcPr>
            <w:tcW w:w="720" w:type="dxa"/>
            <w:tcBorders>
              <w:top w:val="single" w:sz="4" w:space="0" w:color="auto"/>
              <w:left w:val="single" w:sz="4" w:space="0" w:color="auto"/>
              <w:bottom w:val="nil"/>
              <w:right w:val="single" w:sz="4" w:space="0" w:color="auto"/>
            </w:tcBorders>
            <w:tcMar>
              <w:left w:w="57" w:type="dxa"/>
              <w:right w:w="57" w:type="dxa"/>
            </w:tcMar>
          </w:tcPr>
          <w:p w:rsidR="000C21C2" w:rsidRDefault="000C21C2" w:rsidP="000C21C2">
            <w:pPr>
              <w:pStyle w:val="Tabletext"/>
              <w:jc w:val="center"/>
              <w:rPr>
                <w:rFonts w:eastAsia="Arial Unicode MS"/>
              </w:rPr>
            </w:pPr>
            <w:r>
              <w:t>1</w:t>
            </w:r>
          </w:p>
        </w:tc>
        <w:tc>
          <w:tcPr>
            <w:tcW w:w="3600" w:type="dxa"/>
            <w:tcBorders>
              <w:top w:val="nil"/>
              <w:left w:val="nil"/>
              <w:bottom w:val="nil"/>
              <w:right w:val="single" w:sz="4" w:space="0" w:color="auto"/>
            </w:tcBorders>
            <w:tcMar>
              <w:left w:w="57" w:type="dxa"/>
              <w:right w:w="57" w:type="dxa"/>
            </w:tcMar>
          </w:tcPr>
          <w:p w:rsidR="000C21C2" w:rsidRDefault="000C21C2" w:rsidP="000C21C2">
            <w:pPr>
              <w:pStyle w:val="Tabletext"/>
              <w:jc w:val="left"/>
              <w:rPr>
                <w:rFonts w:eastAsia="Arial Unicode MS"/>
              </w:rPr>
            </w:pPr>
            <w:r>
              <w:t>TDRS e.i.r.p. (dBW)</w:t>
            </w:r>
          </w:p>
        </w:tc>
        <w:tc>
          <w:tcPr>
            <w:tcW w:w="1052" w:type="dxa"/>
            <w:tcBorders>
              <w:top w:val="nil"/>
              <w:left w:val="nil"/>
              <w:bottom w:val="nil"/>
              <w:right w:val="single" w:sz="4" w:space="0" w:color="auto"/>
            </w:tcBorders>
            <w:shd w:val="clear" w:color="auto" w:fill="FFFFFF"/>
            <w:tcMar>
              <w:left w:w="57" w:type="dxa"/>
              <w:right w:w="57" w:type="dxa"/>
            </w:tcMar>
          </w:tcPr>
          <w:p w:rsidR="000C21C2" w:rsidRDefault="000C21C2" w:rsidP="00B5076C">
            <w:pPr>
              <w:pStyle w:val="Tabletext"/>
              <w:jc w:val="center"/>
              <w:rPr>
                <w:rFonts w:eastAsia="Arial Unicode MS"/>
              </w:rPr>
            </w:pPr>
            <w:r>
              <w:t>46.5</w:t>
            </w:r>
          </w:p>
        </w:tc>
        <w:tc>
          <w:tcPr>
            <w:tcW w:w="4267" w:type="dxa"/>
            <w:tcBorders>
              <w:top w:val="nil"/>
              <w:left w:val="nil"/>
              <w:bottom w:val="nil"/>
              <w:right w:val="single" w:sz="4" w:space="0" w:color="auto"/>
            </w:tcBorders>
            <w:tcMar>
              <w:left w:w="57" w:type="dxa"/>
              <w:right w:w="57" w:type="dxa"/>
            </w:tcMar>
          </w:tcPr>
          <w:p w:rsidR="000C21C2" w:rsidRPr="000C21C2" w:rsidRDefault="000C21C2" w:rsidP="000C21C2">
            <w:pPr>
              <w:pStyle w:val="Tabletext"/>
              <w:jc w:val="left"/>
              <w:rPr>
                <w:rFonts w:eastAsia="Arial Unicode MS"/>
                <w:lang w:val="en-US"/>
              </w:rPr>
            </w:pPr>
            <w:r w:rsidRPr="000C21C2">
              <w:rPr>
                <w:lang w:val="en-US"/>
              </w:rPr>
              <w:t>TDRSS KSAF normal power mode</w:t>
            </w:r>
          </w:p>
        </w:tc>
      </w:tr>
      <w:tr w:rsidR="000C21C2">
        <w:trPr>
          <w:cantSplit/>
          <w:trHeight w:val="700"/>
          <w:jc w:val="center"/>
        </w:trPr>
        <w:tc>
          <w:tcPr>
            <w:tcW w:w="720" w:type="dxa"/>
            <w:tcBorders>
              <w:top w:val="single" w:sz="4" w:space="0" w:color="auto"/>
              <w:left w:val="single" w:sz="4" w:space="0" w:color="auto"/>
              <w:bottom w:val="single" w:sz="4" w:space="0" w:color="auto"/>
              <w:right w:val="single" w:sz="4" w:space="0" w:color="auto"/>
            </w:tcBorders>
            <w:tcMar>
              <w:left w:w="57" w:type="dxa"/>
              <w:right w:w="57" w:type="dxa"/>
            </w:tcMar>
          </w:tcPr>
          <w:p w:rsidR="000C21C2" w:rsidRDefault="000C21C2" w:rsidP="000C21C2">
            <w:pPr>
              <w:pStyle w:val="Tabletext"/>
              <w:jc w:val="center"/>
              <w:rPr>
                <w:rFonts w:eastAsia="Arial Unicode MS"/>
              </w:rPr>
            </w:pPr>
            <w:r>
              <w:t>2</w:t>
            </w:r>
          </w:p>
        </w:tc>
        <w:tc>
          <w:tcPr>
            <w:tcW w:w="3600" w:type="dxa"/>
            <w:tcBorders>
              <w:top w:val="single" w:sz="4" w:space="0" w:color="auto"/>
              <w:left w:val="nil"/>
              <w:bottom w:val="single" w:sz="4" w:space="0" w:color="auto"/>
              <w:right w:val="single" w:sz="4" w:space="0" w:color="auto"/>
            </w:tcBorders>
            <w:tcMar>
              <w:left w:w="57" w:type="dxa"/>
              <w:right w:w="57" w:type="dxa"/>
            </w:tcMar>
          </w:tcPr>
          <w:p w:rsidR="000C21C2" w:rsidRDefault="000C21C2" w:rsidP="000C21C2">
            <w:pPr>
              <w:pStyle w:val="Tabletext"/>
              <w:jc w:val="left"/>
              <w:rPr>
                <w:rFonts w:eastAsia="Arial Unicode MS"/>
              </w:rPr>
            </w:pPr>
            <w:r>
              <w:t>Space loss (dB)</w:t>
            </w:r>
          </w:p>
        </w:tc>
        <w:tc>
          <w:tcPr>
            <w:tcW w:w="1052" w:type="dxa"/>
            <w:tcBorders>
              <w:top w:val="single" w:sz="4" w:space="0" w:color="auto"/>
              <w:left w:val="nil"/>
              <w:bottom w:val="single" w:sz="4" w:space="0" w:color="auto"/>
              <w:right w:val="single" w:sz="4" w:space="0" w:color="auto"/>
            </w:tcBorders>
            <w:shd w:val="clear" w:color="auto" w:fill="FFFFFF"/>
            <w:tcMar>
              <w:left w:w="57" w:type="dxa"/>
              <w:right w:w="57" w:type="dxa"/>
            </w:tcMar>
          </w:tcPr>
          <w:p w:rsidR="000C21C2" w:rsidRDefault="000C21C2" w:rsidP="00B5076C">
            <w:pPr>
              <w:pStyle w:val="Tabletext"/>
              <w:jc w:val="center"/>
              <w:rPr>
                <w:rFonts w:eastAsia="Arial Unicode MS"/>
              </w:rPr>
            </w:pPr>
            <w:r>
              <w:t>−208.0</w:t>
            </w:r>
          </w:p>
        </w:tc>
        <w:tc>
          <w:tcPr>
            <w:tcW w:w="4267" w:type="dxa"/>
            <w:tcBorders>
              <w:top w:val="single" w:sz="4" w:space="0" w:color="auto"/>
              <w:left w:val="nil"/>
              <w:bottom w:val="single" w:sz="4" w:space="0" w:color="auto"/>
              <w:right w:val="single" w:sz="4" w:space="0" w:color="auto"/>
            </w:tcBorders>
            <w:tcMar>
              <w:left w:w="57" w:type="dxa"/>
              <w:right w:w="57" w:type="dxa"/>
            </w:tcMar>
          </w:tcPr>
          <w:p w:rsidR="000C21C2" w:rsidRDefault="000C21C2" w:rsidP="000C21C2">
            <w:pPr>
              <w:pStyle w:val="Tabletext"/>
              <w:jc w:val="left"/>
              <w:rPr>
                <w:rFonts w:eastAsia="Arial Unicode MS"/>
              </w:rPr>
            </w:pPr>
            <w:r w:rsidRPr="006E4AE0">
              <w:rPr>
                <w:i/>
                <w:iCs/>
              </w:rPr>
              <w:t>d</w:t>
            </w:r>
            <w:r>
              <w:t xml:space="preserve"> = 43 657.0 km</w:t>
            </w:r>
            <w:r>
              <w:rPr>
                <w:rFonts w:eastAsia="Arial Unicode MS"/>
              </w:rPr>
              <w:br/>
            </w:r>
            <w:r w:rsidRPr="006E4AE0">
              <w:rPr>
                <w:i/>
                <w:iCs/>
              </w:rPr>
              <w:t>f</w:t>
            </w:r>
            <w:r>
              <w:t xml:space="preserve"> = 13.775 GHz</w:t>
            </w:r>
          </w:p>
        </w:tc>
      </w:tr>
      <w:tr w:rsidR="000C21C2" w:rsidRPr="00B5710B">
        <w:trPr>
          <w:cantSplit/>
          <w:jc w:val="center"/>
        </w:trPr>
        <w:tc>
          <w:tcPr>
            <w:tcW w:w="720" w:type="dxa"/>
            <w:tcBorders>
              <w:top w:val="nil"/>
              <w:left w:val="single" w:sz="4" w:space="0" w:color="auto"/>
              <w:bottom w:val="single" w:sz="4" w:space="0" w:color="auto"/>
              <w:right w:val="single" w:sz="4" w:space="0" w:color="auto"/>
            </w:tcBorders>
            <w:tcMar>
              <w:left w:w="57" w:type="dxa"/>
              <w:right w:w="57" w:type="dxa"/>
            </w:tcMar>
          </w:tcPr>
          <w:p w:rsidR="000C21C2" w:rsidRDefault="000C21C2" w:rsidP="000C21C2">
            <w:pPr>
              <w:pStyle w:val="Tabletext"/>
              <w:jc w:val="center"/>
              <w:rPr>
                <w:rFonts w:eastAsia="Arial Unicode MS"/>
              </w:rPr>
            </w:pPr>
            <w:r>
              <w:t>3</w:t>
            </w:r>
          </w:p>
        </w:tc>
        <w:tc>
          <w:tcPr>
            <w:tcW w:w="3600" w:type="dxa"/>
            <w:tcBorders>
              <w:top w:val="nil"/>
              <w:left w:val="nil"/>
              <w:bottom w:val="single" w:sz="4" w:space="0" w:color="auto"/>
              <w:right w:val="single" w:sz="4" w:space="0" w:color="auto"/>
            </w:tcBorders>
            <w:tcMar>
              <w:left w:w="57" w:type="dxa"/>
              <w:right w:w="57" w:type="dxa"/>
            </w:tcMar>
          </w:tcPr>
          <w:p w:rsidR="000C21C2" w:rsidRDefault="000C21C2" w:rsidP="000C21C2">
            <w:pPr>
              <w:pStyle w:val="Tabletext"/>
              <w:jc w:val="left"/>
              <w:rPr>
                <w:rFonts w:eastAsia="Arial Unicode MS"/>
              </w:rPr>
            </w:pPr>
            <w:r>
              <w:t>Polarization loss (dB)</w:t>
            </w:r>
          </w:p>
        </w:tc>
        <w:tc>
          <w:tcPr>
            <w:tcW w:w="1052" w:type="dxa"/>
            <w:tcBorders>
              <w:top w:val="nil"/>
              <w:left w:val="nil"/>
              <w:bottom w:val="single" w:sz="4" w:space="0" w:color="auto"/>
              <w:right w:val="single" w:sz="4" w:space="0" w:color="auto"/>
            </w:tcBorders>
            <w:tcMar>
              <w:left w:w="57" w:type="dxa"/>
              <w:right w:w="57" w:type="dxa"/>
            </w:tcMar>
          </w:tcPr>
          <w:p w:rsidR="000C21C2" w:rsidRDefault="000C21C2" w:rsidP="00B5076C">
            <w:pPr>
              <w:pStyle w:val="Tabletext"/>
              <w:jc w:val="center"/>
              <w:rPr>
                <w:rFonts w:eastAsia="Arial Unicode MS"/>
              </w:rPr>
            </w:pPr>
            <w:r>
              <w:t>−0.1</w:t>
            </w:r>
          </w:p>
        </w:tc>
        <w:tc>
          <w:tcPr>
            <w:tcW w:w="4267" w:type="dxa"/>
            <w:tcBorders>
              <w:top w:val="nil"/>
              <w:left w:val="nil"/>
              <w:bottom w:val="single" w:sz="4" w:space="0" w:color="auto"/>
              <w:right w:val="single" w:sz="4" w:space="0" w:color="auto"/>
            </w:tcBorders>
            <w:tcMar>
              <w:left w:w="57" w:type="dxa"/>
              <w:right w:w="57" w:type="dxa"/>
            </w:tcMar>
          </w:tcPr>
          <w:p w:rsidR="000C21C2" w:rsidRPr="006E4AE0" w:rsidRDefault="000C21C2" w:rsidP="000C21C2">
            <w:pPr>
              <w:pStyle w:val="Tabletext"/>
              <w:jc w:val="left"/>
              <w:rPr>
                <w:rFonts w:eastAsia="Arial Unicode MS"/>
                <w:lang w:val="en-US"/>
              </w:rPr>
            </w:pPr>
            <w:r w:rsidRPr="006E4AE0">
              <w:rPr>
                <w:lang w:val="en-US"/>
              </w:rPr>
              <w:t>TDRS antenna axial ratio: 1.0 dB (LHCP)</w:t>
            </w:r>
            <w:r w:rsidRPr="006E4AE0">
              <w:rPr>
                <w:rFonts w:eastAsia="Arial Unicode MS"/>
                <w:lang w:val="en-US"/>
              </w:rPr>
              <w:br/>
            </w:r>
            <w:r w:rsidRPr="006E4AE0">
              <w:rPr>
                <w:lang w:val="en-US"/>
              </w:rPr>
              <w:t>ISS antenna axial ratio: 2.0 dB (LHCP)</w:t>
            </w:r>
          </w:p>
        </w:tc>
      </w:tr>
      <w:tr w:rsidR="000C21C2">
        <w:trPr>
          <w:cantSplit/>
          <w:trHeight w:val="216"/>
          <w:jc w:val="center"/>
        </w:trPr>
        <w:tc>
          <w:tcPr>
            <w:tcW w:w="720" w:type="dxa"/>
            <w:tcBorders>
              <w:top w:val="nil"/>
              <w:left w:val="single" w:sz="4" w:space="0" w:color="auto"/>
              <w:bottom w:val="single" w:sz="4" w:space="0" w:color="auto"/>
              <w:right w:val="single" w:sz="4" w:space="0" w:color="auto"/>
            </w:tcBorders>
            <w:tcMar>
              <w:left w:w="57" w:type="dxa"/>
              <w:right w:w="57" w:type="dxa"/>
            </w:tcMar>
          </w:tcPr>
          <w:p w:rsidR="000C21C2" w:rsidRDefault="000C21C2" w:rsidP="000C21C2">
            <w:pPr>
              <w:pStyle w:val="Tabletext"/>
              <w:jc w:val="center"/>
              <w:rPr>
                <w:rFonts w:eastAsia="Arial Unicode MS"/>
              </w:rPr>
            </w:pPr>
            <w:r>
              <w:t>4</w:t>
            </w:r>
          </w:p>
        </w:tc>
        <w:tc>
          <w:tcPr>
            <w:tcW w:w="3600" w:type="dxa"/>
            <w:tcBorders>
              <w:top w:val="nil"/>
              <w:left w:val="nil"/>
              <w:bottom w:val="single" w:sz="4" w:space="0" w:color="auto"/>
              <w:right w:val="single" w:sz="4" w:space="0" w:color="auto"/>
            </w:tcBorders>
            <w:tcMar>
              <w:left w:w="57" w:type="dxa"/>
              <w:right w:w="57" w:type="dxa"/>
            </w:tcMar>
          </w:tcPr>
          <w:p w:rsidR="000C21C2" w:rsidRDefault="000C21C2" w:rsidP="000C21C2">
            <w:pPr>
              <w:pStyle w:val="Tabletext"/>
              <w:jc w:val="left"/>
              <w:rPr>
                <w:rFonts w:eastAsia="Arial Unicode MS"/>
              </w:rPr>
            </w:pPr>
            <w:r>
              <w:t>Total pointing loss (dB)</w:t>
            </w:r>
          </w:p>
        </w:tc>
        <w:tc>
          <w:tcPr>
            <w:tcW w:w="1052" w:type="dxa"/>
            <w:tcBorders>
              <w:top w:val="nil"/>
              <w:left w:val="nil"/>
              <w:bottom w:val="single" w:sz="4" w:space="0" w:color="auto"/>
              <w:right w:val="single" w:sz="4" w:space="0" w:color="auto"/>
            </w:tcBorders>
            <w:shd w:val="clear" w:color="auto" w:fill="FFFFFF"/>
            <w:tcMar>
              <w:left w:w="57" w:type="dxa"/>
              <w:right w:w="57" w:type="dxa"/>
            </w:tcMar>
          </w:tcPr>
          <w:p w:rsidR="000C21C2" w:rsidRDefault="000C21C2" w:rsidP="00B5076C">
            <w:pPr>
              <w:pStyle w:val="Tabletext"/>
              <w:jc w:val="center"/>
              <w:rPr>
                <w:rFonts w:eastAsia="Arial Unicode MS"/>
              </w:rPr>
            </w:pPr>
            <w:r>
              <w:t>−0.5</w:t>
            </w:r>
          </w:p>
        </w:tc>
        <w:tc>
          <w:tcPr>
            <w:tcW w:w="4267" w:type="dxa"/>
            <w:tcBorders>
              <w:top w:val="nil"/>
              <w:left w:val="nil"/>
              <w:bottom w:val="single" w:sz="4" w:space="0" w:color="auto"/>
              <w:right w:val="single" w:sz="4" w:space="0" w:color="auto"/>
            </w:tcBorders>
            <w:tcMar>
              <w:left w:w="57" w:type="dxa"/>
              <w:right w:w="57" w:type="dxa"/>
            </w:tcMar>
          </w:tcPr>
          <w:p w:rsidR="000C21C2" w:rsidRDefault="000C21C2" w:rsidP="000C21C2">
            <w:pPr>
              <w:pStyle w:val="Tabletext"/>
              <w:jc w:val="left"/>
              <w:rPr>
                <w:rFonts w:eastAsia="Arial Unicode MS"/>
              </w:rPr>
            </w:pPr>
            <w:r>
              <w:t>Estimate</w:t>
            </w:r>
          </w:p>
        </w:tc>
      </w:tr>
      <w:tr w:rsidR="000C21C2">
        <w:trPr>
          <w:cantSplit/>
          <w:trHeight w:val="216"/>
          <w:jc w:val="center"/>
        </w:trPr>
        <w:tc>
          <w:tcPr>
            <w:tcW w:w="720" w:type="dxa"/>
            <w:tcBorders>
              <w:top w:val="nil"/>
              <w:left w:val="single" w:sz="4" w:space="0" w:color="auto"/>
              <w:bottom w:val="single" w:sz="4" w:space="0" w:color="auto"/>
              <w:right w:val="single" w:sz="4" w:space="0" w:color="auto"/>
            </w:tcBorders>
            <w:tcMar>
              <w:left w:w="57" w:type="dxa"/>
              <w:right w:w="57" w:type="dxa"/>
            </w:tcMar>
          </w:tcPr>
          <w:p w:rsidR="000C21C2" w:rsidRDefault="000C21C2" w:rsidP="000C21C2">
            <w:pPr>
              <w:pStyle w:val="Tabletext"/>
              <w:jc w:val="center"/>
              <w:rPr>
                <w:rFonts w:eastAsia="Arial Unicode MS"/>
              </w:rPr>
            </w:pPr>
            <w:r>
              <w:t>5</w:t>
            </w:r>
          </w:p>
        </w:tc>
        <w:tc>
          <w:tcPr>
            <w:tcW w:w="3600" w:type="dxa"/>
            <w:tcBorders>
              <w:top w:val="nil"/>
              <w:left w:val="nil"/>
              <w:bottom w:val="single" w:sz="4" w:space="0" w:color="auto"/>
              <w:right w:val="single" w:sz="4" w:space="0" w:color="auto"/>
            </w:tcBorders>
            <w:tcMar>
              <w:left w:w="57" w:type="dxa"/>
              <w:right w:w="57" w:type="dxa"/>
            </w:tcMar>
          </w:tcPr>
          <w:p w:rsidR="000C21C2" w:rsidRDefault="000C21C2" w:rsidP="000C21C2">
            <w:pPr>
              <w:pStyle w:val="Tabletext"/>
              <w:jc w:val="left"/>
              <w:rPr>
                <w:rFonts w:eastAsia="Arial Unicode MS"/>
              </w:rPr>
            </w:pPr>
            <w:r>
              <w:t>Antenna gain (dB)</w:t>
            </w:r>
          </w:p>
        </w:tc>
        <w:tc>
          <w:tcPr>
            <w:tcW w:w="1052" w:type="dxa"/>
            <w:tcBorders>
              <w:top w:val="nil"/>
              <w:left w:val="nil"/>
              <w:bottom w:val="single" w:sz="4" w:space="0" w:color="auto"/>
              <w:right w:val="single" w:sz="4" w:space="0" w:color="auto"/>
            </w:tcBorders>
            <w:shd w:val="clear" w:color="auto" w:fill="FFFFFF"/>
            <w:tcMar>
              <w:left w:w="57" w:type="dxa"/>
              <w:right w:w="57" w:type="dxa"/>
            </w:tcMar>
          </w:tcPr>
          <w:p w:rsidR="000C21C2" w:rsidRDefault="000C21C2" w:rsidP="00B5076C">
            <w:pPr>
              <w:pStyle w:val="Tabletext"/>
              <w:jc w:val="center"/>
              <w:rPr>
                <w:rFonts w:eastAsia="Arial Unicode MS"/>
              </w:rPr>
            </w:pPr>
            <w:r>
              <w:t>45.2</w:t>
            </w:r>
          </w:p>
        </w:tc>
        <w:tc>
          <w:tcPr>
            <w:tcW w:w="4267" w:type="dxa"/>
            <w:tcBorders>
              <w:top w:val="nil"/>
              <w:left w:val="nil"/>
              <w:bottom w:val="single" w:sz="4" w:space="0" w:color="auto"/>
              <w:right w:val="single" w:sz="4" w:space="0" w:color="auto"/>
            </w:tcBorders>
            <w:tcMar>
              <w:left w:w="57" w:type="dxa"/>
              <w:right w:w="57" w:type="dxa"/>
            </w:tcMar>
          </w:tcPr>
          <w:p w:rsidR="000C21C2" w:rsidRDefault="000C21C2" w:rsidP="000C21C2">
            <w:pPr>
              <w:pStyle w:val="Tabletext"/>
              <w:jc w:val="left"/>
              <w:rPr>
                <w:rFonts w:eastAsia="Arial Unicode MS"/>
              </w:rPr>
            </w:pPr>
            <w:r>
              <w:t>Estimate</w:t>
            </w:r>
          </w:p>
        </w:tc>
      </w:tr>
      <w:tr w:rsidR="000C21C2">
        <w:trPr>
          <w:cantSplit/>
          <w:trHeight w:val="216"/>
          <w:jc w:val="center"/>
        </w:trPr>
        <w:tc>
          <w:tcPr>
            <w:tcW w:w="720" w:type="dxa"/>
            <w:tcBorders>
              <w:top w:val="nil"/>
              <w:left w:val="single" w:sz="4" w:space="0" w:color="auto"/>
              <w:bottom w:val="single" w:sz="4" w:space="0" w:color="auto"/>
              <w:right w:val="single" w:sz="4" w:space="0" w:color="auto"/>
            </w:tcBorders>
            <w:tcMar>
              <w:left w:w="57" w:type="dxa"/>
              <w:right w:w="57" w:type="dxa"/>
            </w:tcMar>
          </w:tcPr>
          <w:p w:rsidR="000C21C2" w:rsidRDefault="000C21C2" w:rsidP="000C21C2">
            <w:pPr>
              <w:pStyle w:val="Tabletext"/>
              <w:jc w:val="center"/>
              <w:rPr>
                <w:rFonts w:eastAsia="Arial Unicode MS"/>
              </w:rPr>
            </w:pPr>
            <w:r>
              <w:t>6</w:t>
            </w:r>
          </w:p>
        </w:tc>
        <w:tc>
          <w:tcPr>
            <w:tcW w:w="3600" w:type="dxa"/>
            <w:tcBorders>
              <w:top w:val="nil"/>
              <w:left w:val="nil"/>
              <w:bottom w:val="single" w:sz="4" w:space="0" w:color="auto"/>
              <w:right w:val="single" w:sz="4" w:space="0" w:color="auto"/>
            </w:tcBorders>
            <w:tcMar>
              <w:left w:w="57" w:type="dxa"/>
              <w:right w:w="57" w:type="dxa"/>
            </w:tcMar>
          </w:tcPr>
          <w:p w:rsidR="000C21C2" w:rsidRDefault="000C21C2" w:rsidP="000C21C2">
            <w:pPr>
              <w:pStyle w:val="Tabletext"/>
              <w:jc w:val="left"/>
              <w:rPr>
                <w:rFonts w:eastAsia="Arial Unicode MS"/>
              </w:rPr>
            </w:pPr>
            <w:r>
              <w:t>Receive circuit loss (dB)</w:t>
            </w:r>
          </w:p>
        </w:tc>
        <w:tc>
          <w:tcPr>
            <w:tcW w:w="1052" w:type="dxa"/>
            <w:tcBorders>
              <w:top w:val="nil"/>
              <w:left w:val="nil"/>
              <w:bottom w:val="single" w:sz="4" w:space="0" w:color="auto"/>
              <w:right w:val="single" w:sz="4" w:space="0" w:color="auto"/>
            </w:tcBorders>
            <w:shd w:val="clear" w:color="auto" w:fill="FFFFFF"/>
            <w:tcMar>
              <w:left w:w="57" w:type="dxa"/>
              <w:right w:w="57" w:type="dxa"/>
            </w:tcMar>
          </w:tcPr>
          <w:p w:rsidR="000C21C2" w:rsidRDefault="000C21C2" w:rsidP="00B5076C">
            <w:pPr>
              <w:pStyle w:val="Tabletext"/>
              <w:jc w:val="center"/>
              <w:rPr>
                <w:rFonts w:eastAsia="Arial Unicode MS"/>
              </w:rPr>
            </w:pPr>
            <w:r>
              <w:t>−2.0</w:t>
            </w:r>
          </w:p>
        </w:tc>
        <w:tc>
          <w:tcPr>
            <w:tcW w:w="4267" w:type="dxa"/>
            <w:tcBorders>
              <w:top w:val="nil"/>
              <w:left w:val="nil"/>
              <w:bottom w:val="single" w:sz="4" w:space="0" w:color="auto"/>
              <w:right w:val="single" w:sz="4" w:space="0" w:color="auto"/>
            </w:tcBorders>
            <w:tcMar>
              <w:left w:w="57" w:type="dxa"/>
              <w:right w:w="57" w:type="dxa"/>
            </w:tcMar>
          </w:tcPr>
          <w:p w:rsidR="000C21C2" w:rsidRDefault="000C21C2" w:rsidP="000C21C2">
            <w:pPr>
              <w:pStyle w:val="Tabletext"/>
              <w:jc w:val="left"/>
              <w:rPr>
                <w:rFonts w:eastAsia="Arial Unicode MS"/>
              </w:rPr>
            </w:pPr>
            <w:r>
              <w:t>Estimate</w:t>
            </w:r>
          </w:p>
        </w:tc>
      </w:tr>
      <w:tr w:rsidR="000C21C2">
        <w:trPr>
          <w:cantSplit/>
          <w:trHeight w:val="216"/>
          <w:jc w:val="center"/>
        </w:trPr>
        <w:tc>
          <w:tcPr>
            <w:tcW w:w="720" w:type="dxa"/>
            <w:tcBorders>
              <w:top w:val="nil"/>
              <w:left w:val="single" w:sz="4" w:space="0" w:color="auto"/>
              <w:bottom w:val="nil"/>
              <w:right w:val="single" w:sz="4" w:space="0" w:color="auto"/>
            </w:tcBorders>
            <w:tcMar>
              <w:left w:w="57" w:type="dxa"/>
              <w:right w:w="57" w:type="dxa"/>
            </w:tcMar>
          </w:tcPr>
          <w:p w:rsidR="000C21C2" w:rsidRDefault="000C21C2" w:rsidP="000C21C2">
            <w:pPr>
              <w:pStyle w:val="Tabletext"/>
              <w:jc w:val="center"/>
              <w:rPr>
                <w:rFonts w:eastAsia="Arial Unicode MS"/>
              </w:rPr>
            </w:pPr>
            <w:r>
              <w:t>7</w:t>
            </w:r>
          </w:p>
        </w:tc>
        <w:tc>
          <w:tcPr>
            <w:tcW w:w="3600" w:type="dxa"/>
            <w:tcBorders>
              <w:top w:val="nil"/>
              <w:left w:val="nil"/>
              <w:bottom w:val="nil"/>
              <w:right w:val="single" w:sz="4" w:space="0" w:color="auto"/>
            </w:tcBorders>
            <w:tcMar>
              <w:left w:w="57" w:type="dxa"/>
              <w:right w:w="57" w:type="dxa"/>
            </w:tcMar>
          </w:tcPr>
          <w:p w:rsidR="000C21C2" w:rsidRPr="006E4AE0" w:rsidRDefault="000C21C2" w:rsidP="000C21C2">
            <w:pPr>
              <w:pStyle w:val="Tabletext"/>
              <w:jc w:val="left"/>
              <w:rPr>
                <w:rFonts w:eastAsia="Arial Unicode MS"/>
                <w:lang w:val="en-US"/>
              </w:rPr>
            </w:pPr>
            <w:r w:rsidRPr="006E4AE0">
              <w:rPr>
                <w:lang w:val="en-US"/>
              </w:rPr>
              <w:t>Total received power (</w:t>
            </w:r>
            <w:r w:rsidRPr="006E4AE0">
              <w:rPr>
                <w:i/>
                <w:iCs/>
                <w:lang w:val="en-US"/>
              </w:rPr>
              <w:t>C</w:t>
            </w:r>
            <w:r w:rsidRPr="006E4AE0">
              <w:rPr>
                <w:lang w:val="en-US"/>
              </w:rPr>
              <w:t>) (dBW)</w:t>
            </w:r>
          </w:p>
        </w:tc>
        <w:tc>
          <w:tcPr>
            <w:tcW w:w="1052" w:type="dxa"/>
            <w:tcBorders>
              <w:top w:val="nil"/>
              <w:left w:val="nil"/>
              <w:bottom w:val="nil"/>
              <w:right w:val="single" w:sz="4" w:space="0" w:color="auto"/>
            </w:tcBorders>
            <w:shd w:val="clear" w:color="auto" w:fill="FFFFFF"/>
            <w:tcMar>
              <w:left w:w="57" w:type="dxa"/>
              <w:right w:w="57" w:type="dxa"/>
            </w:tcMar>
          </w:tcPr>
          <w:p w:rsidR="000C21C2" w:rsidRDefault="000C21C2" w:rsidP="00B5076C">
            <w:pPr>
              <w:pStyle w:val="Tabletext"/>
              <w:jc w:val="center"/>
              <w:rPr>
                <w:rFonts w:eastAsia="Arial Unicode MS"/>
              </w:rPr>
            </w:pPr>
            <w:r>
              <w:t>−118.9</w:t>
            </w:r>
          </w:p>
        </w:tc>
        <w:tc>
          <w:tcPr>
            <w:tcW w:w="4267" w:type="dxa"/>
            <w:tcBorders>
              <w:top w:val="nil"/>
              <w:left w:val="nil"/>
              <w:bottom w:val="nil"/>
              <w:right w:val="single" w:sz="4" w:space="0" w:color="auto"/>
            </w:tcBorders>
            <w:tcMar>
              <w:left w:w="57" w:type="dxa"/>
              <w:right w:w="57" w:type="dxa"/>
            </w:tcMar>
          </w:tcPr>
          <w:p w:rsidR="000C21C2" w:rsidRDefault="000C21C2" w:rsidP="000C21C2">
            <w:pPr>
              <w:pStyle w:val="Tabletext"/>
              <w:jc w:val="left"/>
              <w:rPr>
                <w:rFonts w:eastAsia="Arial Unicode MS"/>
              </w:rPr>
            </w:pPr>
            <w:r>
              <w:t>1 + 2 + 3 + 4 + 5 + 6</w:t>
            </w:r>
          </w:p>
        </w:tc>
      </w:tr>
      <w:tr w:rsidR="000C21C2" w:rsidRPr="00B5710B">
        <w:trPr>
          <w:cantSplit/>
          <w:trHeight w:val="700"/>
          <w:jc w:val="center"/>
        </w:trPr>
        <w:tc>
          <w:tcPr>
            <w:tcW w:w="720" w:type="dxa"/>
            <w:tcBorders>
              <w:top w:val="single" w:sz="4" w:space="0" w:color="auto"/>
              <w:left w:val="single" w:sz="4" w:space="0" w:color="auto"/>
              <w:bottom w:val="single" w:sz="4" w:space="0" w:color="auto"/>
              <w:right w:val="single" w:sz="4" w:space="0" w:color="auto"/>
            </w:tcBorders>
            <w:tcMar>
              <w:left w:w="57" w:type="dxa"/>
              <w:right w:w="57" w:type="dxa"/>
            </w:tcMar>
          </w:tcPr>
          <w:p w:rsidR="000C21C2" w:rsidRDefault="000C21C2" w:rsidP="000C21C2">
            <w:pPr>
              <w:pStyle w:val="Tabletext"/>
              <w:jc w:val="center"/>
              <w:rPr>
                <w:rFonts w:eastAsia="Arial Unicode MS"/>
              </w:rPr>
            </w:pPr>
            <w:r>
              <w:t>8</w:t>
            </w:r>
          </w:p>
        </w:tc>
        <w:tc>
          <w:tcPr>
            <w:tcW w:w="3600" w:type="dxa"/>
            <w:tcBorders>
              <w:top w:val="single" w:sz="4" w:space="0" w:color="auto"/>
              <w:left w:val="nil"/>
              <w:bottom w:val="single" w:sz="4" w:space="0" w:color="auto"/>
              <w:right w:val="single" w:sz="4" w:space="0" w:color="auto"/>
            </w:tcBorders>
            <w:tcMar>
              <w:left w:w="57" w:type="dxa"/>
              <w:right w:w="57" w:type="dxa"/>
            </w:tcMar>
          </w:tcPr>
          <w:p w:rsidR="000C21C2" w:rsidRDefault="000C21C2" w:rsidP="000C21C2">
            <w:pPr>
              <w:pStyle w:val="Tabletext"/>
              <w:jc w:val="left"/>
              <w:rPr>
                <w:rFonts w:eastAsia="Arial Unicode MS"/>
              </w:rPr>
            </w:pPr>
            <w:r>
              <w:t>System noise temperature (dBK)</w:t>
            </w:r>
          </w:p>
        </w:tc>
        <w:tc>
          <w:tcPr>
            <w:tcW w:w="1052" w:type="dxa"/>
            <w:tcBorders>
              <w:top w:val="single" w:sz="4" w:space="0" w:color="auto"/>
              <w:left w:val="nil"/>
              <w:bottom w:val="single" w:sz="4" w:space="0" w:color="auto"/>
              <w:right w:val="single" w:sz="4" w:space="0" w:color="auto"/>
            </w:tcBorders>
            <w:tcMar>
              <w:left w:w="57" w:type="dxa"/>
              <w:right w:w="57" w:type="dxa"/>
            </w:tcMar>
          </w:tcPr>
          <w:p w:rsidR="000C21C2" w:rsidRDefault="000C21C2" w:rsidP="00B5076C">
            <w:pPr>
              <w:pStyle w:val="Tabletext"/>
              <w:jc w:val="center"/>
              <w:rPr>
                <w:rFonts w:eastAsia="Arial Unicode MS"/>
              </w:rPr>
            </w:pPr>
            <w:r>
              <w:t>26.4</w:t>
            </w:r>
          </w:p>
        </w:tc>
        <w:tc>
          <w:tcPr>
            <w:tcW w:w="4267" w:type="dxa"/>
            <w:tcBorders>
              <w:top w:val="single" w:sz="4" w:space="0" w:color="auto"/>
              <w:left w:val="nil"/>
              <w:bottom w:val="single" w:sz="4" w:space="0" w:color="auto"/>
              <w:right w:val="single" w:sz="4" w:space="0" w:color="auto"/>
            </w:tcBorders>
            <w:tcMar>
              <w:left w:w="57" w:type="dxa"/>
              <w:right w:w="57" w:type="dxa"/>
            </w:tcMar>
          </w:tcPr>
          <w:p w:rsidR="000C21C2" w:rsidRPr="000C21C2" w:rsidRDefault="000C21C2" w:rsidP="000C21C2">
            <w:pPr>
              <w:pStyle w:val="Tabletext"/>
              <w:jc w:val="left"/>
              <w:rPr>
                <w:rFonts w:eastAsia="Arial Unicode MS"/>
                <w:lang w:val="en-US"/>
              </w:rPr>
            </w:pPr>
            <w:r w:rsidRPr="000C21C2">
              <w:rPr>
                <w:lang w:val="en-US"/>
              </w:rPr>
              <w:t>Antenna temperature = 160.0 K</w:t>
            </w:r>
            <w:r w:rsidRPr="000C21C2">
              <w:rPr>
                <w:rFonts w:eastAsia="Arial Unicode MS"/>
                <w:lang w:val="en-US"/>
              </w:rPr>
              <w:br/>
            </w:r>
            <w:r w:rsidRPr="000C21C2">
              <w:rPr>
                <w:lang w:val="en-US"/>
              </w:rPr>
              <w:t>Receiver noise figure = 2.5 dB</w:t>
            </w:r>
          </w:p>
        </w:tc>
      </w:tr>
    </w:tbl>
    <w:p w:rsidR="00B971E8" w:rsidRDefault="00B971E8" w:rsidP="00B971E8">
      <w:pPr>
        <w:pStyle w:val="Tablefin"/>
      </w:pPr>
    </w:p>
    <w:p w:rsidR="007E7DE8" w:rsidRPr="007E7DE8" w:rsidRDefault="007E7DE8" w:rsidP="007E7DE8">
      <w:pPr>
        <w:pStyle w:val="TableNo"/>
        <w:rPr>
          <w:lang w:val="en-US"/>
        </w:rPr>
      </w:pPr>
      <w:r w:rsidRPr="000C21C2">
        <w:rPr>
          <w:lang w:val="en-US"/>
        </w:rPr>
        <w:lastRenderedPageBreak/>
        <w:t>TABLE 4</w:t>
      </w:r>
      <w:r>
        <w:rPr>
          <w:lang w:val="en-US"/>
        </w:rPr>
        <w:t xml:space="preserve"> (</w:t>
      </w:r>
      <w:r>
        <w:rPr>
          <w:i/>
          <w:iCs/>
          <w:lang w:val="en-US"/>
        </w:rPr>
        <w:t>end</w:t>
      </w:r>
      <w:r>
        <w:rPr>
          <w:lang w:val="en-US"/>
        </w:rPr>
        <w:t>)</w:t>
      </w:r>
    </w:p>
    <w:tbl>
      <w:tblPr>
        <w:tblW w:w="9639" w:type="dxa"/>
        <w:jc w:val="center"/>
        <w:tblInd w:w="-20" w:type="dxa"/>
        <w:tblLayout w:type="fixed"/>
        <w:tblLook w:val="0000"/>
      </w:tblPr>
      <w:tblGrid>
        <w:gridCol w:w="720"/>
        <w:gridCol w:w="3600"/>
        <w:gridCol w:w="1052"/>
        <w:gridCol w:w="4267"/>
      </w:tblGrid>
      <w:tr w:rsidR="00B5076C" w:rsidTr="00B5076C">
        <w:trPr>
          <w:cantSplit/>
          <w:trHeight w:val="216"/>
          <w:jc w:val="center"/>
        </w:trPr>
        <w:tc>
          <w:tcPr>
            <w:tcW w:w="720" w:type="dxa"/>
            <w:tcBorders>
              <w:top w:val="single" w:sz="4" w:space="0" w:color="auto"/>
              <w:left w:val="single" w:sz="4" w:space="0" w:color="auto"/>
              <w:bottom w:val="nil"/>
              <w:right w:val="nil"/>
            </w:tcBorders>
            <w:tcMar>
              <w:left w:w="57" w:type="dxa"/>
              <w:right w:w="57" w:type="dxa"/>
            </w:tcMar>
            <w:vAlign w:val="center"/>
          </w:tcPr>
          <w:p w:rsidR="00B5076C" w:rsidRPr="000C21C2" w:rsidRDefault="00B5076C" w:rsidP="00B5076C">
            <w:pPr>
              <w:pStyle w:val="Tablehead"/>
              <w:rPr>
                <w:rFonts w:eastAsia="Arial Unicode MS"/>
                <w:lang w:val="en-US"/>
              </w:rPr>
            </w:pPr>
          </w:p>
        </w:tc>
        <w:tc>
          <w:tcPr>
            <w:tcW w:w="3600" w:type="dxa"/>
            <w:tcBorders>
              <w:top w:val="single" w:sz="4" w:space="0" w:color="auto"/>
              <w:left w:val="single" w:sz="4" w:space="0" w:color="auto"/>
              <w:bottom w:val="single" w:sz="4" w:space="0" w:color="auto"/>
              <w:right w:val="nil"/>
            </w:tcBorders>
            <w:tcMar>
              <w:left w:w="57" w:type="dxa"/>
              <w:right w:w="57" w:type="dxa"/>
            </w:tcMar>
            <w:vAlign w:val="center"/>
          </w:tcPr>
          <w:p w:rsidR="00B5076C" w:rsidRDefault="00B5076C" w:rsidP="00B5076C">
            <w:pPr>
              <w:pStyle w:val="Tablehead"/>
              <w:rPr>
                <w:rFonts w:eastAsia="Arial Unicode MS"/>
              </w:rPr>
            </w:pPr>
            <w:r>
              <w:t>Parameter</w:t>
            </w:r>
          </w:p>
        </w:tc>
        <w:tc>
          <w:tcPr>
            <w:tcW w:w="10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5076C" w:rsidRDefault="00B5076C" w:rsidP="00B5076C">
            <w:pPr>
              <w:pStyle w:val="Tablehead"/>
              <w:rPr>
                <w:rFonts w:eastAsia="Arial Unicode MS"/>
              </w:rPr>
            </w:pPr>
            <w:r>
              <w:t>Value</w:t>
            </w:r>
          </w:p>
        </w:tc>
        <w:tc>
          <w:tcPr>
            <w:tcW w:w="4267" w:type="dxa"/>
            <w:tcBorders>
              <w:top w:val="single" w:sz="4" w:space="0" w:color="auto"/>
              <w:left w:val="nil"/>
              <w:bottom w:val="single" w:sz="4" w:space="0" w:color="auto"/>
              <w:right w:val="single" w:sz="4" w:space="0" w:color="auto"/>
            </w:tcBorders>
            <w:tcMar>
              <w:left w:w="57" w:type="dxa"/>
              <w:right w:w="57" w:type="dxa"/>
            </w:tcMar>
            <w:vAlign w:val="center"/>
          </w:tcPr>
          <w:p w:rsidR="00B5076C" w:rsidRDefault="00B5076C" w:rsidP="00B5076C">
            <w:pPr>
              <w:pStyle w:val="Tablehead"/>
              <w:rPr>
                <w:rFonts w:eastAsia="Arial Unicode MS"/>
              </w:rPr>
            </w:pPr>
            <w:r>
              <w:t>Source</w:t>
            </w:r>
          </w:p>
        </w:tc>
      </w:tr>
      <w:tr w:rsidR="00C434C8">
        <w:trPr>
          <w:cantSplit/>
          <w:trHeight w:val="216"/>
          <w:jc w:val="center"/>
        </w:trPr>
        <w:tc>
          <w:tcPr>
            <w:tcW w:w="720" w:type="dxa"/>
            <w:tcBorders>
              <w:top w:val="single" w:sz="4" w:space="0" w:color="auto"/>
              <w:left w:val="single" w:sz="4" w:space="0" w:color="auto"/>
              <w:bottom w:val="single" w:sz="4" w:space="0" w:color="auto"/>
              <w:right w:val="single" w:sz="4" w:space="0" w:color="auto"/>
            </w:tcBorders>
            <w:tcMar>
              <w:left w:w="57" w:type="dxa"/>
              <w:right w:w="57" w:type="dxa"/>
            </w:tcMar>
          </w:tcPr>
          <w:p w:rsidR="00C434C8" w:rsidRDefault="00C434C8" w:rsidP="00C434C8">
            <w:pPr>
              <w:pStyle w:val="Tabletext"/>
              <w:jc w:val="center"/>
              <w:rPr>
                <w:rFonts w:eastAsia="Arial Unicode MS"/>
              </w:rPr>
            </w:pPr>
            <w:r>
              <w:t>9</w:t>
            </w:r>
          </w:p>
        </w:tc>
        <w:tc>
          <w:tcPr>
            <w:tcW w:w="3600" w:type="dxa"/>
            <w:tcBorders>
              <w:top w:val="single" w:sz="4" w:space="0" w:color="auto"/>
              <w:left w:val="nil"/>
              <w:bottom w:val="single" w:sz="4" w:space="0" w:color="auto"/>
              <w:right w:val="single" w:sz="4" w:space="0" w:color="auto"/>
            </w:tcBorders>
            <w:tcMar>
              <w:left w:w="57" w:type="dxa"/>
              <w:right w:w="57" w:type="dxa"/>
            </w:tcMar>
          </w:tcPr>
          <w:p w:rsidR="00C434C8" w:rsidRDefault="00C434C8" w:rsidP="00C434C8">
            <w:pPr>
              <w:pStyle w:val="Tabletext"/>
              <w:jc w:val="left"/>
              <w:rPr>
                <w:rFonts w:eastAsia="Arial Unicode MS"/>
              </w:rPr>
            </w:pPr>
            <w:r>
              <w:t>Boltzmann’s constant (dBW/K/Hz)</w:t>
            </w:r>
          </w:p>
        </w:tc>
        <w:tc>
          <w:tcPr>
            <w:tcW w:w="1052" w:type="dxa"/>
            <w:tcBorders>
              <w:top w:val="single" w:sz="4" w:space="0" w:color="auto"/>
              <w:left w:val="nil"/>
              <w:bottom w:val="single" w:sz="4" w:space="0" w:color="auto"/>
              <w:right w:val="single" w:sz="4" w:space="0" w:color="auto"/>
            </w:tcBorders>
            <w:shd w:val="clear" w:color="auto" w:fill="FFFFFF"/>
            <w:tcMar>
              <w:left w:w="57" w:type="dxa"/>
              <w:right w:w="57" w:type="dxa"/>
            </w:tcMar>
          </w:tcPr>
          <w:p w:rsidR="00C434C8" w:rsidRDefault="00C434C8" w:rsidP="00B5076C">
            <w:pPr>
              <w:pStyle w:val="Tabletext"/>
              <w:jc w:val="center"/>
              <w:rPr>
                <w:rFonts w:eastAsia="Arial Unicode MS"/>
              </w:rPr>
            </w:pPr>
            <w:r>
              <w:t>−228.6</w:t>
            </w:r>
          </w:p>
        </w:tc>
        <w:tc>
          <w:tcPr>
            <w:tcW w:w="4267" w:type="dxa"/>
            <w:tcBorders>
              <w:top w:val="single" w:sz="4" w:space="0" w:color="auto"/>
              <w:left w:val="nil"/>
              <w:bottom w:val="single" w:sz="4" w:space="0" w:color="auto"/>
              <w:right w:val="single" w:sz="4" w:space="0" w:color="auto"/>
            </w:tcBorders>
            <w:tcMar>
              <w:left w:w="57" w:type="dxa"/>
              <w:right w:w="57" w:type="dxa"/>
            </w:tcMar>
          </w:tcPr>
          <w:p w:rsidR="00C434C8" w:rsidRDefault="00C434C8" w:rsidP="00C434C8">
            <w:pPr>
              <w:pStyle w:val="Tabletext"/>
              <w:jc w:val="left"/>
              <w:rPr>
                <w:rFonts w:eastAsia="Arial Unicode MS"/>
              </w:rPr>
            </w:pPr>
            <w:r>
              <w:t>1.38 × 10</w:t>
            </w:r>
            <w:r>
              <w:rPr>
                <w:vertAlign w:val="superscript"/>
              </w:rPr>
              <w:t>−23</w:t>
            </w:r>
            <w:r>
              <w:t xml:space="preserve"> W/K/Hz</w:t>
            </w:r>
          </w:p>
        </w:tc>
      </w:tr>
      <w:tr w:rsidR="000C21C2">
        <w:trPr>
          <w:cantSplit/>
          <w:trHeight w:val="216"/>
          <w:jc w:val="center"/>
        </w:trPr>
        <w:tc>
          <w:tcPr>
            <w:tcW w:w="720" w:type="dxa"/>
            <w:tcBorders>
              <w:top w:val="single" w:sz="4" w:space="0" w:color="auto"/>
              <w:left w:val="single" w:sz="4" w:space="0" w:color="auto"/>
              <w:bottom w:val="single" w:sz="4" w:space="0" w:color="auto"/>
              <w:right w:val="single" w:sz="4" w:space="0" w:color="auto"/>
            </w:tcBorders>
            <w:tcMar>
              <w:left w:w="57" w:type="dxa"/>
              <w:right w:w="57" w:type="dxa"/>
            </w:tcMar>
          </w:tcPr>
          <w:p w:rsidR="000C21C2" w:rsidRDefault="000C21C2" w:rsidP="000C21C2">
            <w:pPr>
              <w:pStyle w:val="Tabletext"/>
              <w:jc w:val="center"/>
              <w:rPr>
                <w:rFonts w:eastAsia="Arial Unicode MS"/>
              </w:rPr>
            </w:pPr>
            <w:r>
              <w:t>10</w:t>
            </w:r>
          </w:p>
        </w:tc>
        <w:tc>
          <w:tcPr>
            <w:tcW w:w="3600" w:type="dxa"/>
            <w:tcBorders>
              <w:top w:val="single" w:sz="4" w:space="0" w:color="auto"/>
              <w:left w:val="nil"/>
              <w:bottom w:val="single" w:sz="4" w:space="0" w:color="auto"/>
              <w:right w:val="single" w:sz="4" w:space="0" w:color="auto"/>
            </w:tcBorders>
            <w:tcMar>
              <w:left w:w="57" w:type="dxa"/>
              <w:right w:w="57" w:type="dxa"/>
            </w:tcMar>
          </w:tcPr>
          <w:p w:rsidR="000C21C2" w:rsidRDefault="000C21C2" w:rsidP="000C21C2">
            <w:pPr>
              <w:pStyle w:val="Tabletext"/>
              <w:jc w:val="left"/>
              <w:rPr>
                <w:rFonts w:eastAsia="Arial Unicode MS"/>
              </w:rPr>
            </w:pPr>
            <w:r>
              <w:t>Noise spectral density (</w:t>
            </w:r>
            <w:r w:rsidRPr="006E4AE0">
              <w:rPr>
                <w:i/>
                <w:iCs/>
              </w:rPr>
              <w:t>N</w:t>
            </w:r>
            <w:r>
              <w:rPr>
                <w:vertAlign w:val="subscript"/>
              </w:rPr>
              <w:t>0</w:t>
            </w:r>
            <w:r>
              <w:t>) (dBW/Hz)</w:t>
            </w:r>
          </w:p>
        </w:tc>
        <w:tc>
          <w:tcPr>
            <w:tcW w:w="1052" w:type="dxa"/>
            <w:tcBorders>
              <w:top w:val="single" w:sz="4" w:space="0" w:color="auto"/>
              <w:left w:val="nil"/>
              <w:bottom w:val="single" w:sz="4" w:space="0" w:color="auto"/>
              <w:right w:val="single" w:sz="4" w:space="0" w:color="auto"/>
            </w:tcBorders>
            <w:shd w:val="clear" w:color="auto" w:fill="FFFFFF"/>
            <w:tcMar>
              <w:left w:w="57" w:type="dxa"/>
              <w:right w:w="57" w:type="dxa"/>
            </w:tcMar>
          </w:tcPr>
          <w:p w:rsidR="000C21C2" w:rsidRDefault="00B5076C" w:rsidP="00B5076C">
            <w:pPr>
              <w:pStyle w:val="Tabletext"/>
              <w:jc w:val="center"/>
              <w:rPr>
                <w:rFonts w:eastAsia="Arial Unicode MS"/>
              </w:rPr>
            </w:pPr>
            <w:r>
              <w:t>–</w:t>
            </w:r>
            <w:r w:rsidR="000C21C2">
              <w:t>202.2</w:t>
            </w:r>
          </w:p>
        </w:tc>
        <w:tc>
          <w:tcPr>
            <w:tcW w:w="4267" w:type="dxa"/>
            <w:tcBorders>
              <w:top w:val="single" w:sz="4" w:space="0" w:color="auto"/>
              <w:left w:val="nil"/>
              <w:bottom w:val="single" w:sz="4" w:space="0" w:color="auto"/>
              <w:right w:val="single" w:sz="4" w:space="0" w:color="auto"/>
            </w:tcBorders>
            <w:tcMar>
              <w:left w:w="57" w:type="dxa"/>
              <w:right w:w="57" w:type="dxa"/>
            </w:tcMar>
          </w:tcPr>
          <w:p w:rsidR="000C21C2" w:rsidRDefault="000C21C2" w:rsidP="000C21C2">
            <w:pPr>
              <w:pStyle w:val="Tabletext"/>
              <w:jc w:val="left"/>
              <w:rPr>
                <w:rFonts w:eastAsia="Arial Unicode MS"/>
              </w:rPr>
            </w:pPr>
            <w:r>
              <w:t>8 + 9</w:t>
            </w:r>
          </w:p>
        </w:tc>
      </w:tr>
      <w:tr w:rsidR="000C21C2">
        <w:trPr>
          <w:cantSplit/>
          <w:trHeight w:val="216"/>
          <w:jc w:val="center"/>
        </w:trPr>
        <w:tc>
          <w:tcPr>
            <w:tcW w:w="720" w:type="dxa"/>
            <w:tcBorders>
              <w:top w:val="nil"/>
              <w:left w:val="single" w:sz="4" w:space="0" w:color="auto"/>
              <w:bottom w:val="single" w:sz="4" w:space="0" w:color="auto"/>
              <w:right w:val="single" w:sz="4" w:space="0" w:color="auto"/>
            </w:tcBorders>
            <w:tcMar>
              <w:left w:w="57" w:type="dxa"/>
              <w:right w:w="57" w:type="dxa"/>
            </w:tcMar>
          </w:tcPr>
          <w:p w:rsidR="000C21C2" w:rsidRDefault="000C21C2" w:rsidP="000C21C2">
            <w:pPr>
              <w:pStyle w:val="Tabletext"/>
              <w:jc w:val="center"/>
              <w:rPr>
                <w:rFonts w:eastAsia="Arial Unicode MS"/>
              </w:rPr>
            </w:pPr>
            <w:r>
              <w:t>11</w:t>
            </w:r>
          </w:p>
        </w:tc>
        <w:tc>
          <w:tcPr>
            <w:tcW w:w="3600" w:type="dxa"/>
            <w:tcBorders>
              <w:top w:val="nil"/>
              <w:left w:val="nil"/>
              <w:bottom w:val="single" w:sz="4" w:space="0" w:color="auto"/>
              <w:right w:val="single" w:sz="4" w:space="0" w:color="auto"/>
            </w:tcBorders>
            <w:tcMar>
              <w:left w:w="57" w:type="dxa"/>
              <w:right w:w="57" w:type="dxa"/>
            </w:tcMar>
          </w:tcPr>
          <w:p w:rsidR="000C21C2" w:rsidRDefault="000C21C2" w:rsidP="000C21C2">
            <w:pPr>
              <w:pStyle w:val="Tabletext"/>
              <w:jc w:val="left"/>
              <w:rPr>
                <w:rFonts w:eastAsia="Arial Unicode MS"/>
              </w:rPr>
            </w:pPr>
            <w:r w:rsidRPr="006E4AE0">
              <w:rPr>
                <w:i/>
                <w:iCs/>
              </w:rPr>
              <w:t>G</w:t>
            </w:r>
            <w:r>
              <w:t>/</w:t>
            </w:r>
            <w:r w:rsidRPr="006E4AE0">
              <w:rPr>
                <w:i/>
                <w:iCs/>
              </w:rPr>
              <w:t>T</w:t>
            </w:r>
            <w:r>
              <w:t xml:space="preserve"> (dB/K)</w:t>
            </w:r>
          </w:p>
        </w:tc>
        <w:tc>
          <w:tcPr>
            <w:tcW w:w="1052" w:type="dxa"/>
            <w:tcBorders>
              <w:top w:val="nil"/>
              <w:left w:val="nil"/>
              <w:bottom w:val="single" w:sz="4" w:space="0" w:color="auto"/>
              <w:right w:val="single" w:sz="4" w:space="0" w:color="auto"/>
            </w:tcBorders>
            <w:shd w:val="clear" w:color="auto" w:fill="FFFFFF"/>
            <w:tcMar>
              <w:left w:w="57" w:type="dxa"/>
              <w:right w:w="57" w:type="dxa"/>
            </w:tcMar>
          </w:tcPr>
          <w:p w:rsidR="000C21C2" w:rsidRDefault="000C21C2" w:rsidP="00B5076C">
            <w:pPr>
              <w:pStyle w:val="Tabletext"/>
              <w:jc w:val="center"/>
              <w:rPr>
                <w:rFonts w:eastAsia="Arial Unicode MS"/>
              </w:rPr>
            </w:pPr>
            <w:r>
              <w:t>16.8</w:t>
            </w:r>
          </w:p>
        </w:tc>
        <w:tc>
          <w:tcPr>
            <w:tcW w:w="4267" w:type="dxa"/>
            <w:tcBorders>
              <w:top w:val="nil"/>
              <w:left w:val="nil"/>
              <w:bottom w:val="single" w:sz="4" w:space="0" w:color="auto"/>
              <w:right w:val="single" w:sz="4" w:space="0" w:color="auto"/>
            </w:tcBorders>
            <w:tcMar>
              <w:left w:w="57" w:type="dxa"/>
              <w:right w:w="57" w:type="dxa"/>
            </w:tcMar>
          </w:tcPr>
          <w:p w:rsidR="000C21C2" w:rsidRDefault="000C21C2" w:rsidP="000C21C2">
            <w:pPr>
              <w:pStyle w:val="Tabletext"/>
              <w:jc w:val="left"/>
              <w:rPr>
                <w:rFonts w:eastAsia="Arial Unicode MS"/>
              </w:rPr>
            </w:pPr>
            <w:r>
              <w:t>5 + 6 − 8</w:t>
            </w:r>
          </w:p>
        </w:tc>
      </w:tr>
      <w:tr w:rsidR="000C21C2">
        <w:trPr>
          <w:cantSplit/>
          <w:trHeight w:val="216"/>
          <w:jc w:val="center"/>
        </w:trPr>
        <w:tc>
          <w:tcPr>
            <w:tcW w:w="720" w:type="dxa"/>
            <w:tcBorders>
              <w:top w:val="nil"/>
              <w:left w:val="single" w:sz="4" w:space="0" w:color="auto"/>
              <w:bottom w:val="single" w:sz="4" w:space="0" w:color="auto"/>
              <w:right w:val="single" w:sz="4" w:space="0" w:color="auto"/>
            </w:tcBorders>
            <w:tcMar>
              <w:left w:w="57" w:type="dxa"/>
              <w:right w:w="57" w:type="dxa"/>
            </w:tcMar>
          </w:tcPr>
          <w:p w:rsidR="000C21C2" w:rsidRDefault="000C21C2" w:rsidP="000C21C2">
            <w:pPr>
              <w:pStyle w:val="Tabletext"/>
              <w:jc w:val="center"/>
              <w:rPr>
                <w:rFonts w:eastAsia="Arial Unicode MS"/>
              </w:rPr>
            </w:pPr>
            <w:r>
              <w:t>12</w:t>
            </w:r>
          </w:p>
        </w:tc>
        <w:tc>
          <w:tcPr>
            <w:tcW w:w="3600" w:type="dxa"/>
            <w:tcBorders>
              <w:top w:val="nil"/>
              <w:left w:val="nil"/>
              <w:bottom w:val="single" w:sz="4" w:space="0" w:color="auto"/>
              <w:right w:val="single" w:sz="4" w:space="0" w:color="auto"/>
            </w:tcBorders>
            <w:tcMar>
              <w:left w:w="57" w:type="dxa"/>
              <w:right w:w="57" w:type="dxa"/>
            </w:tcMar>
          </w:tcPr>
          <w:p w:rsidR="000C21C2" w:rsidRPr="006E4AE0" w:rsidRDefault="000C21C2" w:rsidP="000C21C2">
            <w:pPr>
              <w:pStyle w:val="Tabletext"/>
              <w:jc w:val="left"/>
              <w:rPr>
                <w:rFonts w:eastAsia="Arial Unicode MS"/>
                <w:lang w:val="en-US"/>
              </w:rPr>
            </w:pPr>
            <w:r w:rsidRPr="006E4AE0">
              <w:rPr>
                <w:lang w:val="en-US"/>
              </w:rPr>
              <w:t>Total received power/noise spectral density (</w:t>
            </w:r>
            <w:r w:rsidRPr="006E4AE0">
              <w:rPr>
                <w:i/>
                <w:iCs/>
                <w:lang w:val="en-US"/>
              </w:rPr>
              <w:t>C</w:t>
            </w:r>
            <w:r w:rsidRPr="006E4AE0">
              <w:rPr>
                <w:i/>
                <w:iCs/>
                <w:vertAlign w:val="subscript"/>
                <w:lang w:val="en-US"/>
              </w:rPr>
              <w:t>c</w:t>
            </w:r>
            <w:r w:rsidRPr="006E4AE0">
              <w:rPr>
                <w:lang w:val="en-US"/>
              </w:rPr>
              <w:t>/</w:t>
            </w:r>
            <w:r w:rsidRPr="006E4AE0">
              <w:rPr>
                <w:i/>
                <w:iCs/>
                <w:lang w:val="en-US"/>
              </w:rPr>
              <w:t>N</w:t>
            </w:r>
            <w:r w:rsidRPr="006E4AE0">
              <w:rPr>
                <w:vertAlign w:val="subscript"/>
                <w:lang w:val="en-US"/>
              </w:rPr>
              <w:t>0</w:t>
            </w:r>
            <w:r w:rsidRPr="006E4AE0">
              <w:rPr>
                <w:lang w:val="en-US"/>
              </w:rPr>
              <w:t>)</w:t>
            </w:r>
            <w:r>
              <w:rPr>
                <w:lang w:val="en-US"/>
              </w:rPr>
              <w:t xml:space="preserve"> (</w:t>
            </w:r>
            <w:r w:rsidRPr="006E4AE0">
              <w:rPr>
                <w:lang w:val="en-US"/>
              </w:rPr>
              <w:t>dBHz</w:t>
            </w:r>
            <w:r>
              <w:rPr>
                <w:lang w:val="en-US"/>
              </w:rPr>
              <w:t>)</w:t>
            </w:r>
          </w:p>
        </w:tc>
        <w:tc>
          <w:tcPr>
            <w:tcW w:w="1052" w:type="dxa"/>
            <w:tcBorders>
              <w:top w:val="nil"/>
              <w:left w:val="nil"/>
              <w:bottom w:val="single" w:sz="4" w:space="0" w:color="auto"/>
              <w:right w:val="single" w:sz="4" w:space="0" w:color="auto"/>
            </w:tcBorders>
            <w:shd w:val="clear" w:color="auto" w:fill="FFFFFF"/>
            <w:tcMar>
              <w:left w:w="57" w:type="dxa"/>
              <w:right w:w="57" w:type="dxa"/>
            </w:tcMar>
          </w:tcPr>
          <w:p w:rsidR="000C21C2" w:rsidRDefault="000C21C2" w:rsidP="00B5076C">
            <w:pPr>
              <w:pStyle w:val="Tabletext"/>
              <w:jc w:val="center"/>
              <w:rPr>
                <w:rFonts w:eastAsia="Arial Unicode MS"/>
              </w:rPr>
            </w:pPr>
            <w:r>
              <w:t>83.3</w:t>
            </w:r>
          </w:p>
        </w:tc>
        <w:tc>
          <w:tcPr>
            <w:tcW w:w="4267" w:type="dxa"/>
            <w:tcBorders>
              <w:top w:val="nil"/>
              <w:left w:val="nil"/>
              <w:bottom w:val="single" w:sz="4" w:space="0" w:color="auto"/>
              <w:right w:val="single" w:sz="4" w:space="0" w:color="auto"/>
            </w:tcBorders>
            <w:tcMar>
              <w:left w:w="57" w:type="dxa"/>
              <w:right w:w="57" w:type="dxa"/>
            </w:tcMar>
          </w:tcPr>
          <w:p w:rsidR="000C21C2" w:rsidRDefault="000C21C2" w:rsidP="000C21C2">
            <w:pPr>
              <w:pStyle w:val="Tabletext"/>
              <w:jc w:val="left"/>
              <w:rPr>
                <w:rFonts w:eastAsia="Arial Unicode MS"/>
              </w:rPr>
            </w:pPr>
            <w:r>
              <w:t>7 − 10 or 1 + 2 + 3 + 11 − 9</w:t>
            </w:r>
          </w:p>
        </w:tc>
      </w:tr>
      <w:tr w:rsidR="000C21C2">
        <w:trPr>
          <w:cantSplit/>
          <w:trHeight w:val="216"/>
          <w:jc w:val="center"/>
        </w:trPr>
        <w:tc>
          <w:tcPr>
            <w:tcW w:w="720" w:type="dxa"/>
            <w:tcBorders>
              <w:top w:val="nil"/>
              <w:left w:val="single" w:sz="4" w:space="0" w:color="auto"/>
              <w:bottom w:val="single" w:sz="4" w:space="0" w:color="auto"/>
              <w:right w:val="single" w:sz="4" w:space="0" w:color="auto"/>
            </w:tcBorders>
            <w:tcMar>
              <w:left w:w="57" w:type="dxa"/>
              <w:right w:w="57" w:type="dxa"/>
            </w:tcMar>
          </w:tcPr>
          <w:p w:rsidR="000C21C2" w:rsidRDefault="000C21C2" w:rsidP="000C21C2">
            <w:pPr>
              <w:pStyle w:val="Tabletext"/>
              <w:jc w:val="center"/>
              <w:rPr>
                <w:rFonts w:eastAsia="Arial Unicode MS"/>
              </w:rPr>
            </w:pPr>
            <w:r>
              <w:t>13</w:t>
            </w:r>
          </w:p>
        </w:tc>
        <w:tc>
          <w:tcPr>
            <w:tcW w:w="3600" w:type="dxa"/>
            <w:tcBorders>
              <w:top w:val="nil"/>
              <w:left w:val="nil"/>
              <w:bottom w:val="single" w:sz="4" w:space="0" w:color="auto"/>
              <w:right w:val="single" w:sz="4" w:space="0" w:color="auto"/>
            </w:tcBorders>
            <w:tcMar>
              <w:left w:w="57" w:type="dxa"/>
              <w:right w:w="57" w:type="dxa"/>
            </w:tcMar>
          </w:tcPr>
          <w:p w:rsidR="000C21C2" w:rsidRDefault="000C21C2" w:rsidP="000C21C2">
            <w:pPr>
              <w:pStyle w:val="Tabletext"/>
              <w:jc w:val="left"/>
              <w:rPr>
                <w:rFonts w:eastAsia="Arial Unicode MS"/>
              </w:rPr>
            </w:pPr>
            <w:r>
              <w:t>Bit rate bandwidth (dBHz)</w:t>
            </w:r>
          </w:p>
        </w:tc>
        <w:tc>
          <w:tcPr>
            <w:tcW w:w="1052" w:type="dxa"/>
            <w:tcBorders>
              <w:top w:val="nil"/>
              <w:left w:val="nil"/>
              <w:bottom w:val="single" w:sz="4" w:space="0" w:color="auto"/>
              <w:right w:val="single" w:sz="4" w:space="0" w:color="auto"/>
            </w:tcBorders>
            <w:shd w:val="clear" w:color="auto" w:fill="FFFFFF"/>
            <w:tcMar>
              <w:left w:w="57" w:type="dxa"/>
              <w:right w:w="57" w:type="dxa"/>
            </w:tcMar>
          </w:tcPr>
          <w:p w:rsidR="000C21C2" w:rsidRDefault="000C21C2" w:rsidP="00B5076C">
            <w:pPr>
              <w:pStyle w:val="Tabletext"/>
              <w:jc w:val="center"/>
              <w:rPr>
                <w:rFonts w:eastAsia="Arial Unicode MS"/>
              </w:rPr>
            </w:pPr>
            <w:r>
              <w:t>69.5</w:t>
            </w:r>
          </w:p>
        </w:tc>
        <w:tc>
          <w:tcPr>
            <w:tcW w:w="4267" w:type="dxa"/>
            <w:tcBorders>
              <w:top w:val="nil"/>
              <w:left w:val="nil"/>
              <w:bottom w:val="single" w:sz="4" w:space="0" w:color="auto"/>
              <w:right w:val="single" w:sz="4" w:space="0" w:color="auto"/>
            </w:tcBorders>
            <w:tcMar>
              <w:left w:w="57" w:type="dxa"/>
              <w:right w:w="57" w:type="dxa"/>
            </w:tcMar>
          </w:tcPr>
          <w:p w:rsidR="000C21C2" w:rsidRDefault="000C21C2" w:rsidP="000C21C2">
            <w:pPr>
              <w:pStyle w:val="Tabletext"/>
              <w:jc w:val="left"/>
              <w:rPr>
                <w:rFonts w:eastAsia="Arial Unicode MS"/>
              </w:rPr>
            </w:pPr>
            <w:r>
              <w:t>9 Mbit/s</w:t>
            </w:r>
          </w:p>
        </w:tc>
      </w:tr>
      <w:tr w:rsidR="000C21C2">
        <w:trPr>
          <w:cantSplit/>
          <w:trHeight w:val="216"/>
          <w:jc w:val="center"/>
        </w:trPr>
        <w:tc>
          <w:tcPr>
            <w:tcW w:w="720" w:type="dxa"/>
            <w:tcBorders>
              <w:top w:val="nil"/>
              <w:left w:val="single" w:sz="4" w:space="0" w:color="auto"/>
              <w:bottom w:val="single" w:sz="4" w:space="0" w:color="auto"/>
              <w:right w:val="single" w:sz="4" w:space="0" w:color="auto"/>
            </w:tcBorders>
            <w:tcMar>
              <w:left w:w="57" w:type="dxa"/>
              <w:right w:w="57" w:type="dxa"/>
            </w:tcMar>
          </w:tcPr>
          <w:p w:rsidR="000C21C2" w:rsidRDefault="000C21C2" w:rsidP="000C21C2">
            <w:pPr>
              <w:pStyle w:val="Tabletext"/>
              <w:jc w:val="center"/>
              <w:rPr>
                <w:rFonts w:eastAsia="Arial Unicode MS"/>
              </w:rPr>
            </w:pPr>
            <w:r>
              <w:t>14</w:t>
            </w:r>
          </w:p>
        </w:tc>
        <w:tc>
          <w:tcPr>
            <w:tcW w:w="3600" w:type="dxa"/>
            <w:tcBorders>
              <w:top w:val="nil"/>
              <w:left w:val="nil"/>
              <w:bottom w:val="single" w:sz="4" w:space="0" w:color="auto"/>
              <w:right w:val="single" w:sz="4" w:space="0" w:color="auto"/>
            </w:tcBorders>
            <w:tcMar>
              <w:left w:w="57" w:type="dxa"/>
              <w:right w:w="57" w:type="dxa"/>
            </w:tcMar>
          </w:tcPr>
          <w:p w:rsidR="000C21C2" w:rsidRPr="006E4AE0" w:rsidRDefault="000C21C2" w:rsidP="000C21C2">
            <w:pPr>
              <w:pStyle w:val="Tabletext"/>
              <w:jc w:val="left"/>
              <w:rPr>
                <w:rFonts w:eastAsia="Arial Unicode MS"/>
                <w:lang w:val="en-US"/>
              </w:rPr>
            </w:pPr>
            <w:r w:rsidRPr="006E4AE0">
              <w:rPr>
                <w:lang w:val="en-US"/>
              </w:rPr>
              <w:t>SNR in bit rate bandwidth (</w:t>
            </w:r>
            <w:r w:rsidRPr="006E4AE0">
              <w:rPr>
                <w:i/>
                <w:iCs/>
                <w:lang w:val="en-US"/>
              </w:rPr>
              <w:t>E</w:t>
            </w:r>
            <w:r w:rsidRPr="006E4AE0">
              <w:rPr>
                <w:i/>
                <w:iCs/>
                <w:vertAlign w:val="subscript"/>
                <w:lang w:val="en-US"/>
              </w:rPr>
              <w:t>b</w:t>
            </w:r>
            <w:r w:rsidRPr="006E4AE0">
              <w:rPr>
                <w:lang w:val="en-US"/>
              </w:rPr>
              <w:t>/</w:t>
            </w:r>
            <w:r w:rsidRPr="006E4AE0">
              <w:rPr>
                <w:i/>
                <w:iCs/>
                <w:lang w:val="en-US"/>
              </w:rPr>
              <w:t>N</w:t>
            </w:r>
            <w:r w:rsidRPr="006E4AE0">
              <w:rPr>
                <w:vertAlign w:val="subscript"/>
                <w:lang w:val="en-US"/>
              </w:rPr>
              <w:t>0</w:t>
            </w:r>
            <w:r w:rsidRPr="006E4AE0">
              <w:rPr>
                <w:lang w:val="en-US"/>
              </w:rPr>
              <w:t>)</w:t>
            </w:r>
            <w:r>
              <w:rPr>
                <w:lang w:val="en-US"/>
              </w:rPr>
              <w:t xml:space="preserve"> (</w:t>
            </w:r>
            <w:r w:rsidRPr="006E4AE0">
              <w:rPr>
                <w:lang w:val="en-US"/>
              </w:rPr>
              <w:t>dB</w:t>
            </w:r>
            <w:r>
              <w:rPr>
                <w:lang w:val="en-US"/>
              </w:rPr>
              <w:t>)</w:t>
            </w:r>
          </w:p>
        </w:tc>
        <w:tc>
          <w:tcPr>
            <w:tcW w:w="1052" w:type="dxa"/>
            <w:tcBorders>
              <w:top w:val="nil"/>
              <w:left w:val="nil"/>
              <w:bottom w:val="single" w:sz="4" w:space="0" w:color="auto"/>
              <w:right w:val="single" w:sz="4" w:space="0" w:color="auto"/>
            </w:tcBorders>
            <w:shd w:val="clear" w:color="auto" w:fill="FFFFFF"/>
            <w:tcMar>
              <w:left w:w="57" w:type="dxa"/>
              <w:right w:w="57" w:type="dxa"/>
            </w:tcMar>
          </w:tcPr>
          <w:p w:rsidR="000C21C2" w:rsidRDefault="000C21C2" w:rsidP="00B5076C">
            <w:pPr>
              <w:pStyle w:val="Tabletext"/>
              <w:jc w:val="center"/>
              <w:rPr>
                <w:rFonts w:eastAsia="Arial Unicode MS"/>
              </w:rPr>
            </w:pPr>
            <w:r>
              <w:t>13.8</w:t>
            </w:r>
          </w:p>
        </w:tc>
        <w:tc>
          <w:tcPr>
            <w:tcW w:w="4267" w:type="dxa"/>
            <w:tcBorders>
              <w:top w:val="nil"/>
              <w:left w:val="nil"/>
              <w:bottom w:val="single" w:sz="4" w:space="0" w:color="auto"/>
              <w:right w:val="single" w:sz="4" w:space="0" w:color="auto"/>
            </w:tcBorders>
            <w:tcMar>
              <w:left w:w="57" w:type="dxa"/>
              <w:right w:w="57" w:type="dxa"/>
            </w:tcMar>
          </w:tcPr>
          <w:p w:rsidR="000C21C2" w:rsidRDefault="000C21C2" w:rsidP="000C21C2">
            <w:pPr>
              <w:pStyle w:val="Tabletext"/>
              <w:jc w:val="left"/>
              <w:rPr>
                <w:rFonts w:eastAsia="Arial Unicode MS"/>
              </w:rPr>
            </w:pPr>
            <w:r>
              <w:t xml:space="preserve">12-13 </w:t>
            </w:r>
          </w:p>
        </w:tc>
      </w:tr>
      <w:tr w:rsidR="000C21C2">
        <w:trPr>
          <w:cantSplit/>
          <w:trHeight w:val="216"/>
          <w:jc w:val="center"/>
        </w:trPr>
        <w:tc>
          <w:tcPr>
            <w:tcW w:w="720" w:type="dxa"/>
            <w:tcBorders>
              <w:top w:val="nil"/>
              <w:left w:val="single" w:sz="4" w:space="0" w:color="auto"/>
              <w:bottom w:val="single" w:sz="4" w:space="0" w:color="auto"/>
              <w:right w:val="single" w:sz="4" w:space="0" w:color="auto"/>
            </w:tcBorders>
            <w:tcMar>
              <w:left w:w="57" w:type="dxa"/>
              <w:right w:w="57" w:type="dxa"/>
            </w:tcMar>
          </w:tcPr>
          <w:p w:rsidR="000C21C2" w:rsidRDefault="000C21C2" w:rsidP="000C21C2">
            <w:pPr>
              <w:pStyle w:val="Tabletext"/>
              <w:jc w:val="center"/>
              <w:rPr>
                <w:rFonts w:eastAsia="Arial Unicode MS"/>
              </w:rPr>
            </w:pPr>
            <w:r>
              <w:t>15</w:t>
            </w:r>
          </w:p>
        </w:tc>
        <w:tc>
          <w:tcPr>
            <w:tcW w:w="3600" w:type="dxa"/>
            <w:tcBorders>
              <w:top w:val="nil"/>
              <w:left w:val="nil"/>
              <w:bottom w:val="single" w:sz="4" w:space="0" w:color="auto"/>
              <w:right w:val="single" w:sz="4" w:space="0" w:color="auto"/>
            </w:tcBorders>
            <w:tcMar>
              <w:left w:w="57" w:type="dxa"/>
              <w:right w:w="57" w:type="dxa"/>
            </w:tcMar>
          </w:tcPr>
          <w:p w:rsidR="000C21C2" w:rsidRPr="006E4AE0" w:rsidRDefault="000C21C2" w:rsidP="000C21C2">
            <w:pPr>
              <w:pStyle w:val="Tabletext"/>
              <w:jc w:val="left"/>
              <w:rPr>
                <w:rFonts w:eastAsia="Arial Unicode MS"/>
                <w:lang w:val="en-US"/>
              </w:rPr>
            </w:pPr>
            <w:r w:rsidRPr="006E4AE0">
              <w:rPr>
                <w:lang w:val="en-US"/>
              </w:rPr>
              <w:t xml:space="preserve">Theoretical required </w:t>
            </w:r>
            <w:r w:rsidRPr="006E4AE0">
              <w:rPr>
                <w:i/>
                <w:iCs/>
                <w:lang w:val="en-US"/>
              </w:rPr>
              <w:t>E</w:t>
            </w:r>
            <w:r w:rsidRPr="006E4AE0">
              <w:rPr>
                <w:i/>
                <w:iCs/>
                <w:vertAlign w:val="subscript"/>
                <w:lang w:val="en-US"/>
              </w:rPr>
              <w:t>b</w:t>
            </w:r>
            <w:r w:rsidRPr="006E4AE0">
              <w:rPr>
                <w:lang w:val="en-US"/>
              </w:rPr>
              <w:t>/</w:t>
            </w:r>
            <w:r w:rsidRPr="006E4AE0">
              <w:rPr>
                <w:i/>
                <w:iCs/>
                <w:lang w:val="en-US"/>
              </w:rPr>
              <w:t>N</w:t>
            </w:r>
            <w:r w:rsidRPr="006E4AE0">
              <w:rPr>
                <w:vertAlign w:val="subscript"/>
                <w:lang w:val="en-US"/>
              </w:rPr>
              <w:t>0</w:t>
            </w:r>
            <w:r>
              <w:rPr>
                <w:lang w:val="en-US"/>
              </w:rPr>
              <w:t xml:space="preserve"> (</w:t>
            </w:r>
            <w:r w:rsidRPr="006E4AE0">
              <w:rPr>
                <w:lang w:val="en-US"/>
              </w:rPr>
              <w:t>dB</w:t>
            </w:r>
            <w:r>
              <w:rPr>
                <w:lang w:val="en-US"/>
              </w:rPr>
              <w:t>)</w:t>
            </w:r>
          </w:p>
        </w:tc>
        <w:tc>
          <w:tcPr>
            <w:tcW w:w="1052" w:type="dxa"/>
            <w:tcBorders>
              <w:top w:val="nil"/>
              <w:left w:val="nil"/>
              <w:bottom w:val="single" w:sz="4" w:space="0" w:color="auto"/>
              <w:right w:val="single" w:sz="4" w:space="0" w:color="auto"/>
            </w:tcBorders>
            <w:shd w:val="clear" w:color="auto" w:fill="FFFFFF"/>
            <w:tcMar>
              <w:left w:w="57" w:type="dxa"/>
              <w:right w:w="57" w:type="dxa"/>
            </w:tcMar>
          </w:tcPr>
          <w:p w:rsidR="000C21C2" w:rsidRDefault="000C21C2" w:rsidP="00B5076C">
            <w:pPr>
              <w:pStyle w:val="Tabletext"/>
              <w:jc w:val="center"/>
              <w:rPr>
                <w:rFonts w:eastAsia="Arial Unicode MS"/>
              </w:rPr>
            </w:pPr>
            <w:r>
              <w:t>9.6</w:t>
            </w:r>
          </w:p>
        </w:tc>
        <w:tc>
          <w:tcPr>
            <w:tcW w:w="4267" w:type="dxa"/>
            <w:tcBorders>
              <w:top w:val="nil"/>
              <w:left w:val="nil"/>
              <w:bottom w:val="single" w:sz="4" w:space="0" w:color="auto"/>
              <w:right w:val="single" w:sz="4" w:space="0" w:color="auto"/>
            </w:tcBorders>
            <w:tcMar>
              <w:left w:w="57" w:type="dxa"/>
              <w:right w:w="57" w:type="dxa"/>
            </w:tcMar>
          </w:tcPr>
          <w:p w:rsidR="000C21C2" w:rsidRDefault="000C21C2" w:rsidP="000C21C2">
            <w:pPr>
              <w:pStyle w:val="Tabletext"/>
              <w:jc w:val="left"/>
              <w:rPr>
                <w:rFonts w:eastAsia="Arial Unicode MS"/>
              </w:rPr>
            </w:pPr>
            <w:r>
              <w:t>Uncoded QPSK, BER × 10</w:t>
            </w:r>
            <w:r>
              <w:rPr>
                <w:vertAlign w:val="superscript"/>
              </w:rPr>
              <w:t>–5</w:t>
            </w:r>
          </w:p>
        </w:tc>
      </w:tr>
      <w:tr w:rsidR="000C21C2">
        <w:trPr>
          <w:cantSplit/>
          <w:trHeight w:val="216"/>
          <w:jc w:val="center"/>
        </w:trPr>
        <w:tc>
          <w:tcPr>
            <w:tcW w:w="720" w:type="dxa"/>
            <w:tcBorders>
              <w:top w:val="nil"/>
              <w:left w:val="single" w:sz="4" w:space="0" w:color="auto"/>
              <w:bottom w:val="single" w:sz="4" w:space="0" w:color="auto"/>
              <w:right w:val="single" w:sz="4" w:space="0" w:color="auto"/>
            </w:tcBorders>
            <w:tcMar>
              <w:left w:w="57" w:type="dxa"/>
              <w:right w:w="57" w:type="dxa"/>
            </w:tcMar>
          </w:tcPr>
          <w:p w:rsidR="000C21C2" w:rsidRDefault="000C21C2" w:rsidP="000C21C2">
            <w:pPr>
              <w:pStyle w:val="Tabletext"/>
              <w:jc w:val="center"/>
              <w:rPr>
                <w:rFonts w:eastAsia="Arial Unicode MS"/>
              </w:rPr>
            </w:pPr>
            <w:r>
              <w:t>16</w:t>
            </w:r>
          </w:p>
        </w:tc>
        <w:tc>
          <w:tcPr>
            <w:tcW w:w="3600" w:type="dxa"/>
            <w:tcBorders>
              <w:top w:val="nil"/>
              <w:left w:val="nil"/>
              <w:bottom w:val="single" w:sz="4" w:space="0" w:color="auto"/>
              <w:right w:val="single" w:sz="4" w:space="0" w:color="auto"/>
            </w:tcBorders>
            <w:tcMar>
              <w:left w:w="57" w:type="dxa"/>
              <w:right w:w="57" w:type="dxa"/>
            </w:tcMar>
          </w:tcPr>
          <w:p w:rsidR="000C21C2" w:rsidRDefault="000C21C2" w:rsidP="000C21C2">
            <w:pPr>
              <w:pStyle w:val="Tabletext"/>
              <w:jc w:val="left"/>
              <w:rPr>
                <w:rFonts w:eastAsia="Arial Unicode MS"/>
              </w:rPr>
            </w:pPr>
            <w:r>
              <w:t>Implementation loss (dB)</w:t>
            </w:r>
          </w:p>
        </w:tc>
        <w:tc>
          <w:tcPr>
            <w:tcW w:w="1052" w:type="dxa"/>
            <w:tcBorders>
              <w:top w:val="nil"/>
              <w:left w:val="nil"/>
              <w:bottom w:val="single" w:sz="4" w:space="0" w:color="auto"/>
              <w:right w:val="single" w:sz="4" w:space="0" w:color="auto"/>
            </w:tcBorders>
            <w:shd w:val="clear" w:color="auto" w:fill="FFFFFF"/>
            <w:tcMar>
              <w:left w:w="57" w:type="dxa"/>
              <w:right w:w="57" w:type="dxa"/>
            </w:tcMar>
          </w:tcPr>
          <w:p w:rsidR="000C21C2" w:rsidRDefault="000C21C2" w:rsidP="00B5076C">
            <w:pPr>
              <w:pStyle w:val="Tabletext"/>
              <w:jc w:val="center"/>
              <w:rPr>
                <w:rFonts w:eastAsia="Arial Unicode MS"/>
              </w:rPr>
            </w:pPr>
            <w:r>
              <w:t>−1.4</w:t>
            </w:r>
          </w:p>
        </w:tc>
        <w:tc>
          <w:tcPr>
            <w:tcW w:w="4267" w:type="dxa"/>
            <w:tcBorders>
              <w:top w:val="nil"/>
              <w:left w:val="nil"/>
              <w:bottom w:val="single" w:sz="4" w:space="0" w:color="auto"/>
              <w:right w:val="single" w:sz="4" w:space="0" w:color="auto"/>
            </w:tcBorders>
            <w:tcMar>
              <w:left w:w="57" w:type="dxa"/>
              <w:right w:w="57" w:type="dxa"/>
            </w:tcMar>
          </w:tcPr>
          <w:p w:rsidR="000C21C2" w:rsidRDefault="000C21C2" w:rsidP="000C21C2">
            <w:pPr>
              <w:pStyle w:val="Tabletext"/>
              <w:jc w:val="left"/>
              <w:rPr>
                <w:rFonts w:eastAsia="Arial Unicode MS"/>
              </w:rPr>
            </w:pPr>
            <w:r>
              <w:t>Estimate</w:t>
            </w:r>
          </w:p>
        </w:tc>
      </w:tr>
      <w:tr w:rsidR="000C21C2">
        <w:trPr>
          <w:cantSplit/>
          <w:trHeight w:val="216"/>
          <w:jc w:val="center"/>
        </w:trPr>
        <w:tc>
          <w:tcPr>
            <w:tcW w:w="720" w:type="dxa"/>
            <w:tcBorders>
              <w:top w:val="nil"/>
              <w:left w:val="single" w:sz="4" w:space="0" w:color="auto"/>
              <w:bottom w:val="single" w:sz="4" w:space="0" w:color="auto"/>
              <w:right w:val="single" w:sz="4" w:space="0" w:color="auto"/>
            </w:tcBorders>
            <w:tcMar>
              <w:left w:w="57" w:type="dxa"/>
              <w:right w:w="57" w:type="dxa"/>
            </w:tcMar>
          </w:tcPr>
          <w:p w:rsidR="000C21C2" w:rsidRDefault="000C21C2" w:rsidP="000C21C2">
            <w:pPr>
              <w:pStyle w:val="Tabletext"/>
              <w:jc w:val="center"/>
              <w:rPr>
                <w:rFonts w:eastAsia="Arial Unicode MS"/>
              </w:rPr>
            </w:pPr>
            <w:r>
              <w:t>17</w:t>
            </w:r>
          </w:p>
        </w:tc>
        <w:tc>
          <w:tcPr>
            <w:tcW w:w="3600" w:type="dxa"/>
            <w:tcBorders>
              <w:top w:val="nil"/>
              <w:left w:val="nil"/>
              <w:bottom w:val="single" w:sz="4" w:space="0" w:color="auto"/>
              <w:right w:val="single" w:sz="4" w:space="0" w:color="auto"/>
            </w:tcBorders>
            <w:tcMar>
              <w:left w:w="57" w:type="dxa"/>
              <w:right w:w="57" w:type="dxa"/>
            </w:tcMar>
          </w:tcPr>
          <w:p w:rsidR="000C21C2" w:rsidRDefault="000C21C2" w:rsidP="000C21C2">
            <w:pPr>
              <w:pStyle w:val="Tabletext"/>
              <w:jc w:val="left"/>
              <w:rPr>
                <w:rFonts w:eastAsia="Arial Unicode MS"/>
              </w:rPr>
            </w:pPr>
            <w:r>
              <w:t xml:space="preserve">Required </w:t>
            </w:r>
            <w:r w:rsidRPr="006E4AE0">
              <w:rPr>
                <w:i/>
                <w:iCs/>
              </w:rPr>
              <w:t>E</w:t>
            </w:r>
            <w:r w:rsidRPr="006E4AE0">
              <w:rPr>
                <w:i/>
                <w:iCs/>
                <w:vertAlign w:val="subscript"/>
              </w:rPr>
              <w:t>b</w:t>
            </w:r>
            <w:r>
              <w:t>/</w:t>
            </w:r>
            <w:r w:rsidRPr="006E4AE0">
              <w:rPr>
                <w:i/>
                <w:iCs/>
              </w:rPr>
              <w:t>N</w:t>
            </w:r>
            <w:r>
              <w:rPr>
                <w:vertAlign w:val="subscript"/>
              </w:rPr>
              <w:t>0</w:t>
            </w:r>
            <w:r>
              <w:t xml:space="preserve"> (dB)</w:t>
            </w:r>
          </w:p>
        </w:tc>
        <w:tc>
          <w:tcPr>
            <w:tcW w:w="1052" w:type="dxa"/>
            <w:tcBorders>
              <w:top w:val="nil"/>
              <w:left w:val="nil"/>
              <w:bottom w:val="single" w:sz="4" w:space="0" w:color="auto"/>
              <w:right w:val="single" w:sz="4" w:space="0" w:color="auto"/>
            </w:tcBorders>
            <w:shd w:val="clear" w:color="auto" w:fill="FFFFFF"/>
            <w:tcMar>
              <w:left w:w="57" w:type="dxa"/>
              <w:right w:w="57" w:type="dxa"/>
            </w:tcMar>
          </w:tcPr>
          <w:p w:rsidR="000C21C2" w:rsidRDefault="000C21C2" w:rsidP="00B5076C">
            <w:pPr>
              <w:pStyle w:val="Tabletext"/>
              <w:jc w:val="center"/>
              <w:rPr>
                <w:rFonts w:eastAsia="Arial Unicode MS"/>
              </w:rPr>
            </w:pPr>
            <w:r>
              <w:t>11.0</w:t>
            </w:r>
          </w:p>
        </w:tc>
        <w:tc>
          <w:tcPr>
            <w:tcW w:w="4267" w:type="dxa"/>
            <w:tcBorders>
              <w:top w:val="nil"/>
              <w:left w:val="nil"/>
              <w:bottom w:val="single" w:sz="4" w:space="0" w:color="auto"/>
              <w:right w:val="single" w:sz="4" w:space="0" w:color="auto"/>
            </w:tcBorders>
            <w:tcMar>
              <w:left w:w="57" w:type="dxa"/>
              <w:right w:w="57" w:type="dxa"/>
            </w:tcMar>
          </w:tcPr>
          <w:p w:rsidR="000C21C2" w:rsidRDefault="000C21C2" w:rsidP="000C21C2">
            <w:pPr>
              <w:pStyle w:val="Tabletext"/>
              <w:jc w:val="left"/>
              <w:rPr>
                <w:rFonts w:eastAsia="Arial Unicode MS"/>
              </w:rPr>
            </w:pPr>
            <w:r>
              <w:t>15-16</w:t>
            </w:r>
          </w:p>
        </w:tc>
      </w:tr>
      <w:tr w:rsidR="000C21C2">
        <w:trPr>
          <w:cantSplit/>
          <w:trHeight w:val="216"/>
          <w:jc w:val="center"/>
        </w:trPr>
        <w:tc>
          <w:tcPr>
            <w:tcW w:w="720" w:type="dxa"/>
            <w:tcBorders>
              <w:top w:val="nil"/>
              <w:left w:val="single" w:sz="4" w:space="0" w:color="auto"/>
              <w:bottom w:val="single" w:sz="4" w:space="0" w:color="auto"/>
              <w:right w:val="single" w:sz="4" w:space="0" w:color="auto"/>
            </w:tcBorders>
            <w:tcMar>
              <w:left w:w="57" w:type="dxa"/>
              <w:right w:w="57" w:type="dxa"/>
            </w:tcMar>
          </w:tcPr>
          <w:p w:rsidR="000C21C2" w:rsidRDefault="000C21C2" w:rsidP="000C21C2">
            <w:pPr>
              <w:pStyle w:val="Tabletext"/>
              <w:jc w:val="center"/>
              <w:rPr>
                <w:rFonts w:eastAsia="Arial Unicode MS"/>
              </w:rPr>
            </w:pPr>
            <w:r>
              <w:t>18</w:t>
            </w:r>
          </w:p>
        </w:tc>
        <w:tc>
          <w:tcPr>
            <w:tcW w:w="3600" w:type="dxa"/>
            <w:tcBorders>
              <w:top w:val="nil"/>
              <w:left w:val="nil"/>
              <w:bottom w:val="single" w:sz="4" w:space="0" w:color="auto"/>
              <w:right w:val="single" w:sz="4" w:space="0" w:color="auto"/>
            </w:tcBorders>
            <w:tcMar>
              <w:left w:w="57" w:type="dxa"/>
              <w:right w:w="57" w:type="dxa"/>
            </w:tcMar>
          </w:tcPr>
          <w:p w:rsidR="000C21C2" w:rsidRDefault="000C21C2" w:rsidP="000C21C2">
            <w:pPr>
              <w:pStyle w:val="Tabletext"/>
              <w:jc w:val="left"/>
              <w:rPr>
                <w:rFonts w:eastAsia="Arial Unicode MS"/>
              </w:rPr>
            </w:pPr>
            <w:r>
              <w:t xml:space="preserve">Required </w:t>
            </w:r>
            <w:r w:rsidRPr="006E4AE0">
              <w:rPr>
                <w:i/>
                <w:iCs/>
              </w:rPr>
              <w:t>C</w:t>
            </w:r>
            <w:r>
              <w:t>/</w:t>
            </w:r>
            <w:r w:rsidRPr="006E4AE0">
              <w:rPr>
                <w:i/>
                <w:iCs/>
              </w:rPr>
              <w:t>N</w:t>
            </w:r>
            <w:r>
              <w:rPr>
                <w:vertAlign w:val="subscript"/>
              </w:rPr>
              <w:t>0</w:t>
            </w:r>
            <w:r>
              <w:t xml:space="preserve"> (dBHz)</w:t>
            </w:r>
          </w:p>
        </w:tc>
        <w:tc>
          <w:tcPr>
            <w:tcW w:w="1052" w:type="dxa"/>
            <w:tcBorders>
              <w:top w:val="nil"/>
              <w:left w:val="nil"/>
              <w:bottom w:val="single" w:sz="4" w:space="0" w:color="auto"/>
              <w:right w:val="single" w:sz="4" w:space="0" w:color="auto"/>
            </w:tcBorders>
            <w:shd w:val="clear" w:color="auto" w:fill="FFFFFF"/>
            <w:tcMar>
              <w:left w:w="57" w:type="dxa"/>
              <w:right w:w="57" w:type="dxa"/>
            </w:tcMar>
          </w:tcPr>
          <w:p w:rsidR="000C21C2" w:rsidRDefault="000C21C2" w:rsidP="00B5076C">
            <w:pPr>
              <w:pStyle w:val="Tabletext"/>
              <w:jc w:val="center"/>
              <w:rPr>
                <w:rFonts w:eastAsia="Arial Unicode MS"/>
              </w:rPr>
            </w:pPr>
            <w:r>
              <w:t>80.5</w:t>
            </w:r>
          </w:p>
        </w:tc>
        <w:tc>
          <w:tcPr>
            <w:tcW w:w="4267" w:type="dxa"/>
            <w:tcBorders>
              <w:top w:val="nil"/>
              <w:left w:val="nil"/>
              <w:bottom w:val="single" w:sz="4" w:space="0" w:color="auto"/>
              <w:right w:val="single" w:sz="4" w:space="0" w:color="auto"/>
            </w:tcBorders>
            <w:tcMar>
              <w:left w:w="57" w:type="dxa"/>
              <w:right w:w="57" w:type="dxa"/>
            </w:tcMar>
          </w:tcPr>
          <w:p w:rsidR="000C21C2" w:rsidRDefault="000C21C2" w:rsidP="000C21C2">
            <w:pPr>
              <w:pStyle w:val="Tabletext"/>
              <w:jc w:val="left"/>
              <w:rPr>
                <w:rFonts w:eastAsia="Arial Unicode MS"/>
              </w:rPr>
            </w:pPr>
            <w:r>
              <w:t>17 + 13</w:t>
            </w:r>
          </w:p>
        </w:tc>
      </w:tr>
      <w:tr w:rsidR="000C21C2">
        <w:trPr>
          <w:cantSplit/>
          <w:trHeight w:val="216"/>
          <w:jc w:val="center"/>
        </w:trPr>
        <w:tc>
          <w:tcPr>
            <w:tcW w:w="720" w:type="dxa"/>
            <w:tcBorders>
              <w:top w:val="nil"/>
              <w:left w:val="single" w:sz="4" w:space="0" w:color="auto"/>
              <w:bottom w:val="single" w:sz="4" w:space="0" w:color="auto"/>
              <w:right w:val="single" w:sz="4" w:space="0" w:color="auto"/>
            </w:tcBorders>
            <w:tcMar>
              <w:left w:w="57" w:type="dxa"/>
              <w:right w:w="57" w:type="dxa"/>
            </w:tcMar>
          </w:tcPr>
          <w:p w:rsidR="000C21C2" w:rsidRDefault="000C21C2" w:rsidP="000C21C2">
            <w:pPr>
              <w:pStyle w:val="Tabletext"/>
              <w:jc w:val="center"/>
            </w:pPr>
            <w:r>
              <w:t>19</w:t>
            </w:r>
          </w:p>
        </w:tc>
        <w:tc>
          <w:tcPr>
            <w:tcW w:w="3600" w:type="dxa"/>
            <w:tcBorders>
              <w:top w:val="nil"/>
              <w:left w:val="nil"/>
              <w:bottom w:val="single" w:sz="4" w:space="0" w:color="auto"/>
              <w:right w:val="single" w:sz="4" w:space="0" w:color="auto"/>
            </w:tcBorders>
            <w:tcMar>
              <w:left w:w="57" w:type="dxa"/>
              <w:right w:w="57" w:type="dxa"/>
            </w:tcMar>
          </w:tcPr>
          <w:p w:rsidR="000C21C2" w:rsidRPr="006E4AE0" w:rsidRDefault="000C21C2" w:rsidP="000C21C2">
            <w:pPr>
              <w:pStyle w:val="Tabletext"/>
              <w:jc w:val="left"/>
              <w:rPr>
                <w:lang w:val="en-US"/>
              </w:rPr>
            </w:pPr>
            <w:r w:rsidRPr="006E4AE0">
              <w:rPr>
                <w:lang w:val="en-US"/>
              </w:rPr>
              <w:t xml:space="preserve">Required </w:t>
            </w:r>
            <w:r w:rsidRPr="006E4AE0">
              <w:rPr>
                <w:i/>
                <w:iCs/>
                <w:lang w:val="en-US"/>
              </w:rPr>
              <w:t>C</w:t>
            </w:r>
            <w:r w:rsidRPr="006E4AE0">
              <w:rPr>
                <w:vertAlign w:val="subscript"/>
                <w:lang w:val="en-US"/>
              </w:rPr>
              <w:t xml:space="preserve"> </w:t>
            </w:r>
            <w:r w:rsidRPr="006E4AE0">
              <w:rPr>
                <w:lang w:val="en-US"/>
              </w:rPr>
              <w:t>at the receiver input (dBW</w:t>
            </w:r>
            <w:r>
              <w:rPr>
                <w:lang w:val="en-US"/>
              </w:rPr>
              <w:t>)</w:t>
            </w:r>
          </w:p>
        </w:tc>
        <w:tc>
          <w:tcPr>
            <w:tcW w:w="1052" w:type="dxa"/>
            <w:tcBorders>
              <w:top w:val="nil"/>
              <w:left w:val="nil"/>
              <w:bottom w:val="single" w:sz="4" w:space="0" w:color="auto"/>
              <w:right w:val="single" w:sz="4" w:space="0" w:color="auto"/>
            </w:tcBorders>
            <w:shd w:val="clear" w:color="auto" w:fill="FFFFFF"/>
            <w:tcMar>
              <w:left w:w="57" w:type="dxa"/>
              <w:right w:w="57" w:type="dxa"/>
            </w:tcMar>
          </w:tcPr>
          <w:p w:rsidR="000C21C2" w:rsidRDefault="000C21C2" w:rsidP="00B5076C">
            <w:pPr>
              <w:pStyle w:val="Tabletext"/>
              <w:jc w:val="center"/>
            </w:pPr>
            <w:r>
              <w:t>−121.7</w:t>
            </w:r>
          </w:p>
        </w:tc>
        <w:tc>
          <w:tcPr>
            <w:tcW w:w="4267" w:type="dxa"/>
            <w:tcBorders>
              <w:top w:val="nil"/>
              <w:left w:val="nil"/>
              <w:bottom w:val="single" w:sz="4" w:space="0" w:color="auto"/>
              <w:right w:val="single" w:sz="4" w:space="0" w:color="auto"/>
            </w:tcBorders>
            <w:tcMar>
              <w:left w:w="57" w:type="dxa"/>
              <w:right w:w="57" w:type="dxa"/>
            </w:tcMar>
          </w:tcPr>
          <w:p w:rsidR="000C21C2" w:rsidRDefault="000C21C2" w:rsidP="000C21C2">
            <w:pPr>
              <w:pStyle w:val="Tabletext"/>
              <w:jc w:val="left"/>
            </w:pPr>
            <w:r>
              <w:t>18 + 10</w:t>
            </w:r>
          </w:p>
        </w:tc>
      </w:tr>
      <w:tr w:rsidR="000C21C2">
        <w:trPr>
          <w:cantSplit/>
          <w:trHeight w:val="216"/>
          <w:jc w:val="center"/>
        </w:trPr>
        <w:tc>
          <w:tcPr>
            <w:tcW w:w="720" w:type="dxa"/>
            <w:tcBorders>
              <w:top w:val="nil"/>
              <w:left w:val="single" w:sz="4" w:space="0" w:color="auto"/>
              <w:bottom w:val="single" w:sz="4" w:space="0" w:color="auto"/>
              <w:right w:val="single" w:sz="4" w:space="0" w:color="auto"/>
            </w:tcBorders>
            <w:tcMar>
              <w:left w:w="57" w:type="dxa"/>
              <w:right w:w="57" w:type="dxa"/>
            </w:tcMar>
          </w:tcPr>
          <w:p w:rsidR="000C21C2" w:rsidRDefault="000C21C2" w:rsidP="000C21C2">
            <w:pPr>
              <w:pStyle w:val="Tabletext"/>
              <w:jc w:val="center"/>
              <w:rPr>
                <w:rFonts w:eastAsia="Arial Unicode MS"/>
              </w:rPr>
            </w:pPr>
            <w:r>
              <w:t>20</w:t>
            </w:r>
          </w:p>
        </w:tc>
        <w:tc>
          <w:tcPr>
            <w:tcW w:w="3600" w:type="dxa"/>
            <w:tcBorders>
              <w:top w:val="nil"/>
              <w:left w:val="nil"/>
              <w:bottom w:val="single" w:sz="4" w:space="0" w:color="auto"/>
              <w:right w:val="single" w:sz="4" w:space="0" w:color="auto"/>
            </w:tcBorders>
            <w:tcMar>
              <w:left w:w="57" w:type="dxa"/>
              <w:right w:w="57" w:type="dxa"/>
            </w:tcMar>
          </w:tcPr>
          <w:p w:rsidR="000C21C2" w:rsidRDefault="000C21C2" w:rsidP="000C21C2">
            <w:pPr>
              <w:pStyle w:val="Tabletext"/>
              <w:jc w:val="left"/>
              <w:rPr>
                <w:rFonts w:eastAsia="Arial Unicode MS"/>
              </w:rPr>
            </w:pPr>
            <w:r>
              <w:t>Circuit margin (dB)</w:t>
            </w:r>
          </w:p>
        </w:tc>
        <w:tc>
          <w:tcPr>
            <w:tcW w:w="1052" w:type="dxa"/>
            <w:tcBorders>
              <w:top w:val="nil"/>
              <w:left w:val="nil"/>
              <w:bottom w:val="single" w:sz="4" w:space="0" w:color="auto"/>
              <w:right w:val="single" w:sz="4" w:space="0" w:color="auto"/>
            </w:tcBorders>
            <w:shd w:val="clear" w:color="auto" w:fill="FFFFFF"/>
            <w:tcMar>
              <w:left w:w="57" w:type="dxa"/>
              <w:right w:w="57" w:type="dxa"/>
            </w:tcMar>
          </w:tcPr>
          <w:p w:rsidR="000C21C2" w:rsidRDefault="000C21C2" w:rsidP="00B5076C">
            <w:pPr>
              <w:pStyle w:val="Tabletext"/>
              <w:jc w:val="center"/>
              <w:rPr>
                <w:rFonts w:eastAsia="Arial Unicode MS"/>
              </w:rPr>
            </w:pPr>
            <w:r>
              <w:t>2.8</w:t>
            </w:r>
          </w:p>
        </w:tc>
        <w:tc>
          <w:tcPr>
            <w:tcW w:w="4267" w:type="dxa"/>
            <w:tcBorders>
              <w:top w:val="nil"/>
              <w:left w:val="nil"/>
              <w:bottom w:val="single" w:sz="4" w:space="0" w:color="auto"/>
              <w:right w:val="single" w:sz="4" w:space="0" w:color="auto"/>
            </w:tcBorders>
            <w:tcMar>
              <w:left w:w="57" w:type="dxa"/>
              <w:right w:w="57" w:type="dxa"/>
            </w:tcMar>
          </w:tcPr>
          <w:p w:rsidR="000C21C2" w:rsidRDefault="000C21C2" w:rsidP="000C21C2">
            <w:pPr>
              <w:pStyle w:val="Tabletext"/>
              <w:jc w:val="left"/>
              <w:rPr>
                <w:rFonts w:eastAsia="Arial Unicode MS"/>
              </w:rPr>
            </w:pPr>
            <w:r>
              <w:t>14-17 or 12-18</w:t>
            </w:r>
          </w:p>
        </w:tc>
      </w:tr>
    </w:tbl>
    <w:p w:rsidR="000C21C2" w:rsidRDefault="000C21C2" w:rsidP="00CE5A9D">
      <w:pPr>
        <w:pStyle w:val="Tablefin"/>
      </w:pPr>
    </w:p>
    <w:p w:rsidR="00D74C71" w:rsidRPr="00D74C71" w:rsidRDefault="00D74C71" w:rsidP="007E7DE8">
      <w:pPr>
        <w:rPr>
          <w:lang w:val="en-US"/>
        </w:rPr>
      </w:pPr>
      <w:r w:rsidRPr="00D74C71">
        <w:rPr>
          <w:lang w:val="en-US"/>
        </w:rPr>
        <w:t xml:space="preserve">The interference from the FSS earth station uplink emissions is considered as an in-band broadband noise to the receiver. As a result, the </w:t>
      </w:r>
      <w:r w:rsidR="007E7DE8">
        <w:rPr>
          <w:lang w:val="en-US"/>
        </w:rPr>
        <w:t>ISS</w:t>
      </w:r>
      <w:r w:rsidRPr="00D74C71">
        <w:rPr>
          <w:lang w:val="en-US"/>
        </w:rPr>
        <w:t xml:space="preserve"> receiver thermal noise floor will be increased which then degrades the link performance. The degradation of the ISS receiver link margin is 1.8 dB when using an </w:t>
      </w:r>
      <w:r w:rsidRPr="00D74C71">
        <w:rPr>
          <w:i/>
          <w:iCs/>
          <w:lang w:val="en-US"/>
        </w:rPr>
        <w:t>I</w:t>
      </w:r>
      <w:r w:rsidRPr="00D74C71">
        <w:rPr>
          <w:lang w:val="en-US"/>
        </w:rPr>
        <w:t>/</w:t>
      </w:r>
      <w:r w:rsidRPr="00D74C71">
        <w:rPr>
          <w:i/>
          <w:iCs/>
          <w:lang w:val="en-US"/>
        </w:rPr>
        <w:t>N</w:t>
      </w:r>
      <w:r w:rsidRPr="00D74C71">
        <w:rPr>
          <w:lang w:val="en-US"/>
        </w:rPr>
        <w:t xml:space="preserve"> of –6 dB is 1 dB.</w:t>
      </w:r>
    </w:p>
    <w:p w:rsidR="00D74C71" w:rsidRPr="00D74C71" w:rsidRDefault="00D74C71" w:rsidP="00B5076C">
      <w:pPr>
        <w:rPr>
          <w:lang w:val="en-US"/>
        </w:rPr>
      </w:pPr>
      <w:r w:rsidRPr="00D74C71">
        <w:rPr>
          <w:lang w:val="en-US"/>
        </w:rPr>
        <w:t xml:space="preserve">Based on the expected performance of the </w:t>
      </w:r>
      <w:r w:rsidR="007E7DE8">
        <w:rPr>
          <w:lang w:val="en-US"/>
        </w:rPr>
        <w:t>ISS</w:t>
      </w:r>
      <w:r w:rsidRPr="00D74C71">
        <w:rPr>
          <w:lang w:val="en-US"/>
        </w:rPr>
        <w:t xml:space="preserve"> forward link and the required margin to maintain a viable link in its operating environment, the maximum allowable aggregate FSS (GSO + </w:t>
      </w:r>
      <w:r w:rsidR="007E7DE8">
        <w:rPr>
          <w:lang w:val="en-US"/>
        </w:rPr>
        <w:t>non</w:t>
      </w:r>
      <w:r w:rsidR="007E7DE8">
        <w:rPr>
          <w:lang w:val="en-US"/>
        </w:rPr>
        <w:noBreakHyphen/>
      </w:r>
      <w:r w:rsidRPr="00D74C71">
        <w:rPr>
          <w:lang w:val="en-US"/>
        </w:rPr>
        <w:t xml:space="preserve">GSO) interference power at the ISS antenna output is determined. The value is −136.2 dBW/10 MHz. Assuming equal interference contribution from GSO and </w:t>
      </w:r>
      <w:r w:rsidR="007E7DE8">
        <w:rPr>
          <w:lang w:val="en-US"/>
        </w:rPr>
        <w:t>non-</w:t>
      </w:r>
      <w:r w:rsidRPr="00D74C71">
        <w:rPr>
          <w:lang w:val="en-US"/>
        </w:rPr>
        <w:t>GSO earth stations then the GSO portion of the interference threshold is −139.2 dB/10 MHz. The ISS forward link must maintain a margin of at least 1.8 dB to mitigate possible degradations (other than the interference contribution from the FSS) from the environment. Environmental degradations include uncertainties in the ephemeris resulting in additional pointing loss of the ISS receiving antenna and multipath effects due to the complex structures of the ISS. The allowance of total interference power up to</w:t>
      </w:r>
      <w:r w:rsidR="00B5076C">
        <w:rPr>
          <w:lang w:val="en-US"/>
        </w:rPr>
        <w:t> </w:t>
      </w:r>
      <w:r w:rsidR="008E09C6">
        <w:rPr>
          <w:lang w:val="en-US"/>
        </w:rPr>
        <w:fldChar w:fldCharType="begin"/>
      </w:r>
      <w:r w:rsidR="00B5076C">
        <w:rPr>
          <w:lang w:val="en-US"/>
        </w:rPr>
        <w:instrText xml:space="preserve"> EQ  </w:instrText>
      </w:r>
      <w:r w:rsidR="00B5076C" w:rsidRPr="00D74C71">
        <w:rPr>
          <w:lang w:val="en-US"/>
        </w:rPr>
        <w:instrText xml:space="preserve">–136.2 dBW/10 MHz </w:instrText>
      </w:r>
      <w:r w:rsidR="008E09C6">
        <w:rPr>
          <w:lang w:val="en-US"/>
        </w:rPr>
        <w:fldChar w:fldCharType="end"/>
      </w:r>
      <w:r w:rsidRPr="00D74C71">
        <w:rPr>
          <w:lang w:val="en-US"/>
        </w:rPr>
        <w:t xml:space="preserve">translates to an equivalent </w:t>
      </w:r>
      <w:r w:rsidRPr="00D74C71">
        <w:rPr>
          <w:i/>
          <w:iCs/>
          <w:lang w:val="en-US"/>
        </w:rPr>
        <w:t>I</w:t>
      </w:r>
      <w:r w:rsidRPr="00D74C71">
        <w:rPr>
          <w:lang w:val="en-US"/>
        </w:rPr>
        <w:t>/</w:t>
      </w:r>
      <w:r w:rsidRPr="00D74C71">
        <w:rPr>
          <w:i/>
          <w:iCs/>
          <w:lang w:val="en-US"/>
        </w:rPr>
        <w:t>N</w:t>
      </w:r>
      <w:r w:rsidRPr="00D74C71">
        <w:rPr>
          <w:lang w:val="en-US"/>
        </w:rPr>
        <w:t xml:space="preserve"> of –6 dB (1 dB link degradation) and a relaxation of the Recommendation ITU</w:t>
      </w:r>
      <w:r w:rsidRPr="00D74C71">
        <w:rPr>
          <w:lang w:val="en-US"/>
        </w:rPr>
        <w:noBreakHyphen/>
        <w:t xml:space="preserve">R SA.1155 protection criterion of </w:t>
      </w:r>
      <w:r w:rsidRPr="00D74C71">
        <w:rPr>
          <w:i/>
          <w:iCs/>
          <w:lang w:val="en-US"/>
        </w:rPr>
        <w:t>I</w:t>
      </w:r>
      <w:r w:rsidRPr="00D74C71">
        <w:rPr>
          <w:lang w:val="en-US"/>
        </w:rPr>
        <w:t>/</w:t>
      </w:r>
      <w:r w:rsidRPr="00D74C71">
        <w:rPr>
          <w:i/>
          <w:iCs/>
          <w:lang w:val="en-US"/>
        </w:rPr>
        <w:t>N</w:t>
      </w:r>
      <w:r w:rsidRPr="00D74C71">
        <w:rPr>
          <w:lang w:val="en-US"/>
        </w:rPr>
        <w:t> = −10 dB by 4 dB.</w:t>
      </w:r>
    </w:p>
    <w:p w:rsidR="00D74C71" w:rsidRPr="00D74C71" w:rsidRDefault="00D74C71" w:rsidP="00D74C71">
      <w:pPr>
        <w:pStyle w:val="Heading3"/>
        <w:rPr>
          <w:lang w:val="en-US"/>
        </w:rPr>
      </w:pPr>
      <w:bookmarkStart w:id="96" w:name="_Toc84242634"/>
      <w:bookmarkStart w:id="97" w:name="_Toc224981518"/>
      <w:bookmarkStart w:id="98" w:name="_Toc225065807"/>
      <w:bookmarkStart w:id="99" w:name="_Toc226261835"/>
      <w:bookmarkStart w:id="100" w:name="_Toc256067095"/>
      <w:bookmarkStart w:id="101" w:name="_Toc256067174"/>
      <w:r w:rsidRPr="00D74C71">
        <w:rPr>
          <w:lang w:val="en-US"/>
        </w:rPr>
        <w:t>3.3.2</w:t>
      </w:r>
      <w:r w:rsidRPr="00D74C71">
        <w:rPr>
          <w:lang w:val="en-US"/>
        </w:rPr>
        <w:tab/>
        <w:t>Earth station deployment methodology</w:t>
      </w:r>
      <w:bookmarkEnd w:id="96"/>
      <w:bookmarkEnd w:id="97"/>
      <w:bookmarkEnd w:id="98"/>
      <w:bookmarkEnd w:id="99"/>
      <w:bookmarkEnd w:id="100"/>
      <w:bookmarkEnd w:id="101"/>
    </w:p>
    <w:p w:rsidR="00D74C71" w:rsidRPr="00D74C71" w:rsidRDefault="00D74C71" w:rsidP="00D74C71">
      <w:pPr>
        <w:rPr>
          <w:lang w:val="en-US"/>
        </w:rPr>
      </w:pPr>
      <w:r w:rsidRPr="00D74C71">
        <w:rPr>
          <w:lang w:val="en-US"/>
        </w:rPr>
        <w:t>In the interference simulations, the following methodology was used to distribute earth stations over the Earth’s surface. In an attempt to model a realistic scenario, earth stations are randomly distributed among cities taken from the U.N. city database with a normally distributed weighting factor based on city population. Within a given city, earth stations are randomly distributed within the city’s equivalent circular area based on population.</w:t>
      </w:r>
    </w:p>
    <w:p w:rsidR="00D74C71" w:rsidRPr="00D74C71" w:rsidRDefault="00D74C71" w:rsidP="00D74C71">
      <w:pPr>
        <w:rPr>
          <w:lang w:val="en-US"/>
        </w:rPr>
      </w:pPr>
      <w:r w:rsidRPr="00D74C71">
        <w:rPr>
          <w:lang w:val="en-US"/>
        </w:rPr>
        <w:t>The following is an outline of the steps used in this simulation:</w:t>
      </w:r>
    </w:p>
    <w:p w:rsidR="00D74C71" w:rsidRPr="004C0A79" w:rsidRDefault="00D74C71" w:rsidP="00F01F01">
      <w:pPr>
        <w:rPr>
          <w:lang w:val="en-US"/>
        </w:rPr>
      </w:pPr>
      <w:r w:rsidRPr="007E7DE8">
        <w:rPr>
          <w:i/>
          <w:iCs/>
          <w:lang w:val="en-US"/>
        </w:rPr>
        <w:t>Step 1</w:t>
      </w:r>
      <w:r>
        <w:rPr>
          <w:lang w:val="en-US"/>
        </w:rPr>
        <w:t>:</w:t>
      </w:r>
      <w:r w:rsidRPr="004C0A79">
        <w:rPr>
          <w:lang w:val="en-US"/>
        </w:rPr>
        <w:tab/>
        <w:t>Determine the maximum e.i.r.p. spectral density in the transmission bandwidth (B) of the FSS earth station based on specified data rate, modulation, and coding scheme (e.g. 1 m earth station transmitting 384 kb</w:t>
      </w:r>
      <w:r>
        <w:rPr>
          <w:lang w:val="en-US"/>
        </w:rPr>
        <w:t>it/</w:t>
      </w:r>
      <w:r w:rsidRPr="004C0A79">
        <w:rPr>
          <w:lang w:val="en-US"/>
        </w:rPr>
        <w:t>s with QPSK and rate ½ convolutional coding has a bandwidth of 768 kHz.)</w:t>
      </w:r>
    </w:p>
    <w:p w:rsidR="00D74C71" w:rsidRPr="004C0A79" w:rsidRDefault="00F01F01" w:rsidP="00F01F01">
      <w:pPr>
        <w:rPr>
          <w:lang w:val="en-US"/>
        </w:rPr>
      </w:pPr>
      <w:r>
        <w:rPr>
          <w:i/>
          <w:iCs/>
          <w:lang w:val="en-US"/>
        </w:rPr>
        <w:br w:type="page"/>
      </w:r>
      <w:r w:rsidR="00D74C71" w:rsidRPr="007E7DE8">
        <w:rPr>
          <w:i/>
          <w:iCs/>
          <w:lang w:val="en-US"/>
        </w:rPr>
        <w:lastRenderedPageBreak/>
        <w:t>Step 2</w:t>
      </w:r>
      <w:r w:rsidR="00D74C71">
        <w:rPr>
          <w:lang w:val="en-US"/>
        </w:rPr>
        <w:t>:</w:t>
      </w:r>
      <w:r w:rsidR="00D74C71" w:rsidRPr="004C0A79">
        <w:rPr>
          <w:lang w:val="en-US"/>
        </w:rPr>
        <w:tab/>
        <w:t xml:space="preserve">Assuming each FSS satellite has two co-frequency cross-polarized transponders that encompass the ISS (victim) receiver bandwidth, determine the number of interfering earth stations per FSS satellite (e.g. for 1 m earth station with transmission bandwidth of 768 kHz and ISS bandwidth of 10 MHz, number of interfering earth stations per transponder is 10 MHz/768 kHz </w:t>
      </w:r>
      <w:r w:rsidR="00D74C71">
        <w:sym w:font="Symbol" w:char="F040"/>
      </w:r>
      <w:r w:rsidR="00D74C71" w:rsidRPr="004C0A79">
        <w:rPr>
          <w:lang w:val="en-US"/>
        </w:rPr>
        <w:t xml:space="preserve"> 13 earth stations × 2 transponders per satellite = 26 interfering earth stations per FSS satellite).</w:t>
      </w:r>
    </w:p>
    <w:p w:rsidR="00D74C71" w:rsidRPr="004C0A79" w:rsidRDefault="00D74C71" w:rsidP="00F01F01">
      <w:pPr>
        <w:rPr>
          <w:lang w:val="en-US"/>
        </w:rPr>
      </w:pPr>
      <w:r w:rsidRPr="007E7DE8">
        <w:rPr>
          <w:i/>
          <w:iCs/>
          <w:lang w:val="en-US"/>
        </w:rPr>
        <w:t>Step 3</w:t>
      </w:r>
      <w:r>
        <w:rPr>
          <w:lang w:val="en-US"/>
        </w:rPr>
        <w:t>:</w:t>
      </w:r>
      <w:r w:rsidRPr="004C0A79">
        <w:rPr>
          <w:lang w:val="en-US"/>
        </w:rPr>
        <w:tab/>
        <w:t>Load worldwide city database consisting of 2 763 cities with population and latitude/longitude data.</w:t>
      </w:r>
    </w:p>
    <w:p w:rsidR="00D74C71" w:rsidRPr="004C0A79" w:rsidRDefault="00D74C71" w:rsidP="00F01F01">
      <w:pPr>
        <w:rPr>
          <w:lang w:val="en-US"/>
        </w:rPr>
      </w:pPr>
      <w:r w:rsidRPr="007E7DE8">
        <w:rPr>
          <w:i/>
          <w:iCs/>
          <w:lang w:val="en-US"/>
        </w:rPr>
        <w:t>Step 4</w:t>
      </w:r>
      <w:r>
        <w:rPr>
          <w:lang w:val="en-US"/>
        </w:rPr>
        <w:t>:</w:t>
      </w:r>
      <w:r w:rsidRPr="004C0A79">
        <w:rPr>
          <w:lang w:val="en-US"/>
        </w:rPr>
        <w:tab/>
        <w:t xml:space="preserve">Specify a population threshold and extract those cities from the database whose population exceed this threshold (e.g. 545 cities have population </w:t>
      </w:r>
      <w:r>
        <w:sym w:font="Symbol" w:char="F0B3"/>
      </w:r>
      <w:r w:rsidRPr="004C0A79">
        <w:rPr>
          <w:lang w:val="en-US"/>
        </w:rPr>
        <w:t xml:space="preserve"> 500 000 people).</w:t>
      </w:r>
    </w:p>
    <w:p w:rsidR="00D74C71" w:rsidRPr="004C0A79" w:rsidRDefault="00D74C71" w:rsidP="00F01F01">
      <w:pPr>
        <w:rPr>
          <w:lang w:val="en-US"/>
        </w:rPr>
      </w:pPr>
      <w:r w:rsidRPr="007E7DE8">
        <w:rPr>
          <w:i/>
          <w:iCs/>
          <w:lang w:val="en-US"/>
        </w:rPr>
        <w:t>Step 5</w:t>
      </w:r>
      <w:r>
        <w:rPr>
          <w:lang w:val="en-US"/>
        </w:rPr>
        <w:t>:</w:t>
      </w:r>
      <w:r w:rsidRPr="004C0A79">
        <w:rPr>
          <w:lang w:val="en-US"/>
        </w:rPr>
        <w:tab/>
        <w:t xml:space="preserve">Compute the equivalent area urban radii of the cities in Step 4 using the empirical relationship </w:t>
      </w:r>
      <w:r w:rsidRPr="00DE5F39">
        <w:rPr>
          <w:i/>
          <w:iCs/>
          <w:lang w:val="en-US"/>
        </w:rPr>
        <w:t>R</w:t>
      </w:r>
      <w:r w:rsidRPr="00DE5F39">
        <w:rPr>
          <w:i/>
          <w:iCs/>
          <w:vertAlign w:val="subscript"/>
          <w:lang w:val="en-US"/>
        </w:rPr>
        <w:t>p</w:t>
      </w:r>
      <w:r w:rsidRPr="004C0A79">
        <w:rPr>
          <w:lang w:val="en-US"/>
        </w:rPr>
        <w:t xml:space="preserve"> = </w:t>
      </w:r>
      <w:r>
        <w:sym w:font="Symbol" w:char="F061"/>
      </w:r>
      <w:r w:rsidRPr="00DE5F39">
        <w:rPr>
          <w:i/>
          <w:iCs/>
          <w:lang w:val="en-US"/>
        </w:rPr>
        <w:t>P</w:t>
      </w:r>
      <w:r>
        <w:rPr>
          <w:vertAlign w:val="superscript"/>
        </w:rPr>
        <w:sym w:font="Symbol" w:char="F062"/>
      </w:r>
      <w:r w:rsidRPr="004C0A79">
        <w:rPr>
          <w:lang w:val="en-US"/>
        </w:rPr>
        <w:t xml:space="preserve"> (km) where </w:t>
      </w:r>
      <w:r w:rsidRPr="00DE5F39">
        <w:rPr>
          <w:i/>
          <w:iCs/>
          <w:lang w:val="en-US"/>
        </w:rPr>
        <w:t>P</w:t>
      </w:r>
      <w:r w:rsidRPr="004C0A79">
        <w:rPr>
          <w:lang w:val="en-US"/>
        </w:rPr>
        <w:t xml:space="preserve"> is the city population and </w:t>
      </w:r>
      <w:r>
        <w:sym w:font="Symbol" w:char="F061"/>
      </w:r>
      <w:r w:rsidRPr="004C0A79">
        <w:rPr>
          <w:lang w:val="en-US"/>
        </w:rPr>
        <w:t xml:space="preserve"> and </w:t>
      </w:r>
      <w:r>
        <w:sym w:font="Symbol" w:char="F062"/>
      </w:r>
      <w:r w:rsidRPr="004C0A79">
        <w:rPr>
          <w:lang w:val="en-US"/>
        </w:rPr>
        <w:t xml:space="preserve"> are constants (see Recommendation ITU</w:t>
      </w:r>
      <w:r w:rsidRPr="004C0A79">
        <w:rPr>
          <w:lang w:val="en-US"/>
        </w:rPr>
        <w:noBreakHyphen/>
        <w:t xml:space="preserve">R F.1509). For the </w:t>
      </w:r>
      <w:smartTag w:uri="urn:schemas-microsoft-com:office:smarttags" w:element="place">
        <w:smartTag w:uri="urn:schemas-microsoft-com:office:smarttags" w:element="country-region">
          <w:r w:rsidR="007E7DE8">
            <w:rPr>
              <w:lang w:val="en-US"/>
            </w:rPr>
            <w:t>United States of America</w:t>
          </w:r>
        </w:smartTag>
      </w:smartTag>
      <w:r w:rsidRPr="004C0A79">
        <w:rPr>
          <w:lang w:val="en-US"/>
        </w:rPr>
        <w:t xml:space="preserve">, </w:t>
      </w:r>
      <w:r>
        <w:sym w:font="Symbol" w:char="F061"/>
      </w:r>
      <w:r w:rsidRPr="004C0A79">
        <w:rPr>
          <w:lang w:val="en-US"/>
        </w:rPr>
        <w:t xml:space="preserve"> = 0.035 and </w:t>
      </w:r>
      <w:r>
        <w:sym w:font="Symbol" w:char="F062"/>
      </w:r>
      <w:r w:rsidRPr="004C0A79">
        <w:rPr>
          <w:lang w:val="en-US"/>
        </w:rPr>
        <w:t xml:space="preserve"> = 0.44 were used. For other areas of the world, </w:t>
      </w:r>
      <w:r>
        <w:sym w:font="Symbol" w:char="F061"/>
      </w:r>
      <w:r w:rsidRPr="004C0A79">
        <w:rPr>
          <w:lang w:val="en-US"/>
        </w:rPr>
        <w:t xml:space="preserve"> = 0.0155 and </w:t>
      </w:r>
      <w:r>
        <w:sym w:font="Symbol" w:char="F062"/>
      </w:r>
      <w:r w:rsidRPr="004C0A79">
        <w:rPr>
          <w:lang w:val="en-US"/>
        </w:rPr>
        <w:t xml:space="preserve"> = 0.44 were used. </w:t>
      </w:r>
    </w:p>
    <w:p w:rsidR="00D74C71" w:rsidRPr="004C0A79" w:rsidRDefault="00D74C71" w:rsidP="00F01F01">
      <w:pPr>
        <w:rPr>
          <w:lang w:val="en-US"/>
        </w:rPr>
      </w:pPr>
      <w:r w:rsidRPr="007E7DE8">
        <w:rPr>
          <w:i/>
          <w:iCs/>
          <w:lang w:val="en-US"/>
        </w:rPr>
        <w:t>Step 6</w:t>
      </w:r>
      <w:r>
        <w:rPr>
          <w:lang w:val="en-US"/>
        </w:rPr>
        <w:t>:</w:t>
      </w:r>
      <w:r w:rsidRPr="004C0A79">
        <w:rPr>
          <w:lang w:val="en-US"/>
        </w:rPr>
        <w:tab/>
        <w:t>Specify number of FSS GSO satellites and their orbital spacing and set their orbital locations (e.g. in this analysis 120 FSS satellites were assumed at 3° spacing).</w:t>
      </w:r>
    </w:p>
    <w:p w:rsidR="00D74C71" w:rsidRPr="004C0A79" w:rsidRDefault="00D74C71" w:rsidP="00D74C71">
      <w:pPr>
        <w:pStyle w:val="enumlev1"/>
        <w:rPr>
          <w:lang w:val="en-US"/>
        </w:rPr>
      </w:pPr>
      <w:r w:rsidRPr="007E7DE8">
        <w:rPr>
          <w:i/>
          <w:iCs/>
          <w:lang w:val="en-US"/>
        </w:rPr>
        <w:t>Step 7</w:t>
      </w:r>
      <w:r>
        <w:rPr>
          <w:lang w:val="en-US"/>
        </w:rPr>
        <w:t>:</w:t>
      </w:r>
      <w:r w:rsidRPr="004C0A79">
        <w:rPr>
          <w:lang w:val="en-US"/>
        </w:rPr>
        <w:tab/>
        <w:t xml:space="preserve">For </w:t>
      </w:r>
      <w:r w:rsidRPr="004C0A79">
        <w:rPr>
          <w:i/>
          <w:iCs/>
          <w:lang w:val="en-US"/>
        </w:rPr>
        <w:t>each</w:t>
      </w:r>
      <w:r w:rsidRPr="004C0A79">
        <w:rPr>
          <w:lang w:val="en-US"/>
        </w:rPr>
        <w:t xml:space="preserve"> FSS GSO satellite perform the following steps:</w:t>
      </w:r>
    </w:p>
    <w:p w:rsidR="00D74C71" w:rsidRPr="004C0A79" w:rsidRDefault="00D74C71" w:rsidP="00D74C71">
      <w:pPr>
        <w:pStyle w:val="enumlev2"/>
        <w:rPr>
          <w:lang w:val="en-US"/>
        </w:rPr>
      </w:pPr>
      <w:r>
        <w:rPr>
          <w:lang w:val="en-US"/>
        </w:rPr>
        <w:t>7</w:t>
      </w:r>
      <w:r w:rsidRPr="004C0A79">
        <w:rPr>
          <w:lang w:val="en-US"/>
        </w:rPr>
        <w:t>a</w:t>
      </w:r>
      <w:r>
        <w:rPr>
          <w:lang w:val="en-US"/>
        </w:rPr>
        <w:t>:</w:t>
      </w:r>
      <w:r w:rsidRPr="004C0A79">
        <w:rPr>
          <w:lang w:val="en-US"/>
        </w:rPr>
        <w:tab/>
        <w:t>Determine which cities in Step 4 are visible from the GSO orbital location based on a specified minimum elevation angle (e.g. 20° used in this analysis).</w:t>
      </w:r>
    </w:p>
    <w:p w:rsidR="00D74C71" w:rsidRPr="004C0A79" w:rsidRDefault="00D74C71" w:rsidP="00D74C71">
      <w:pPr>
        <w:pStyle w:val="enumlev2"/>
        <w:rPr>
          <w:lang w:val="en-US"/>
        </w:rPr>
      </w:pPr>
      <w:r>
        <w:rPr>
          <w:lang w:val="en-US"/>
        </w:rPr>
        <w:t>7</w:t>
      </w:r>
      <w:r w:rsidRPr="004C0A79">
        <w:rPr>
          <w:lang w:val="en-US"/>
        </w:rPr>
        <w:t>b</w:t>
      </w:r>
      <w:r>
        <w:rPr>
          <w:lang w:val="en-US"/>
        </w:rPr>
        <w:t>:</w:t>
      </w:r>
      <w:r w:rsidRPr="004C0A79">
        <w:rPr>
          <w:lang w:val="en-US"/>
        </w:rPr>
        <w:tab/>
        <w:t>Take this subset of visible cities and sort them in descending order of population.</w:t>
      </w:r>
    </w:p>
    <w:p w:rsidR="00D74C71" w:rsidRPr="004C0A79" w:rsidRDefault="00D74C71" w:rsidP="00D74C71">
      <w:pPr>
        <w:pStyle w:val="enumlev2"/>
        <w:rPr>
          <w:lang w:val="en-US"/>
        </w:rPr>
      </w:pPr>
      <w:r>
        <w:rPr>
          <w:lang w:val="en-US"/>
        </w:rPr>
        <w:t>7</w:t>
      </w:r>
      <w:r w:rsidRPr="004C0A79">
        <w:rPr>
          <w:lang w:val="en-US"/>
        </w:rPr>
        <w:t>c</w:t>
      </w:r>
      <w:r>
        <w:rPr>
          <w:lang w:val="en-US"/>
        </w:rPr>
        <w:t>:</w:t>
      </w:r>
      <w:r w:rsidRPr="004C0A79">
        <w:rPr>
          <w:lang w:val="en-US"/>
        </w:rPr>
        <w:tab/>
        <w:t>Let </w:t>
      </w:r>
      <w:r w:rsidRPr="004C0A79">
        <w:rPr>
          <w:i/>
          <w:iCs/>
          <w:lang w:val="en-US"/>
        </w:rPr>
        <w:t>m</w:t>
      </w:r>
      <w:r w:rsidRPr="004C0A79">
        <w:rPr>
          <w:lang w:val="en-US"/>
        </w:rPr>
        <w:t xml:space="preserve"> be the number of earth stations computed in Step 2 and let </w:t>
      </w:r>
      <w:r w:rsidRPr="004C0A79">
        <w:rPr>
          <w:i/>
          <w:iCs/>
          <w:lang w:val="en-US"/>
        </w:rPr>
        <w:t>N</w:t>
      </w:r>
      <w:r w:rsidRPr="004C0A79">
        <w:rPr>
          <w:lang w:val="en-US"/>
        </w:rPr>
        <w:t xml:space="preserve"> be the number of cities (sorted in descending order of population) in Step 7b. Randomly distribute the </w:t>
      </w:r>
      <w:r w:rsidRPr="004C0A79">
        <w:rPr>
          <w:i/>
          <w:iCs/>
          <w:lang w:val="en-US"/>
        </w:rPr>
        <w:t>m</w:t>
      </w:r>
      <w:r w:rsidRPr="004C0A79">
        <w:rPr>
          <w:lang w:val="en-US"/>
        </w:rPr>
        <w:t xml:space="preserve"> earth stations among the </w:t>
      </w:r>
      <w:r w:rsidRPr="004C0A79">
        <w:rPr>
          <w:i/>
          <w:iCs/>
          <w:lang w:val="en-US"/>
        </w:rPr>
        <w:t>N</w:t>
      </w:r>
      <w:r w:rsidRPr="004C0A79">
        <w:rPr>
          <w:lang w:val="en-US"/>
        </w:rPr>
        <w:t xml:space="preserve"> cities according to a normal distribution as follows:</w:t>
      </w:r>
    </w:p>
    <w:p w:rsidR="00D74C71" w:rsidRPr="004C0A79" w:rsidRDefault="00D74C71" w:rsidP="00D74C71">
      <w:pPr>
        <w:pStyle w:val="enumlev3"/>
        <w:rPr>
          <w:lang w:val="en-US"/>
        </w:rPr>
      </w:pPr>
      <w:r w:rsidRPr="004C0A79">
        <w:rPr>
          <w:lang w:val="en-US"/>
        </w:rPr>
        <w:t>i)</w:t>
      </w:r>
      <w:r w:rsidRPr="004C0A79">
        <w:rPr>
          <w:lang w:val="en-US"/>
        </w:rPr>
        <w:tab/>
        <w:t xml:space="preserve">Generate a large number </w:t>
      </w:r>
      <w:r w:rsidRPr="004C0A79">
        <w:rPr>
          <w:i/>
          <w:iCs/>
          <w:lang w:val="en-US"/>
        </w:rPr>
        <w:t>K</w:t>
      </w:r>
      <w:r w:rsidRPr="004C0A79">
        <w:rPr>
          <w:lang w:val="en-US"/>
        </w:rPr>
        <w:t xml:space="preserve"> (e.g. </w:t>
      </w:r>
      <w:r w:rsidRPr="004C0A79">
        <w:rPr>
          <w:i/>
          <w:iCs/>
          <w:lang w:val="en-US"/>
        </w:rPr>
        <w:t>K</w:t>
      </w:r>
      <w:r w:rsidRPr="004C0A79">
        <w:rPr>
          <w:lang w:val="en-US"/>
        </w:rPr>
        <w:t xml:space="preserve"> = 10 000) of normally distributed random samples with mean = 1 and standard deviation </w:t>
      </w:r>
      <w:r>
        <w:sym w:font="Symbol" w:char="F073"/>
      </w:r>
      <w:r w:rsidRPr="004C0A79">
        <w:rPr>
          <w:lang w:val="en-US"/>
        </w:rPr>
        <w:t xml:space="preserve"> = (</w:t>
      </w:r>
      <w:r w:rsidRPr="004C0A79">
        <w:rPr>
          <w:i/>
          <w:iCs/>
          <w:lang w:val="en-US"/>
        </w:rPr>
        <w:t>N</w:t>
      </w:r>
      <w:r w:rsidRPr="004C0A79">
        <w:rPr>
          <w:lang w:val="en-US"/>
        </w:rPr>
        <w:t> − 1)/3. This will cause about 99.75% of the samples to be between 1 − 3</w:t>
      </w:r>
      <w:r>
        <w:sym w:font="Symbol" w:char="F073"/>
      </w:r>
      <w:r w:rsidRPr="004C0A79">
        <w:rPr>
          <w:lang w:val="en-US"/>
        </w:rPr>
        <w:t> = 2 − </w:t>
      </w:r>
      <w:r w:rsidRPr="004C0A79">
        <w:rPr>
          <w:i/>
          <w:iCs/>
          <w:lang w:val="en-US"/>
        </w:rPr>
        <w:t>N</w:t>
      </w:r>
      <w:r w:rsidRPr="004C0A79">
        <w:rPr>
          <w:lang w:val="en-US"/>
        </w:rPr>
        <w:t xml:space="preserve"> and 1 + 3</w:t>
      </w:r>
      <w:r>
        <w:sym w:font="Symbol" w:char="F073"/>
      </w:r>
      <w:r w:rsidRPr="004C0A79">
        <w:rPr>
          <w:lang w:val="en-US"/>
        </w:rPr>
        <w:t> = </w:t>
      </w:r>
      <w:r w:rsidRPr="004C0A79">
        <w:rPr>
          <w:i/>
          <w:iCs/>
          <w:lang w:val="en-US"/>
        </w:rPr>
        <w:t>N.</w:t>
      </w:r>
    </w:p>
    <w:p w:rsidR="00D74C71" w:rsidRPr="004C0A79" w:rsidRDefault="00D74C71" w:rsidP="00D74C71">
      <w:pPr>
        <w:pStyle w:val="enumlev3"/>
        <w:rPr>
          <w:lang w:val="en-US"/>
        </w:rPr>
      </w:pPr>
      <w:r w:rsidRPr="004C0A79">
        <w:rPr>
          <w:lang w:val="en-US"/>
        </w:rPr>
        <w:t>ii)</w:t>
      </w:r>
      <w:r w:rsidRPr="004C0A79">
        <w:rPr>
          <w:lang w:val="en-US"/>
        </w:rPr>
        <w:tab/>
        <w:t xml:space="preserve">Extract those samples (~ </w:t>
      </w:r>
      <w:r w:rsidRPr="004C0A79">
        <w:rPr>
          <w:i/>
          <w:iCs/>
          <w:lang w:val="en-US"/>
        </w:rPr>
        <w:t>K</w:t>
      </w:r>
      <w:r w:rsidRPr="004C0A79">
        <w:rPr>
          <w:lang w:val="en-US"/>
        </w:rPr>
        <w:t xml:space="preserve">/2) that are </w:t>
      </w:r>
      <w:r>
        <w:sym w:font="Symbol" w:char="F0B3"/>
      </w:r>
      <w:r w:rsidRPr="004C0A79">
        <w:rPr>
          <w:lang w:val="en-US"/>
        </w:rPr>
        <w:t xml:space="preserve"> 1 and select </w:t>
      </w:r>
      <w:r w:rsidRPr="004C0A79">
        <w:rPr>
          <w:i/>
          <w:iCs/>
          <w:lang w:val="en-US"/>
        </w:rPr>
        <w:t>m</w:t>
      </w:r>
      <w:r w:rsidRPr="004C0A79">
        <w:rPr>
          <w:lang w:val="en-US"/>
        </w:rPr>
        <w:t xml:space="preserve"> samples out of this subset.</w:t>
      </w:r>
    </w:p>
    <w:p w:rsidR="00D74C71" w:rsidRPr="004C0A79" w:rsidRDefault="00D74C71" w:rsidP="00D74C71">
      <w:pPr>
        <w:pStyle w:val="enumlev3"/>
        <w:rPr>
          <w:lang w:val="en-US"/>
        </w:rPr>
      </w:pPr>
      <w:r w:rsidRPr="004C0A79">
        <w:rPr>
          <w:lang w:val="en-US"/>
        </w:rPr>
        <w:t>iii)</w:t>
      </w:r>
      <w:r w:rsidRPr="004C0A79">
        <w:rPr>
          <w:lang w:val="en-US"/>
        </w:rPr>
        <w:tab/>
        <w:t>Round the </w:t>
      </w:r>
      <w:r w:rsidRPr="004C0A79">
        <w:rPr>
          <w:i/>
          <w:iCs/>
          <w:lang w:val="en-US"/>
        </w:rPr>
        <w:t>m</w:t>
      </w:r>
      <w:r w:rsidRPr="004C0A79">
        <w:rPr>
          <w:lang w:val="en-US"/>
        </w:rPr>
        <w:t xml:space="preserve"> samples from Step </w:t>
      </w:r>
      <w:r>
        <w:rPr>
          <w:lang w:val="en-US"/>
        </w:rPr>
        <w:t>7c-</w:t>
      </w:r>
      <w:r w:rsidRPr="004C0A79">
        <w:rPr>
          <w:lang w:val="en-US"/>
        </w:rPr>
        <w:t>ii) downward to the nearest integer to get </w:t>
      </w:r>
      <w:r w:rsidRPr="004C0A79">
        <w:rPr>
          <w:i/>
          <w:iCs/>
          <w:lang w:val="en-US"/>
        </w:rPr>
        <w:t>m</w:t>
      </w:r>
      <w:r w:rsidRPr="004C0A79">
        <w:rPr>
          <w:lang w:val="en-US"/>
        </w:rPr>
        <w:t xml:space="preserve"> integers with values between 1 and </w:t>
      </w:r>
      <w:r w:rsidRPr="004C0A79">
        <w:rPr>
          <w:i/>
          <w:iCs/>
          <w:lang w:val="en-US"/>
        </w:rPr>
        <w:t>N</w:t>
      </w:r>
      <w:r w:rsidRPr="004C0A79">
        <w:rPr>
          <w:lang w:val="en-US"/>
        </w:rPr>
        <w:t xml:space="preserve">. </w:t>
      </w:r>
    </w:p>
    <w:p w:rsidR="00D74C71" w:rsidRPr="004C0A79" w:rsidRDefault="00D74C71" w:rsidP="00D74C71">
      <w:pPr>
        <w:pStyle w:val="enumlev3"/>
        <w:rPr>
          <w:lang w:val="en-US"/>
        </w:rPr>
      </w:pPr>
      <w:r w:rsidRPr="004C0A79">
        <w:rPr>
          <w:lang w:val="en-US"/>
        </w:rPr>
        <w:t>iv)</w:t>
      </w:r>
      <w:r w:rsidRPr="004C0A79">
        <w:rPr>
          <w:lang w:val="en-US"/>
        </w:rPr>
        <w:tab/>
        <w:t>Assign the </w:t>
      </w:r>
      <w:r w:rsidRPr="004C0A79">
        <w:rPr>
          <w:i/>
          <w:iCs/>
          <w:lang w:val="en-US"/>
        </w:rPr>
        <w:t>m</w:t>
      </w:r>
      <w:r w:rsidRPr="004C0A79">
        <w:rPr>
          <w:lang w:val="en-US"/>
        </w:rPr>
        <w:t xml:space="preserve"> earth stations to the </w:t>
      </w:r>
      <w:r w:rsidRPr="004C0A79">
        <w:rPr>
          <w:i/>
          <w:iCs/>
          <w:lang w:val="en-US"/>
        </w:rPr>
        <w:t>N</w:t>
      </w:r>
      <w:r w:rsidRPr="004C0A79">
        <w:rPr>
          <w:lang w:val="en-US"/>
        </w:rPr>
        <w:t xml:space="preserve"> cities according to the integer values in Step </w:t>
      </w:r>
      <w:r>
        <w:rPr>
          <w:lang w:val="en-US"/>
        </w:rPr>
        <w:t>7c-</w:t>
      </w:r>
      <w:r w:rsidRPr="004C0A79">
        <w:rPr>
          <w:lang w:val="en-US"/>
        </w:rPr>
        <w:t xml:space="preserve">iii) where the integer values correspond to the city indices of the </w:t>
      </w:r>
      <w:r w:rsidRPr="004C0A79">
        <w:rPr>
          <w:i/>
          <w:iCs/>
          <w:lang w:val="en-US"/>
        </w:rPr>
        <w:t>N</w:t>
      </w:r>
      <w:r w:rsidRPr="004C0A79">
        <w:rPr>
          <w:lang w:val="en-US"/>
        </w:rPr>
        <w:t xml:space="preserve"> visible cities. This results in the more populated cities having on average more earth stations than less populated cities.</w:t>
      </w:r>
    </w:p>
    <w:p w:rsidR="00D74C71" w:rsidRPr="004C0A79" w:rsidRDefault="00D74C71" w:rsidP="00F01F01">
      <w:pPr>
        <w:rPr>
          <w:lang w:val="en-US"/>
        </w:rPr>
      </w:pPr>
      <w:r w:rsidRPr="007E7DE8">
        <w:rPr>
          <w:i/>
          <w:iCs/>
          <w:lang w:val="en-US"/>
        </w:rPr>
        <w:t>Step 8</w:t>
      </w:r>
      <w:r>
        <w:rPr>
          <w:lang w:val="en-US"/>
        </w:rPr>
        <w:t>:</w:t>
      </w:r>
      <w:r w:rsidRPr="004C0A79">
        <w:rPr>
          <w:lang w:val="en-US"/>
        </w:rPr>
        <w:tab/>
        <w:t>After performing Step 7 for each FSS GSO satellite, determine the number of earth stations in each of the cities found in Step 4.</w:t>
      </w:r>
    </w:p>
    <w:p w:rsidR="00D74C71" w:rsidRPr="004C0A79" w:rsidRDefault="00D74C71" w:rsidP="00F01F01">
      <w:pPr>
        <w:rPr>
          <w:lang w:val="en-US"/>
        </w:rPr>
      </w:pPr>
      <w:r w:rsidRPr="007E7DE8">
        <w:rPr>
          <w:i/>
          <w:iCs/>
          <w:lang w:val="en-US"/>
        </w:rPr>
        <w:t>Step 9</w:t>
      </w:r>
      <w:r>
        <w:rPr>
          <w:lang w:val="en-US"/>
        </w:rPr>
        <w:t>:</w:t>
      </w:r>
      <w:r w:rsidRPr="004C0A79">
        <w:rPr>
          <w:lang w:val="en-US"/>
        </w:rPr>
        <w:tab/>
        <w:t xml:space="preserve">For each city in Step 8, randomly distribute the earth stations located in that city within a circular area according to its equivalent radius as found in Step 5. </w:t>
      </w:r>
    </w:p>
    <w:p w:rsidR="00D74C71" w:rsidRPr="00D74C71" w:rsidRDefault="00D74C71" w:rsidP="00D74C71">
      <w:pPr>
        <w:rPr>
          <w:lang w:val="en-US"/>
        </w:rPr>
      </w:pPr>
      <w:r w:rsidRPr="00D74C71">
        <w:rPr>
          <w:lang w:val="en-US"/>
        </w:rPr>
        <w:t xml:space="preserve">As a result of the assignment methodology, the earth stations are randomly assigned to the satellites that are visible. </w:t>
      </w:r>
      <w:r w:rsidRPr="00DE5F39">
        <w:rPr>
          <w:lang w:val="en-US"/>
        </w:rPr>
        <w:t xml:space="preserve">Figures 6 and </w:t>
      </w:r>
      <w:r>
        <w:rPr>
          <w:lang w:val="en-US"/>
        </w:rPr>
        <w:t>7</w:t>
      </w:r>
      <w:r w:rsidRPr="00DE5F39">
        <w:rPr>
          <w:lang w:val="en-US"/>
        </w:rPr>
        <w:t xml:space="preserve"> are illustrations of the earth station distribution resulting from this method for the case of the 75 cm earth stations. </w:t>
      </w:r>
      <w:r w:rsidRPr="00D74C71">
        <w:rPr>
          <w:lang w:val="en-US"/>
        </w:rPr>
        <w:t>In this case, earth stations are clustered around cities whose population exceeds 100 000.</w:t>
      </w:r>
    </w:p>
    <w:p w:rsidR="00D74C71" w:rsidRPr="00D74C71" w:rsidRDefault="00D74C71" w:rsidP="0008057B">
      <w:pPr>
        <w:keepNext/>
        <w:keepLines/>
        <w:rPr>
          <w:lang w:val="en-US"/>
        </w:rPr>
      </w:pPr>
      <w:r w:rsidRPr="00DE5F39">
        <w:rPr>
          <w:lang w:val="en-US"/>
        </w:rPr>
        <w:lastRenderedPageBreak/>
        <w:t xml:space="preserve">For a given earth station population, the methodology described above yields essentially the same results for multiple simulation runs (i.e. repeating Steps 1 to 9). </w:t>
      </w:r>
      <w:r w:rsidRPr="00D74C71">
        <w:rPr>
          <w:lang w:val="en-US"/>
        </w:rPr>
        <w:t xml:space="preserve">This was verified by performing multiple simulations for the </w:t>
      </w:r>
      <w:r w:rsidR="007E7DE8">
        <w:rPr>
          <w:lang w:val="en-US"/>
        </w:rPr>
        <w:t>1 m</w:t>
      </w:r>
      <w:r w:rsidRPr="00D74C71">
        <w:rPr>
          <w:lang w:val="en-US"/>
        </w:rPr>
        <w:t xml:space="preserve"> earth station scenario. The same interference results were obtained in each of these runs primarily because earth stations are always clustered about population centers and thus the interference geometry as viewed from the ISS orbit stays essentially constant.</w:t>
      </w:r>
    </w:p>
    <w:p w:rsidR="00D74C71" w:rsidRPr="00DF7412" w:rsidRDefault="00D74C71" w:rsidP="00D74C71">
      <w:pPr>
        <w:pStyle w:val="Heading3"/>
        <w:rPr>
          <w:lang w:val="en-US"/>
        </w:rPr>
      </w:pPr>
      <w:bookmarkStart w:id="102" w:name="_Toc84242635"/>
      <w:bookmarkStart w:id="103" w:name="_Toc224981519"/>
      <w:bookmarkStart w:id="104" w:name="_Toc225065808"/>
      <w:bookmarkStart w:id="105" w:name="_Toc226261836"/>
      <w:bookmarkStart w:id="106" w:name="_Toc256067096"/>
      <w:bookmarkStart w:id="107" w:name="_Toc256067175"/>
      <w:r w:rsidRPr="00DF7412">
        <w:rPr>
          <w:lang w:val="en-US"/>
        </w:rPr>
        <w:t>3.3.3</w:t>
      </w:r>
      <w:r w:rsidRPr="00DF7412">
        <w:rPr>
          <w:lang w:val="en-US"/>
        </w:rPr>
        <w:tab/>
        <w:t>Analysis results</w:t>
      </w:r>
      <w:bookmarkEnd w:id="102"/>
      <w:bookmarkEnd w:id="103"/>
      <w:bookmarkEnd w:id="104"/>
      <w:bookmarkEnd w:id="105"/>
      <w:bookmarkEnd w:id="106"/>
      <w:bookmarkEnd w:id="107"/>
    </w:p>
    <w:p w:rsidR="00D74C71" w:rsidRPr="00DE5F39" w:rsidRDefault="00D74C71" w:rsidP="00C434C8">
      <w:pPr>
        <w:rPr>
          <w:lang w:val="en-US"/>
        </w:rPr>
      </w:pPr>
      <w:r w:rsidRPr="00DE5F39">
        <w:rPr>
          <w:lang w:val="en-US"/>
        </w:rPr>
        <w:t xml:space="preserve">Based on the –139 dBW/10 MHz ISS interference threshold, Fig. 9 shows the cumulative interference statistics as a function of earth station e.i.r.p. density resulting from interference simulations of the various FSS scenarios. </w:t>
      </w:r>
      <w:r w:rsidRPr="00D74C71">
        <w:rPr>
          <w:lang w:val="en-US"/>
        </w:rPr>
        <w:t>Probabilities shown here are based on the total simulation period of 200 ISS orbits or approximately 13 days. (The 1 m, 1.8 m and 3 m cases were also run for 1</w:t>
      </w:r>
      <w:r w:rsidR="007E7DE8">
        <w:rPr>
          <w:lang w:val="en-US"/>
        </w:rPr>
        <w:t> </w:t>
      </w:r>
      <w:r w:rsidRPr="00D74C71">
        <w:rPr>
          <w:lang w:val="en-US"/>
        </w:rPr>
        <w:t xml:space="preserve">000 orbits or 64 days.) Note that e.i.r.p. density is the independent variable in this plot. </w:t>
      </w:r>
      <w:r w:rsidRPr="00DE5F39">
        <w:rPr>
          <w:lang w:val="en-US"/>
        </w:rPr>
        <w:t>For example, if the desired ISS availability is 99.90% (i.e. the aggregate interference should not exceed −139 dBW/10 MHz more than 0.1% of the time), the e.i.r.p. density of the 1 m earth stations should not exceed about –19 dB</w:t>
      </w:r>
      <w:r>
        <w:rPr>
          <w:lang w:val="en-US"/>
        </w:rPr>
        <w:t>(</w:t>
      </w:r>
      <w:r w:rsidRPr="00DE5F39">
        <w:rPr>
          <w:lang w:val="en-US"/>
        </w:rPr>
        <w:t>W/Hz</w:t>
      </w:r>
      <w:r>
        <w:rPr>
          <w:lang w:val="en-US"/>
        </w:rPr>
        <w:t>)</w:t>
      </w:r>
      <w:r w:rsidRPr="00DE5F39">
        <w:rPr>
          <w:lang w:val="en-US"/>
        </w:rPr>
        <w:t>. Likewise, the e.i.r.p. density of 2.4 m earth stations should not</w:t>
      </w:r>
      <w:r w:rsidR="007E7DE8">
        <w:rPr>
          <w:lang w:val="en-US"/>
        </w:rPr>
        <w:t> </w:t>
      </w:r>
      <w:r w:rsidRPr="00DE5F39">
        <w:rPr>
          <w:lang w:val="en-US"/>
        </w:rPr>
        <w:t xml:space="preserve">exceed </w:t>
      </w:r>
      <w:r>
        <w:rPr>
          <w:lang w:val="en-US"/>
        </w:rPr>
        <w:t>–</w:t>
      </w:r>
      <w:r w:rsidRPr="00DE5F39">
        <w:rPr>
          <w:lang w:val="en-US"/>
        </w:rPr>
        <w:t>9 dB</w:t>
      </w:r>
      <w:r>
        <w:rPr>
          <w:lang w:val="en-US"/>
        </w:rPr>
        <w:t>(</w:t>
      </w:r>
      <w:r w:rsidRPr="00DE5F39">
        <w:rPr>
          <w:lang w:val="en-US"/>
        </w:rPr>
        <w:t>W/Hz</w:t>
      </w:r>
      <w:r>
        <w:rPr>
          <w:lang w:val="en-US"/>
        </w:rPr>
        <w:t>)</w:t>
      </w:r>
      <w:r w:rsidRPr="00DE5F39">
        <w:rPr>
          <w:lang w:val="en-US"/>
        </w:rPr>
        <w:t xml:space="preserve">. </w:t>
      </w:r>
      <w:r w:rsidRPr="00D74C71">
        <w:rPr>
          <w:lang w:val="en-US"/>
        </w:rPr>
        <w:t>Changing the interference threshold shifts the curves either left or right in</w:t>
      </w:r>
      <w:r w:rsidR="00C434C8">
        <w:rPr>
          <w:lang w:val="en-US"/>
        </w:rPr>
        <w:t> </w:t>
      </w:r>
      <w:r w:rsidRPr="00D74C71">
        <w:rPr>
          <w:lang w:val="en-US"/>
        </w:rPr>
        <w:t xml:space="preserve">a linear fashion. </w:t>
      </w:r>
      <w:r w:rsidRPr="00DE5F39">
        <w:rPr>
          <w:lang w:val="en-US"/>
        </w:rPr>
        <w:t xml:space="preserve">For example, if the interference threshold </w:t>
      </w:r>
      <w:r w:rsidRPr="00DE5F39">
        <w:rPr>
          <w:color w:val="000000"/>
          <w:lang w:val="en-US"/>
        </w:rPr>
        <w:t>were –</w:t>
      </w:r>
      <w:r w:rsidRPr="00DE5F39">
        <w:rPr>
          <w:lang w:val="en-US"/>
        </w:rPr>
        <w:t>143 dBW/10 MHz instead</w:t>
      </w:r>
      <w:r w:rsidR="007E7DE8">
        <w:rPr>
          <w:lang w:val="en-US"/>
        </w:rPr>
        <w:t> o</w:t>
      </w:r>
      <w:r w:rsidRPr="00DE5F39">
        <w:rPr>
          <w:lang w:val="en-US"/>
        </w:rPr>
        <w:t>f</w:t>
      </w:r>
      <w:r w:rsidR="007E7DE8">
        <w:rPr>
          <w:lang w:val="en-US"/>
        </w:rPr>
        <w:t> </w:t>
      </w:r>
      <w:r w:rsidR="008E09C6">
        <w:rPr>
          <w:lang w:val="en-US"/>
        </w:rPr>
        <w:fldChar w:fldCharType="begin"/>
      </w:r>
      <w:r>
        <w:rPr>
          <w:lang w:val="en-US"/>
        </w:rPr>
        <w:instrText xml:space="preserve"> EQ  –</w:instrText>
      </w:r>
      <w:r w:rsidRPr="00DE5F39">
        <w:rPr>
          <w:lang w:val="en-US"/>
        </w:rPr>
        <w:instrText xml:space="preserve">139 dBW/10 MHz, </w:instrText>
      </w:r>
      <w:r w:rsidR="008E09C6">
        <w:rPr>
          <w:lang w:val="en-US"/>
        </w:rPr>
        <w:fldChar w:fldCharType="end"/>
      </w:r>
      <w:r w:rsidRPr="00DE5F39">
        <w:rPr>
          <w:lang w:val="en-US"/>
        </w:rPr>
        <w:t>the 1 m</w:t>
      </w:r>
      <w:r>
        <w:rPr>
          <w:lang w:val="en-US"/>
        </w:rPr>
        <w:t xml:space="preserve"> </w:t>
      </w:r>
      <w:r w:rsidRPr="00DE5F39">
        <w:rPr>
          <w:lang w:val="en-US"/>
        </w:rPr>
        <w:t>curve would cross the 0.1% probability level at −19 − 4 = −23 dB</w:t>
      </w:r>
      <w:r>
        <w:rPr>
          <w:lang w:val="en-US"/>
        </w:rPr>
        <w:t>(</w:t>
      </w:r>
      <w:r w:rsidRPr="00DE5F39">
        <w:rPr>
          <w:lang w:val="en-US"/>
        </w:rPr>
        <w:t>W/Hz</w:t>
      </w:r>
      <w:r>
        <w:rPr>
          <w:lang w:val="en-US"/>
        </w:rPr>
        <w:t>)</w:t>
      </w:r>
      <w:r w:rsidRPr="00DE5F39">
        <w:rPr>
          <w:lang w:val="en-US"/>
        </w:rPr>
        <w:t>.</w:t>
      </w:r>
    </w:p>
    <w:p w:rsidR="00D74C71" w:rsidRPr="00DE5F39" w:rsidRDefault="00D74C71" w:rsidP="00703493">
      <w:pPr>
        <w:rPr>
          <w:lang w:val="en-US"/>
        </w:rPr>
      </w:pPr>
      <w:r w:rsidRPr="00DE5F39">
        <w:rPr>
          <w:lang w:val="en-US"/>
        </w:rPr>
        <w:t xml:space="preserve">Figure </w:t>
      </w:r>
      <w:r>
        <w:rPr>
          <w:lang w:val="en-US"/>
        </w:rPr>
        <w:t>8</w:t>
      </w:r>
      <w:r w:rsidRPr="00DE5F39">
        <w:rPr>
          <w:lang w:val="en-US"/>
        </w:rPr>
        <w:t xml:space="preserve"> shows the plot of the average probability (over many orbits) of exceedance vs. the interference to the international space station forward link. The earth station e.i.r.p. densities used in Fig. 8 correspond to those shown in Table </w:t>
      </w:r>
      <w:r>
        <w:rPr>
          <w:lang w:val="en-US"/>
        </w:rPr>
        <w:t>5</w:t>
      </w:r>
      <w:r w:rsidRPr="00DE5F39">
        <w:rPr>
          <w:lang w:val="en-US"/>
        </w:rPr>
        <w:t xml:space="preserve">. </w:t>
      </w:r>
      <w:r w:rsidRPr="00D74C71">
        <w:rPr>
          <w:lang w:val="en-US"/>
        </w:rPr>
        <w:t xml:space="preserve">The e.i.r.p. densities of each earth station were selected so that the probability of interference threshold exceedance is </w:t>
      </w:r>
      <w:r w:rsidR="00703493">
        <w:rPr>
          <w:lang w:val="en-US"/>
        </w:rPr>
        <w:t>0.</w:t>
      </w:r>
      <w:r w:rsidRPr="00D74C71">
        <w:rPr>
          <w:lang w:val="en-US"/>
        </w:rPr>
        <w:t xml:space="preserve">1% (−139 dBW/10 MHz). </w:t>
      </w:r>
      <w:r w:rsidRPr="00DE5F39">
        <w:rPr>
          <w:lang w:val="en-US"/>
        </w:rPr>
        <w:t>Also shown is the result of 240 4.5 m antennas deployed with an e.i.r.p. density of 3.2 dB</w:t>
      </w:r>
      <w:r>
        <w:rPr>
          <w:lang w:val="en-US"/>
        </w:rPr>
        <w:t>(</w:t>
      </w:r>
      <w:r w:rsidRPr="00DE5F39">
        <w:rPr>
          <w:lang w:val="en-US"/>
        </w:rPr>
        <w:t>W/Hz</w:t>
      </w:r>
      <w:r>
        <w:rPr>
          <w:lang w:val="en-US"/>
        </w:rPr>
        <w:t>)</w:t>
      </w:r>
      <w:r w:rsidRPr="00DE5F39">
        <w:rPr>
          <w:lang w:val="en-US"/>
        </w:rPr>
        <w:t xml:space="preserve"> (limit set by </w:t>
      </w:r>
      <w:r w:rsidR="00703493">
        <w:rPr>
          <w:lang w:val="en-US"/>
        </w:rPr>
        <w:t>No.</w:t>
      </w:r>
      <w:r w:rsidRPr="00DE5F39">
        <w:rPr>
          <w:lang w:val="en-US"/>
        </w:rPr>
        <w:t xml:space="preserve"> 5.503</w:t>
      </w:r>
      <w:r w:rsidR="00703493">
        <w:rPr>
          <w:lang w:val="en-US"/>
        </w:rPr>
        <w:t xml:space="preserve"> of the Radio Regulations</w:t>
      </w:r>
      <w:r w:rsidRPr="00DE5F39">
        <w:rPr>
          <w:lang w:val="en-US"/>
        </w:rPr>
        <w:t xml:space="preserve"> prior to WRC-03).</w:t>
      </w:r>
    </w:p>
    <w:p w:rsidR="00D74C71" w:rsidRPr="00DE5F39" w:rsidRDefault="00D74C71" w:rsidP="00C434C8">
      <w:pPr>
        <w:rPr>
          <w:lang w:val="en-US"/>
        </w:rPr>
      </w:pPr>
      <w:r w:rsidRPr="00DE5F39">
        <w:rPr>
          <w:lang w:val="en-US"/>
        </w:rPr>
        <w:t>Figure 1</w:t>
      </w:r>
      <w:r w:rsidR="00C434C8">
        <w:rPr>
          <w:lang w:val="en-US"/>
        </w:rPr>
        <w:t>0</w:t>
      </w:r>
      <w:r w:rsidRPr="00DE5F39">
        <w:rPr>
          <w:lang w:val="en-US"/>
        </w:rPr>
        <w:t xml:space="preserve"> is also based on a </w:t>
      </w:r>
      <w:r w:rsidR="00703493" w:rsidRPr="00703493">
        <w:rPr>
          <w:lang w:val="en-US"/>
        </w:rPr>
        <w:t>–</w:t>
      </w:r>
      <w:r w:rsidRPr="00DE5F39">
        <w:rPr>
          <w:lang w:val="en-US"/>
        </w:rPr>
        <w:t>139 dBW/10 MHz interference threshold, but shows the percentage in terms of the ISS orbit period (</w:t>
      </w:r>
      <w:r w:rsidRPr="00DE5F39">
        <w:rPr>
          <w:i/>
          <w:iCs/>
          <w:lang w:val="en-US"/>
        </w:rPr>
        <w:t>T</w:t>
      </w:r>
      <w:r w:rsidRPr="00DE5F39">
        <w:rPr>
          <w:i/>
          <w:iCs/>
          <w:vertAlign w:val="subscript"/>
          <w:lang w:val="en-US"/>
        </w:rPr>
        <w:t>P</w:t>
      </w:r>
      <w:r w:rsidRPr="00D74C71">
        <w:rPr>
          <w:lang w:val="en-US"/>
        </w:rPr>
        <w:t xml:space="preserve"> </w:t>
      </w:r>
      <w:r w:rsidRPr="00DE5F39">
        <w:rPr>
          <w:lang w:val="en-US"/>
        </w:rPr>
        <w:t>=</w:t>
      </w:r>
      <w:r>
        <w:rPr>
          <w:lang w:val="en-US"/>
        </w:rPr>
        <w:t xml:space="preserve"> </w:t>
      </w:r>
      <w:r w:rsidRPr="00DE5F39">
        <w:rPr>
          <w:lang w:val="en-US"/>
        </w:rPr>
        <w:t xml:space="preserve">92.7 min) for the worst case orbit instead of the average time over many orbits. </w:t>
      </w:r>
      <w:r w:rsidRPr="00D74C71">
        <w:rPr>
          <w:lang w:val="en-US"/>
        </w:rPr>
        <w:t xml:space="preserve">Note that this represents a much more stringent basis for establishing FSS e.i.r.p. density limits. </w:t>
      </w:r>
      <w:r w:rsidRPr="00DE5F39">
        <w:rPr>
          <w:lang w:val="en-US"/>
        </w:rPr>
        <w:t>Referring to the earlier example, an e.i.r.p. density limit of −19 dB(W/Hz</w:t>
      </w:r>
      <w:r>
        <w:rPr>
          <w:lang w:val="en-US"/>
        </w:rPr>
        <w:t>)</w:t>
      </w:r>
      <w:r w:rsidRPr="00DE5F39">
        <w:rPr>
          <w:lang w:val="en-US"/>
        </w:rPr>
        <w:t xml:space="preserve"> on the 1 m earth stations yields an average probability of exceedance of 0.1%, but represents a 1% exceedance in terms of the worst case ISS orbit. The 2.4 m earth stations with an e.i.r.p. density of −9 dB</w:t>
      </w:r>
      <w:r>
        <w:rPr>
          <w:lang w:val="en-US"/>
        </w:rPr>
        <w:t>(</w:t>
      </w:r>
      <w:r w:rsidRPr="00DE5F39">
        <w:rPr>
          <w:lang w:val="en-US"/>
        </w:rPr>
        <w:t>W/Hz</w:t>
      </w:r>
      <w:r>
        <w:rPr>
          <w:lang w:val="en-US"/>
        </w:rPr>
        <w:t>)</w:t>
      </w:r>
      <w:r w:rsidRPr="00DE5F39">
        <w:rPr>
          <w:lang w:val="en-US"/>
        </w:rPr>
        <w:t xml:space="preserve"> will exceed the −139 dBW/10 MHz interference threshold about 0.3% of the time for the worst orbit. </w:t>
      </w:r>
    </w:p>
    <w:p w:rsidR="006943B9" w:rsidRDefault="00D74C71" w:rsidP="00703493">
      <w:pPr>
        <w:rPr>
          <w:lang w:val="en-US"/>
        </w:rPr>
      </w:pPr>
      <w:r w:rsidRPr="00D74C71">
        <w:rPr>
          <w:lang w:val="en-US"/>
        </w:rPr>
        <w:t xml:space="preserve">The simulations performed for this study considered six different FSS antenna sizes. In order to estimate appropriate e.i.r.p. density limits for other antenna sizes, an e.i.r.p. density mask based on a linear approximation of the above data was developed. </w:t>
      </w:r>
      <w:r w:rsidRPr="00DE5F39">
        <w:rPr>
          <w:lang w:val="en-US"/>
        </w:rPr>
        <w:t>Referring again to Table 5 or Fig. </w:t>
      </w:r>
      <w:r>
        <w:rPr>
          <w:lang w:val="en-US"/>
        </w:rPr>
        <w:t>10</w:t>
      </w:r>
      <w:r w:rsidRPr="00DE5F39">
        <w:rPr>
          <w:lang w:val="en-US"/>
        </w:rPr>
        <w:t>, the e.i.r.p. density values for the −139 dBW/10 MHz threshold and the 0.1% probability level for the selected earth station sizes are −21.0 (75 cm), −19.2 (1 m), −12.9 (1.8 m), −9.2 (2.4 m), −4.6 (3 m) and −1.4 (4.5 m) dB</w:t>
      </w:r>
      <w:r>
        <w:rPr>
          <w:lang w:val="en-US"/>
        </w:rPr>
        <w:t>(</w:t>
      </w:r>
      <w:r w:rsidRPr="00DE5F39">
        <w:rPr>
          <w:lang w:val="en-US"/>
        </w:rPr>
        <w:t>W/Hz</w:t>
      </w:r>
      <w:r>
        <w:rPr>
          <w:lang w:val="en-US"/>
        </w:rPr>
        <w:t>)</w:t>
      </w:r>
      <w:r w:rsidRPr="00DE5F39">
        <w:rPr>
          <w:lang w:val="en-US"/>
        </w:rPr>
        <w:t xml:space="preserve">. </w:t>
      </w:r>
      <w:r w:rsidRPr="00370B88">
        <w:rPr>
          <w:lang w:val="en-US"/>
        </w:rPr>
        <w:t xml:space="preserve">A plot of these e.i.r.p. densities vs. antenna size is shown in Fig. 11. </w:t>
      </w:r>
      <w:r w:rsidRPr="00D74C71">
        <w:rPr>
          <w:lang w:val="en-US"/>
        </w:rPr>
        <w:t>Using this plot, a linearized e.i.r.p. density mask may be determined.</w:t>
      </w:r>
    </w:p>
    <w:p w:rsidR="001E673C" w:rsidRPr="001E673C" w:rsidRDefault="00703493" w:rsidP="00830E1C">
      <w:pPr>
        <w:pStyle w:val="TableNo"/>
        <w:rPr>
          <w:lang w:val="en-US"/>
        </w:rPr>
      </w:pPr>
      <w:r>
        <w:rPr>
          <w:lang w:val="en-US"/>
        </w:rPr>
        <w:br w:type="page"/>
      </w:r>
      <w:r w:rsidR="001E673C" w:rsidRPr="001E673C">
        <w:rPr>
          <w:lang w:val="en-US"/>
        </w:rPr>
        <w:lastRenderedPageBreak/>
        <w:t xml:space="preserve">TABLE </w:t>
      </w:r>
      <w:r w:rsidR="002612DA">
        <w:rPr>
          <w:lang w:val="en-US"/>
        </w:rPr>
        <w:t>5</w:t>
      </w:r>
    </w:p>
    <w:p w:rsidR="001E673C" w:rsidRPr="001E673C" w:rsidRDefault="001E673C" w:rsidP="001E673C">
      <w:pPr>
        <w:pStyle w:val="Tabletitle"/>
        <w:rPr>
          <w:lang w:val="en-US"/>
        </w:rPr>
      </w:pPr>
      <w:r w:rsidRPr="001E673C">
        <w:rPr>
          <w:lang w:val="en-US"/>
        </w:rPr>
        <w:t>13.75-14 GHz earth station simulation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150"/>
        <w:gridCol w:w="1255"/>
        <w:gridCol w:w="1253"/>
        <w:gridCol w:w="1336"/>
        <w:gridCol w:w="1268"/>
        <w:gridCol w:w="1201"/>
        <w:gridCol w:w="1176"/>
      </w:tblGrid>
      <w:tr w:rsidR="001E673C">
        <w:trPr>
          <w:cantSplit/>
          <w:jc w:val="center"/>
        </w:trPr>
        <w:tc>
          <w:tcPr>
            <w:tcW w:w="1115" w:type="pct"/>
            <w:tcMar>
              <w:left w:w="57" w:type="dxa"/>
              <w:right w:w="28" w:type="dxa"/>
            </w:tcMar>
          </w:tcPr>
          <w:p w:rsidR="001E673C" w:rsidRPr="00DA22B5" w:rsidRDefault="001E673C" w:rsidP="00DA22B5">
            <w:pPr>
              <w:pStyle w:val="Tablehead"/>
              <w:rPr>
                <w:sz w:val="20"/>
                <w:lang w:val="en-US"/>
              </w:rPr>
            </w:pPr>
          </w:p>
        </w:tc>
        <w:tc>
          <w:tcPr>
            <w:tcW w:w="651" w:type="pct"/>
            <w:tcMar>
              <w:left w:w="57" w:type="dxa"/>
              <w:right w:w="28" w:type="dxa"/>
            </w:tcMar>
          </w:tcPr>
          <w:p w:rsidR="001E673C" w:rsidRPr="00DA22B5" w:rsidRDefault="001E673C" w:rsidP="00EC2F97">
            <w:pPr>
              <w:pStyle w:val="Tablehead"/>
              <w:rPr>
                <w:bCs/>
                <w:sz w:val="20"/>
              </w:rPr>
            </w:pPr>
            <w:r w:rsidRPr="00DA22B5">
              <w:rPr>
                <w:bCs/>
                <w:sz w:val="20"/>
              </w:rPr>
              <w:t>Case 1</w:t>
            </w:r>
          </w:p>
        </w:tc>
        <w:tc>
          <w:tcPr>
            <w:tcW w:w="650" w:type="pct"/>
            <w:tcMar>
              <w:left w:w="57" w:type="dxa"/>
              <w:right w:w="28" w:type="dxa"/>
            </w:tcMar>
          </w:tcPr>
          <w:p w:rsidR="001E673C" w:rsidRPr="00DA22B5" w:rsidRDefault="001E673C" w:rsidP="00EC2F97">
            <w:pPr>
              <w:pStyle w:val="Tablehead"/>
              <w:rPr>
                <w:bCs/>
                <w:sz w:val="20"/>
              </w:rPr>
            </w:pPr>
            <w:r w:rsidRPr="00DA22B5">
              <w:rPr>
                <w:bCs/>
                <w:sz w:val="20"/>
              </w:rPr>
              <w:t>Case 2</w:t>
            </w:r>
          </w:p>
        </w:tc>
        <w:tc>
          <w:tcPr>
            <w:tcW w:w="693" w:type="pct"/>
            <w:tcMar>
              <w:left w:w="57" w:type="dxa"/>
              <w:right w:w="28" w:type="dxa"/>
            </w:tcMar>
          </w:tcPr>
          <w:p w:rsidR="001E673C" w:rsidRPr="00DA22B5" w:rsidRDefault="001E673C" w:rsidP="00EC2F97">
            <w:pPr>
              <w:pStyle w:val="Tablehead"/>
              <w:rPr>
                <w:bCs/>
                <w:sz w:val="20"/>
              </w:rPr>
            </w:pPr>
            <w:r w:rsidRPr="00DA22B5">
              <w:rPr>
                <w:bCs/>
                <w:sz w:val="20"/>
              </w:rPr>
              <w:t>Case 3</w:t>
            </w:r>
          </w:p>
        </w:tc>
        <w:tc>
          <w:tcPr>
            <w:tcW w:w="658" w:type="pct"/>
            <w:tcMar>
              <w:left w:w="57" w:type="dxa"/>
              <w:right w:w="28" w:type="dxa"/>
            </w:tcMar>
          </w:tcPr>
          <w:p w:rsidR="001E673C" w:rsidRPr="00DA22B5" w:rsidRDefault="001E673C" w:rsidP="00EC2F97">
            <w:pPr>
              <w:pStyle w:val="Tablehead"/>
              <w:rPr>
                <w:bCs/>
                <w:sz w:val="20"/>
              </w:rPr>
            </w:pPr>
            <w:r w:rsidRPr="00DA22B5">
              <w:rPr>
                <w:bCs/>
                <w:sz w:val="20"/>
              </w:rPr>
              <w:t>Case 4</w:t>
            </w:r>
          </w:p>
        </w:tc>
        <w:tc>
          <w:tcPr>
            <w:tcW w:w="623" w:type="pct"/>
            <w:tcMar>
              <w:left w:w="57" w:type="dxa"/>
              <w:right w:w="28" w:type="dxa"/>
            </w:tcMar>
          </w:tcPr>
          <w:p w:rsidR="001E673C" w:rsidRPr="00DA22B5" w:rsidRDefault="001E673C" w:rsidP="00EC2F97">
            <w:pPr>
              <w:pStyle w:val="Tablehead"/>
              <w:rPr>
                <w:bCs/>
                <w:sz w:val="20"/>
              </w:rPr>
            </w:pPr>
            <w:r w:rsidRPr="00DA22B5">
              <w:rPr>
                <w:bCs/>
                <w:sz w:val="20"/>
              </w:rPr>
              <w:t>Case 5</w:t>
            </w:r>
          </w:p>
        </w:tc>
        <w:tc>
          <w:tcPr>
            <w:tcW w:w="610" w:type="pct"/>
            <w:tcMar>
              <w:left w:w="57" w:type="dxa"/>
              <w:right w:w="28" w:type="dxa"/>
            </w:tcMar>
          </w:tcPr>
          <w:p w:rsidR="001E673C" w:rsidRPr="00DA22B5" w:rsidRDefault="001E673C" w:rsidP="00EC2F97">
            <w:pPr>
              <w:pStyle w:val="Tablehead"/>
              <w:rPr>
                <w:bCs/>
                <w:sz w:val="20"/>
              </w:rPr>
            </w:pPr>
            <w:r w:rsidRPr="00DA22B5">
              <w:rPr>
                <w:bCs/>
                <w:sz w:val="20"/>
              </w:rPr>
              <w:t>Case 6</w:t>
            </w:r>
          </w:p>
        </w:tc>
      </w:tr>
      <w:tr w:rsidR="001E673C">
        <w:trPr>
          <w:cantSplit/>
          <w:jc w:val="center"/>
        </w:trPr>
        <w:tc>
          <w:tcPr>
            <w:tcW w:w="1115" w:type="pct"/>
            <w:tcMar>
              <w:left w:w="57" w:type="dxa"/>
              <w:right w:w="28" w:type="dxa"/>
            </w:tcMar>
          </w:tcPr>
          <w:p w:rsidR="001E673C" w:rsidRPr="00DA22B5" w:rsidRDefault="001E673C" w:rsidP="00EC2F97">
            <w:pPr>
              <w:pStyle w:val="Tabletext"/>
              <w:jc w:val="left"/>
              <w:rPr>
                <w:sz w:val="20"/>
              </w:rPr>
            </w:pPr>
            <w:r w:rsidRPr="00DA22B5">
              <w:rPr>
                <w:sz w:val="20"/>
              </w:rPr>
              <w:t>Ant</w:t>
            </w:r>
            <w:r w:rsidR="00EC2F97">
              <w:rPr>
                <w:sz w:val="20"/>
              </w:rPr>
              <w:t>enna</w:t>
            </w:r>
            <w:r w:rsidRPr="00DA22B5">
              <w:rPr>
                <w:sz w:val="20"/>
              </w:rPr>
              <w:t xml:space="preserve"> </w:t>
            </w:r>
            <w:r w:rsidR="00EC2F97">
              <w:rPr>
                <w:sz w:val="20"/>
              </w:rPr>
              <w:t>d</w:t>
            </w:r>
            <w:r w:rsidRPr="00DA22B5">
              <w:rPr>
                <w:sz w:val="20"/>
              </w:rPr>
              <w:t>iameter</w:t>
            </w:r>
            <w:r w:rsidR="00EC2F97">
              <w:rPr>
                <w:sz w:val="20"/>
              </w:rPr>
              <w:t xml:space="preserve"> (m)</w:t>
            </w:r>
          </w:p>
        </w:tc>
        <w:tc>
          <w:tcPr>
            <w:tcW w:w="651" w:type="pct"/>
            <w:tcMar>
              <w:left w:w="57" w:type="dxa"/>
              <w:right w:w="28" w:type="dxa"/>
            </w:tcMar>
          </w:tcPr>
          <w:p w:rsidR="001E673C" w:rsidRPr="00DA22B5" w:rsidRDefault="001E673C" w:rsidP="00EC2F97">
            <w:pPr>
              <w:pStyle w:val="Tabletext"/>
              <w:jc w:val="center"/>
              <w:rPr>
                <w:sz w:val="20"/>
              </w:rPr>
            </w:pPr>
            <w:r w:rsidRPr="00DA22B5">
              <w:rPr>
                <w:sz w:val="20"/>
              </w:rPr>
              <w:t>0.75</w:t>
            </w:r>
          </w:p>
        </w:tc>
        <w:tc>
          <w:tcPr>
            <w:tcW w:w="650" w:type="pct"/>
            <w:tcMar>
              <w:left w:w="57" w:type="dxa"/>
              <w:right w:w="28" w:type="dxa"/>
            </w:tcMar>
          </w:tcPr>
          <w:p w:rsidR="001E673C" w:rsidRPr="00DA22B5" w:rsidRDefault="001E673C" w:rsidP="00EC2F97">
            <w:pPr>
              <w:pStyle w:val="Tabletext"/>
              <w:jc w:val="center"/>
              <w:rPr>
                <w:sz w:val="20"/>
              </w:rPr>
            </w:pPr>
            <w:r w:rsidRPr="00DA22B5">
              <w:rPr>
                <w:sz w:val="20"/>
              </w:rPr>
              <w:t>1.0</w:t>
            </w:r>
          </w:p>
        </w:tc>
        <w:tc>
          <w:tcPr>
            <w:tcW w:w="693" w:type="pct"/>
            <w:tcMar>
              <w:left w:w="57" w:type="dxa"/>
              <w:right w:w="28" w:type="dxa"/>
            </w:tcMar>
          </w:tcPr>
          <w:p w:rsidR="001E673C" w:rsidRPr="00DA22B5" w:rsidRDefault="001E673C" w:rsidP="00EC2F97">
            <w:pPr>
              <w:pStyle w:val="Tabletext"/>
              <w:jc w:val="center"/>
              <w:rPr>
                <w:sz w:val="20"/>
              </w:rPr>
            </w:pPr>
            <w:r w:rsidRPr="00DA22B5">
              <w:rPr>
                <w:sz w:val="20"/>
              </w:rPr>
              <w:t>1.8</w:t>
            </w:r>
          </w:p>
        </w:tc>
        <w:tc>
          <w:tcPr>
            <w:tcW w:w="658" w:type="pct"/>
            <w:tcMar>
              <w:left w:w="57" w:type="dxa"/>
              <w:right w:w="28" w:type="dxa"/>
            </w:tcMar>
          </w:tcPr>
          <w:p w:rsidR="001E673C" w:rsidRPr="00DA22B5" w:rsidRDefault="001E673C" w:rsidP="00EC2F97">
            <w:pPr>
              <w:pStyle w:val="Tabletext"/>
              <w:jc w:val="center"/>
              <w:rPr>
                <w:sz w:val="20"/>
              </w:rPr>
            </w:pPr>
            <w:r w:rsidRPr="00DA22B5">
              <w:rPr>
                <w:sz w:val="20"/>
              </w:rPr>
              <w:t>2.4</w:t>
            </w:r>
          </w:p>
        </w:tc>
        <w:tc>
          <w:tcPr>
            <w:tcW w:w="623" w:type="pct"/>
            <w:tcMar>
              <w:left w:w="57" w:type="dxa"/>
              <w:right w:w="28" w:type="dxa"/>
            </w:tcMar>
          </w:tcPr>
          <w:p w:rsidR="001E673C" w:rsidRPr="00DA22B5" w:rsidRDefault="001E673C" w:rsidP="00EC2F97">
            <w:pPr>
              <w:pStyle w:val="Tabletext"/>
              <w:jc w:val="center"/>
              <w:rPr>
                <w:sz w:val="20"/>
              </w:rPr>
            </w:pPr>
            <w:r w:rsidRPr="00DA22B5">
              <w:rPr>
                <w:sz w:val="20"/>
              </w:rPr>
              <w:t>3.0</w:t>
            </w:r>
          </w:p>
        </w:tc>
        <w:tc>
          <w:tcPr>
            <w:tcW w:w="610" w:type="pct"/>
            <w:tcMar>
              <w:left w:w="57" w:type="dxa"/>
              <w:right w:w="28" w:type="dxa"/>
            </w:tcMar>
          </w:tcPr>
          <w:p w:rsidR="001E673C" w:rsidRPr="00DA22B5" w:rsidRDefault="001E673C" w:rsidP="00EC2F97">
            <w:pPr>
              <w:pStyle w:val="Tabletext"/>
              <w:jc w:val="center"/>
              <w:rPr>
                <w:sz w:val="20"/>
              </w:rPr>
            </w:pPr>
            <w:r w:rsidRPr="00DA22B5">
              <w:rPr>
                <w:sz w:val="20"/>
              </w:rPr>
              <w:t>4.5</w:t>
            </w:r>
          </w:p>
        </w:tc>
      </w:tr>
      <w:tr w:rsidR="001E673C">
        <w:trPr>
          <w:cantSplit/>
          <w:jc w:val="center"/>
        </w:trPr>
        <w:tc>
          <w:tcPr>
            <w:tcW w:w="1115" w:type="pct"/>
            <w:tcMar>
              <w:left w:w="57" w:type="dxa"/>
              <w:right w:w="28" w:type="dxa"/>
            </w:tcMar>
          </w:tcPr>
          <w:p w:rsidR="001E673C" w:rsidRPr="00DA22B5" w:rsidRDefault="001E673C" w:rsidP="00DA22B5">
            <w:pPr>
              <w:pStyle w:val="Tabletext"/>
              <w:jc w:val="left"/>
              <w:rPr>
                <w:sz w:val="20"/>
              </w:rPr>
            </w:pPr>
            <w:r w:rsidRPr="00DA22B5">
              <w:rPr>
                <w:sz w:val="20"/>
              </w:rPr>
              <w:t>Ant</w:t>
            </w:r>
            <w:r w:rsidR="00EC2F97">
              <w:rPr>
                <w:sz w:val="20"/>
              </w:rPr>
              <w:t>enna</w:t>
            </w:r>
            <w:r w:rsidRPr="00DA22B5">
              <w:rPr>
                <w:sz w:val="20"/>
              </w:rPr>
              <w:t xml:space="preserve"> </w:t>
            </w:r>
            <w:r w:rsidR="00EC2F97">
              <w:rPr>
                <w:sz w:val="20"/>
              </w:rPr>
              <w:t>g</w:t>
            </w:r>
            <w:r w:rsidRPr="00DA22B5">
              <w:rPr>
                <w:sz w:val="20"/>
              </w:rPr>
              <w:t>ain</w:t>
            </w:r>
            <w:r w:rsidR="00EC2F97">
              <w:rPr>
                <w:sz w:val="20"/>
              </w:rPr>
              <w:t xml:space="preserve"> (dBi)</w:t>
            </w:r>
            <w:r w:rsidR="00EC2F97">
              <w:rPr>
                <w:sz w:val="20"/>
              </w:rPr>
              <w:br/>
            </w:r>
            <w:r w:rsidRPr="00DA22B5">
              <w:rPr>
                <w:sz w:val="20"/>
              </w:rPr>
              <w:t>(13.775 GHz)</w:t>
            </w:r>
          </w:p>
        </w:tc>
        <w:tc>
          <w:tcPr>
            <w:tcW w:w="651" w:type="pct"/>
            <w:tcMar>
              <w:left w:w="57" w:type="dxa"/>
              <w:right w:w="28" w:type="dxa"/>
            </w:tcMar>
          </w:tcPr>
          <w:p w:rsidR="001E673C" w:rsidRPr="00DA22B5" w:rsidRDefault="001E673C" w:rsidP="00EC2F97">
            <w:pPr>
              <w:pStyle w:val="Tabletext"/>
              <w:jc w:val="center"/>
              <w:rPr>
                <w:sz w:val="20"/>
              </w:rPr>
            </w:pPr>
            <w:r w:rsidRPr="00DA22B5">
              <w:rPr>
                <w:sz w:val="20"/>
              </w:rPr>
              <w:t>38.5</w:t>
            </w:r>
          </w:p>
        </w:tc>
        <w:tc>
          <w:tcPr>
            <w:tcW w:w="650" w:type="pct"/>
            <w:tcMar>
              <w:left w:w="57" w:type="dxa"/>
              <w:right w:w="28" w:type="dxa"/>
            </w:tcMar>
          </w:tcPr>
          <w:p w:rsidR="001E673C" w:rsidRPr="00DA22B5" w:rsidRDefault="001E673C" w:rsidP="00EC2F97">
            <w:pPr>
              <w:pStyle w:val="Tabletext"/>
              <w:jc w:val="center"/>
              <w:rPr>
                <w:sz w:val="20"/>
              </w:rPr>
            </w:pPr>
            <w:r w:rsidRPr="00DA22B5">
              <w:rPr>
                <w:sz w:val="20"/>
              </w:rPr>
              <w:t>41</w:t>
            </w:r>
          </w:p>
        </w:tc>
        <w:tc>
          <w:tcPr>
            <w:tcW w:w="693" w:type="pct"/>
            <w:tcMar>
              <w:left w:w="57" w:type="dxa"/>
              <w:right w:w="28" w:type="dxa"/>
            </w:tcMar>
          </w:tcPr>
          <w:p w:rsidR="001E673C" w:rsidRPr="00DA22B5" w:rsidRDefault="001E673C" w:rsidP="00EC2F97">
            <w:pPr>
              <w:pStyle w:val="Tabletext"/>
              <w:jc w:val="center"/>
              <w:rPr>
                <w:sz w:val="20"/>
              </w:rPr>
            </w:pPr>
            <w:r w:rsidRPr="00DA22B5">
              <w:rPr>
                <w:sz w:val="20"/>
              </w:rPr>
              <w:t>46.1</w:t>
            </w:r>
          </w:p>
        </w:tc>
        <w:tc>
          <w:tcPr>
            <w:tcW w:w="658" w:type="pct"/>
            <w:tcMar>
              <w:left w:w="57" w:type="dxa"/>
              <w:right w:w="28" w:type="dxa"/>
            </w:tcMar>
          </w:tcPr>
          <w:p w:rsidR="001E673C" w:rsidRPr="00DA22B5" w:rsidRDefault="001E673C" w:rsidP="00EC2F97">
            <w:pPr>
              <w:pStyle w:val="Tabletext"/>
              <w:jc w:val="center"/>
              <w:rPr>
                <w:sz w:val="20"/>
              </w:rPr>
            </w:pPr>
            <w:r w:rsidRPr="00DA22B5">
              <w:rPr>
                <w:sz w:val="20"/>
              </w:rPr>
              <w:t>48.6</w:t>
            </w:r>
          </w:p>
        </w:tc>
        <w:tc>
          <w:tcPr>
            <w:tcW w:w="623" w:type="pct"/>
            <w:tcMar>
              <w:left w:w="57" w:type="dxa"/>
              <w:right w:w="28" w:type="dxa"/>
            </w:tcMar>
          </w:tcPr>
          <w:p w:rsidR="001E673C" w:rsidRPr="00DA22B5" w:rsidRDefault="001E673C" w:rsidP="00EC2F97">
            <w:pPr>
              <w:pStyle w:val="Tabletext"/>
              <w:jc w:val="center"/>
              <w:rPr>
                <w:sz w:val="20"/>
              </w:rPr>
            </w:pPr>
            <w:r w:rsidRPr="00DA22B5">
              <w:rPr>
                <w:sz w:val="20"/>
              </w:rPr>
              <w:t>50.5</w:t>
            </w:r>
          </w:p>
        </w:tc>
        <w:tc>
          <w:tcPr>
            <w:tcW w:w="610" w:type="pct"/>
            <w:tcMar>
              <w:left w:w="57" w:type="dxa"/>
              <w:right w:w="28" w:type="dxa"/>
            </w:tcMar>
          </w:tcPr>
          <w:p w:rsidR="001E673C" w:rsidRPr="00DA22B5" w:rsidRDefault="001E673C" w:rsidP="00EC2F97">
            <w:pPr>
              <w:pStyle w:val="Tabletext"/>
              <w:jc w:val="center"/>
              <w:rPr>
                <w:sz w:val="20"/>
              </w:rPr>
            </w:pPr>
            <w:r w:rsidRPr="00DA22B5">
              <w:rPr>
                <w:sz w:val="20"/>
              </w:rPr>
              <w:t>54</w:t>
            </w:r>
          </w:p>
        </w:tc>
      </w:tr>
      <w:tr w:rsidR="001E673C">
        <w:trPr>
          <w:cantSplit/>
          <w:jc w:val="center"/>
        </w:trPr>
        <w:tc>
          <w:tcPr>
            <w:tcW w:w="1115" w:type="pct"/>
            <w:tcMar>
              <w:left w:w="57" w:type="dxa"/>
              <w:right w:w="28" w:type="dxa"/>
            </w:tcMar>
          </w:tcPr>
          <w:p w:rsidR="001E673C" w:rsidRPr="00230C27" w:rsidRDefault="001E673C" w:rsidP="00DA22B5">
            <w:pPr>
              <w:pStyle w:val="Tabletext"/>
              <w:jc w:val="left"/>
              <w:rPr>
                <w:sz w:val="20"/>
                <w:lang w:val="en-US"/>
              </w:rPr>
            </w:pPr>
            <w:r w:rsidRPr="00230C27">
              <w:rPr>
                <w:sz w:val="20"/>
                <w:lang w:val="en-US"/>
              </w:rPr>
              <w:t>Source data rate</w:t>
            </w:r>
            <w:r w:rsidR="00230C27" w:rsidRPr="00230C27">
              <w:rPr>
                <w:sz w:val="20"/>
                <w:lang w:val="en-US"/>
              </w:rPr>
              <w:t xml:space="preserve"> </w:t>
            </w:r>
          </w:p>
        </w:tc>
        <w:tc>
          <w:tcPr>
            <w:tcW w:w="651" w:type="pct"/>
            <w:tcMar>
              <w:left w:w="57" w:type="dxa"/>
              <w:right w:w="28" w:type="dxa"/>
            </w:tcMar>
          </w:tcPr>
          <w:p w:rsidR="001E673C" w:rsidRPr="00DA22B5" w:rsidRDefault="001E673C" w:rsidP="00EC2F97">
            <w:pPr>
              <w:pStyle w:val="Tabletext"/>
              <w:jc w:val="center"/>
              <w:rPr>
                <w:sz w:val="20"/>
              </w:rPr>
            </w:pPr>
            <w:r w:rsidRPr="00DA22B5">
              <w:rPr>
                <w:sz w:val="20"/>
              </w:rPr>
              <w:t>64 </w:t>
            </w:r>
            <w:r w:rsidR="00B14AD5">
              <w:rPr>
                <w:sz w:val="20"/>
              </w:rPr>
              <w:t>kbit/s</w:t>
            </w:r>
          </w:p>
        </w:tc>
        <w:tc>
          <w:tcPr>
            <w:tcW w:w="650" w:type="pct"/>
            <w:tcMar>
              <w:left w:w="57" w:type="dxa"/>
              <w:right w:w="28" w:type="dxa"/>
            </w:tcMar>
          </w:tcPr>
          <w:p w:rsidR="001E673C" w:rsidRPr="00DA22B5" w:rsidRDefault="001E673C" w:rsidP="00EC2F97">
            <w:pPr>
              <w:pStyle w:val="Tabletext"/>
              <w:jc w:val="center"/>
              <w:rPr>
                <w:sz w:val="20"/>
              </w:rPr>
            </w:pPr>
            <w:r w:rsidRPr="00DA22B5">
              <w:rPr>
                <w:sz w:val="20"/>
              </w:rPr>
              <w:t>384 </w:t>
            </w:r>
            <w:r w:rsidR="00B14AD5">
              <w:rPr>
                <w:sz w:val="20"/>
              </w:rPr>
              <w:t>kbit/s</w:t>
            </w:r>
          </w:p>
        </w:tc>
        <w:tc>
          <w:tcPr>
            <w:tcW w:w="693" w:type="pct"/>
            <w:tcMar>
              <w:left w:w="57" w:type="dxa"/>
              <w:right w:w="28" w:type="dxa"/>
            </w:tcMar>
          </w:tcPr>
          <w:p w:rsidR="001E673C" w:rsidRPr="00DA22B5" w:rsidRDefault="001E673C" w:rsidP="00EC2F97">
            <w:pPr>
              <w:pStyle w:val="Tabletext"/>
              <w:jc w:val="center"/>
              <w:rPr>
                <w:sz w:val="20"/>
              </w:rPr>
            </w:pPr>
            <w:r w:rsidRPr="00DA22B5">
              <w:rPr>
                <w:sz w:val="20"/>
              </w:rPr>
              <w:t>1.544 Mb</w:t>
            </w:r>
            <w:r w:rsidR="00B14AD5">
              <w:rPr>
                <w:sz w:val="20"/>
              </w:rPr>
              <w:t>it/s</w:t>
            </w:r>
            <w:r w:rsidRPr="00DA22B5">
              <w:rPr>
                <w:sz w:val="20"/>
              </w:rPr>
              <w:t xml:space="preserve"> (T1)</w:t>
            </w:r>
          </w:p>
        </w:tc>
        <w:tc>
          <w:tcPr>
            <w:tcW w:w="658" w:type="pct"/>
            <w:tcMar>
              <w:left w:w="57" w:type="dxa"/>
              <w:right w:w="28" w:type="dxa"/>
            </w:tcMar>
          </w:tcPr>
          <w:p w:rsidR="001E673C" w:rsidRPr="00DA22B5" w:rsidRDefault="001E673C" w:rsidP="00EC2F97">
            <w:pPr>
              <w:pStyle w:val="Tabletext"/>
              <w:jc w:val="center"/>
              <w:rPr>
                <w:sz w:val="20"/>
              </w:rPr>
            </w:pPr>
            <w:r w:rsidRPr="00DA22B5">
              <w:rPr>
                <w:sz w:val="20"/>
              </w:rPr>
              <w:t>2.048 M</w:t>
            </w:r>
            <w:r w:rsidR="00B14AD5" w:rsidRPr="00DA22B5">
              <w:rPr>
                <w:sz w:val="20"/>
              </w:rPr>
              <w:t>b</w:t>
            </w:r>
            <w:r w:rsidR="00B14AD5">
              <w:rPr>
                <w:sz w:val="20"/>
              </w:rPr>
              <w:t>it/s</w:t>
            </w:r>
            <w:r w:rsidRPr="00DA22B5">
              <w:rPr>
                <w:sz w:val="20"/>
              </w:rPr>
              <w:t xml:space="preserve"> (E1)</w:t>
            </w:r>
          </w:p>
        </w:tc>
        <w:tc>
          <w:tcPr>
            <w:tcW w:w="623" w:type="pct"/>
            <w:tcMar>
              <w:left w:w="57" w:type="dxa"/>
              <w:right w:w="28" w:type="dxa"/>
            </w:tcMar>
          </w:tcPr>
          <w:p w:rsidR="001E673C" w:rsidRPr="00DA22B5" w:rsidRDefault="001E673C" w:rsidP="00EC2F97">
            <w:pPr>
              <w:pStyle w:val="Tabletext"/>
              <w:jc w:val="center"/>
              <w:rPr>
                <w:sz w:val="20"/>
              </w:rPr>
            </w:pPr>
            <w:r w:rsidRPr="00DA22B5">
              <w:rPr>
                <w:sz w:val="20"/>
              </w:rPr>
              <w:t xml:space="preserve">8.448 </w:t>
            </w:r>
            <w:r w:rsidR="00B14AD5">
              <w:rPr>
                <w:sz w:val="20"/>
              </w:rPr>
              <w:t>M</w:t>
            </w:r>
            <w:r w:rsidR="00B14AD5" w:rsidRPr="00DA22B5">
              <w:rPr>
                <w:sz w:val="20"/>
              </w:rPr>
              <w:t>b</w:t>
            </w:r>
            <w:r w:rsidR="00B14AD5">
              <w:rPr>
                <w:sz w:val="20"/>
              </w:rPr>
              <w:t>it/s</w:t>
            </w:r>
            <w:r w:rsidRPr="00DA22B5">
              <w:rPr>
                <w:sz w:val="20"/>
              </w:rPr>
              <w:t xml:space="preserve"> (E2)</w:t>
            </w:r>
          </w:p>
        </w:tc>
        <w:tc>
          <w:tcPr>
            <w:tcW w:w="610" w:type="pct"/>
            <w:tcMar>
              <w:left w:w="57" w:type="dxa"/>
              <w:right w:w="28" w:type="dxa"/>
            </w:tcMar>
          </w:tcPr>
          <w:p w:rsidR="001E673C" w:rsidRPr="00DA22B5" w:rsidRDefault="001E673C" w:rsidP="00235DD6">
            <w:pPr>
              <w:pStyle w:val="Tabletext"/>
              <w:ind w:left="-57"/>
              <w:jc w:val="center"/>
              <w:rPr>
                <w:sz w:val="20"/>
              </w:rPr>
            </w:pPr>
            <w:r w:rsidRPr="00DA22B5">
              <w:rPr>
                <w:sz w:val="20"/>
              </w:rPr>
              <w:t>34.368 M</w:t>
            </w:r>
            <w:r w:rsidR="00B14AD5" w:rsidRPr="00DA22B5">
              <w:rPr>
                <w:sz w:val="20"/>
              </w:rPr>
              <w:t>b</w:t>
            </w:r>
            <w:r w:rsidR="00B14AD5">
              <w:rPr>
                <w:sz w:val="20"/>
              </w:rPr>
              <w:t>it/s</w:t>
            </w:r>
            <w:r w:rsidRPr="00DA22B5">
              <w:rPr>
                <w:sz w:val="20"/>
              </w:rPr>
              <w:t xml:space="preserve"> (E3)</w:t>
            </w:r>
          </w:p>
        </w:tc>
      </w:tr>
      <w:tr w:rsidR="001E673C">
        <w:trPr>
          <w:cantSplit/>
          <w:jc w:val="center"/>
        </w:trPr>
        <w:tc>
          <w:tcPr>
            <w:tcW w:w="1115" w:type="pct"/>
            <w:tcMar>
              <w:left w:w="57" w:type="dxa"/>
              <w:right w:w="28" w:type="dxa"/>
            </w:tcMar>
          </w:tcPr>
          <w:p w:rsidR="001E673C" w:rsidRPr="00DA22B5" w:rsidRDefault="001E673C" w:rsidP="00DA22B5">
            <w:pPr>
              <w:pStyle w:val="Tabletext"/>
              <w:jc w:val="left"/>
              <w:rPr>
                <w:sz w:val="20"/>
              </w:rPr>
            </w:pPr>
            <w:r w:rsidRPr="00DA22B5">
              <w:rPr>
                <w:sz w:val="20"/>
              </w:rPr>
              <w:t>Coding</w:t>
            </w:r>
          </w:p>
        </w:tc>
        <w:tc>
          <w:tcPr>
            <w:tcW w:w="651" w:type="pct"/>
            <w:tcMar>
              <w:left w:w="57" w:type="dxa"/>
              <w:right w:w="28" w:type="dxa"/>
            </w:tcMar>
          </w:tcPr>
          <w:p w:rsidR="001E673C" w:rsidRPr="00DA22B5" w:rsidRDefault="001E673C" w:rsidP="00EC2F97">
            <w:pPr>
              <w:pStyle w:val="Tabletext"/>
              <w:jc w:val="center"/>
              <w:rPr>
                <w:sz w:val="20"/>
              </w:rPr>
            </w:pPr>
            <w:r w:rsidRPr="00DA22B5">
              <w:rPr>
                <w:sz w:val="20"/>
              </w:rPr>
              <w:t>Convolutional rate 1/2</w:t>
            </w:r>
          </w:p>
        </w:tc>
        <w:tc>
          <w:tcPr>
            <w:tcW w:w="650" w:type="pct"/>
            <w:tcMar>
              <w:left w:w="57" w:type="dxa"/>
              <w:right w:w="28" w:type="dxa"/>
            </w:tcMar>
          </w:tcPr>
          <w:p w:rsidR="001E673C" w:rsidRPr="00DA22B5" w:rsidRDefault="001E673C" w:rsidP="00EC2F97">
            <w:pPr>
              <w:pStyle w:val="Tabletext"/>
              <w:jc w:val="center"/>
              <w:rPr>
                <w:sz w:val="20"/>
              </w:rPr>
            </w:pPr>
            <w:r w:rsidRPr="00DA22B5">
              <w:rPr>
                <w:sz w:val="20"/>
              </w:rPr>
              <w:t>Convolutional rate 1/2</w:t>
            </w:r>
          </w:p>
        </w:tc>
        <w:tc>
          <w:tcPr>
            <w:tcW w:w="693" w:type="pct"/>
            <w:tcMar>
              <w:left w:w="57" w:type="dxa"/>
              <w:right w:w="28" w:type="dxa"/>
            </w:tcMar>
          </w:tcPr>
          <w:p w:rsidR="001E673C" w:rsidRPr="00DA22B5" w:rsidRDefault="001E673C" w:rsidP="00EC2F97">
            <w:pPr>
              <w:pStyle w:val="Tabletext"/>
              <w:jc w:val="center"/>
              <w:rPr>
                <w:sz w:val="20"/>
              </w:rPr>
            </w:pPr>
            <w:r w:rsidRPr="00DA22B5">
              <w:rPr>
                <w:sz w:val="20"/>
              </w:rPr>
              <w:t>Convolutional rate 1/2</w:t>
            </w:r>
          </w:p>
        </w:tc>
        <w:tc>
          <w:tcPr>
            <w:tcW w:w="658" w:type="pct"/>
            <w:tcMar>
              <w:left w:w="57" w:type="dxa"/>
              <w:right w:w="28" w:type="dxa"/>
            </w:tcMar>
          </w:tcPr>
          <w:p w:rsidR="001E673C" w:rsidRPr="00DA22B5" w:rsidRDefault="001E673C" w:rsidP="00EC2F97">
            <w:pPr>
              <w:pStyle w:val="Tabletext"/>
              <w:jc w:val="center"/>
              <w:rPr>
                <w:sz w:val="20"/>
              </w:rPr>
            </w:pPr>
            <w:r w:rsidRPr="00DA22B5">
              <w:rPr>
                <w:sz w:val="20"/>
              </w:rPr>
              <w:t>None</w:t>
            </w:r>
          </w:p>
        </w:tc>
        <w:tc>
          <w:tcPr>
            <w:tcW w:w="623" w:type="pct"/>
            <w:tcMar>
              <w:left w:w="57" w:type="dxa"/>
              <w:right w:w="28" w:type="dxa"/>
            </w:tcMar>
          </w:tcPr>
          <w:p w:rsidR="001E673C" w:rsidRPr="00DA22B5" w:rsidRDefault="001E673C" w:rsidP="00EC2F97">
            <w:pPr>
              <w:pStyle w:val="Tabletext"/>
              <w:jc w:val="center"/>
              <w:rPr>
                <w:sz w:val="20"/>
              </w:rPr>
            </w:pPr>
            <w:r w:rsidRPr="00DA22B5">
              <w:rPr>
                <w:sz w:val="20"/>
              </w:rPr>
              <w:t>None</w:t>
            </w:r>
          </w:p>
        </w:tc>
        <w:tc>
          <w:tcPr>
            <w:tcW w:w="610" w:type="pct"/>
            <w:tcMar>
              <w:left w:w="57" w:type="dxa"/>
              <w:right w:w="28" w:type="dxa"/>
            </w:tcMar>
          </w:tcPr>
          <w:p w:rsidR="001E673C" w:rsidRPr="00DA22B5" w:rsidRDefault="001E673C" w:rsidP="00EC2F97">
            <w:pPr>
              <w:pStyle w:val="Tabletext"/>
              <w:jc w:val="center"/>
              <w:rPr>
                <w:sz w:val="20"/>
              </w:rPr>
            </w:pPr>
            <w:r w:rsidRPr="00DA22B5">
              <w:rPr>
                <w:sz w:val="20"/>
              </w:rPr>
              <w:t>None</w:t>
            </w:r>
          </w:p>
        </w:tc>
      </w:tr>
      <w:tr w:rsidR="001E673C">
        <w:trPr>
          <w:cantSplit/>
          <w:jc w:val="center"/>
        </w:trPr>
        <w:tc>
          <w:tcPr>
            <w:tcW w:w="1115" w:type="pct"/>
            <w:tcMar>
              <w:left w:w="57" w:type="dxa"/>
              <w:right w:w="28" w:type="dxa"/>
            </w:tcMar>
          </w:tcPr>
          <w:p w:rsidR="001E673C" w:rsidRPr="00B14AD5" w:rsidRDefault="001E673C" w:rsidP="00DA22B5">
            <w:pPr>
              <w:pStyle w:val="Tabletext"/>
              <w:jc w:val="left"/>
              <w:rPr>
                <w:sz w:val="20"/>
                <w:lang w:val="en-US"/>
              </w:rPr>
            </w:pPr>
            <w:r w:rsidRPr="00B14AD5">
              <w:rPr>
                <w:sz w:val="20"/>
                <w:lang w:val="en-US"/>
              </w:rPr>
              <w:t>Coded data rate</w:t>
            </w:r>
          </w:p>
        </w:tc>
        <w:tc>
          <w:tcPr>
            <w:tcW w:w="651" w:type="pct"/>
            <w:tcMar>
              <w:left w:w="57" w:type="dxa"/>
              <w:right w:w="28" w:type="dxa"/>
            </w:tcMar>
          </w:tcPr>
          <w:p w:rsidR="001E673C" w:rsidRPr="00DA22B5" w:rsidRDefault="001E673C" w:rsidP="00EC2F97">
            <w:pPr>
              <w:pStyle w:val="Tabletext"/>
              <w:jc w:val="center"/>
              <w:rPr>
                <w:sz w:val="20"/>
              </w:rPr>
            </w:pPr>
            <w:r w:rsidRPr="00DA22B5">
              <w:rPr>
                <w:sz w:val="20"/>
              </w:rPr>
              <w:t>128 </w:t>
            </w:r>
            <w:r w:rsidR="00B14AD5">
              <w:rPr>
                <w:sz w:val="20"/>
              </w:rPr>
              <w:t>kbit/s</w:t>
            </w:r>
          </w:p>
        </w:tc>
        <w:tc>
          <w:tcPr>
            <w:tcW w:w="650" w:type="pct"/>
            <w:tcMar>
              <w:left w:w="57" w:type="dxa"/>
              <w:right w:w="28" w:type="dxa"/>
            </w:tcMar>
          </w:tcPr>
          <w:p w:rsidR="001E673C" w:rsidRPr="00DA22B5" w:rsidRDefault="001E673C" w:rsidP="00EC2F97">
            <w:pPr>
              <w:pStyle w:val="Tabletext"/>
              <w:jc w:val="center"/>
              <w:rPr>
                <w:sz w:val="20"/>
              </w:rPr>
            </w:pPr>
            <w:r w:rsidRPr="00DA22B5">
              <w:rPr>
                <w:sz w:val="20"/>
              </w:rPr>
              <w:t>768 </w:t>
            </w:r>
            <w:r w:rsidR="00B14AD5">
              <w:rPr>
                <w:sz w:val="20"/>
              </w:rPr>
              <w:t>kbit/s</w:t>
            </w:r>
          </w:p>
        </w:tc>
        <w:tc>
          <w:tcPr>
            <w:tcW w:w="693" w:type="pct"/>
            <w:tcMar>
              <w:left w:w="57" w:type="dxa"/>
              <w:right w:w="28" w:type="dxa"/>
            </w:tcMar>
          </w:tcPr>
          <w:p w:rsidR="001E673C" w:rsidRPr="00DA22B5" w:rsidRDefault="001E673C" w:rsidP="00EC2F97">
            <w:pPr>
              <w:pStyle w:val="Tabletext"/>
              <w:jc w:val="center"/>
              <w:rPr>
                <w:sz w:val="20"/>
              </w:rPr>
            </w:pPr>
            <w:r w:rsidRPr="00DA22B5">
              <w:rPr>
                <w:sz w:val="20"/>
              </w:rPr>
              <w:t>3.088 M</w:t>
            </w:r>
            <w:r w:rsidR="004044B2" w:rsidRPr="00DA22B5">
              <w:rPr>
                <w:sz w:val="20"/>
              </w:rPr>
              <w:t>b</w:t>
            </w:r>
            <w:r w:rsidR="004044B2">
              <w:rPr>
                <w:sz w:val="20"/>
              </w:rPr>
              <w:t>it/s</w:t>
            </w:r>
          </w:p>
        </w:tc>
        <w:tc>
          <w:tcPr>
            <w:tcW w:w="658" w:type="pct"/>
            <w:tcMar>
              <w:left w:w="57" w:type="dxa"/>
              <w:right w:w="28" w:type="dxa"/>
            </w:tcMar>
          </w:tcPr>
          <w:p w:rsidR="001E673C" w:rsidRPr="00DA22B5" w:rsidRDefault="001E673C" w:rsidP="00EC2F97">
            <w:pPr>
              <w:pStyle w:val="Tabletext"/>
              <w:jc w:val="center"/>
              <w:rPr>
                <w:sz w:val="20"/>
              </w:rPr>
            </w:pPr>
            <w:r w:rsidRPr="00DA22B5">
              <w:rPr>
                <w:sz w:val="20"/>
              </w:rPr>
              <w:t>2.048 M</w:t>
            </w:r>
            <w:r w:rsidR="004044B2" w:rsidRPr="00DA22B5">
              <w:rPr>
                <w:sz w:val="20"/>
              </w:rPr>
              <w:t>b</w:t>
            </w:r>
            <w:r w:rsidR="004044B2">
              <w:rPr>
                <w:sz w:val="20"/>
              </w:rPr>
              <w:t>it/s</w:t>
            </w:r>
          </w:p>
        </w:tc>
        <w:tc>
          <w:tcPr>
            <w:tcW w:w="623" w:type="pct"/>
            <w:tcMar>
              <w:left w:w="57" w:type="dxa"/>
              <w:right w:w="28" w:type="dxa"/>
            </w:tcMar>
          </w:tcPr>
          <w:p w:rsidR="001E673C" w:rsidRPr="00DA22B5" w:rsidRDefault="001E673C" w:rsidP="00EC2F97">
            <w:pPr>
              <w:pStyle w:val="Tabletext"/>
              <w:jc w:val="center"/>
              <w:rPr>
                <w:sz w:val="20"/>
              </w:rPr>
            </w:pPr>
            <w:r w:rsidRPr="00DA22B5">
              <w:rPr>
                <w:sz w:val="20"/>
              </w:rPr>
              <w:t>8.448 M</w:t>
            </w:r>
            <w:r w:rsidR="004044B2" w:rsidRPr="00DA22B5">
              <w:rPr>
                <w:sz w:val="20"/>
              </w:rPr>
              <w:t>b</w:t>
            </w:r>
            <w:r w:rsidR="004044B2">
              <w:rPr>
                <w:sz w:val="20"/>
              </w:rPr>
              <w:t>it/s</w:t>
            </w:r>
          </w:p>
        </w:tc>
        <w:tc>
          <w:tcPr>
            <w:tcW w:w="610" w:type="pct"/>
            <w:tcMar>
              <w:left w:w="57" w:type="dxa"/>
              <w:right w:w="28" w:type="dxa"/>
            </w:tcMar>
          </w:tcPr>
          <w:p w:rsidR="001E673C" w:rsidRPr="00DA22B5" w:rsidRDefault="001E673C" w:rsidP="004044B2">
            <w:pPr>
              <w:pStyle w:val="Tabletext"/>
              <w:ind w:left="-57"/>
              <w:jc w:val="center"/>
              <w:rPr>
                <w:sz w:val="20"/>
              </w:rPr>
            </w:pPr>
            <w:r w:rsidRPr="00DA22B5">
              <w:rPr>
                <w:sz w:val="20"/>
              </w:rPr>
              <w:t>34.368 M</w:t>
            </w:r>
            <w:r w:rsidR="004044B2" w:rsidRPr="00DA22B5">
              <w:rPr>
                <w:sz w:val="20"/>
              </w:rPr>
              <w:t>b</w:t>
            </w:r>
            <w:r w:rsidR="004044B2">
              <w:rPr>
                <w:sz w:val="20"/>
              </w:rPr>
              <w:t>it/s</w:t>
            </w:r>
          </w:p>
        </w:tc>
      </w:tr>
      <w:tr w:rsidR="001E673C">
        <w:trPr>
          <w:cantSplit/>
          <w:jc w:val="center"/>
        </w:trPr>
        <w:tc>
          <w:tcPr>
            <w:tcW w:w="1115" w:type="pct"/>
            <w:tcMar>
              <w:left w:w="57" w:type="dxa"/>
              <w:right w:w="28" w:type="dxa"/>
            </w:tcMar>
          </w:tcPr>
          <w:p w:rsidR="001E673C" w:rsidRPr="00DA22B5" w:rsidRDefault="001E673C" w:rsidP="00DA22B5">
            <w:pPr>
              <w:pStyle w:val="Tabletext"/>
              <w:jc w:val="left"/>
              <w:rPr>
                <w:sz w:val="20"/>
              </w:rPr>
            </w:pPr>
            <w:r w:rsidRPr="00DA22B5">
              <w:rPr>
                <w:sz w:val="20"/>
              </w:rPr>
              <w:t>Modulation</w:t>
            </w:r>
          </w:p>
        </w:tc>
        <w:tc>
          <w:tcPr>
            <w:tcW w:w="651" w:type="pct"/>
            <w:tcMar>
              <w:left w:w="57" w:type="dxa"/>
              <w:right w:w="28" w:type="dxa"/>
            </w:tcMar>
          </w:tcPr>
          <w:p w:rsidR="001E673C" w:rsidRPr="00DA22B5" w:rsidRDefault="001E673C" w:rsidP="00EC2F97">
            <w:pPr>
              <w:pStyle w:val="Tabletext"/>
              <w:jc w:val="center"/>
              <w:rPr>
                <w:sz w:val="20"/>
              </w:rPr>
            </w:pPr>
            <w:r w:rsidRPr="00DA22B5">
              <w:rPr>
                <w:sz w:val="20"/>
              </w:rPr>
              <w:t>QPSK</w:t>
            </w:r>
          </w:p>
        </w:tc>
        <w:tc>
          <w:tcPr>
            <w:tcW w:w="650" w:type="pct"/>
            <w:tcMar>
              <w:left w:w="57" w:type="dxa"/>
              <w:right w:w="28" w:type="dxa"/>
            </w:tcMar>
          </w:tcPr>
          <w:p w:rsidR="001E673C" w:rsidRPr="00DA22B5" w:rsidRDefault="001E673C" w:rsidP="00EC2F97">
            <w:pPr>
              <w:pStyle w:val="Tabletext"/>
              <w:jc w:val="center"/>
              <w:rPr>
                <w:sz w:val="20"/>
              </w:rPr>
            </w:pPr>
            <w:r w:rsidRPr="00DA22B5">
              <w:rPr>
                <w:sz w:val="20"/>
              </w:rPr>
              <w:t>QPSK</w:t>
            </w:r>
          </w:p>
        </w:tc>
        <w:tc>
          <w:tcPr>
            <w:tcW w:w="693" w:type="pct"/>
            <w:tcMar>
              <w:left w:w="57" w:type="dxa"/>
              <w:right w:w="28" w:type="dxa"/>
            </w:tcMar>
          </w:tcPr>
          <w:p w:rsidR="001E673C" w:rsidRPr="00DA22B5" w:rsidRDefault="001E673C" w:rsidP="00EC2F97">
            <w:pPr>
              <w:pStyle w:val="Tabletext"/>
              <w:jc w:val="center"/>
              <w:rPr>
                <w:sz w:val="20"/>
              </w:rPr>
            </w:pPr>
            <w:r w:rsidRPr="00DA22B5">
              <w:rPr>
                <w:sz w:val="20"/>
              </w:rPr>
              <w:t>QPSK</w:t>
            </w:r>
          </w:p>
        </w:tc>
        <w:tc>
          <w:tcPr>
            <w:tcW w:w="658" w:type="pct"/>
            <w:tcMar>
              <w:left w:w="57" w:type="dxa"/>
              <w:right w:w="28" w:type="dxa"/>
            </w:tcMar>
          </w:tcPr>
          <w:p w:rsidR="001E673C" w:rsidRPr="00DA22B5" w:rsidRDefault="001E673C" w:rsidP="00EC2F97">
            <w:pPr>
              <w:pStyle w:val="Tabletext"/>
              <w:jc w:val="center"/>
              <w:rPr>
                <w:sz w:val="20"/>
              </w:rPr>
            </w:pPr>
            <w:r w:rsidRPr="00DA22B5">
              <w:rPr>
                <w:sz w:val="20"/>
              </w:rPr>
              <w:t>QPSK</w:t>
            </w:r>
          </w:p>
        </w:tc>
        <w:tc>
          <w:tcPr>
            <w:tcW w:w="623" w:type="pct"/>
            <w:tcMar>
              <w:left w:w="57" w:type="dxa"/>
              <w:right w:w="28" w:type="dxa"/>
            </w:tcMar>
          </w:tcPr>
          <w:p w:rsidR="001E673C" w:rsidRPr="00DA22B5" w:rsidRDefault="001E673C" w:rsidP="00EC2F97">
            <w:pPr>
              <w:pStyle w:val="Tabletext"/>
              <w:jc w:val="center"/>
              <w:rPr>
                <w:sz w:val="20"/>
              </w:rPr>
            </w:pPr>
            <w:r w:rsidRPr="00DA22B5">
              <w:rPr>
                <w:sz w:val="20"/>
              </w:rPr>
              <w:t>QPSK</w:t>
            </w:r>
          </w:p>
        </w:tc>
        <w:tc>
          <w:tcPr>
            <w:tcW w:w="610" w:type="pct"/>
            <w:tcMar>
              <w:left w:w="57" w:type="dxa"/>
              <w:right w:w="28" w:type="dxa"/>
            </w:tcMar>
          </w:tcPr>
          <w:p w:rsidR="001E673C" w:rsidRPr="00DA22B5" w:rsidRDefault="001E673C" w:rsidP="00EC2F97">
            <w:pPr>
              <w:pStyle w:val="Tabletext"/>
              <w:jc w:val="center"/>
              <w:rPr>
                <w:sz w:val="20"/>
              </w:rPr>
            </w:pPr>
            <w:r w:rsidRPr="00DA22B5">
              <w:rPr>
                <w:sz w:val="20"/>
              </w:rPr>
              <w:t>QPSK</w:t>
            </w:r>
          </w:p>
        </w:tc>
      </w:tr>
      <w:tr w:rsidR="001E673C">
        <w:trPr>
          <w:cantSplit/>
          <w:jc w:val="center"/>
        </w:trPr>
        <w:tc>
          <w:tcPr>
            <w:tcW w:w="1115" w:type="pct"/>
            <w:tcMar>
              <w:left w:w="57" w:type="dxa"/>
              <w:right w:w="28" w:type="dxa"/>
            </w:tcMar>
          </w:tcPr>
          <w:p w:rsidR="001E673C" w:rsidRPr="00DA22B5" w:rsidRDefault="001E673C" w:rsidP="00DA22B5">
            <w:pPr>
              <w:pStyle w:val="Tabletext"/>
              <w:jc w:val="left"/>
              <w:rPr>
                <w:sz w:val="20"/>
              </w:rPr>
            </w:pPr>
            <w:r w:rsidRPr="00DA22B5">
              <w:rPr>
                <w:sz w:val="20"/>
              </w:rPr>
              <w:t>Symbol rate</w:t>
            </w:r>
          </w:p>
        </w:tc>
        <w:tc>
          <w:tcPr>
            <w:tcW w:w="651" w:type="pct"/>
            <w:tcMar>
              <w:left w:w="57" w:type="dxa"/>
              <w:right w:w="28" w:type="dxa"/>
            </w:tcMar>
          </w:tcPr>
          <w:p w:rsidR="001E673C" w:rsidRPr="00DA22B5" w:rsidRDefault="001E673C" w:rsidP="00EC2F97">
            <w:pPr>
              <w:pStyle w:val="Tabletext"/>
              <w:jc w:val="center"/>
              <w:rPr>
                <w:sz w:val="20"/>
              </w:rPr>
            </w:pPr>
            <w:r w:rsidRPr="00DA22B5">
              <w:rPr>
                <w:sz w:val="20"/>
              </w:rPr>
              <w:t>64 k</w:t>
            </w:r>
            <w:r w:rsidR="00A7698E">
              <w:rPr>
                <w:sz w:val="20"/>
              </w:rPr>
              <w:t>Symbol</w:t>
            </w:r>
            <w:r w:rsidR="008A2C0C">
              <w:rPr>
                <w:sz w:val="20"/>
              </w:rPr>
              <w:t>/s</w:t>
            </w:r>
          </w:p>
        </w:tc>
        <w:tc>
          <w:tcPr>
            <w:tcW w:w="650" w:type="pct"/>
            <w:tcMar>
              <w:left w:w="57" w:type="dxa"/>
              <w:right w:w="28" w:type="dxa"/>
            </w:tcMar>
          </w:tcPr>
          <w:p w:rsidR="001E673C" w:rsidRPr="00DA22B5" w:rsidRDefault="001E673C" w:rsidP="00A7698E">
            <w:pPr>
              <w:pStyle w:val="Tabletext"/>
              <w:ind w:left="-57"/>
              <w:jc w:val="center"/>
              <w:rPr>
                <w:sz w:val="20"/>
              </w:rPr>
            </w:pPr>
            <w:r w:rsidRPr="00DA22B5">
              <w:rPr>
                <w:sz w:val="20"/>
              </w:rPr>
              <w:t xml:space="preserve">384 </w:t>
            </w:r>
            <w:r w:rsidR="00A7698E" w:rsidRPr="00DA22B5">
              <w:rPr>
                <w:sz w:val="20"/>
              </w:rPr>
              <w:t>k</w:t>
            </w:r>
            <w:r w:rsidR="00A7698E">
              <w:rPr>
                <w:sz w:val="20"/>
              </w:rPr>
              <w:t>Symbol/s</w:t>
            </w:r>
          </w:p>
        </w:tc>
        <w:tc>
          <w:tcPr>
            <w:tcW w:w="693" w:type="pct"/>
            <w:tcMar>
              <w:left w:w="57" w:type="dxa"/>
              <w:right w:w="28" w:type="dxa"/>
            </w:tcMar>
          </w:tcPr>
          <w:p w:rsidR="001E673C" w:rsidRPr="00DA22B5" w:rsidRDefault="001E673C" w:rsidP="00A7698E">
            <w:pPr>
              <w:pStyle w:val="Tabletext"/>
              <w:ind w:left="-57"/>
              <w:jc w:val="center"/>
              <w:rPr>
                <w:sz w:val="20"/>
              </w:rPr>
            </w:pPr>
            <w:r w:rsidRPr="00DA22B5">
              <w:rPr>
                <w:sz w:val="20"/>
              </w:rPr>
              <w:t xml:space="preserve">1.544 </w:t>
            </w:r>
            <w:r w:rsidR="00703493">
              <w:rPr>
                <w:sz w:val="20"/>
              </w:rPr>
              <w:t>M</w:t>
            </w:r>
            <w:r w:rsidR="00A7698E">
              <w:rPr>
                <w:sz w:val="20"/>
              </w:rPr>
              <w:t>Symbol/s</w:t>
            </w:r>
          </w:p>
        </w:tc>
        <w:tc>
          <w:tcPr>
            <w:tcW w:w="658" w:type="pct"/>
            <w:tcMar>
              <w:left w:w="57" w:type="dxa"/>
              <w:right w:w="28" w:type="dxa"/>
            </w:tcMar>
          </w:tcPr>
          <w:p w:rsidR="001E673C" w:rsidRPr="00DA22B5" w:rsidRDefault="001E673C" w:rsidP="00A7698E">
            <w:pPr>
              <w:pStyle w:val="Tabletext"/>
              <w:ind w:left="-57"/>
              <w:jc w:val="center"/>
              <w:rPr>
                <w:sz w:val="20"/>
              </w:rPr>
            </w:pPr>
            <w:r w:rsidRPr="00DA22B5">
              <w:rPr>
                <w:sz w:val="20"/>
              </w:rPr>
              <w:t>1.024 M</w:t>
            </w:r>
            <w:r w:rsidR="00A7698E">
              <w:rPr>
                <w:sz w:val="20"/>
              </w:rPr>
              <w:t>Symbol/s</w:t>
            </w:r>
          </w:p>
        </w:tc>
        <w:tc>
          <w:tcPr>
            <w:tcW w:w="623" w:type="pct"/>
            <w:tcMar>
              <w:left w:w="57" w:type="dxa"/>
              <w:right w:w="28" w:type="dxa"/>
            </w:tcMar>
          </w:tcPr>
          <w:p w:rsidR="001E673C" w:rsidRPr="00DA22B5" w:rsidRDefault="001E673C" w:rsidP="00A7698E">
            <w:pPr>
              <w:pStyle w:val="Tabletext"/>
              <w:ind w:left="-57"/>
              <w:jc w:val="center"/>
              <w:rPr>
                <w:sz w:val="20"/>
              </w:rPr>
            </w:pPr>
            <w:r w:rsidRPr="00DA22B5">
              <w:rPr>
                <w:sz w:val="20"/>
              </w:rPr>
              <w:t>4.224 M</w:t>
            </w:r>
            <w:r w:rsidR="00A7698E">
              <w:rPr>
                <w:sz w:val="20"/>
              </w:rPr>
              <w:t>Symbol/s</w:t>
            </w:r>
          </w:p>
        </w:tc>
        <w:tc>
          <w:tcPr>
            <w:tcW w:w="610" w:type="pct"/>
            <w:tcMar>
              <w:left w:w="57" w:type="dxa"/>
              <w:right w:w="28" w:type="dxa"/>
            </w:tcMar>
          </w:tcPr>
          <w:p w:rsidR="001E673C" w:rsidRPr="00DA22B5" w:rsidRDefault="001E673C" w:rsidP="00A7698E">
            <w:pPr>
              <w:pStyle w:val="Tabletext"/>
              <w:ind w:left="-57"/>
              <w:jc w:val="center"/>
              <w:rPr>
                <w:sz w:val="20"/>
              </w:rPr>
            </w:pPr>
            <w:r w:rsidRPr="00DA22B5">
              <w:rPr>
                <w:sz w:val="20"/>
              </w:rPr>
              <w:t>17.18 M</w:t>
            </w:r>
            <w:r w:rsidR="00A7698E">
              <w:rPr>
                <w:sz w:val="20"/>
              </w:rPr>
              <w:t>Symbol/s</w:t>
            </w:r>
          </w:p>
        </w:tc>
      </w:tr>
      <w:tr w:rsidR="001E673C">
        <w:trPr>
          <w:cantSplit/>
          <w:jc w:val="center"/>
        </w:trPr>
        <w:tc>
          <w:tcPr>
            <w:tcW w:w="1115" w:type="pct"/>
            <w:tcMar>
              <w:left w:w="57" w:type="dxa"/>
              <w:right w:w="28" w:type="dxa"/>
            </w:tcMar>
          </w:tcPr>
          <w:p w:rsidR="001E673C" w:rsidRPr="00DA22B5" w:rsidRDefault="001E673C" w:rsidP="00DA22B5">
            <w:pPr>
              <w:pStyle w:val="Tabletext"/>
              <w:jc w:val="left"/>
              <w:rPr>
                <w:sz w:val="20"/>
              </w:rPr>
            </w:pPr>
            <w:r w:rsidRPr="00DA22B5">
              <w:rPr>
                <w:sz w:val="20"/>
              </w:rPr>
              <w:t>Mainlobe bandwidth</w:t>
            </w:r>
          </w:p>
        </w:tc>
        <w:tc>
          <w:tcPr>
            <w:tcW w:w="651" w:type="pct"/>
            <w:tcMar>
              <w:left w:w="57" w:type="dxa"/>
              <w:right w:w="28" w:type="dxa"/>
            </w:tcMar>
          </w:tcPr>
          <w:p w:rsidR="001E673C" w:rsidRPr="00DA22B5" w:rsidRDefault="001E673C" w:rsidP="00EC2F97">
            <w:pPr>
              <w:pStyle w:val="Tabletext"/>
              <w:jc w:val="center"/>
              <w:rPr>
                <w:sz w:val="20"/>
              </w:rPr>
            </w:pPr>
            <w:r w:rsidRPr="00DA22B5">
              <w:rPr>
                <w:sz w:val="20"/>
              </w:rPr>
              <w:t>128 kHz</w:t>
            </w:r>
          </w:p>
        </w:tc>
        <w:tc>
          <w:tcPr>
            <w:tcW w:w="650" w:type="pct"/>
            <w:tcMar>
              <w:left w:w="57" w:type="dxa"/>
              <w:right w:w="28" w:type="dxa"/>
            </w:tcMar>
          </w:tcPr>
          <w:p w:rsidR="001E673C" w:rsidRPr="00DA22B5" w:rsidRDefault="001E673C" w:rsidP="00EC2F97">
            <w:pPr>
              <w:pStyle w:val="Tabletext"/>
              <w:jc w:val="center"/>
              <w:rPr>
                <w:sz w:val="20"/>
              </w:rPr>
            </w:pPr>
            <w:r w:rsidRPr="00DA22B5">
              <w:rPr>
                <w:sz w:val="20"/>
              </w:rPr>
              <w:t>768 kHz</w:t>
            </w:r>
          </w:p>
        </w:tc>
        <w:tc>
          <w:tcPr>
            <w:tcW w:w="693" w:type="pct"/>
            <w:tcMar>
              <w:left w:w="57" w:type="dxa"/>
              <w:right w:w="28" w:type="dxa"/>
            </w:tcMar>
          </w:tcPr>
          <w:p w:rsidR="001E673C" w:rsidRPr="00DA22B5" w:rsidRDefault="001E673C" w:rsidP="00EC2F97">
            <w:pPr>
              <w:pStyle w:val="Tabletext"/>
              <w:jc w:val="center"/>
              <w:rPr>
                <w:sz w:val="20"/>
              </w:rPr>
            </w:pPr>
            <w:r w:rsidRPr="00DA22B5">
              <w:rPr>
                <w:sz w:val="20"/>
              </w:rPr>
              <w:t>3.088 MHz</w:t>
            </w:r>
          </w:p>
        </w:tc>
        <w:tc>
          <w:tcPr>
            <w:tcW w:w="658" w:type="pct"/>
            <w:tcMar>
              <w:left w:w="57" w:type="dxa"/>
              <w:right w:w="28" w:type="dxa"/>
            </w:tcMar>
          </w:tcPr>
          <w:p w:rsidR="001E673C" w:rsidRPr="00DA22B5" w:rsidRDefault="001E673C" w:rsidP="00EC2F97">
            <w:pPr>
              <w:pStyle w:val="Tabletext"/>
              <w:jc w:val="center"/>
              <w:rPr>
                <w:sz w:val="20"/>
              </w:rPr>
            </w:pPr>
            <w:r w:rsidRPr="00DA22B5">
              <w:rPr>
                <w:sz w:val="20"/>
              </w:rPr>
              <w:t>2.048 MHz</w:t>
            </w:r>
          </w:p>
        </w:tc>
        <w:tc>
          <w:tcPr>
            <w:tcW w:w="623" w:type="pct"/>
            <w:tcMar>
              <w:left w:w="57" w:type="dxa"/>
              <w:right w:w="28" w:type="dxa"/>
            </w:tcMar>
          </w:tcPr>
          <w:p w:rsidR="001E673C" w:rsidRPr="00DA22B5" w:rsidRDefault="001E673C" w:rsidP="00EC2F97">
            <w:pPr>
              <w:pStyle w:val="Tabletext"/>
              <w:jc w:val="center"/>
              <w:rPr>
                <w:sz w:val="20"/>
              </w:rPr>
            </w:pPr>
            <w:r w:rsidRPr="00DA22B5">
              <w:rPr>
                <w:sz w:val="20"/>
              </w:rPr>
              <w:t>8.448 MHz</w:t>
            </w:r>
          </w:p>
        </w:tc>
        <w:tc>
          <w:tcPr>
            <w:tcW w:w="610" w:type="pct"/>
            <w:tcMar>
              <w:left w:w="57" w:type="dxa"/>
              <w:right w:w="28" w:type="dxa"/>
            </w:tcMar>
          </w:tcPr>
          <w:p w:rsidR="001E673C" w:rsidRPr="00DA22B5" w:rsidRDefault="001E673C" w:rsidP="00EC2F97">
            <w:pPr>
              <w:pStyle w:val="Tabletext"/>
              <w:jc w:val="center"/>
              <w:rPr>
                <w:sz w:val="20"/>
              </w:rPr>
            </w:pPr>
            <w:r w:rsidRPr="00DA22B5">
              <w:rPr>
                <w:sz w:val="20"/>
              </w:rPr>
              <w:t>34.368 MHz</w:t>
            </w:r>
          </w:p>
        </w:tc>
      </w:tr>
      <w:tr w:rsidR="001E673C">
        <w:trPr>
          <w:cantSplit/>
          <w:jc w:val="center"/>
        </w:trPr>
        <w:tc>
          <w:tcPr>
            <w:tcW w:w="1115" w:type="pct"/>
            <w:tcMar>
              <w:left w:w="57" w:type="dxa"/>
              <w:right w:w="28" w:type="dxa"/>
            </w:tcMar>
          </w:tcPr>
          <w:p w:rsidR="001E673C" w:rsidRPr="00DA22B5" w:rsidRDefault="001E673C" w:rsidP="00DA22B5">
            <w:pPr>
              <w:pStyle w:val="Tabletext"/>
              <w:jc w:val="left"/>
              <w:rPr>
                <w:sz w:val="20"/>
              </w:rPr>
            </w:pPr>
            <w:r w:rsidRPr="00DA22B5">
              <w:rPr>
                <w:sz w:val="20"/>
              </w:rPr>
              <w:t>Transmit power</w:t>
            </w:r>
          </w:p>
        </w:tc>
        <w:tc>
          <w:tcPr>
            <w:tcW w:w="651" w:type="pct"/>
            <w:tcMar>
              <w:left w:w="57" w:type="dxa"/>
              <w:right w:w="28" w:type="dxa"/>
            </w:tcMar>
          </w:tcPr>
          <w:p w:rsidR="001E673C" w:rsidRPr="00DA22B5" w:rsidRDefault="001E673C" w:rsidP="00EC2F97">
            <w:pPr>
              <w:pStyle w:val="Tabletext"/>
              <w:jc w:val="center"/>
              <w:rPr>
                <w:sz w:val="20"/>
              </w:rPr>
            </w:pPr>
            <w:r w:rsidRPr="00DA22B5">
              <w:rPr>
                <w:sz w:val="20"/>
              </w:rPr>
              <w:t>0.15 W (−8.4 dBW)</w:t>
            </w:r>
          </w:p>
        </w:tc>
        <w:tc>
          <w:tcPr>
            <w:tcW w:w="650" w:type="pct"/>
            <w:tcMar>
              <w:left w:w="57" w:type="dxa"/>
              <w:right w:w="28" w:type="dxa"/>
            </w:tcMar>
          </w:tcPr>
          <w:p w:rsidR="001E673C" w:rsidRPr="00DA22B5" w:rsidRDefault="001E673C" w:rsidP="00EC2F97">
            <w:pPr>
              <w:pStyle w:val="Tabletext"/>
              <w:jc w:val="center"/>
              <w:rPr>
                <w:sz w:val="20"/>
              </w:rPr>
            </w:pPr>
            <w:r w:rsidRPr="00DA22B5">
              <w:rPr>
                <w:sz w:val="20"/>
              </w:rPr>
              <w:t>0.7 W (−1.3 dBW)</w:t>
            </w:r>
          </w:p>
        </w:tc>
        <w:tc>
          <w:tcPr>
            <w:tcW w:w="693" w:type="pct"/>
            <w:tcMar>
              <w:left w:w="57" w:type="dxa"/>
              <w:right w:w="28" w:type="dxa"/>
            </w:tcMar>
          </w:tcPr>
          <w:p w:rsidR="001E673C" w:rsidRPr="00DA22B5" w:rsidRDefault="001E673C" w:rsidP="00EC2F97">
            <w:pPr>
              <w:pStyle w:val="Tabletext"/>
              <w:jc w:val="center"/>
              <w:rPr>
                <w:sz w:val="20"/>
              </w:rPr>
            </w:pPr>
            <w:r w:rsidRPr="00DA22B5">
              <w:rPr>
                <w:sz w:val="20"/>
              </w:rPr>
              <w:t>3.9 W (5.9 dBW)</w:t>
            </w:r>
          </w:p>
        </w:tc>
        <w:tc>
          <w:tcPr>
            <w:tcW w:w="658" w:type="pct"/>
            <w:tcMar>
              <w:left w:w="57" w:type="dxa"/>
              <w:right w:w="28" w:type="dxa"/>
            </w:tcMar>
          </w:tcPr>
          <w:p w:rsidR="001E673C" w:rsidRPr="00DA22B5" w:rsidRDefault="001E673C" w:rsidP="00EC2F97">
            <w:pPr>
              <w:pStyle w:val="Tabletext"/>
              <w:jc w:val="center"/>
              <w:rPr>
                <w:sz w:val="20"/>
              </w:rPr>
            </w:pPr>
            <w:r w:rsidRPr="00DA22B5">
              <w:rPr>
                <w:sz w:val="20"/>
              </w:rPr>
              <w:t>3.4 W (5.3 dBW)</w:t>
            </w:r>
          </w:p>
        </w:tc>
        <w:tc>
          <w:tcPr>
            <w:tcW w:w="623" w:type="pct"/>
            <w:tcMar>
              <w:left w:w="57" w:type="dxa"/>
              <w:right w:w="28" w:type="dxa"/>
            </w:tcMar>
          </w:tcPr>
          <w:p w:rsidR="001E673C" w:rsidRPr="00DA22B5" w:rsidRDefault="001E673C" w:rsidP="00EC2F97">
            <w:pPr>
              <w:pStyle w:val="Tabletext"/>
              <w:jc w:val="center"/>
              <w:rPr>
                <w:sz w:val="20"/>
              </w:rPr>
            </w:pPr>
            <w:r w:rsidRPr="00DA22B5">
              <w:rPr>
                <w:sz w:val="20"/>
              </w:rPr>
              <w:t>26.3 W (14.2 dBW)</w:t>
            </w:r>
          </w:p>
        </w:tc>
        <w:tc>
          <w:tcPr>
            <w:tcW w:w="610" w:type="pct"/>
            <w:tcMar>
              <w:left w:w="57" w:type="dxa"/>
              <w:right w:w="28" w:type="dxa"/>
            </w:tcMar>
          </w:tcPr>
          <w:p w:rsidR="001E673C" w:rsidRPr="00DA22B5" w:rsidRDefault="001E673C" w:rsidP="00EC2F97">
            <w:pPr>
              <w:pStyle w:val="Tabletext"/>
              <w:jc w:val="center"/>
              <w:rPr>
                <w:sz w:val="20"/>
              </w:rPr>
            </w:pPr>
            <w:r w:rsidRPr="00DA22B5">
              <w:rPr>
                <w:sz w:val="20"/>
              </w:rPr>
              <w:t>97.7 W (19.9 dBW)</w:t>
            </w:r>
          </w:p>
        </w:tc>
      </w:tr>
      <w:tr w:rsidR="001E673C">
        <w:trPr>
          <w:cantSplit/>
          <w:jc w:val="center"/>
        </w:trPr>
        <w:tc>
          <w:tcPr>
            <w:tcW w:w="1115" w:type="pct"/>
            <w:tcMar>
              <w:left w:w="57" w:type="dxa"/>
              <w:right w:w="28" w:type="dxa"/>
            </w:tcMar>
          </w:tcPr>
          <w:p w:rsidR="001E673C" w:rsidRPr="00DA22B5" w:rsidRDefault="001E673C" w:rsidP="00DA22B5">
            <w:pPr>
              <w:pStyle w:val="Tabletext"/>
              <w:jc w:val="left"/>
              <w:rPr>
                <w:sz w:val="20"/>
              </w:rPr>
            </w:pPr>
            <w:r w:rsidRPr="00DA22B5">
              <w:rPr>
                <w:sz w:val="20"/>
              </w:rPr>
              <w:t xml:space="preserve">On-axis e.i.r.p. </w:t>
            </w:r>
            <w:r w:rsidR="00A95ECE">
              <w:rPr>
                <w:sz w:val="20"/>
              </w:rPr>
              <w:t>(dBW)</w:t>
            </w:r>
          </w:p>
        </w:tc>
        <w:tc>
          <w:tcPr>
            <w:tcW w:w="651" w:type="pct"/>
            <w:tcMar>
              <w:left w:w="57" w:type="dxa"/>
              <w:right w:w="28" w:type="dxa"/>
            </w:tcMar>
          </w:tcPr>
          <w:p w:rsidR="001E673C" w:rsidRPr="00DA22B5" w:rsidRDefault="001E673C" w:rsidP="00EC2F97">
            <w:pPr>
              <w:pStyle w:val="Tabletext"/>
              <w:jc w:val="center"/>
              <w:rPr>
                <w:sz w:val="20"/>
              </w:rPr>
            </w:pPr>
            <w:r w:rsidRPr="00DA22B5">
              <w:rPr>
                <w:sz w:val="20"/>
              </w:rPr>
              <w:t>30.1</w:t>
            </w:r>
          </w:p>
        </w:tc>
        <w:tc>
          <w:tcPr>
            <w:tcW w:w="650" w:type="pct"/>
            <w:tcMar>
              <w:left w:w="57" w:type="dxa"/>
              <w:right w:w="28" w:type="dxa"/>
            </w:tcMar>
          </w:tcPr>
          <w:p w:rsidR="001E673C" w:rsidRPr="00DA22B5" w:rsidRDefault="001E673C" w:rsidP="00EC2F97">
            <w:pPr>
              <w:pStyle w:val="Tabletext"/>
              <w:jc w:val="center"/>
              <w:rPr>
                <w:sz w:val="20"/>
              </w:rPr>
            </w:pPr>
            <w:r w:rsidRPr="00DA22B5">
              <w:rPr>
                <w:sz w:val="20"/>
              </w:rPr>
              <w:t>39.7</w:t>
            </w:r>
          </w:p>
        </w:tc>
        <w:tc>
          <w:tcPr>
            <w:tcW w:w="693" w:type="pct"/>
            <w:tcMar>
              <w:left w:w="57" w:type="dxa"/>
              <w:right w:w="28" w:type="dxa"/>
            </w:tcMar>
          </w:tcPr>
          <w:p w:rsidR="001E673C" w:rsidRPr="00DA22B5" w:rsidRDefault="001E673C" w:rsidP="00EC2F97">
            <w:pPr>
              <w:pStyle w:val="Tabletext"/>
              <w:jc w:val="center"/>
              <w:rPr>
                <w:sz w:val="20"/>
              </w:rPr>
            </w:pPr>
            <w:r w:rsidRPr="00DA22B5">
              <w:rPr>
                <w:sz w:val="20"/>
              </w:rPr>
              <w:t>52.0</w:t>
            </w:r>
          </w:p>
        </w:tc>
        <w:tc>
          <w:tcPr>
            <w:tcW w:w="658" w:type="pct"/>
            <w:tcMar>
              <w:left w:w="57" w:type="dxa"/>
              <w:right w:w="28" w:type="dxa"/>
            </w:tcMar>
          </w:tcPr>
          <w:p w:rsidR="001E673C" w:rsidRPr="00DA22B5" w:rsidRDefault="001E673C" w:rsidP="00EC2F97">
            <w:pPr>
              <w:pStyle w:val="Tabletext"/>
              <w:jc w:val="center"/>
              <w:rPr>
                <w:sz w:val="20"/>
              </w:rPr>
            </w:pPr>
            <w:r w:rsidRPr="00DA22B5">
              <w:rPr>
                <w:sz w:val="20"/>
              </w:rPr>
              <w:t>53.9</w:t>
            </w:r>
          </w:p>
        </w:tc>
        <w:tc>
          <w:tcPr>
            <w:tcW w:w="623" w:type="pct"/>
            <w:tcMar>
              <w:left w:w="57" w:type="dxa"/>
              <w:right w:w="28" w:type="dxa"/>
            </w:tcMar>
          </w:tcPr>
          <w:p w:rsidR="001E673C" w:rsidRPr="00DA22B5" w:rsidRDefault="001E673C" w:rsidP="00EC2F97">
            <w:pPr>
              <w:pStyle w:val="Tabletext"/>
              <w:jc w:val="center"/>
              <w:rPr>
                <w:sz w:val="20"/>
              </w:rPr>
            </w:pPr>
            <w:r w:rsidRPr="00DA22B5">
              <w:rPr>
                <w:sz w:val="20"/>
              </w:rPr>
              <w:t>64.7</w:t>
            </w:r>
          </w:p>
        </w:tc>
        <w:tc>
          <w:tcPr>
            <w:tcW w:w="610" w:type="pct"/>
            <w:tcMar>
              <w:left w:w="57" w:type="dxa"/>
              <w:right w:w="28" w:type="dxa"/>
            </w:tcMar>
          </w:tcPr>
          <w:p w:rsidR="001E673C" w:rsidRPr="00DA22B5" w:rsidRDefault="001E673C" w:rsidP="00EC2F97">
            <w:pPr>
              <w:pStyle w:val="Tabletext"/>
              <w:jc w:val="center"/>
              <w:rPr>
                <w:sz w:val="20"/>
              </w:rPr>
            </w:pPr>
            <w:r w:rsidRPr="00DA22B5">
              <w:rPr>
                <w:sz w:val="20"/>
              </w:rPr>
              <w:t>73.9</w:t>
            </w:r>
          </w:p>
        </w:tc>
      </w:tr>
      <w:tr w:rsidR="001E673C">
        <w:trPr>
          <w:cantSplit/>
          <w:jc w:val="center"/>
        </w:trPr>
        <w:tc>
          <w:tcPr>
            <w:tcW w:w="1115" w:type="pct"/>
            <w:tcMar>
              <w:left w:w="57" w:type="dxa"/>
              <w:right w:w="28" w:type="dxa"/>
            </w:tcMar>
          </w:tcPr>
          <w:p w:rsidR="001E673C" w:rsidRPr="00DA22B5" w:rsidRDefault="001E673C" w:rsidP="00DA22B5">
            <w:pPr>
              <w:pStyle w:val="Tabletext"/>
              <w:jc w:val="left"/>
              <w:rPr>
                <w:sz w:val="20"/>
                <w:lang w:val="en-US"/>
              </w:rPr>
            </w:pPr>
            <w:r w:rsidRPr="00DA22B5">
              <w:rPr>
                <w:sz w:val="20"/>
                <w:lang w:val="en-US"/>
              </w:rPr>
              <w:t>Peak e.i.r.p. density (on ant</w:t>
            </w:r>
            <w:r w:rsidR="00703493">
              <w:rPr>
                <w:sz w:val="20"/>
                <w:lang w:val="en-US"/>
              </w:rPr>
              <w:t>enna</w:t>
            </w:r>
            <w:r w:rsidRPr="00DA22B5">
              <w:rPr>
                <w:sz w:val="20"/>
                <w:lang w:val="en-US"/>
              </w:rPr>
              <w:t xml:space="preserve"> axis at center frequency)</w:t>
            </w:r>
            <w:r w:rsidR="00293B6E">
              <w:rPr>
                <w:sz w:val="20"/>
                <w:lang w:val="en-US"/>
              </w:rPr>
              <w:t xml:space="preserve"> (dB(W/Hz))</w:t>
            </w:r>
          </w:p>
        </w:tc>
        <w:tc>
          <w:tcPr>
            <w:tcW w:w="651" w:type="pct"/>
            <w:tcMar>
              <w:left w:w="57" w:type="dxa"/>
              <w:right w:w="28" w:type="dxa"/>
            </w:tcMar>
          </w:tcPr>
          <w:p w:rsidR="001E673C" w:rsidRPr="00DA22B5" w:rsidRDefault="001E673C" w:rsidP="00EC2F97">
            <w:pPr>
              <w:pStyle w:val="Tabletext"/>
              <w:jc w:val="center"/>
              <w:rPr>
                <w:sz w:val="20"/>
              </w:rPr>
            </w:pPr>
            <w:r w:rsidRPr="00DA22B5">
              <w:rPr>
                <w:sz w:val="20"/>
              </w:rPr>
              <w:t>−18.0</w:t>
            </w:r>
          </w:p>
        </w:tc>
        <w:tc>
          <w:tcPr>
            <w:tcW w:w="650" w:type="pct"/>
            <w:tcMar>
              <w:left w:w="57" w:type="dxa"/>
              <w:right w:w="28" w:type="dxa"/>
            </w:tcMar>
          </w:tcPr>
          <w:p w:rsidR="001E673C" w:rsidRPr="00DA22B5" w:rsidRDefault="001E673C" w:rsidP="00EC2F97">
            <w:pPr>
              <w:pStyle w:val="Tabletext"/>
              <w:jc w:val="center"/>
              <w:rPr>
                <w:sz w:val="20"/>
              </w:rPr>
            </w:pPr>
            <w:r w:rsidRPr="00DA22B5">
              <w:rPr>
                <w:sz w:val="20"/>
              </w:rPr>
              <w:t>−16.2</w:t>
            </w:r>
          </w:p>
        </w:tc>
        <w:tc>
          <w:tcPr>
            <w:tcW w:w="693" w:type="pct"/>
            <w:tcMar>
              <w:left w:w="57" w:type="dxa"/>
              <w:right w:w="28" w:type="dxa"/>
            </w:tcMar>
          </w:tcPr>
          <w:p w:rsidR="001E673C" w:rsidRPr="00DA22B5" w:rsidRDefault="001E673C" w:rsidP="00EC2F97">
            <w:pPr>
              <w:pStyle w:val="Tabletext"/>
              <w:jc w:val="center"/>
              <w:rPr>
                <w:sz w:val="20"/>
              </w:rPr>
            </w:pPr>
            <w:r w:rsidRPr="00DA22B5">
              <w:rPr>
                <w:sz w:val="20"/>
              </w:rPr>
              <w:t>−9.9</w:t>
            </w:r>
          </w:p>
        </w:tc>
        <w:tc>
          <w:tcPr>
            <w:tcW w:w="658" w:type="pct"/>
            <w:tcMar>
              <w:left w:w="57" w:type="dxa"/>
              <w:right w:w="28" w:type="dxa"/>
            </w:tcMar>
          </w:tcPr>
          <w:p w:rsidR="001E673C" w:rsidRPr="00DA22B5" w:rsidRDefault="001E673C" w:rsidP="00EC2F97">
            <w:pPr>
              <w:pStyle w:val="Tabletext"/>
              <w:jc w:val="center"/>
              <w:rPr>
                <w:sz w:val="20"/>
              </w:rPr>
            </w:pPr>
            <w:r w:rsidRPr="00DA22B5">
              <w:rPr>
                <w:sz w:val="20"/>
              </w:rPr>
              <w:t>−6.2</w:t>
            </w:r>
          </w:p>
        </w:tc>
        <w:tc>
          <w:tcPr>
            <w:tcW w:w="623" w:type="pct"/>
            <w:tcMar>
              <w:left w:w="57" w:type="dxa"/>
              <w:right w:w="28" w:type="dxa"/>
            </w:tcMar>
          </w:tcPr>
          <w:p w:rsidR="001E673C" w:rsidRPr="00DA22B5" w:rsidRDefault="001E673C" w:rsidP="00EC2F97">
            <w:pPr>
              <w:pStyle w:val="Tabletext"/>
              <w:jc w:val="center"/>
              <w:rPr>
                <w:sz w:val="20"/>
              </w:rPr>
            </w:pPr>
            <w:r w:rsidRPr="00DA22B5">
              <w:rPr>
                <w:sz w:val="20"/>
              </w:rPr>
              <w:t>−1.6</w:t>
            </w:r>
          </w:p>
        </w:tc>
        <w:tc>
          <w:tcPr>
            <w:tcW w:w="610" w:type="pct"/>
            <w:tcMar>
              <w:left w:w="57" w:type="dxa"/>
              <w:right w:w="28" w:type="dxa"/>
            </w:tcMar>
          </w:tcPr>
          <w:p w:rsidR="001E673C" w:rsidRPr="00DA22B5" w:rsidRDefault="001E673C" w:rsidP="00EC2F97">
            <w:pPr>
              <w:pStyle w:val="Tabletext"/>
              <w:jc w:val="center"/>
              <w:rPr>
                <w:sz w:val="20"/>
              </w:rPr>
            </w:pPr>
            <w:r w:rsidRPr="00DA22B5">
              <w:rPr>
                <w:sz w:val="20"/>
              </w:rPr>
              <w:t>1.6</w:t>
            </w:r>
          </w:p>
        </w:tc>
      </w:tr>
      <w:tr w:rsidR="001E673C" w:rsidRPr="009517BA">
        <w:trPr>
          <w:cantSplit/>
          <w:jc w:val="center"/>
        </w:trPr>
        <w:tc>
          <w:tcPr>
            <w:tcW w:w="1115" w:type="pct"/>
            <w:tcMar>
              <w:left w:w="57" w:type="dxa"/>
              <w:right w:w="28" w:type="dxa"/>
            </w:tcMar>
          </w:tcPr>
          <w:p w:rsidR="001E673C" w:rsidRPr="00DA22B5" w:rsidRDefault="001E673C" w:rsidP="00DA22B5">
            <w:pPr>
              <w:pStyle w:val="Tabletext"/>
              <w:jc w:val="left"/>
              <w:rPr>
                <w:sz w:val="20"/>
                <w:lang w:val="en-US"/>
              </w:rPr>
            </w:pPr>
            <w:r w:rsidRPr="00DA22B5">
              <w:rPr>
                <w:sz w:val="20"/>
                <w:lang w:val="en-US"/>
              </w:rPr>
              <w:t>Av</w:t>
            </w:r>
            <w:r w:rsidR="00B5076C">
              <w:rPr>
                <w:sz w:val="20"/>
                <w:lang w:val="en-US"/>
              </w:rPr>
              <w:t>erage</w:t>
            </w:r>
            <w:r w:rsidRPr="00DA22B5">
              <w:rPr>
                <w:sz w:val="20"/>
                <w:lang w:val="en-US"/>
              </w:rPr>
              <w:t xml:space="preserve"> e.i.r.p. density (on ant</w:t>
            </w:r>
            <w:r w:rsidR="00703493">
              <w:rPr>
                <w:sz w:val="20"/>
                <w:lang w:val="en-US"/>
              </w:rPr>
              <w:t>en</w:t>
            </w:r>
            <w:r w:rsidR="00C434C8">
              <w:rPr>
                <w:sz w:val="20"/>
                <w:lang w:val="en-US"/>
              </w:rPr>
              <w:t>n</w:t>
            </w:r>
            <w:r w:rsidR="00703493">
              <w:rPr>
                <w:sz w:val="20"/>
                <w:lang w:val="en-US"/>
              </w:rPr>
              <w:t>a</w:t>
            </w:r>
            <w:r w:rsidRPr="00DA22B5">
              <w:rPr>
                <w:sz w:val="20"/>
                <w:lang w:val="en-US"/>
              </w:rPr>
              <w:t xml:space="preserve"> axis over mainlobe BW)</w:t>
            </w:r>
          </w:p>
        </w:tc>
        <w:tc>
          <w:tcPr>
            <w:tcW w:w="651" w:type="pct"/>
            <w:tcMar>
              <w:left w:w="57" w:type="dxa"/>
              <w:right w:w="28" w:type="dxa"/>
            </w:tcMar>
          </w:tcPr>
          <w:p w:rsidR="001E673C" w:rsidRPr="009517BA" w:rsidRDefault="001E673C" w:rsidP="009517BA">
            <w:pPr>
              <w:pStyle w:val="Tabletext"/>
              <w:ind w:left="-57"/>
              <w:jc w:val="center"/>
              <w:rPr>
                <w:sz w:val="20"/>
                <w:lang w:val="en-US"/>
              </w:rPr>
            </w:pPr>
            <w:r w:rsidRPr="009517BA">
              <w:rPr>
                <w:sz w:val="20"/>
                <w:lang w:val="en-US"/>
              </w:rPr>
              <w:t>−21.0 dBW/Hz</w:t>
            </w:r>
            <w:r w:rsidR="009517BA" w:rsidRPr="009517BA">
              <w:rPr>
                <w:sz w:val="20"/>
                <w:lang w:val="en-US"/>
              </w:rPr>
              <w:br/>
            </w:r>
            <w:r w:rsidRPr="009517BA">
              <w:rPr>
                <w:sz w:val="20"/>
                <w:lang w:val="en-US"/>
              </w:rPr>
              <w:t>49.0 dBW/</w:t>
            </w:r>
            <w:r w:rsidR="00E73324">
              <w:rPr>
                <w:sz w:val="20"/>
                <w:lang w:val="en-US"/>
              </w:rPr>
              <w:t xml:space="preserve"> </w:t>
            </w:r>
            <w:r w:rsidRPr="009517BA">
              <w:rPr>
                <w:sz w:val="20"/>
                <w:lang w:val="en-US"/>
              </w:rPr>
              <w:t>10 MHz</w:t>
            </w:r>
          </w:p>
        </w:tc>
        <w:tc>
          <w:tcPr>
            <w:tcW w:w="650" w:type="pct"/>
            <w:tcMar>
              <w:left w:w="57" w:type="dxa"/>
              <w:right w:w="28" w:type="dxa"/>
            </w:tcMar>
          </w:tcPr>
          <w:p w:rsidR="001E673C" w:rsidRPr="009517BA" w:rsidRDefault="001E673C" w:rsidP="009517BA">
            <w:pPr>
              <w:pStyle w:val="Tabletext"/>
              <w:ind w:left="-57"/>
              <w:jc w:val="center"/>
              <w:rPr>
                <w:sz w:val="20"/>
                <w:lang w:val="en-US"/>
              </w:rPr>
            </w:pPr>
            <w:r w:rsidRPr="009517BA">
              <w:rPr>
                <w:sz w:val="20"/>
                <w:lang w:val="en-US"/>
              </w:rPr>
              <w:t>−19.2 dBW/Hz</w:t>
            </w:r>
            <w:r w:rsidR="009517BA">
              <w:rPr>
                <w:sz w:val="20"/>
                <w:lang w:val="en-US"/>
              </w:rPr>
              <w:br/>
            </w:r>
            <w:r w:rsidRPr="009517BA">
              <w:rPr>
                <w:sz w:val="20"/>
                <w:lang w:val="en-US"/>
              </w:rPr>
              <w:t>50.8 dBW/</w:t>
            </w:r>
            <w:r w:rsidR="00E73324">
              <w:rPr>
                <w:sz w:val="20"/>
                <w:lang w:val="en-US"/>
              </w:rPr>
              <w:t xml:space="preserve"> </w:t>
            </w:r>
            <w:r w:rsidRPr="009517BA">
              <w:rPr>
                <w:sz w:val="20"/>
                <w:lang w:val="en-US"/>
              </w:rPr>
              <w:t>10 MHz</w:t>
            </w:r>
          </w:p>
        </w:tc>
        <w:tc>
          <w:tcPr>
            <w:tcW w:w="693" w:type="pct"/>
            <w:tcMar>
              <w:left w:w="57" w:type="dxa"/>
              <w:right w:w="28" w:type="dxa"/>
            </w:tcMar>
          </w:tcPr>
          <w:p w:rsidR="001E673C" w:rsidRPr="009517BA" w:rsidRDefault="001E673C" w:rsidP="009517BA">
            <w:pPr>
              <w:pStyle w:val="Tabletext"/>
              <w:ind w:left="-57"/>
              <w:jc w:val="center"/>
              <w:rPr>
                <w:sz w:val="20"/>
                <w:lang w:val="en-US"/>
              </w:rPr>
            </w:pPr>
            <w:r w:rsidRPr="009517BA">
              <w:rPr>
                <w:sz w:val="20"/>
                <w:lang w:val="en-US"/>
              </w:rPr>
              <w:t>−12.9 dBW/Hz</w:t>
            </w:r>
            <w:r w:rsidR="009517BA">
              <w:rPr>
                <w:sz w:val="20"/>
                <w:lang w:val="en-US"/>
              </w:rPr>
              <w:br/>
            </w:r>
            <w:r w:rsidRPr="009517BA">
              <w:rPr>
                <w:sz w:val="20"/>
                <w:lang w:val="en-US"/>
              </w:rPr>
              <w:t>57.1 dBW/</w:t>
            </w:r>
            <w:r w:rsidR="00E73324">
              <w:rPr>
                <w:sz w:val="20"/>
                <w:lang w:val="en-US"/>
              </w:rPr>
              <w:t xml:space="preserve"> </w:t>
            </w:r>
            <w:r w:rsidRPr="009517BA">
              <w:rPr>
                <w:sz w:val="20"/>
                <w:lang w:val="en-US"/>
              </w:rPr>
              <w:t>10 MHz</w:t>
            </w:r>
          </w:p>
        </w:tc>
        <w:tc>
          <w:tcPr>
            <w:tcW w:w="658" w:type="pct"/>
            <w:tcMar>
              <w:left w:w="57" w:type="dxa"/>
              <w:right w:w="28" w:type="dxa"/>
            </w:tcMar>
          </w:tcPr>
          <w:p w:rsidR="001E673C" w:rsidRPr="009517BA" w:rsidRDefault="001E673C" w:rsidP="009517BA">
            <w:pPr>
              <w:pStyle w:val="Tabletext"/>
              <w:ind w:left="-57"/>
              <w:jc w:val="center"/>
              <w:rPr>
                <w:sz w:val="20"/>
                <w:lang w:val="en-US"/>
              </w:rPr>
            </w:pPr>
            <w:r w:rsidRPr="009517BA">
              <w:rPr>
                <w:sz w:val="20"/>
                <w:lang w:val="en-US"/>
              </w:rPr>
              <w:t>−9.2 dBW/Hz</w:t>
            </w:r>
            <w:r w:rsidR="009517BA">
              <w:rPr>
                <w:sz w:val="20"/>
                <w:lang w:val="en-US"/>
              </w:rPr>
              <w:br/>
            </w:r>
            <w:r w:rsidRPr="009517BA">
              <w:rPr>
                <w:sz w:val="20"/>
                <w:lang w:val="en-US"/>
              </w:rPr>
              <w:t>60.8 dBW/</w:t>
            </w:r>
            <w:r w:rsidR="00E73324">
              <w:rPr>
                <w:sz w:val="20"/>
                <w:lang w:val="en-US"/>
              </w:rPr>
              <w:t xml:space="preserve"> </w:t>
            </w:r>
            <w:r w:rsidRPr="009517BA">
              <w:rPr>
                <w:sz w:val="20"/>
                <w:lang w:val="en-US"/>
              </w:rPr>
              <w:t>10 MHz</w:t>
            </w:r>
          </w:p>
        </w:tc>
        <w:tc>
          <w:tcPr>
            <w:tcW w:w="623" w:type="pct"/>
            <w:tcMar>
              <w:left w:w="57" w:type="dxa"/>
              <w:right w:w="28" w:type="dxa"/>
            </w:tcMar>
          </w:tcPr>
          <w:p w:rsidR="001E673C" w:rsidRPr="009517BA" w:rsidRDefault="001E673C" w:rsidP="009517BA">
            <w:pPr>
              <w:pStyle w:val="Tabletext"/>
              <w:ind w:left="-57"/>
              <w:jc w:val="center"/>
              <w:rPr>
                <w:sz w:val="20"/>
                <w:lang w:val="en-US"/>
              </w:rPr>
            </w:pPr>
            <w:r w:rsidRPr="009517BA">
              <w:rPr>
                <w:sz w:val="20"/>
                <w:lang w:val="en-US"/>
              </w:rPr>
              <w:t>−4.6 dBW/Hz</w:t>
            </w:r>
            <w:r w:rsidR="009517BA">
              <w:rPr>
                <w:sz w:val="20"/>
                <w:lang w:val="en-US"/>
              </w:rPr>
              <w:br/>
            </w:r>
            <w:r w:rsidRPr="009517BA">
              <w:rPr>
                <w:sz w:val="20"/>
                <w:lang w:val="en-US"/>
              </w:rPr>
              <w:t>65.4 dBW/</w:t>
            </w:r>
            <w:r w:rsidR="00E73324">
              <w:rPr>
                <w:sz w:val="20"/>
                <w:lang w:val="en-US"/>
              </w:rPr>
              <w:t xml:space="preserve"> </w:t>
            </w:r>
            <w:r w:rsidRPr="009517BA">
              <w:rPr>
                <w:sz w:val="20"/>
                <w:lang w:val="en-US"/>
              </w:rPr>
              <w:t>10 MHz</w:t>
            </w:r>
          </w:p>
        </w:tc>
        <w:tc>
          <w:tcPr>
            <w:tcW w:w="610" w:type="pct"/>
            <w:tcMar>
              <w:left w:w="57" w:type="dxa"/>
              <w:right w:w="28" w:type="dxa"/>
            </w:tcMar>
          </w:tcPr>
          <w:p w:rsidR="001E673C" w:rsidRPr="009517BA" w:rsidRDefault="001E673C" w:rsidP="009517BA">
            <w:pPr>
              <w:pStyle w:val="Tabletext"/>
              <w:ind w:left="-57"/>
              <w:jc w:val="center"/>
              <w:rPr>
                <w:sz w:val="20"/>
                <w:lang w:val="en-US"/>
              </w:rPr>
            </w:pPr>
            <w:r w:rsidRPr="009517BA">
              <w:rPr>
                <w:sz w:val="20"/>
                <w:lang w:val="en-US"/>
              </w:rPr>
              <w:t>−1.4 dBW/Hz</w:t>
            </w:r>
            <w:r w:rsidR="009517BA">
              <w:rPr>
                <w:sz w:val="20"/>
                <w:lang w:val="en-US"/>
              </w:rPr>
              <w:br/>
            </w:r>
            <w:r w:rsidRPr="009517BA">
              <w:rPr>
                <w:sz w:val="20"/>
                <w:lang w:val="en-US"/>
              </w:rPr>
              <w:t>68.6 dBW/</w:t>
            </w:r>
            <w:r w:rsidR="00E73324">
              <w:rPr>
                <w:sz w:val="20"/>
                <w:lang w:val="en-US"/>
              </w:rPr>
              <w:t xml:space="preserve"> </w:t>
            </w:r>
            <w:r w:rsidRPr="009517BA">
              <w:rPr>
                <w:sz w:val="20"/>
                <w:lang w:val="en-US"/>
              </w:rPr>
              <w:t>10 MHz</w:t>
            </w:r>
          </w:p>
        </w:tc>
      </w:tr>
      <w:tr w:rsidR="001E673C">
        <w:trPr>
          <w:cantSplit/>
          <w:jc w:val="center"/>
        </w:trPr>
        <w:tc>
          <w:tcPr>
            <w:tcW w:w="1115" w:type="pct"/>
            <w:tcMar>
              <w:left w:w="57" w:type="dxa"/>
              <w:right w:w="28" w:type="dxa"/>
            </w:tcMar>
          </w:tcPr>
          <w:p w:rsidR="001E673C" w:rsidRPr="00DA22B5" w:rsidRDefault="001E673C" w:rsidP="00DA22B5">
            <w:pPr>
              <w:pStyle w:val="Tabletext"/>
              <w:jc w:val="left"/>
              <w:rPr>
                <w:sz w:val="20"/>
                <w:lang w:val="en-US"/>
              </w:rPr>
            </w:pPr>
            <w:r w:rsidRPr="00DA22B5">
              <w:rPr>
                <w:sz w:val="20"/>
                <w:lang w:val="en-US"/>
              </w:rPr>
              <w:t>Number of interfering earth stations in 10 MHz ISS receive BW per FSS sat</w:t>
            </w:r>
            <w:r w:rsidR="00703493">
              <w:rPr>
                <w:sz w:val="20"/>
                <w:lang w:val="en-US"/>
              </w:rPr>
              <w:t>ellite</w:t>
            </w:r>
            <w:r w:rsidRPr="00DA22B5">
              <w:rPr>
                <w:sz w:val="20"/>
                <w:lang w:val="en-US"/>
              </w:rPr>
              <w:t xml:space="preserve"> transponder </w:t>
            </w:r>
          </w:p>
        </w:tc>
        <w:tc>
          <w:tcPr>
            <w:tcW w:w="651" w:type="pct"/>
            <w:tcMar>
              <w:left w:w="57" w:type="dxa"/>
              <w:right w:w="28" w:type="dxa"/>
            </w:tcMar>
          </w:tcPr>
          <w:p w:rsidR="001E673C" w:rsidRPr="009517BA" w:rsidRDefault="001E673C" w:rsidP="00EC2F97">
            <w:pPr>
              <w:pStyle w:val="Tabletext"/>
              <w:jc w:val="center"/>
              <w:rPr>
                <w:sz w:val="20"/>
                <w:lang w:val="en-US"/>
              </w:rPr>
            </w:pPr>
            <w:r w:rsidRPr="009517BA">
              <w:rPr>
                <w:sz w:val="20"/>
                <w:lang w:val="en-US"/>
              </w:rPr>
              <w:t>78</w:t>
            </w:r>
          </w:p>
        </w:tc>
        <w:tc>
          <w:tcPr>
            <w:tcW w:w="650" w:type="pct"/>
            <w:tcMar>
              <w:left w:w="57" w:type="dxa"/>
              <w:right w:w="28" w:type="dxa"/>
            </w:tcMar>
          </w:tcPr>
          <w:p w:rsidR="001E673C" w:rsidRPr="009517BA" w:rsidRDefault="001E673C" w:rsidP="00EC2F97">
            <w:pPr>
              <w:pStyle w:val="Tabletext"/>
              <w:jc w:val="center"/>
              <w:rPr>
                <w:sz w:val="20"/>
                <w:lang w:val="en-US"/>
              </w:rPr>
            </w:pPr>
            <w:r w:rsidRPr="009517BA">
              <w:rPr>
                <w:sz w:val="20"/>
                <w:lang w:val="en-US"/>
              </w:rPr>
              <w:t>13</w:t>
            </w:r>
          </w:p>
        </w:tc>
        <w:tc>
          <w:tcPr>
            <w:tcW w:w="693" w:type="pct"/>
            <w:tcMar>
              <w:left w:w="57" w:type="dxa"/>
              <w:right w:w="28" w:type="dxa"/>
            </w:tcMar>
          </w:tcPr>
          <w:p w:rsidR="001E673C" w:rsidRPr="009517BA" w:rsidRDefault="001E673C" w:rsidP="00EC2F97">
            <w:pPr>
              <w:pStyle w:val="Tabletext"/>
              <w:jc w:val="center"/>
              <w:rPr>
                <w:sz w:val="20"/>
                <w:lang w:val="en-US"/>
              </w:rPr>
            </w:pPr>
            <w:r w:rsidRPr="009517BA">
              <w:rPr>
                <w:sz w:val="20"/>
                <w:lang w:val="en-US"/>
              </w:rPr>
              <w:t>3</w:t>
            </w:r>
          </w:p>
        </w:tc>
        <w:tc>
          <w:tcPr>
            <w:tcW w:w="658" w:type="pct"/>
            <w:tcMar>
              <w:left w:w="57" w:type="dxa"/>
              <w:right w:w="28" w:type="dxa"/>
            </w:tcMar>
          </w:tcPr>
          <w:p w:rsidR="001E673C" w:rsidRPr="009517BA" w:rsidRDefault="001E673C" w:rsidP="00EC2F97">
            <w:pPr>
              <w:pStyle w:val="Tabletext"/>
              <w:jc w:val="center"/>
              <w:rPr>
                <w:sz w:val="20"/>
                <w:lang w:val="en-US"/>
              </w:rPr>
            </w:pPr>
            <w:r w:rsidRPr="009517BA">
              <w:rPr>
                <w:sz w:val="20"/>
                <w:lang w:val="en-US"/>
              </w:rPr>
              <w:t>5</w:t>
            </w:r>
          </w:p>
        </w:tc>
        <w:tc>
          <w:tcPr>
            <w:tcW w:w="623" w:type="pct"/>
            <w:tcMar>
              <w:left w:w="57" w:type="dxa"/>
              <w:right w:w="28" w:type="dxa"/>
            </w:tcMar>
          </w:tcPr>
          <w:p w:rsidR="001E673C" w:rsidRPr="009517BA" w:rsidRDefault="001E673C" w:rsidP="00EC2F97">
            <w:pPr>
              <w:pStyle w:val="Tabletext"/>
              <w:jc w:val="center"/>
              <w:rPr>
                <w:sz w:val="20"/>
                <w:lang w:val="en-US"/>
              </w:rPr>
            </w:pPr>
            <w:r w:rsidRPr="009517BA">
              <w:rPr>
                <w:sz w:val="20"/>
                <w:lang w:val="en-US"/>
              </w:rPr>
              <w:t>1</w:t>
            </w:r>
          </w:p>
        </w:tc>
        <w:tc>
          <w:tcPr>
            <w:tcW w:w="610" w:type="pct"/>
            <w:tcMar>
              <w:left w:w="57" w:type="dxa"/>
              <w:right w:w="28" w:type="dxa"/>
            </w:tcMar>
          </w:tcPr>
          <w:p w:rsidR="001E673C" w:rsidRPr="00DA22B5" w:rsidRDefault="001E673C" w:rsidP="00EC2F97">
            <w:pPr>
              <w:pStyle w:val="Tabletext"/>
              <w:jc w:val="center"/>
              <w:rPr>
                <w:sz w:val="20"/>
              </w:rPr>
            </w:pPr>
            <w:r w:rsidRPr="00DA22B5">
              <w:rPr>
                <w:sz w:val="20"/>
              </w:rPr>
              <w:t>1</w:t>
            </w:r>
          </w:p>
        </w:tc>
      </w:tr>
      <w:tr w:rsidR="001E673C">
        <w:trPr>
          <w:cantSplit/>
          <w:jc w:val="center"/>
        </w:trPr>
        <w:tc>
          <w:tcPr>
            <w:tcW w:w="1115" w:type="pct"/>
            <w:tcMar>
              <w:left w:w="57" w:type="dxa"/>
              <w:right w:w="28" w:type="dxa"/>
            </w:tcMar>
          </w:tcPr>
          <w:p w:rsidR="001E673C" w:rsidRPr="00DA22B5" w:rsidRDefault="001E673C" w:rsidP="00DA22B5">
            <w:pPr>
              <w:pStyle w:val="Tabletext"/>
              <w:jc w:val="left"/>
              <w:rPr>
                <w:sz w:val="20"/>
                <w:lang w:val="en-US"/>
              </w:rPr>
            </w:pPr>
            <w:r w:rsidRPr="00DA22B5">
              <w:rPr>
                <w:sz w:val="20"/>
                <w:lang w:val="en-US"/>
              </w:rPr>
              <w:t>Number of interfering earth stations in ISS/LEO BW per FSS sat</w:t>
            </w:r>
            <w:r w:rsidR="00703493">
              <w:rPr>
                <w:sz w:val="20"/>
                <w:lang w:val="en-US"/>
              </w:rPr>
              <w:t>ellite</w:t>
            </w:r>
            <w:r w:rsidRPr="00DA22B5">
              <w:rPr>
                <w:sz w:val="20"/>
                <w:lang w:val="en-US"/>
              </w:rPr>
              <w:t xml:space="preserve"> (assume</w:t>
            </w:r>
            <w:r w:rsidR="00B42C6E">
              <w:rPr>
                <w:sz w:val="20"/>
                <w:lang w:val="en-US"/>
              </w:rPr>
              <w:t> </w:t>
            </w:r>
            <w:r w:rsidRPr="00DA22B5">
              <w:rPr>
                <w:sz w:val="20"/>
                <w:lang w:val="en-US"/>
              </w:rPr>
              <w:t>2 co-freq</w:t>
            </w:r>
            <w:r w:rsidR="00703493">
              <w:rPr>
                <w:sz w:val="20"/>
                <w:lang w:val="en-US"/>
              </w:rPr>
              <w:t>uency</w:t>
            </w:r>
            <w:r w:rsidRPr="00DA22B5">
              <w:rPr>
                <w:sz w:val="20"/>
                <w:lang w:val="en-US"/>
              </w:rPr>
              <w:t>, cross</w:t>
            </w:r>
            <w:r w:rsidR="00BF2B8A">
              <w:rPr>
                <w:sz w:val="20"/>
                <w:lang w:val="en-US"/>
              </w:rPr>
              <w:noBreakHyphen/>
            </w:r>
            <w:r w:rsidRPr="00DA22B5">
              <w:rPr>
                <w:sz w:val="20"/>
                <w:lang w:val="en-US"/>
              </w:rPr>
              <w:t>polar transponders per FSS satellite)</w:t>
            </w:r>
          </w:p>
        </w:tc>
        <w:tc>
          <w:tcPr>
            <w:tcW w:w="651" w:type="pct"/>
            <w:tcMar>
              <w:left w:w="57" w:type="dxa"/>
              <w:right w:w="28" w:type="dxa"/>
            </w:tcMar>
          </w:tcPr>
          <w:p w:rsidR="001E673C" w:rsidRPr="00DA22B5" w:rsidRDefault="001E673C" w:rsidP="00EC2F97">
            <w:pPr>
              <w:pStyle w:val="Tabletext"/>
              <w:jc w:val="center"/>
              <w:rPr>
                <w:sz w:val="20"/>
              </w:rPr>
            </w:pPr>
            <w:r w:rsidRPr="00DA22B5">
              <w:rPr>
                <w:sz w:val="20"/>
              </w:rPr>
              <w:t>156</w:t>
            </w:r>
          </w:p>
        </w:tc>
        <w:tc>
          <w:tcPr>
            <w:tcW w:w="650" w:type="pct"/>
            <w:tcMar>
              <w:left w:w="57" w:type="dxa"/>
              <w:right w:w="28" w:type="dxa"/>
            </w:tcMar>
          </w:tcPr>
          <w:p w:rsidR="001E673C" w:rsidRPr="00DA22B5" w:rsidRDefault="001E673C" w:rsidP="00EC2F97">
            <w:pPr>
              <w:pStyle w:val="Tabletext"/>
              <w:jc w:val="center"/>
              <w:rPr>
                <w:sz w:val="20"/>
              </w:rPr>
            </w:pPr>
            <w:r w:rsidRPr="00DA22B5">
              <w:rPr>
                <w:sz w:val="20"/>
              </w:rPr>
              <w:t>26</w:t>
            </w:r>
          </w:p>
        </w:tc>
        <w:tc>
          <w:tcPr>
            <w:tcW w:w="693" w:type="pct"/>
            <w:tcMar>
              <w:left w:w="57" w:type="dxa"/>
              <w:right w:w="28" w:type="dxa"/>
            </w:tcMar>
          </w:tcPr>
          <w:p w:rsidR="001E673C" w:rsidRPr="00DA22B5" w:rsidRDefault="001E673C" w:rsidP="00EC2F97">
            <w:pPr>
              <w:pStyle w:val="Tabletext"/>
              <w:jc w:val="center"/>
              <w:rPr>
                <w:sz w:val="20"/>
              </w:rPr>
            </w:pPr>
            <w:r w:rsidRPr="00DA22B5">
              <w:rPr>
                <w:sz w:val="20"/>
              </w:rPr>
              <w:t>6</w:t>
            </w:r>
          </w:p>
        </w:tc>
        <w:tc>
          <w:tcPr>
            <w:tcW w:w="658" w:type="pct"/>
            <w:tcMar>
              <w:left w:w="57" w:type="dxa"/>
              <w:right w:w="28" w:type="dxa"/>
            </w:tcMar>
          </w:tcPr>
          <w:p w:rsidR="001E673C" w:rsidRPr="00DA22B5" w:rsidRDefault="001E673C" w:rsidP="00EC2F97">
            <w:pPr>
              <w:pStyle w:val="Tabletext"/>
              <w:jc w:val="center"/>
              <w:rPr>
                <w:sz w:val="20"/>
              </w:rPr>
            </w:pPr>
            <w:r w:rsidRPr="00DA22B5">
              <w:rPr>
                <w:sz w:val="20"/>
              </w:rPr>
              <w:t>10</w:t>
            </w:r>
          </w:p>
        </w:tc>
        <w:tc>
          <w:tcPr>
            <w:tcW w:w="623" w:type="pct"/>
            <w:tcMar>
              <w:left w:w="57" w:type="dxa"/>
              <w:right w:w="28" w:type="dxa"/>
            </w:tcMar>
          </w:tcPr>
          <w:p w:rsidR="001E673C" w:rsidRPr="00DA22B5" w:rsidRDefault="001E673C" w:rsidP="00EC2F97">
            <w:pPr>
              <w:pStyle w:val="Tabletext"/>
              <w:jc w:val="center"/>
              <w:rPr>
                <w:sz w:val="20"/>
              </w:rPr>
            </w:pPr>
            <w:r w:rsidRPr="00DA22B5">
              <w:rPr>
                <w:sz w:val="20"/>
              </w:rPr>
              <w:t>2</w:t>
            </w:r>
          </w:p>
        </w:tc>
        <w:tc>
          <w:tcPr>
            <w:tcW w:w="610" w:type="pct"/>
            <w:tcMar>
              <w:left w:w="57" w:type="dxa"/>
              <w:right w:w="28" w:type="dxa"/>
            </w:tcMar>
          </w:tcPr>
          <w:p w:rsidR="001E673C" w:rsidRPr="00DA22B5" w:rsidRDefault="001E673C" w:rsidP="00EC2F97">
            <w:pPr>
              <w:pStyle w:val="Tabletext"/>
              <w:jc w:val="center"/>
              <w:rPr>
                <w:sz w:val="20"/>
              </w:rPr>
            </w:pPr>
            <w:r w:rsidRPr="00DA22B5">
              <w:rPr>
                <w:sz w:val="20"/>
              </w:rPr>
              <w:t>2</w:t>
            </w:r>
          </w:p>
        </w:tc>
      </w:tr>
      <w:tr w:rsidR="001E673C">
        <w:trPr>
          <w:cantSplit/>
          <w:jc w:val="center"/>
        </w:trPr>
        <w:tc>
          <w:tcPr>
            <w:tcW w:w="1115" w:type="pct"/>
            <w:tcMar>
              <w:left w:w="57" w:type="dxa"/>
              <w:right w:w="28" w:type="dxa"/>
            </w:tcMar>
          </w:tcPr>
          <w:p w:rsidR="001E673C" w:rsidRPr="00DA22B5" w:rsidRDefault="001E673C" w:rsidP="00DA22B5">
            <w:pPr>
              <w:pStyle w:val="Tabletext"/>
              <w:jc w:val="left"/>
              <w:rPr>
                <w:sz w:val="20"/>
                <w:lang w:val="en-US"/>
              </w:rPr>
            </w:pPr>
            <w:r w:rsidRPr="00DA22B5">
              <w:rPr>
                <w:sz w:val="20"/>
                <w:lang w:val="en-US"/>
              </w:rPr>
              <w:t>Total number (interfering) E</w:t>
            </w:r>
            <w:r w:rsidR="00B42C6E" w:rsidRPr="00DA22B5">
              <w:rPr>
                <w:sz w:val="20"/>
                <w:lang w:val="en-US"/>
              </w:rPr>
              <w:t xml:space="preserve">arth </w:t>
            </w:r>
            <w:r w:rsidR="00702FC9" w:rsidRPr="00DA22B5">
              <w:rPr>
                <w:sz w:val="20"/>
                <w:lang w:val="en-US"/>
              </w:rPr>
              <w:t>s</w:t>
            </w:r>
            <w:r w:rsidRPr="00DA22B5">
              <w:rPr>
                <w:sz w:val="20"/>
                <w:lang w:val="en-US"/>
              </w:rPr>
              <w:t>tations in scenario (assume 120 FSS sat</w:t>
            </w:r>
            <w:r w:rsidR="00703493">
              <w:rPr>
                <w:sz w:val="20"/>
                <w:lang w:val="en-US"/>
              </w:rPr>
              <w:t>ellite</w:t>
            </w:r>
            <w:r w:rsidRPr="00DA22B5">
              <w:rPr>
                <w:sz w:val="20"/>
                <w:lang w:val="en-US"/>
              </w:rPr>
              <w:t>s at 3° orbit spacing)</w:t>
            </w:r>
          </w:p>
        </w:tc>
        <w:tc>
          <w:tcPr>
            <w:tcW w:w="651" w:type="pct"/>
            <w:tcMar>
              <w:left w:w="57" w:type="dxa"/>
              <w:right w:w="28" w:type="dxa"/>
            </w:tcMar>
          </w:tcPr>
          <w:p w:rsidR="001E673C" w:rsidRPr="00DA22B5" w:rsidRDefault="001E673C" w:rsidP="00EC2F97">
            <w:pPr>
              <w:pStyle w:val="Tabletext"/>
              <w:jc w:val="center"/>
              <w:rPr>
                <w:sz w:val="20"/>
              </w:rPr>
            </w:pPr>
            <w:r w:rsidRPr="00DA22B5">
              <w:rPr>
                <w:sz w:val="20"/>
              </w:rPr>
              <w:t>18 720</w:t>
            </w:r>
          </w:p>
        </w:tc>
        <w:tc>
          <w:tcPr>
            <w:tcW w:w="650" w:type="pct"/>
            <w:tcMar>
              <w:left w:w="57" w:type="dxa"/>
              <w:right w:w="28" w:type="dxa"/>
            </w:tcMar>
          </w:tcPr>
          <w:p w:rsidR="001E673C" w:rsidRPr="00DA22B5" w:rsidRDefault="001E673C" w:rsidP="00EC2F97">
            <w:pPr>
              <w:pStyle w:val="Tabletext"/>
              <w:jc w:val="center"/>
              <w:rPr>
                <w:sz w:val="20"/>
              </w:rPr>
            </w:pPr>
            <w:r w:rsidRPr="00DA22B5">
              <w:rPr>
                <w:sz w:val="20"/>
              </w:rPr>
              <w:t>3 120</w:t>
            </w:r>
          </w:p>
        </w:tc>
        <w:tc>
          <w:tcPr>
            <w:tcW w:w="693" w:type="pct"/>
            <w:tcMar>
              <w:left w:w="57" w:type="dxa"/>
              <w:right w:w="28" w:type="dxa"/>
            </w:tcMar>
          </w:tcPr>
          <w:p w:rsidR="001E673C" w:rsidRPr="00DA22B5" w:rsidRDefault="001E673C" w:rsidP="00EC2F97">
            <w:pPr>
              <w:pStyle w:val="Tabletext"/>
              <w:jc w:val="center"/>
              <w:rPr>
                <w:sz w:val="20"/>
              </w:rPr>
            </w:pPr>
            <w:r w:rsidRPr="00DA22B5">
              <w:rPr>
                <w:sz w:val="20"/>
              </w:rPr>
              <w:t>720</w:t>
            </w:r>
          </w:p>
        </w:tc>
        <w:tc>
          <w:tcPr>
            <w:tcW w:w="658" w:type="pct"/>
            <w:tcMar>
              <w:left w:w="57" w:type="dxa"/>
              <w:right w:w="28" w:type="dxa"/>
            </w:tcMar>
          </w:tcPr>
          <w:p w:rsidR="001E673C" w:rsidRPr="00DA22B5" w:rsidRDefault="001E673C" w:rsidP="00EC2F97">
            <w:pPr>
              <w:pStyle w:val="Tabletext"/>
              <w:jc w:val="center"/>
              <w:rPr>
                <w:sz w:val="20"/>
              </w:rPr>
            </w:pPr>
            <w:r w:rsidRPr="00DA22B5">
              <w:rPr>
                <w:sz w:val="20"/>
              </w:rPr>
              <w:t>1200</w:t>
            </w:r>
          </w:p>
        </w:tc>
        <w:tc>
          <w:tcPr>
            <w:tcW w:w="623" w:type="pct"/>
            <w:tcMar>
              <w:left w:w="57" w:type="dxa"/>
              <w:right w:w="28" w:type="dxa"/>
            </w:tcMar>
          </w:tcPr>
          <w:p w:rsidR="001E673C" w:rsidRPr="00DA22B5" w:rsidRDefault="001E673C" w:rsidP="00EC2F97">
            <w:pPr>
              <w:pStyle w:val="Tabletext"/>
              <w:jc w:val="center"/>
              <w:rPr>
                <w:sz w:val="20"/>
              </w:rPr>
            </w:pPr>
            <w:r w:rsidRPr="00DA22B5">
              <w:rPr>
                <w:sz w:val="20"/>
              </w:rPr>
              <w:t>240</w:t>
            </w:r>
          </w:p>
        </w:tc>
        <w:tc>
          <w:tcPr>
            <w:tcW w:w="610" w:type="pct"/>
            <w:tcMar>
              <w:left w:w="57" w:type="dxa"/>
              <w:right w:w="28" w:type="dxa"/>
            </w:tcMar>
          </w:tcPr>
          <w:p w:rsidR="001E673C" w:rsidRPr="00DA22B5" w:rsidRDefault="001E673C" w:rsidP="00EC2F97">
            <w:pPr>
              <w:pStyle w:val="Tabletext"/>
              <w:jc w:val="center"/>
              <w:rPr>
                <w:sz w:val="20"/>
              </w:rPr>
            </w:pPr>
            <w:r w:rsidRPr="00DA22B5">
              <w:rPr>
                <w:sz w:val="20"/>
              </w:rPr>
              <w:t>240</w:t>
            </w:r>
          </w:p>
        </w:tc>
      </w:tr>
      <w:tr w:rsidR="001E673C" w:rsidRPr="00865A92">
        <w:trPr>
          <w:cantSplit/>
          <w:jc w:val="center"/>
        </w:trPr>
        <w:tc>
          <w:tcPr>
            <w:tcW w:w="1115" w:type="pct"/>
            <w:tcBorders>
              <w:bottom w:val="single" w:sz="4" w:space="0" w:color="auto"/>
            </w:tcBorders>
            <w:tcMar>
              <w:left w:w="57" w:type="dxa"/>
              <w:right w:w="28" w:type="dxa"/>
            </w:tcMar>
          </w:tcPr>
          <w:p w:rsidR="001E673C" w:rsidRPr="00DA22B5" w:rsidRDefault="001E673C" w:rsidP="00DA22B5">
            <w:pPr>
              <w:pStyle w:val="Tabletext"/>
              <w:jc w:val="left"/>
              <w:rPr>
                <w:sz w:val="20"/>
                <w:lang w:val="en-US"/>
              </w:rPr>
            </w:pPr>
            <w:r w:rsidRPr="00DA22B5">
              <w:rPr>
                <w:sz w:val="20"/>
                <w:lang w:val="en-US"/>
              </w:rPr>
              <w:t>Number of cities modelled in simulation</w:t>
            </w:r>
          </w:p>
        </w:tc>
        <w:tc>
          <w:tcPr>
            <w:tcW w:w="651" w:type="pct"/>
            <w:tcBorders>
              <w:bottom w:val="single" w:sz="4" w:space="0" w:color="auto"/>
            </w:tcBorders>
            <w:tcMar>
              <w:left w:w="57" w:type="dxa"/>
              <w:right w:w="28" w:type="dxa"/>
            </w:tcMar>
          </w:tcPr>
          <w:p w:rsidR="001E673C" w:rsidRPr="00865A92" w:rsidRDefault="001E673C" w:rsidP="00EC2F97">
            <w:pPr>
              <w:pStyle w:val="Tabletext"/>
              <w:jc w:val="center"/>
              <w:rPr>
                <w:sz w:val="20"/>
                <w:lang w:val="en-US"/>
              </w:rPr>
            </w:pPr>
            <w:r w:rsidRPr="00865A92">
              <w:rPr>
                <w:sz w:val="20"/>
                <w:lang w:val="en-US"/>
              </w:rPr>
              <w:t>2 693</w:t>
            </w:r>
            <w:r w:rsidR="00865A92" w:rsidRPr="00865A92">
              <w:rPr>
                <w:sz w:val="20"/>
                <w:lang w:val="en-US"/>
              </w:rPr>
              <w:br/>
            </w:r>
            <w:r w:rsidRPr="00865A92">
              <w:rPr>
                <w:sz w:val="20"/>
                <w:lang w:val="en-US"/>
              </w:rPr>
              <w:t>(pop &gt; 100 000)</w:t>
            </w:r>
          </w:p>
        </w:tc>
        <w:tc>
          <w:tcPr>
            <w:tcW w:w="650" w:type="pct"/>
            <w:tcBorders>
              <w:bottom w:val="single" w:sz="4" w:space="0" w:color="auto"/>
            </w:tcBorders>
            <w:tcMar>
              <w:left w:w="57" w:type="dxa"/>
              <w:right w:w="28" w:type="dxa"/>
            </w:tcMar>
          </w:tcPr>
          <w:p w:rsidR="001E673C" w:rsidRPr="00865A92" w:rsidRDefault="001E673C" w:rsidP="00EC2F97">
            <w:pPr>
              <w:pStyle w:val="Tabletext"/>
              <w:jc w:val="center"/>
              <w:rPr>
                <w:sz w:val="20"/>
                <w:lang w:val="en-US"/>
              </w:rPr>
            </w:pPr>
            <w:r w:rsidRPr="00865A92">
              <w:rPr>
                <w:sz w:val="20"/>
                <w:lang w:val="en-US"/>
              </w:rPr>
              <w:t>545</w:t>
            </w:r>
            <w:r w:rsidR="00865A92">
              <w:rPr>
                <w:sz w:val="20"/>
                <w:lang w:val="en-US"/>
              </w:rPr>
              <w:br/>
            </w:r>
            <w:r w:rsidRPr="00865A92">
              <w:rPr>
                <w:sz w:val="20"/>
                <w:lang w:val="en-US"/>
              </w:rPr>
              <w:t>(pop &gt; 500 000)</w:t>
            </w:r>
          </w:p>
        </w:tc>
        <w:tc>
          <w:tcPr>
            <w:tcW w:w="693" w:type="pct"/>
            <w:tcBorders>
              <w:bottom w:val="single" w:sz="4" w:space="0" w:color="auto"/>
            </w:tcBorders>
            <w:tcMar>
              <w:left w:w="57" w:type="dxa"/>
              <w:right w:w="28" w:type="dxa"/>
            </w:tcMar>
          </w:tcPr>
          <w:p w:rsidR="001E673C" w:rsidRPr="00865A92" w:rsidRDefault="001E673C" w:rsidP="00EC2F97">
            <w:pPr>
              <w:pStyle w:val="Tabletext"/>
              <w:jc w:val="center"/>
              <w:rPr>
                <w:sz w:val="20"/>
                <w:lang w:val="en-US"/>
              </w:rPr>
            </w:pPr>
            <w:r w:rsidRPr="00865A92">
              <w:rPr>
                <w:sz w:val="20"/>
                <w:lang w:val="en-US"/>
              </w:rPr>
              <w:t>545</w:t>
            </w:r>
          </w:p>
        </w:tc>
        <w:tc>
          <w:tcPr>
            <w:tcW w:w="658" w:type="pct"/>
            <w:tcBorders>
              <w:bottom w:val="single" w:sz="4" w:space="0" w:color="auto"/>
            </w:tcBorders>
            <w:tcMar>
              <w:left w:w="57" w:type="dxa"/>
              <w:right w:w="28" w:type="dxa"/>
            </w:tcMar>
          </w:tcPr>
          <w:p w:rsidR="001E673C" w:rsidRPr="00865A92" w:rsidRDefault="001E673C" w:rsidP="00EC2F97">
            <w:pPr>
              <w:pStyle w:val="Tabletext"/>
              <w:jc w:val="center"/>
              <w:rPr>
                <w:sz w:val="20"/>
                <w:lang w:val="en-US"/>
              </w:rPr>
            </w:pPr>
            <w:r w:rsidRPr="00865A92">
              <w:rPr>
                <w:sz w:val="20"/>
                <w:lang w:val="en-US"/>
              </w:rPr>
              <w:t>545</w:t>
            </w:r>
          </w:p>
        </w:tc>
        <w:tc>
          <w:tcPr>
            <w:tcW w:w="623" w:type="pct"/>
            <w:tcBorders>
              <w:bottom w:val="single" w:sz="4" w:space="0" w:color="auto"/>
            </w:tcBorders>
            <w:tcMar>
              <w:left w:w="57" w:type="dxa"/>
              <w:right w:w="28" w:type="dxa"/>
            </w:tcMar>
          </w:tcPr>
          <w:p w:rsidR="001E673C" w:rsidRPr="00865A92" w:rsidRDefault="001E673C" w:rsidP="00EC2F97">
            <w:pPr>
              <w:pStyle w:val="Tabletext"/>
              <w:jc w:val="center"/>
              <w:rPr>
                <w:sz w:val="20"/>
                <w:lang w:val="en-US"/>
              </w:rPr>
            </w:pPr>
            <w:r w:rsidRPr="00865A92">
              <w:rPr>
                <w:sz w:val="20"/>
                <w:lang w:val="en-US"/>
              </w:rPr>
              <w:t>545</w:t>
            </w:r>
          </w:p>
        </w:tc>
        <w:tc>
          <w:tcPr>
            <w:tcW w:w="610" w:type="pct"/>
            <w:tcBorders>
              <w:bottom w:val="single" w:sz="4" w:space="0" w:color="auto"/>
            </w:tcBorders>
            <w:tcMar>
              <w:left w:w="57" w:type="dxa"/>
              <w:right w:w="28" w:type="dxa"/>
            </w:tcMar>
          </w:tcPr>
          <w:p w:rsidR="001E673C" w:rsidRPr="00865A92" w:rsidRDefault="001E673C" w:rsidP="00EC2F97">
            <w:pPr>
              <w:pStyle w:val="Tabletext"/>
              <w:jc w:val="center"/>
              <w:rPr>
                <w:sz w:val="20"/>
                <w:lang w:val="en-US"/>
              </w:rPr>
            </w:pPr>
            <w:r w:rsidRPr="00865A92">
              <w:rPr>
                <w:sz w:val="20"/>
                <w:lang w:val="en-US"/>
              </w:rPr>
              <w:t>545</w:t>
            </w:r>
          </w:p>
        </w:tc>
      </w:tr>
    </w:tbl>
    <w:p w:rsidR="00B971E8" w:rsidRDefault="00B971E8" w:rsidP="00B971E8">
      <w:pPr>
        <w:pStyle w:val="Tablefin"/>
      </w:pPr>
    </w:p>
    <w:p w:rsidR="00A7698E" w:rsidRPr="00A7698E" w:rsidRDefault="00A7698E" w:rsidP="00703493">
      <w:pPr>
        <w:pStyle w:val="Note"/>
        <w:rPr>
          <w:lang w:val="en-US"/>
        </w:rPr>
      </w:pPr>
      <w:r w:rsidRPr="00A7698E">
        <w:rPr>
          <w:lang w:val="en-US"/>
        </w:rPr>
        <w:t xml:space="preserve">NOTE 1 – </w:t>
      </w:r>
      <w:r w:rsidR="00703493" w:rsidRPr="00A7698E">
        <w:rPr>
          <w:lang w:val="en-US"/>
        </w:rPr>
        <w:t>e.i.r.p</w:t>
      </w:r>
      <w:r w:rsidRPr="00A7698E">
        <w:rPr>
          <w:lang w:val="en-US"/>
        </w:rPr>
        <w:t xml:space="preserve">. densities listed are those that satisfy the </w:t>
      </w:r>
      <w:r w:rsidR="00703493">
        <w:rPr>
          <w:lang w:val="en-US"/>
        </w:rPr>
        <w:t>ISS</w:t>
      </w:r>
      <w:r w:rsidRPr="00A7698E">
        <w:rPr>
          <w:lang w:val="en-US"/>
        </w:rPr>
        <w:t xml:space="preserve"> interference threshold level (i.e. aggregate interference power into the ISS receiver not to exceed −139 dBW/10 MHz for more than 0.1% of the time on average).</w:t>
      </w:r>
    </w:p>
    <w:p w:rsidR="00330D42" w:rsidRDefault="00330D42" w:rsidP="00330BEA">
      <w:pPr>
        <w:pStyle w:val="FigureNo"/>
        <w:rPr>
          <w:lang w:val="en-US"/>
        </w:rPr>
      </w:pPr>
    </w:p>
    <w:p w:rsidR="00330D42" w:rsidRDefault="00330D42" w:rsidP="00330BEA">
      <w:pPr>
        <w:pStyle w:val="FigureNo"/>
        <w:rPr>
          <w:lang w:val="en-US"/>
        </w:rPr>
      </w:pPr>
    </w:p>
    <w:p w:rsidR="002100A7" w:rsidRPr="002100A7" w:rsidRDefault="002100A7" w:rsidP="00330BEA">
      <w:pPr>
        <w:pStyle w:val="FigureNo"/>
        <w:rPr>
          <w:lang w:val="en-US"/>
        </w:rPr>
      </w:pPr>
      <w:r w:rsidRPr="002100A7">
        <w:rPr>
          <w:lang w:val="en-US"/>
        </w:rPr>
        <w:t xml:space="preserve">Figure </w:t>
      </w:r>
      <w:r w:rsidR="00330BEA">
        <w:rPr>
          <w:lang w:val="en-US"/>
        </w:rPr>
        <w:t>6</w:t>
      </w:r>
    </w:p>
    <w:p w:rsidR="00330BEA" w:rsidRDefault="002100A7" w:rsidP="002100A7">
      <w:pPr>
        <w:pStyle w:val="Figuretitle"/>
        <w:spacing w:after="360"/>
        <w:rPr>
          <w:lang w:val="en-US"/>
        </w:rPr>
      </w:pPr>
      <w:r w:rsidRPr="002100A7">
        <w:rPr>
          <w:lang w:val="en-US"/>
        </w:rPr>
        <w:t>Illustration of Case 1 earth station distribution: 18 720 75 cm earth stations</w:t>
      </w:r>
    </w:p>
    <w:p w:rsidR="002100A7" w:rsidRPr="002100A7" w:rsidRDefault="00AC2806" w:rsidP="00703493">
      <w:pPr>
        <w:pStyle w:val="Figure"/>
        <w:rPr>
          <w:lang w:val="en-US"/>
        </w:rPr>
      </w:pPr>
      <w:r>
        <w:object w:dxaOrig="6504" w:dyaOrig="3549">
          <v:shape id="_x0000_i1031" type="#_x0000_t75" style="width:325.8pt;height:177.6pt" o:ole="">
            <v:imagedata r:id="rId22" o:title=""/>
          </v:shape>
          <o:OLEObject Type="Embed" ProgID="CorelDraw.Graphic.12" ShapeID="_x0000_i1031" DrawAspect="Content" ObjectID="_1330861839" r:id="rId23"/>
        </w:object>
      </w:r>
      <w:r w:rsidR="002100A7" w:rsidRPr="002100A7">
        <w:rPr>
          <w:lang w:val="en-US"/>
        </w:rPr>
        <w:t xml:space="preserve"> </w:t>
      </w:r>
    </w:p>
    <w:p w:rsidR="002100A7" w:rsidRPr="002100A7" w:rsidRDefault="002100A7" w:rsidP="00330BEA">
      <w:pPr>
        <w:pStyle w:val="FigureNo"/>
        <w:rPr>
          <w:lang w:val="en-US"/>
        </w:rPr>
      </w:pPr>
      <w:r w:rsidRPr="002100A7">
        <w:rPr>
          <w:lang w:val="en-US"/>
        </w:rPr>
        <w:t xml:space="preserve">Figure </w:t>
      </w:r>
      <w:r w:rsidR="00330BEA">
        <w:rPr>
          <w:lang w:val="en-US"/>
        </w:rPr>
        <w:t>7</w:t>
      </w:r>
    </w:p>
    <w:p w:rsidR="002100A7" w:rsidRPr="002100A7" w:rsidRDefault="002100A7" w:rsidP="00F01F01">
      <w:pPr>
        <w:pStyle w:val="Figuretitle"/>
        <w:rPr>
          <w:lang w:val="en-US"/>
        </w:rPr>
      </w:pPr>
      <w:r w:rsidRPr="002100A7">
        <w:rPr>
          <w:lang w:val="en-US"/>
        </w:rPr>
        <w:t>Close-</w:t>
      </w:r>
      <w:r w:rsidR="008A540C">
        <w:rPr>
          <w:lang w:val="en-US"/>
        </w:rPr>
        <w:t>u</w:t>
      </w:r>
      <w:r w:rsidRPr="002100A7">
        <w:rPr>
          <w:lang w:val="en-US"/>
        </w:rPr>
        <w:t xml:space="preserve">p </w:t>
      </w:r>
      <w:r w:rsidR="008A540C">
        <w:rPr>
          <w:lang w:val="en-US"/>
        </w:rPr>
        <w:t>v</w:t>
      </w:r>
      <w:r w:rsidRPr="002100A7">
        <w:rPr>
          <w:lang w:val="en-US"/>
        </w:rPr>
        <w:t xml:space="preserve">iew </w:t>
      </w:r>
      <w:r w:rsidR="00AF7569">
        <w:rPr>
          <w:lang w:val="en-US"/>
        </w:rPr>
        <w:t>o</w:t>
      </w:r>
      <w:r w:rsidRPr="002100A7">
        <w:rPr>
          <w:lang w:val="en-US"/>
        </w:rPr>
        <w:t xml:space="preserve">f 75 </w:t>
      </w:r>
      <w:r w:rsidR="00AF7569">
        <w:rPr>
          <w:lang w:val="en-US"/>
        </w:rPr>
        <w:t>c</w:t>
      </w:r>
      <w:r w:rsidRPr="002100A7">
        <w:rPr>
          <w:lang w:val="en-US"/>
        </w:rPr>
        <w:t xml:space="preserve">m </w:t>
      </w:r>
      <w:r w:rsidR="008A540C">
        <w:rPr>
          <w:lang w:val="en-US"/>
        </w:rPr>
        <w:t>e</w:t>
      </w:r>
      <w:r w:rsidRPr="002100A7">
        <w:rPr>
          <w:lang w:val="en-US"/>
        </w:rPr>
        <w:t xml:space="preserve">arth </w:t>
      </w:r>
      <w:r w:rsidR="008A540C">
        <w:rPr>
          <w:lang w:val="en-US"/>
        </w:rPr>
        <w:t>s</w:t>
      </w:r>
      <w:r w:rsidRPr="002100A7">
        <w:rPr>
          <w:lang w:val="en-US"/>
        </w:rPr>
        <w:t xml:space="preserve">tation </w:t>
      </w:r>
      <w:r w:rsidR="008A540C">
        <w:rPr>
          <w:lang w:val="en-US"/>
        </w:rPr>
        <w:t>d</w:t>
      </w:r>
      <w:r w:rsidRPr="002100A7">
        <w:rPr>
          <w:lang w:val="en-US"/>
        </w:rPr>
        <w:t xml:space="preserve">istribution </w:t>
      </w:r>
      <w:r w:rsidR="008A540C">
        <w:rPr>
          <w:lang w:val="en-US"/>
        </w:rPr>
        <w:t>o</w:t>
      </w:r>
      <w:r w:rsidRPr="002100A7">
        <w:rPr>
          <w:lang w:val="en-US"/>
        </w:rPr>
        <w:t xml:space="preserve">ver </w:t>
      </w:r>
      <w:r w:rsidR="008A540C">
        <w:rPr>
          <w:lang w:val="en-US"/>
        </w:rPr>
        <w:t>n</w:t>
      </w:r>
      <w:r w:rsidRPr="002100A7">
        <w:rPr>
          <w:lang w:val="en-US"/>
        </w:rPr>
        <w:t xml:space="preserve">ortheast </w:t>
      </w:r>
      <w:r w:rsidR="00F01F01">
        <w:rPr>
          <w:lang w:val="en-US"/>
        </w:rPr>
        <w:t>United States of America</w:t>
      </w:r>
    </w:p>
    <w:p w:rsidR="00F03195" w:rsidRDefault="00AC2806" w:rsidP="00C621B5">
      <w:pPr>
        <w:pStyle w:val="Figure"/>
        <w:rPr>
          <w:lang w:val="en-US"/>
        </w:rPr>
      </w:pPr>
      <w:r>
        <w:object w:dxaOrig="7131" w:dyaOrig="3723">
          <v:shape id="_x0000_i1032" type="#_x0000_t75" style="width:356.4pt;height:186pt" o:ole="">
            <v:imagedata r:id="rId24" o:title=""/>
          </v:shape>
          <o:OLEObject Type="Embed" ProgID="CorelDraw.Graphic.12" ShapeID="_x0000_i1032" DrawAspect="Content" ObjectID="_1330861840" r:id="rId25"/>
        </w:object>
      </w:r>
    </w:p>
    <w:p w:rsidR="00C621B5" w:rsidRDefault="00C621B5" w:rsidP="002100A7">
      <w:pPr>
        <w:rPr>
          <w:lang w:val="en-US"/>
        </w:rPr>
        <w:sectPr w:rsidR="00C621B5" w:rsidSect="0022604A">
          <w:headerReference w:type="even" r:id="rId26"/>
          <w:headerReference w:type="default" r:id="rId27"/>
          <w:pgSz w:w="11907" w:h="16834" w:code="9"/>
          <w:pgMar w:top="1418" w:right="1134" w:bottom="1134" w:left="1134" w:header="720" w:footer="482" w:gutter="0"/>
          <w:paperSrc w:first="15" w:other="15"/>
          <w:pgNumType w:start="1"/>
          <w:cols w:space="720"/>
        </w:sectPr>
      </w:pPr>
    </w:p>
    <w:p w:rsidR="00330D42" w:rsidRDefault="00330D42" w:rsidP="00330BEA">
      <w:pPr>
        <w:pStyle w:val="FigureNo"/>
        <w:rPr>
          <w:lang w:val="en-US"/>
        </w:rPr>
      </w:pPr>
    </w:p>
    <w:p w:rsidR="00F03195" w:rsidRPr="00F03195" w:rsidRDefault="00F03195" w:rsidP="00330BEA">
      <w:pPr>
        <w:pStyle w:val="FigureNo"/>
        <w:rPr>
          <w:lang w:val="en-US"/>
        </w:rPr>
      </w:pPr>
      <w:r w:rsidRPr="00F03195">
        <w:rPr>
          <w:lang w:val="en-US"/>
        </w:rPr>
        <w:t xml:space="preserve">FIGURE </w:t>
      </w:r>
      <w:r w:rsidR="00330BEA">
        <w:rPr>
          <w:lang w:val="en-US"/>
        </w:rPr>
        <w:t>8</w:t>
      </w:r>
    </w:p>
    <w:p w:rsidR="00F03195" w:rsidRPr="00F03195" w:rsidRDefault="00F03195" w:rsidP="00F03195">
      <w:pPr>
        <w:pStyle w:val="Figuretitle"/>
        <w:rPr>
          <w:lang w:val="en-US"/>
        </w:rPr>
      </w:pPr>
      <w:r w:rsidRPr="00F03195">
        <w:rPr>
          <w:lang w:val="en-US"/>
        </w:rPr>
        <w:t xml:space="preserve">Average </w:t>
      </w:r>
      <w:r w:rsidR="00330BEA" w:rsidRPr="00F03195">
        <w:rPr>
          <w:lang w:val="en-US"/>
        </w:rPr>
        <w:t xml:space="preserve">probability of exceedance vs. interference level </w:t>
      </w:r>
      <w:r w:rsidRPr="00F03195">
        <w:rPr>
          <w:lang w:val="en-US"/>
        </w:rPr>
        <w:t>(dBW/10 MHz)</w:t>
      </w:r>
    </w:p>
    <w:p w:rsidR="00F03195" w:rsidRDefault="00324037" w:rsidP="00330BEA">
      <w:pPr>
        <w:pStyle w:val="Figure"/>
      </w:pPr>
      <w:r>
        <w:object w:dxaOrig="10142" w:dyaOrig="6936">
          <v:shape id="_x0000_i1033" type="#_x0000_t75" style="width:507pt;height:346.2pt" o:ole="">
            <v:imagedata r:id="rId28" o:title=""/>
          </v:shape>
          <o:OLEObject Type="Embed" ProgID="CorelDraw.Graphic.12" ShapeID="_x0000_i1033" DrawAspect="Content" ObjectID="_1330861841" r:id="rId29"/>
        </w:object>
      </w:r>
    </w:p>
    <w:p w:rsidR="00330D42" w:rsidRDefault="00330D42" w:rsidP="00330BEA">
      <w:pPr>
        <w:pStyle w:val="FigureNo"/>
        <w:rPr>
          <w:lang w:val="en-US"/>
        </w:rPr>
      </w:pPr>
    </w:p>
    <w:p w:rsidR="00F03195" w:rsidRPr="00F03195" w:rsidRDefault="00F03195" w:rsidP="00330BEA">
      <w:pPr>
        <w:pStyle w:val="FigureNo"/>
        <w:rPr>
          <w:lang w:val="en-US"/>
        </w:rPr>
      </w:pPr>
      <w:r w:rsidRPr="00F03195">
        <w:rPr>
          <w:lang w:val="en-US"/>
        </w:rPr>
        <w:t xml:space="preserve">FIGURE </w:t>
      </w:r>
      <w:r w:rsidR="00330BEA">
        <w:rPr>
          <w:lang w:val="en-US"/>
        </w:rPr>
        <w:t>9</w:t>
      </w:r>
    </w:p>
    <w:p w:rsidR="00F03195" w:rsidRPr="00F03195" w:rsidRDefault="00F03195" w:rsidP="00F03195">
      <w:pPr>
        <w:pStyle w:val="Figuretitle"/>
        <w:rPr>
          <w:lang w:val="en-US"/>
        </w:rPr>
      </w:pPr>
      <w:r w:rsidRPr="00F03195">
        <w:rPr>
          <w:lang w:val="en-US"/>
        </w:rPr>
        <w:t xml:space="preserve">Average </w:t>
      </w:r>
      <w:r w:rsidR="00330BEA" w:rsidRPr="00F03195">
        <w:rPr>
          <w:lang w:val="en-US"/>
        </w:rPr>
        <w:t xml:space="preserve">probability of exceedance vs. earth station e.i.r.p. density </w:t>
      </w:r>
      <w:r w:rsidRPr="00F03195">
        <w:rPr>
          <w:lang w:val="en-US"/>
        </w:rPr>
        <w:t xml:space="preserve">for –139 dBW/10 MHz ISS </w:t>
      </w:r>
      <w:r w:rsidR="00330BEA" w:rsidRPr="00F03195">
        <w:rPr>
          <w:lang w:val="en-US"/>
        </w:rPr>
        <w:t>interference threshold</w:t>
      </w:r>
    </w:p>
    <w:p w:rsidR="00F03195" w:rsidRDefault="00510AB9" w:rsidP="00330BEA">
      <w:pPr>
        <w:pStyle w:val="Figure"/>
      </w:pPr>
      <w:r>
        <w:object w:dxaOrig="12468" w:dyaOrig="6523">
          <v:shape id="_x0000_i1034" type="#_x0000_t75" style="width:623.4pt;height:326.4pt" o:ole="">
            <v:imagedata r:id="rId30" o:title=""/>
          </v:shape>
          <o:OLEObject Type="Embed" ProgID="CorelDraw.Graphic.12" ShapeID="_x0000_i1034" DrawAspect="Content" ObjectID="_1330861842" r:id="rId31"/>
        </w:object>
      </w:r>
    </w:p>
    <w:p w:rsidR="00F03195" w:rsidRPr="00F03195" w:rsidRDefault="00F03195" w:rsidP="00330BEA">
      <w:pPr>
        <w:pStyle w:val="FigureNo"/>
        <w:rPr>
          <w:lang w:val="en-US"/>
        </w:rPr>
      </w:pPr>
      <w:r w:rsidRPr="00F03195">
        <w:rPr>
          <w:lang w:val="en-US"/>
        </w:rPr>
        <w:lastRenderedPageBreak/>
        <w:t xml:space="preserve">FIGURE </w:t>
      </w:r>
      <w:r w:rsidR="00330BEA">
        <w:rPr>
          <w:lang w:val="en-US"/>
        </w:rPr>
        <w:t>10</w:t>
      </w:r>
    </w:p>
    <w:p w:rsidR="00F03195" w:rsidRPr="00F03195" w:rsidRDefault="00F03195" w:rsidP="00F01F01">
      <w:pPr>
        <w:pStyle w:val="Figuretitle"/>
        <w:rPr>
          <w:lang w:val="en-US"/>
        </w:rPr>
      </w:pPr>
      <w:r w:rsidRPr="00F03195">
        <w:rPr>
          <w:lang w:val="en-US"/>
        </w:rPr>
        <w:t xml:space="preserve">Worst </w:t>
      </w:r>
      <w:r w:rsidR="00330BEA" w:rsidRPr="00F03195">
        <w:rPr>
          <w:lang w:val="en-US"/>
        </w:rPr>
        <w:t xml:space="preserve">case percent </w:t>
      </w:r>
      <w:r w:rsidRPr="00F03195">
        <w:rPr>
          <w:lang w:val="en-US"/>
        </w:rPr>
        <w:t>of</w:t>
      </w:r>
      <w:r w:rsidR="00F01F01">
        <w:rPr>
          <w:lang w:val="en-US"/>
        </w:rPr>
        <w:t xml:space="preserve"> ISS</w:t>
      </w:r>
      <w:r w:rsidRPr="00F03195">
        <w:rPr>
          <w:lang w:val="en-US"/>
        </w:rPr>
        <w:t xml:space="preserve"> </w:t>
      </w:r>
      <w:r w:rsidR="00330BEA" w:rsidRPr="00F03195">
        <w:rPr>
          <w:lang w:val="en-US"/>
        </w:rPr>
        <w:t xml:space="preserve">orbit period that interference exceeds </w:t>
      </w:r>
      <w:r w:rsidRPr="00F03195">
        <w:rPr>
          <w:lang w:val="en-US"/>
        </w:rPr>
        <w:t>–139 dBW/10 MHz</w:t>
      </w:r>
      <w:r w:rsidRPr="00F03195">
        <w:rPr>
          <w:lang w:val="en-US"/>
        </w:rPr>
        <w:br/>
        <w:t>(</w:t>
      </w:r>
      <w:r w:rsidR="00D10168" w:rsidRPr="00F03195">
        <w:rPr>
          <w:lang w:val="en-US"/>
        </w:rPr>
        <w:t>N</w:t>
      </w:r>
      <w:r w:rsidR="00510AB9" w:rsidRPr="00F03195">
        <w:rPr>
          <w:lang w:val="en-US"/>
        </w:rPr>
        <w:t>ote</w:t>
      </w:r>
      <w:r w:rsidRPr="00F03195">
        <w:rPr>
          <w:lang w:val="en-US"/>
        </w:rPr>
        <w:t xml:space="preserve">: ISS orbit period = 92.7 min) </w:t>
      </w:r>
    </w:p>
    <w:p w:rsidR="002100A7" w:rsidRDefault="00324037" w:rsidP="00330BEA">
      <w:pPr>
        <w:pStyle w:val="Figure"/>
      </w:pPr>
      <w:r>
        <w:object w:dxaOrig="12569" w:dyaOrig="6586">
          <v:shape id="_x0000_i1035" type="#_x0000_t75" style="width:628.2pt;height:329.4pt" o:ole="">
            <v:imagedata r:id="rId32" o:title=""/>
          </v:shape>
          <o:OLEObject Type="Embed" ProgID="CorelDraw.Graphic.12" ShapeID="_x0000_i1035" DrawAspect="Content" ObjectID="_1330861843" r:id="rId33"/>
        </w:object>
      </w:r>
    </w:p>
    <w:p w:rsidR="00F03195" w:rsidRDefault="00F03195" w:rsidP="00F03195">
      <w:pPr>
        <w:rPr>
          <w:lang w:val="en-US"/>
        </w:rPr>
        <w:sectPr w:rsidR="00F03195" w:rsidSect="00F03195">
          <w:headerReference w:type="even" r:id="rId34"/>
          <w:headerReference w:type="default" r:id="rId35"/>
          <w:pgSz w:w="16834" w:h="11907" w:orient="landscape" w:code="9"/>
          <w:pgMar w:top="1134" w:right="1418" w:bottom="1134" w:left="1134" w:header="720" w:footer="482" w:gutter="0"/>
          <w:paperSrc w:first="4" w:other="4"/>
          <w:cols w:space="720"/>
        </w:sectPr>
      </w:pPr>
    </w:p>
    <w:p w:rsidR="009904D2" w:rsidRPr="009904D2" w:rsidRDefault="009904D2" w:rsidP="00CA36CE">
      <w:pPr>
        <w:pStyle w:val="FigureNo"/>
        <w:rPr>
          <w:lang w:val="en-US"/>
        </w:rPr>
      </w:pPr>
      <w:r w:rsidRPr="009904D2">
        <w:rPr>
          <w:lang w:val="en-US"/>
        </w:rPr>
        <w:lastRenderedPageBreak/>
        <w:t xml:space="preserve">FIGURE </w:t>
      </w:r>
      <w:r w:rsidR="00CA36CE">
        <w:rPr>
          <w:lang w:val="en-US"/>
        </w:rPr>
        <w:t>11</w:t>
      </w:r>
    </w:p>
    <w:p w:rsidR="009904D2" w:rsidRPr="009904D2" w:rsidRDefault="009904D2" w:rsidP="00D14C1B">
      <w:pPr>
        <w:pStyle w:val="Figuretitle"/>
        <w:rPr>
          <w:lang w:val="en-US"/>
        </w:rPr>
      </w:pPr>
      <w:r w:rsidRPr="009904D2">
        <w:rPr>
          <w:lang w:val="en-US"/>
        </w:rPr>
        <w:t xml:space="preserve">Earth </w:t>
      </w:r>
      <w:r w:rsidR="00CA36CE" w:rsidRPr="009904D2">
        <w:rPr>
          <w:lang w:val="en-US"/>
        </w:rPr>
        <w:t>station e.</w:t>
      </w:r>
      <w:r w:rsidRPr="009904D2">
        <w:rPr>
          <w:lang w:val="en-US"/>
        </w:rPr>
        <w:t xml:space="preserve">i.r.p. </w:t>
      </w:r>
      <w:r w:rsidR="00CA36CE" w:rsidRPr="009904D2">
        <w:rPr>
          <w:lang w:val="en-US"/>
        </w:rPr>
        <w:t xml:space="preserve">densities </w:t>
      </w:r>
      <w:r w:rsidRPr="009904D2">
        <w:rPr>
          <w:lang w:val="en-US"/>
        </w:rPr>
        <w:t xml:space="preserve">to satisfy the sharing criteria: </w:t>
      </w:r>
      <w:r w:rsidRPr="00CA36CE">
        <w:rPr>
          <w:i/>
          <w:iCs/>
          <w:lang w:val="en-US"/>
        </w:rPr>
        <w:t>I</w:t>
      </w:r>
      <w:r w:rsidRPr="009904D2">
        <w:rPr>
          <w:lang w:val="en-US"/>
        </w:rPr>
        <w:t xml:space="preserve"> </w:t>
      </w:r>
      <w:r w:rsidR="00D10168">
        <w:rPr>
          <w:lang w:val="en-US"/>
        </w:rPr>
        <w:t xml:space="preserve"> </w:t>
      </w:r>
      <w:r w:rsidRPr="009904D2">
        <w:rPr>
          <w:lang w:val="en-US"/>
        </w:rPr>
        <w:t xml:space="preserve">&gt; </w:t>
      </w:r>
      <w:r w:rsidR="00CA36CE">
        <w:rPr>
          <w:lang w:val="en-US"/>
        </w:rPr>
        <w:t>–</w:t>
      </w:r>
      <w:r w:rsidRPr="009904D2">
        <w:rPr>
          <w:lang w:val="en-US"/>
        </w:rPr>
        <w:t>139 dB(W/10 MHz)</w:t>
      </w:r>
      <w:r w:rsidRPr="009904D2">
        <w:rPr>
          <w:lang w:val="en-US"/>
        </w:rPr>
        <w:br/>
        <w:t>for no more than 0.1% of the time</w:t>
      </w:r>
    </w:p>
    <w:p w:rsidR="009904D2" w:rsidRDefault="00510AB9" w:rsidP="00CA36CE">
      <w:pPr>
        <w:pStyle w:val="Figure"/>
        <w:rPr>
          <w:szCs w:val="24"/>
        </w:rPr>
      </w:pPr>
      <w:r>
        <w:object w:dxaOrig="7549" w:dyaOrig="5701">
          <v:shape id="_x0000_i1036" type="#_x0000_t75" style="width:376.8pt;height:285pt" o:ole="">
            <v:imagedata r:id="rId36" o:title=""/>
          </v:shape>
          <o:OLEObject Type="Embed" ProgID="CorelDraw.Graphic.12" ShapeID="_x0000_i1036" DrawAspect="Content" ObjectID="_1330861844" r:id="rId37"/>
        </w:object>
      </w:r>
    </w:p>
    <w:p w:rsidR="00D10168" w:rsidRDefault="00D10168" w:rsidP="00D10168">
      <w:pPr>
        <w:rPr>
          <w:lang w:val="en-US"/>
        </w:rPr>
      </w:pPr>
      <w:bookmarkStart w:id="108" w:name="_Toc84242636"/>
      <w:bookmarkStart w:id="109" w:name="_Toc224981457"/>
      <w:bookmarkStart w:id="110" w:name="_Toc224981520"/>
      <w:bookmarkStart w:id="111" w:name="_Toc225065809"/>
    </w:p>
    <w:p w:rsidR="009904D2" w:rsidRPr="009904D2" w:rsidRDefault="009904D2" w:rsidP="00CA36CE">
      <w:pPr>
        <w:pStyle w:val="Heading2"/>
        <w:rPr>
          <w:lang w:val="en-US"/>
        </w:rPr>
      </w:pPr>
      <w:bookmarkStart w:id="112" w:name="_Toc226261837"/>
      <w:bookmarkStart w:id="113" w:name="_Toc256067097"/>
      <w:bookmarkStart w:id="114" w:name="_Toc256067176"/>
      <w:r w:rsidRPr="009904D2">
        <w:rPr>
          <w:lang w:val="en-US"/>
        </w:rPr>
        <w:t>3.4</w:t>
      </w:r>
      <w:r w:rsidRPr="009904D2">
        <w:rPr>
          <w:lang w:val="en-US"/>
        </w:rPr>
        <w:tab/>
        <w:t>Summary and conclusions</w:t>
      </w:r>
      <w:bookmarkEnd w:id="108"/>
      <w:bookmarkEnd w:id="109"/>
      <w:bookmarkEnd w:id="110"/>
      <w:bookmarkEnd w:id="111"/>
      <w:bookmarkEnd w:id="112"/>
      <w:bookmarkEnd w:id="113"/>
      <w:bookmarkEnd w:id="114"/>
    </w:p>
    <w:p w:rsidR="009904D2" w:rsidRPr="009904D2" w:rsidRDefault="009904D2" w:rsidP="009904D2">
      <w:pPr>
        <w:rPr>
          <w:lang w:val="en-US"/>
        </w:rPr>
      </w:pPr>
      <w:r w:rsidRPr="009904D2">
        <w:rPr>
          <w:lang w:val="en-US"/>
        </w:rPr>
        <w:t xml:space="preserve">These parametric results are based on homogeneous earth station populations with uniform transmit levels. </w:t>
      </w:r>
    </w:p>
    <w:p w:rsidR="009904D2" w:rsidRPr="009904D2" w:rsidRDefault="009904D2" w:rsidP="009904D2">
      <w:pPr>
        <w:rPr>
          <w:lang w:val="en-US"/>
        </w:rPr>
      </w:pPr>
      <w:r w:rsidRPr="009904D2">
        <w:rPr>
          <w:lang w:val="en-US"/>
        </w:rPr>
        <w:t>Additional simulations were run to determine the effect of geographic distribution on the results and these effects were found to be negligible when averaging over many orbits was employed.</w:t>
      </w:r>
    </w:p>
    <w:p w:rsidR="00F03195" w:rsidRDefault="009904D2" w:rsidP="009904D2">
      <w:pPr>
        <w:rPr>
          <w:lang w:val="en-US"/>
        </w:rPr>
      </w:pPr>
      <w:r w:rsidRPr="009904D2">
        <w:rPr>
          <w:lang w:val="en-US"/>
        </w:rPr>
        <w:t>From the analyses presented here, it is concluded that adopting a maximum e.i.r.p. spectral density mask applicable to the emissions of GSO FSS earth stations (Earth-to-space) protects SRS operations. The GSO FSS earth station e.i.r.p. spectral densities are derived from scenarios where the full channel loading is used and are provided in reference to dB</w:t>
      </w:r>
      <w:r w:rsidR="00CA36CE">
        <w:rPr>
          <w:lang w:val="en-US"/>
        </w:rPr>
        <w:t>(</w:t>
      </w:r>
      <w:r w:rsidRPr="009904D2">
        <w:rPr>
          <w:lang w:val="en-US"/>
        </w:rPr>
        <w:t>W/Hz</w:t>
      </w:r>
      <w:r w:rsidR="00CA36CE">
        <w:rPr>
          <w:lang w:val="en-US"/>
        </w:rPr>
        <w:t>)</w:t>
      </w:r>
      <w:r w:rsidRPr="009904D2">
        <w:rPr>
          <w:lang w:val="en-US"/>
        </w:rPr>
        <w:t>. As a result, these e.i.r.p. spectral densities can be used to evaluate the degradation of TDRSS forward link receivers over a bandwidth of 10 MHz as well as any other desired bandwidth.</w:t>
      </w:r>
    </w:p>
    <w:p w:rsidR="0000555B" w:rsidRPr="0000555B" w:rsidRDefault="00330D42" w:rsidP="00CA36CE">
      <w:pPr>
        <w:pStyle w:val="Heading1"/>
        <w:rPr>
          <w:lang w:val="en-US"/>
        </w:rPr>
      </w:pPr>
      <w:bookmarkStart w:id="115" w:name="_Toc84242637"/>
      <w:bookmarkStart w:id="116" w:name="_Toc224981458"/>
      <w:bookmarkStart w:id="117" w:name="_Toc224981521"/>
      <w:bookmarkStart w:id="118" w:name="_Toc225065810"/>
      <w:r>
        <w:rPr>
          <w:lang w:val="en-US"/>
        </w:rPr>
        <w:br w:type="page"/>
      </w:r>
      <w:bookmarkStart w:id="119" w:name="_Toc226261838"/>
      <w:bookmarkStart w:id="120" w:name="_Toc256067098"/>
      <w:bookmarkStart w:id="121" w:name="_Toc256067177"/>
      <w:r w:rsidR="0000555B" w:rsidRPr="0000555B">
        <w:rPr>
          <w:lang w:val="en-US"/>
        </w:rPr>
        <w:lastRenderedPageBreak/>
        <w:t>4</w:t>
      </w:r>
      <w:r w:rsidR="0000555B" w:rsidRPr="0000555B">
        <w:rPr>
          <w:lang w:val="en-US"/>
        </w:rPr>
        <w:tab/>
        <w:t xml:space="preserve">Interference to geostationary FSS </w:t>
      </w:r>
      <w:r w:rsidR="00CA36CE">
        <w:rPr>
          <w:lang w:val="en-US"/>
        </w:rPr>
        <w:t>s</w:t>
      </w:r>
      <w:r w:rsidR="0000555B" w:rsidRPr="0000555B">
        <w:rPr>
          <w:lang w:val="en-US"/>
        </w:rPr>
        <w:t>atellites from data relay satellite systems operating in the 13.75-14 GHz band</w:t>
      </w:r>
      <w:bookmarkEnd w:id="115"/>
      <w:bookmarkEnd w:id="116"/>
      <w:bookmarkEnd w:id="117"/>
      <w:bookmarkEnd w:id="118"/>
      <w:bookmarkEnd w:id="119"/>
      <w:bookmarkEnd w:id="120"/>
      <w:bookmarkEnd w:id="121"/>
    </w:p>
    <w:p w:rsidR="0000555B" w:rsidRPr="0000555B" w:rsidRDefault="0000555B" w:rsidP="00D10168">
      <w:pPr>
        <w:rPr>
          <w:lang w:val="en-US"/>
        </w:rPr>
      </w:pPr>
      <w:r w:rsidRPr="0000555B">
        <w:rPr>
          <w:lang w:val="en-US"/>
        </w:rPr>
        <w:t xml:space="preserve">The feasibility of sharing the 13.75-14 GHz band between data relay satellite systems and Earth-to-space links in the FSS requires that both data relay satellite systems and FSS systems are protected from interference. Section 3 addressed the protection of data relay satellite systems and this section addresses the protection of FSS systems in the GSO. </w:t>
      </w:r>
    </w:p>
    <w:p w:rsidR="00BF7A6A" w:rsidRPr="00BF7A6A" w:rsidRDefault="00BF7A6A" w:rsidP="00D10168">
      <w:pPr>
        <w:pStyle w:val="Heading2"/>
        <w:rPr>
          <w:lang w:val="en-US"/>
        </w:rPr>
      </w:pPr>
      <w:bookmarkStart w:id="122" w:name="_Toc226261839"/>
      <w:bookmarkStart w:id="123" w:name="_Toc256067099"/>
      <w:bookmarkStart w:id="124" w:name="_Toc256067178"/>
      <w:bookmarkStart w:id="125" w:name="_Toc84242638"/>
      <w:bookmarkStart w:id="126" w:name="_Toc224981459"/>
      <w:bookmarkStart w:id="127" w:name="_Toc224981522"/>
      <w:bookmarkStart w:id="128" w:name="_Toc225065811"/>
      <w:r w:rsidRPr="00BF7A6A">
        <w:rPr>
          <w:lang w:val="en-US"/>
        </w:rPr>
        <w:t>4.1</w:t>
      </w:r>
      <w:r w:rsidRPr="00BF7A6A">
        <w:rPr>
          <w:lang w:val="en-US"/>
        </w:rPr>
        <w:tab/>
        <w:t xml:space="preserve">Orbit separation for the </w:t>
      </w:r>
      <w:smartTag w:uri="urn:schemas-microsoft-com:office:smarttags" w:element="place">
        <w:smartTag w:uri="urn:schemas-microsoft-com:office:smarttags" w:element="country-region">
          <w:r w:rsidRPr="00BF7A6A">
            <w:rPr>
              <w:lang w:val="en-US"/>
            </w:rPr>
            <w:t>United States of America</w:t>
          </w:r>
        </w:smartTag>
      </w:smartTag>
      <w:r w:rsidRPr="00BF7A6A">
        <w:rPr>
          <w:lang w:val="en-US"/>
        </w:rPr>
        <w:t xml:space="preserve"> tracking and data relay satellite</w:t>
      </w:r>
      <w:r w:rsidR="00D10168">
        <w:rPr>
          <w:lang w:val="en-US"/>
        </w:rPr>
        <w:t>s</w:t>
      </w:r>
      <w:bookmarkEnd w:id="122"/>
      <w:bookmarkEnd w:id="123"/>
      <w:bookmarkEnd w:id="124"/>
      <w:r w:rsidRPr="00BF7A6A">
        <w:rPr>
          <w:lang w:val="en-US"/>
        </w:rPr>
        <w:t xml:space="preserve"> </w:t>
      </w:r>
      <w:bookmarkEnd w:id="125"/>
      <w:bookmarkEnd w:id="126"/>
      <w:bookmarkEnd w:id="127"/>
      <w:bookmarkEnd w:id="128"/>
    </w:p>
    <w:p w:rsidR="0000555B" w:rsidRDefault="00BF7A6A" w:rsidP="006E1737">
      <w:pPr>
        <w:rPr>
          <w:lang w:val="en-US"/>
        </w:rPr>
      </w:pPr>
      <w:r w:rsidRPr="00BF7A6A">
        <w:rPr>
          <w:lang w:val="en-US"/>
        </w:rPr>
        <w:t>An analysis has been performed to determine the carrier-to-interference power ratio (</w:t>
      </w:r>
      <w:r w:rsidRPr="00BF7A6A">
        <w:rPr>
          <w:i/>
          <w:lang w:val="en-US"/>
        </w:rPr>
        <w:t>C</w:t>
      </w:r>
      <w:r w:rsidRPr="00BF7A6A">
        <w:rPr>
          <w:lang w:val="en-US"/>
        </w:rPr>
        <w:t>/</w:t>
      </w:r>
      <w:r w:rsidRPr="00BF7A6A">
        <w:rPr>
          <w:i/>
          <w:lang w:val="en-US"/>
        </w:rPr>
        <w:t>I</w:t>
      </w:r>
      <w:r w:rsidRPr="00BF7A6A">
        <w:rPr>
          <w:lang w:val="en-US"/>
        </w:rPr>
        <w:t xml:space="preserve">) on the uplinks of an adjacent FSS satellite as a result of emissions from a geostationary TDRS. It was shown for the case of the forward inter-orbit link that the </w:t>
      </w:r>
      <w:r w:rsidRPr="00BF7A6A">
        <w:rPr>
          <w:i/>
          <w:lang w:val="en-US"/>
        </w:rPr>
        <w:t>C</w:t>
      </w:r>
      <w:r w:rsidRPr="00BF7A6A">
        <w:rPr>
          <w:lang w:val="en-US"/>
        </w:rPr>
        <w:t>/</w:t>
      </w:r>
      <w:r w:rsidRPr="00BF7A6A">
        <w:rPr>
          <w:i/>
          <w:lang w:val="en-US"/>
        </w:rPr>
        <w:t>I</w:t>
      </w:r>
      <w:r w:rsidRPr="00BF7A6A">
        <w:rPr>
          <w:lang w:val="en-US"/>
        </w:rPr>
        <w:t xml:space="preserve"> will be greater than 53 dB for an orbit separation angle of 0.1°. For the case of the space-to-Earth feeder link, the </w:t>
      </w:r>
      <w:r w:rsidRPr="00BF7A6A">
        <w:rPr>
          <w:i/>
          <w:lang w:val="en-US"/>
        </w:rPr>
        <w:t>C</w:t>
      </w:r>
      <w:r w:rsidRPr="00BF7A6A">
        <w:rPr>
          <w:lang w:val="en-US"/>
        </w:rPr>
        <w:t>/</w:t>
      </w:r>
      <w:r w:rsidRPr="00BF7A6A">
        <w:rPr>
          <w:i/>
          <w:lang w:val="en-US"/>
        </w:rPr>
        <w:t>I</w:t>
      </w:r>
      <w:r w:rsidRPr="00BF7A6A">
        <w:rPr>
          <w:lang w:val="en-US"/>
        </w:rPr>
        <w:t xml:space="preserve"> will be in excess of 64 dB at a separation of 0.1°. For both cases it was assumed that the e.i.r.p. of the FSS earth station was 68 dBW.</w:t>
      </w:r>
    </w:p>
    <w:p w:rsidR="006E54AC" w:rsidRPr="006E54AC" w:rsidRDefault="006E54AC" w:rsidP="006E54AC">
      <w:pPr>
        <w:pStyle w:val="Heading2"/>
        <w:rPr>
          <w:lang w:val="en-US"/>
        </w:rPr>
      </w:pPr>
      <w:bookmarkStart w:id="129" w:name="_Toc84242639"/>
      <w:bookmarkStart w:id="130" w:name="_Toc224981460"/>
      <w:bookmarkStart w:id="131" w:name="_Toc224981523"/>
      <w:bookmarkStart w:id="132" w:name="_Toc225065812"/>
      <w:bookmarkStart w:id="133" w:name="_Toc226261840"/>
      <w:bookmarkStart w:id="134" w:name="_Toc256067100"/>
      <w:bookmarkStart w:id="135" w:name="_Toc256067179"/>
      <w:r w:rsidRPr="006E54AC">
        <w:rPr>
          <w:lang w:val="en-US"/>
        </w:rPr>
        <w:t>4.2</w:t>
      </w:r>
      <w:r w:rsidRPr="006E54AC">
        <w:rPr>
          <w:lang w:val="en-US"/>
        </w:rPr>
        <w:tab/>
        <w:t>Power flux-density levels at the geostationary-satellite orbit</w:t>
      </w:r>
      <w:bookmarkEnd w:id="129"/>
      <w:bookmarkEnd w:id="130"/>
      <w:bookmarkEnd w:id="131"/>
      <w:bookmarkEnd w:id="132"/>
      <w:bookmarkEnd w:id="133"/>
      <w:bookmarkEnd w:id="134"/>
      <w:bookmarkEnd w:id="135"/>
    </w:p>
    <w:p w:rsidR="00BF7A6A" w:rsidRDefault="006E54AC" w:rsidP="006E1737">
      <w:pPr>
        <w:rPr>
          <w:lang w:val="en-US"/>
        </w:rPr>
      </w:pPr>
      <w:r w:rsidRPr="006E54AC">
        <w:rPr>
          <w:lang w:val="en-US"/>
        </w:rPr>
        <w:t xml:space="preserve">The maximum pfd levels produced by space research systems at a location in the geostationary-satellite orbit are tabulated in Table </w:t>
      </w:r>
      <w:r w:rsidR="006E1737">
        <w:rPr>
          <w:lang w:val="en-US"/>
        </w:rPr>
        <w:t>6</w:t>
      </w:r>
      <w:r w:rsidRPr="006E54AC">
        <w:rPr>
          <w:lang w:val="en-US"/>
        </w:rPr>
        <w:t>. The maximum pfd level occurs when the space research satellite is located either nearly antipodal from the GSO location (i.e. the signal path between satellites is tangential to the Earth) or at the minimum orbital separation distance from the GSO location.</w:t>
      </w:r>
      <w:r w:rsidR="006E1737">
        <w:rPr>
          <w:lang w:val="en-US"/>
        </w:rPr>
        <w:t xml:space="preserve"> </w:t>
      </w:r>
      <w:r w:rsidRPr="006E54AC">
        <w:rPr>
          <w:lang w:val="en-US"/>
        </w:rPr>
        <w:t xml:space="preserve">The maximum pfd levels of the interference to GSO FSS satellites for these two cases under the conditions indicated are given in Table </w:t>
      </w:r>
      <w:r w:rsidR="006E1737">
        <w:rPr>
          <w:lang w:val="en-US"/>
        </w:rPr>
        <w:t>6</w:t>
      </w:r>
      <w:r w:rsidRPr="006E54AC">
        <w:rPr>
          <w:lang w:val="en-US"/>
        </w:rPr>
        <w:t>.</w:t>
      </w:r>
    </w:p>
    <w:p w:rsidR="00C22519" w:rsidRDefault="00C22519" w:rsidP="006E1737">
      <w:pPr>
        <w:rPr>
          <w:lang w:val="en-US"/>
        </w:rPr>
      </w:pPr>
    </w:p>
    <w:p w:rsidR="004411F2" w:rsidRDefault="004411F2" w:rsidP="006E54AC">
      <w:pPr>
        <w:rPr>
          <w:lang w:val="en-US"/>
        </w:rPr>
        <w:sectPr w:rsidR="004411F2" w:rsidSect="00F03195">
          <w:headerReference w:type="even" r:id="rId38"/>
          <w:headerReference w:type="default" r:id="rId39"/>
          <w:pgSz w:w="11907" w:h="16834" w:code="9"/>
          <w:pgMar w:top="1418" w:right="1134" w:bottom="1134" w:left="1134" w:header="720" w:footer="482" w:gutter="0"/>
          <w:paperSrc w:first="4" w:other="4"/>
          <w:cols w:space="720"/>
        </w:sectPr>
      </w:pPr>
    </w:p>
    <w:p w:rsidR="003E0978" w:rsidRPr="00DF7412" w:rsidRDefault="00106689" w:rsidP="00510AB9">
      <w:pPr>
        <w:pStyle w:val="TableNo"/>
        <w:tabs>
          <w:tab w:val="center" w:pos="794"/>
        </w:tabs>
        <w:rPr>
          <w:lang w:val="en-US"/>
        </w:rPr>
      </w:pPr>
      <w:r w:rsidRPr="00DF7412">
        <w:rPr>
          <w:lang w:val="en-US"/>
        </w:rPr>
        <w:lastRenderedPageBreak/>
        <w:t>TABLE 6</w:t>
      </w:r>
    </w:p>
    <w:p w:rsidR="00106689" w:rsidRDefault="00106689" w:rsidP="00106689">
      <w:pPr>
        <w:pStyle w:val="Tabletitle"/>
        <w:rPr>
          <w:lang w:val="en-US"/>
        </w:rPr>
      </w:pPr>
      <w:r w:rsidRPr="00106689">
        <w:rPr>
          <w:lang w:val="en-US"/>
        </w:rPr>
        <w:t>Maximum pfd levels produced at the geostationar</w:t>
      </w:r>
      <w:r>
        <w:rPr>
          <w:lang w:val="en-US"/>
        </w:rPr>
        <w:t>y orbit by space stations in the space research service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9"/>
        <w:gridCol w:w="1719"/>
        <w:gridCol w:w="1440"/>
        <w:gridCol w:w="1304"/>
        <w:gridCol w:w="1304"/>
        <w:gridCol w:w="1304"/>
        <w:gridCol w:w="1450"/>
        <w:gridCol w:w="1304"/>
        <w:gridCol w:w="1304"/>
        <w:gridCol w:w="1304"/>
      </w:tblGrid>
      <w:tr w:rsidR="00DB5C47" w:rsidRPr="00B5710B" w:rsidTr="009958B0">
        <w:trPr>
          <w:jc w:val="center"/>
        </w:trPr>
        <w:tc>
          <w:tcPr>
            <w:tcW w:w="1449" w:type="dxa"/>
            <w:vMerge w:val="restart"/>
            <w:vAlign w:val="center"/>
          </w:tcPr>
          <w:p w:rsidR="00DB5C47" w:rsidRPr="009958B0" w:rsidRDefault="00DB5C47" w:rsidP="00D10168">
            <w:pPr>
              <w:pStyle w:val="Tablehead"/>
              <w:rPr>
                <w:lang w:val="en-US"/>
              </w:rPr>
            </w:pPr>
            <w:r w:rsidRPr="009958B0">
              <w:rPr>
                <w:lang w:val="en-US"/>
              </w:rPr>
              <w:t>Type of space station transmitter</w:t>
            </w:r>
          </w:p>
        </w:tc>
        <w:tc>
          <w:tcPr>
            <w:tcW w:w="1719" w:type="dxa"/>
            <w:vMerge w:val="restart"/>
            <w:vAlign w:val="center"/>
          </w:tcPr>
          <w:p w:rsidR="00DB5C47" w:rsidRPr="009958B0" w:rsidRDefault="00DB5C47" w:rsidP="00D10168">
            <w:pPr>
              <w:pStyle w:val="Tablehead"/>
              <w:rPr>
                <w:lang w:val="en-US"/>
              </w:rPr>
            </w:pPr>
            <w:r w:rsidRPr="009958B0">
              <w:rPr>
                <w:lang w:val="en-US"/>
              </w:rPr>
              <w:t>Maximum antenna input power density</w:t>
            </w:r>
          </w:p>
        </w:tc>
        <w:tc>
          <w:tcPr>
            <w:tcW w:w="5352" w:type="dxa"/>
            <w:gridSpan w:val="4"/>
            <w:vAlign w:val="center"/>
          </w:tcPr>
          <w:p w:rsidR="00DB5C47" w:rsidRPr="009958B0" w:rsidRDefault="00DB5C47" w:rsidP="00D10168">
            <w:pPr>
              <w:pStyle w:val="Tablehead"/>
              <w:rPr>
                <w:lang w:val="en-US"/>
              </w:rPr>
            </w:pPr>
            <w:r w:rsidRPr="009958B0">
              <w:rPr>
                <w:lang w:val="en-US"/>
              </w:rPr>
              <w:t>Case of near-antipodal satellite positions</w:t>
            </w:r>
          </w:p>
        </w:tc>
        <w:tc>
          <w:tcPr>
            <w:tcW w:w="5362" w:type="dxa"/>
            <w:gridSpan w:val="4"/>
            <w:vAlign w:val="center"/>
          </w:tcPr>
          <w:p w:rsidR="00DB5C47" w:rsidRPr="009958B0" w:rsidRDefault="00DB5C47" w:rsidP="00D10168">
            <w:pPr>
              <w:pStyle w:val="Tablehead"/>
              <w:rPr>
                <w:lang w:val="en-US"/>
              </w:rPr>
            </w:pPr>
            <w:r w:rsidRPr="009958B0">
              <w:rPr>
                <w:lang w:val="en-US"/>
              </w:rPr>
              <w:t>Case of minimum separation distance</w:t>
            </w:r>
          </w:p>
        </w:tc>
      </w:tr>
      <w:tr w:rsidR="00DB5C47" w:rsidRPr="00B5710B" w:rsidTr="009958B0">
        <w:trPr>
          <w:jc w:val="center"/>
        </w:trPr>
        <w:tc>
          <w:tcPr>
            <w:tcW w:w="1449" w:type="dxa"/>
            <w:vMerge/>
            <w:vAlign w:val="center"/>
          </w:tcPr>
          <w:p w:rsidR="00DB5C47" w:rsidRPr="009958B0" w:rsidRDefault="00DB5C47" w:rsidP="00D10168">
            <w:pPr>
              <w:pStyle w:val="Tablehead"/>
              <w:rPr>
                <w:lang w:val="en-US"/>
              </w:rPr>
            </w:pPr>
          </w:p>
        </w:tc>
        <w:tc>
          <w:tcPr>
            <w:tcW w:w="1719" w:type="dxa"/>
            <w:vMerge/>
            <w:vAlign w:val="center"/>
          </w:tcPr>
          <w:p w:rsidR="00DB5C47" w:rsidRPr="009958B0" w:rsidRDefault="00DB5C47" w:rsidP="00D10168">
            <w:pPr>
              <w:pStyle w:val="Tablehead"/>
              <w:rPr>
                <w:lang w:val="en-US"/>
              </w:rPr>
            </w:pPr>
          </w:p>
        </w:tc>
        <w:tc>
          <w:tcPr>
            <w:tcW w:w="1440" w:type="dxa"/>
            <w:vAlign w:val="center"/>
          </w:tcPr>
          <w:p w:rsidR="00DB5C47" w:rsidRPr="009958B0" w:rsidRDefault="00DB5C47" w:rsidP="00D10168">
            <w:pPr>
              <w:pStyle w:val="Tablehead"/>
              <w:rPr>
                <w:lang w:val="en-US"/>
              </w:rPr>
            </w:pPr>
            <w:r w:rsidRPr="009958B0">
              <w:rPr>
                <w:lang w:val="en-US"/>
              </w:rPr>
              <w:t>Spacecraft antenna gain</w:t>
            </w:r>
            <w:r w:rsidRPr="009958B0">
              <w:rPr>
                <w:lang w:val="en-US"/>
              </w:rPr>
              <w:br/>
              <w:t>(dBi)</w:t>
            </w:r>
          </w:p>
        </w:tc>
        <w:tc>
          <w:tcPr>
            <w:tcW w:w="3912" w:type="dxa"/>
            <w:gridSpan w:val="3"/>
            <w:vAlign w:val="center"/>
          </w:tcPr>
          <w:p w:rsidR="00DB5C47" w:rsidRPr="009958B0" w:rsidRDefault="00DB5C47" w:rsidP="00D10168">
            <w:pPr>
              <w:pStyle w:val="Tablehead"/>
              <w:rPr>
                <w:lang w:val="en-US"/>
              </w:rPr>
            </w:pPr>
            <w:r w:rsidRPr="009958B0">
              <w:rPr>
                <w:lang w:val="en-US"/>
              </w:rPr>
              <w:t>pfd at the geostationary orbit (dB(W/m</w:t>
            </w:r>
            <w:r w:rsidRPr="009958B0">
              <w:rPr>
                <w:vertAlign w:val="superscript"/>
                <w:lang w:val="en-US"/>
              </w:rPr>
              <w:t>2</w:t>
            </w:r>
            <w:r w:rsidRPr="009958B0">
              <w:rPr>
                <w:lang w:val="en-US"/>
              </w:rPr>
              <w:t>)) in the reference bandwidth</w:t>
            </w:r>
          </w:p>
        </w:tc>
        <w:tc>
          <w:tcPr>
            <w:tcW w:w="1450" w:type="dxa"/>
            <w:vAlign w:val="center"/>
          </w:tcPr>
          <w:p w:rsidR="00DB5C47" w:rsidRPr="009958B0" w:rsidRDefault="00DB5C47" w:rsidP="00D10168">
            <w:pPr>
              <w:pStyle w:val="Tablehead"/>
              <w:rPr>
                <w:lang w:val="en-US"/>
              </w:rPr>
            </w:pPr>
            <w:r w:rsidRPr="009958B0">
              <w:rPr>
                <w:lang w:val="en-US"/>
              </w:rPr>
              <w:t>Spacecraft antenna gain</w:t>
            </w:r>
            <w:r w:rsidRPr="009958B0">
              <w:rPr>
                <w:lang w:val="en-US"/>
              </w:rPr>
              <w:br/>
              <w:t>(dBi)</w:t>
            </w:r>
          </w:p>
        </w:tc>
        <w:tc>
          <w:tcPr>
            <w:tcW w:w="3912" w:type="dxa"/>
            <w:gridSpan w:val="3"/>
            <w:vAlign w:val="center"/>
          </w:tcPr>
          <w:p w:rsidR="00DB5C47" w:rsidRPr="009958B0" w:rsidRDefault="00DB5C47" w:rsidP="00D10168">
            <w:pPr>
              <w:pStyle w:val="Tablehead"/>
              <w:rPr>
                <w:lang w:val="en-US"/>
              </w:rPr>
            </w:pPr>
            <w:r w:rsidRPr="009958B0">
              <w:rPr>
                <w:lang w:val="en-US"/>
              </w:rPr>
              <w:t>pfd at the geostationary orbit (dB(W/m</w:t>
            </w:r>
            <w:r w:rsidRPr="009958B0">
              <w:rPr>
                <w:vertAlign w:val="superscript"/>
                <w:lang w:val="en-US"/>
              </w:rPr>
              <w:t>2</w:t>
            </w:r>
            <w:r w:rsidRPr="009958B0">
              <w:rPr>
                <w:lang w:val="en-US"/>
              </w:rPr>
              <w:t>)) in the reference bandwidth</w:t>
            </w:r>
          </w:p>
        </w:tc>
      </w:tr>
      <w:tr w:rsidR="00DB5C47" w:rsidRPr="009958B0" w:rsidTr="009958B0">
        <w:trPr>
          <w:jc w:val="center"/>
        </w:trPr>
        <w:tc>
          <w:tcPr>
            <w:tcW w:w="1449" w:type="dxa"/>
            <w:vMerge/>
          </w:tcPr>
          <w:p w:rsidR="00DB5C47" w:rsidRPr="009958B0" w:rsidRDefault="00DB5C47" w:rsidP="00D10168">
            <w:pPr>
              <w:pStyle w:val="Tablehead"/>
              <w:rPr>
                <w:lang w:val="en-US"/>
              </w:rPr>
            </w:pPr>
          </w:p>
        </w:tc>
        <w:tc>
          <w:tcPr>
            <w:tcW w:w="1719" w:type="dxa"/>
            <w:vMerge/>
          </w:tcPr>
          <w:p w:rsidR="00DB5C47" w:rsidRPr="009958B0" w:rsidRDefault="00DB5C47" w:rsidP="00D10168">
            <w:pPr>
              <w:pStyle w:val="Tablehead"/>
              <w:rPr>
                <w:lang w:val="en-US"/>
              </w:rPr>
            </w:pPr>
          </w:p>
        </w:tc>
        <w:tc>
          <w:tcPr>
            <w:tcW w:w="1440" w:type="dxa"/>
          </w:tcPr>
          <w:p w:rsidR="00DB5C47" w:rsidRPr="009958B0" w:rsidRDefault="00DB5C47" w:rsidP="00D10168">
            <w:pPr>
              <w:pStyle w:val="Tablehead"/>
              <w:rPr>
                <w:lang w:val="en-US"/>
              </w:rPr>
            </w:pPr>
          </w:p>
        </w:tc>
        <w:tc>
          <w:tcPr>
            <w:tcW w:w="1304" w:type="dxa"/>
          </w:tcPr>
          <w:p w:rsidR="00DB5C47" w:rsidRPr="009958B0" w:rsidRDefault="00DB5C47" w:rsidP="00D10168">
            <w:pPr>
              <w:pStyle w:val="Tablehead"/>
              <w:rPr>
                <w:b w:val="0"/>
                <w:bCs/>
                <w:lang w:val="en-US"/>
              </w:rPr>
            </w:pPr>
            <w:r w:rsidRPr="009958B0">
              <w:rPr>
                <w:b w:val="0"/>
                <w:bCs/>
                <w:lang w:val="en-US"/>
              </w:rPr>
              <w:t>Total</w:t>
            </w:r>
          </w:p>
        </w:tc>
        <w:tc>
          <w:tcPr>
            <w:tcW w:w="1304" w:type="dxa"/>
          </w:tcPr>
          <w:p w:rsidR="00DB5C47" w:rsidRPr="009958B0" w:rsidRDefault="00DB5C47" w:rsidP="00D10168">
            <w:pPr>
              <w:pStyle w:val="Tablehead"/>
              <w:rPr>
                <w:b w:val="0"/>
                <w:bCs/>
                <w:lang w:val="en-US"/>
              </w:rPr>
            </w:pPr>
            <w:r w:rsidRPr="009958B0">
              <w:rPr>
                <w:b w:val="0"/>
                <w:bCs/>
                <w:lang w:val="en-US"/>
              </w:rPr>
              <w:t>1 MHz</w:t>
            </w:r>
          </w:p>
        </w:tc>
        <w:tc>
          <w:tcPr>
            <w:tcW w:w="1304" w:type="dxa"/>
          </w:tcPr>
          <w:p w:rsidR="00DB5C47" w:rsidRPr="009958B0" w:rsidRDefault="00DB5C47" w:rsidP="00D10168">
            <w:pPr>
              <w:pStyle w:val="Tablehead"/>
              <w:rPr>
                <w:b w:val="0"/>
                <w:bCs/>
                <w:lang w:val="en-US"/>
              </w:rPr>
            </w:pPr>
            <w:r w:rsidRPr="009958B0">
              <w:rPr>
                <w:b w:val="0"/>
                <w:bCs/>
                <w:lang w:val="en-US"/>
              </w:rPr>
              <w:t>4 kHz</w:t>
            </w:r>
          </w:p>
        </w:tc>
        <w:tc>
          <w:tcPr>
            <w:tcW w:w="1450" w:type="dxa"/>
          </w:tcPr>
          <w:p w:rsidR="00DB5C47" w:rsidRPr="009958B0" w:rsidRDefault="00DB5C47" w:rsidP="00D10168">
            <w:pPr>
              <w:pStyle w:val="Tablehead"/>
              <w:rPr>
                <w:b w:val="0"/>
                <w:bCs/>
                <w:lang w:val="en-US"/>
              </w:rPr>
            </w:pPr>
          </w:p>
        </w:tc>
        <w:tc>
          <w:tcPr>
            <w:tcW w:w="1304" w:type="dxa"/>
          </w:tcPr>
          <w:p w:rsidR="00DB5C47" w:rsidRPr="009958B0" w:rsidRDefault="00DB5C47" w:rsidP="00D10168">
            <w:pPr>
              <w:pStyle w:val="Tablehead"/>
              <w:rPr>
                <w:b w:val="0"/>
                <w:bCs/>
                <w:lang w:val="en-US"/>
              </w:rPr>
            </w:pPr>
            <w:r w:rsidRPr="009958B0">
              <w:rPr>
                <w:b w:val="0"/>
                <w:bCs/>
                <w:lang w:val="en-US"/>
              </w:rPr>
              <w:t>Total</w:t>
            </w:r>
          </w:p>
        </w:tc>
        <w:tc>
          <w:tcPr>
            <w:tcW w:w="1304" w:type="dxa"/>
          </w:tcPr>
          <w:p w:rsidR="00DB5C47" w:rsidRPr="009958B0" w:rsidRDefault="00DB5C47" w:rsidP="00D10168">
            <w:pPr>
              <w:pStyle w:val="Tablehead"/>
              <w:rPr>
                <w:b w:val="0"/>
                <w:bCs/>
                <w:lang w:val="en-US"/>
              </w:rPr>
            </w:pPr>
            <w:r w:rsidRPr="009958B0">
              <w:rPr>
                <w:b w:val="0"/>
                <w:bCs/>
                <w:lang w:val="en-US"/>
              </w:rPr>
              <w:t>1 MHz</w:t>
            </w:r>
          </w:p>
        </w:tc>
        <w:tc>
          <w:tcPr>
            <w:tcW w:w="1304" w:type="dxa"/>
          </w:tcPr>
          <w:p w:rsidR="00DB5C47" w:rsidRPr="009958B0" w:rsidRDefault="00DB5C47" w:rsidP="00D10168">
            <w:pPr>
              <w:pStyle w:val="Tablehead"/>
              <w:rPr>
                <w:b w:val="0"/>
                <w:bCs/>
                <w:lang w:val="en-US"/>
              </w:rPr>
            </w:pPr>
            <w:r w:rsidRPr="009958B0">
              <w:rPr>
                <w:b w:val="0"/>
                <w:bCs/>
                <w:lang w:val="en-US"/>
              </w:rPr>
              <w:t>4 kHz</w:t>
            </w:r>
          </w:p>
        </w:tc>
      </w:tr>
      <w:tr w:rsidR="005A0857" w:rsidRPr="009958B0" w:rsidTr="009958B0">
        <w:trPr>
          <w:jc w:val="center"/>
        </w:trPr>
        <w:tc>
          <w:tcPr>
            <w:tcW w:w="1449" w:type="dxa"/>
            <w:tcBorders>
              <w:bottom w:val="single" w:sz="4" w:space="0" w:color="auto"/>
            </w:tcBorders>
          </w:tcPr>
          <w:p w:rsidR="005A0857" w:rsidRPr="009958B0" w:rsidRDefault="005A0857" w:rsidP="009958B0">
            <w:pPr>
              <w:pStyle w:val="Tabletext"/>
              <w:jc w:val="center"/>
              <w:rPr>
                <w:lang w:val="en-US"/>
              </w:rPr>
            </w:pPr>
            <w:r w:rsidRPr="009958B0">
              <w:rPr>
                <w:lang w:val="en-US"/>
              </w:rPr>
              <w:t>DRS to user spacecraft</w:t>
            </w:r>
          </w:p>
        </w:tc>
        <w:tc>
          <w:tcPr>
            <w:tcW w:w="1719" w:type="dxa"/>
            <w:tcBorders>
              <w:bottom w:val="single" w:sz="4" w:space="0" w:color="auto"/>
            </w:tcBorders>
          </w:tcPr>
          <w:p w:rsidR="005A0857" w:rsidRPr="009958B0" w:rsidRDefault="005A0857" w:rsidP="009958B0">
            <w:pPr>
              <w:pStyle w:val="Tabletext"/>
              <w:jc w:val="center"/>
              <w:rPr>
                <w:lang w:val="en-US"/>
              </w:rPr>
            </w:pPr>
            <w:r w:rsidRPr="009958B0">
              <w:rPr>
                <w:lang w:val="en-US"/>
              </w:rPr>
              <w:t>–5 dBW</w:t>
            </w:r>
            <w:r w:rsidRPr="009958B0">
              <w:rPr>
                <w:lang w:val="en-US"/>
              </w:rPr>
              <w:br/>
              <w:t>(Note 1)</w:t>
            </w:r>
          </w:p>
        </w:tc>
        <w:tc>
          <w:tcPr>
            <w:tcW w:w="1440" w:type="dxa"/>
            <w:tcBorders>
              <w:bottom w:val="single" w:sz="4" w:space="0" w:color="auto"/>
            </w:tcBorders>
          </w:tcPr>
          <w:p w:rsidR="005A0857" w:rsidRPr="009958B0" w:rsidRDefault="005A0857" w:rsidP="009958B0">
            <w:pPr>
              <w:pStyle w:val="Tabletext"/>
              <w:jc w:val="center"/>
              <w:rPr>
                <w:lang w:val="en-US"/>
              </w:rPr>
            </w:pPr>
            <w:r w:rsidRPr="009958B0">
              <w:rPr>
                <w:lang w:val="en-US"/>
              </w:rPr>
              <w:t>53</w:t>
            </w:r>
          </w:p>
        </w:tc>
        <w:tc>
          <w:tcPr>
            <w:tcW w:w="1304" w:type="dxa"/>
            <w:tcBorders>
              <w:bottom w:val="single" w:sz="4" w:space="0" w:color="auto"/>
            </w:tcBorders>
          </w:tcPr>
          <w:p w:rsidR="005A0857" w:rsidRPr="009958B0" w:rsidRDefault="005A0857" w:rsidP="009958B0">
            <w:pPr>
              <w:pStyle w:val="Tabletext"/>
              <w:jc w:val="center"/>
              <w:rPr>
                <w:lang w:val="en-US"/>
              </w:rPr>
            </w:pPr>
            <w:r w:rsidRPr="009958B0">
              <w:rPr>
                <w:lang w:val="en-US"/>
              </w:rPr>
              <w:t>–121.4</w:t>
            </w:r>
          </w:p>
        </w:tc>
        <w:tc>
          <w:tcPr>
            <w:tcW w:w="1304" w:type="dxa"/>
            <w:tcBorders>
              <w:bottom w:val="single" w:sz="4" w:space="0" w:color="auto"/>
            </w:tcBorders>
          </w:tcPr>
          <w:p w:rsidR="005A0857" w:rsidRPr="009958B0" w:rsidRDefault="005A0857" w:rsidP="009958B0">
            <w:pPr>
              <w:pStyle w:val="Tabletext"/>
              <w:jc w:val="center"/>
              <w:rPr>
                <w:lang w:val="en-US"/>
              </w:rPr>
            </w:pPr>
            <w:r w:rsidRPr="009958B0">
              <w:rPr>
                <w:lang w:val="en-US"/>
              </w:rPr>
              <w:t>–121.6</w:t>
            </w:r>
          </w:p>
        </w:tc>
        <w:tc>
          <w:tcPr>
            <w:tcW w:w="1304" w:type="dxa"/>
            <w:tcBorders>
              <w:bottom w:val="single" w:sz="4" w:space="0" w:color="auto"/>
            </w:tcBorders>
          </w:tcPr>
          <w:p w:rsidR="005A0857" w:rsidRPr="009958B0" w:rsidRDefault="005A0857" w:rsidP="009958B0">
            <w:pPr>
              <w:pStyle w:val="Tabletext"/>
              <w:jc w:val="center"/>
              <w:rPr>
                <w:lang w:val="en-US"/>
              </w:rPr>
            </w:pPr>
            <w:r w:rsidRPr="009958B0">
              <w:rPr>
                <w:lang w:val="en-US"/>
              </w:rPr>
              <w:t>140.2</w:t>
            </w:r>
          </w:p>
        </w:tc>
        <w:tc>
          <w:tcPr>
            <w:tcW w:w="1450" w:type="dxa"/>
            <w:tcBorders>
              <w:bottom w:val="single" w:sz="4" w:space="0" w:color="auto"/>
            </w:tcBorders>
          </w:tcPr>
          <w:p w:rsidR="005A0857" w:rsidRPr="009958B0" w:rsidRDefault="005A0857" w:rsidP="009958B0">
            <w:pPr>
              <w:pStyle w:val="Tabletext"/>
              <w:jc w:val="center"/>
              <w:rPr>
                <w:lang w:val="en-US"/>
              </w:rPr>
            </w:pPr>
            <w:r w:rsidRPr="009958B0">
              <w:rPr>
                <w:lang w:val="en-US"/>
              </w:rPr>
              <w:t>0</w:t>
            </w:r>
          </w:p>
        </w:tc>
        <w:tc>
          <w:tcPr>
            <w:tcW w:w="1304" w:type="dxa"/>
            <w:tcBorders>
              <w:bottom w:val="single" w:sz="4" w:space="0" w:color="auto"/>
            </w:tcBorders>
          </w:tcPr>
          <w:p w:rsidR="005A0857" w:rsidRPr="009958B0" w:rsidRDefault="005A0857" w:rsidP="009958B0">
            <w:pPr>
              <w:pStyle w:val="Tabletext"/>
              <w:jc w:val="center"/>
              <w:rPr>
                <w:lang w:val="en-US"/>
              </w:rPr>
            </w:pPr>
            <w:r w:rsidRPr="009958B0">
              <w:rPr>
                <w:lang w:val="en-US"/>
              </w:rPr>
              <w:t>–133.3</w:t>
            </w:r>
          </w:p>
        </w:tc>
        <w:tc>
          <w:tcPr>
            <w:tcW w:w="1304" w:type="dxa"/>
            <w:tcBorders>
              <w:bottom w:val="single" w:sz="4" w:space="0" w:color="auto"/>
            </w:tcBorders>
          </w:tcPr>
          <w:p w:rsidR="005A0857" w:rsidRPr="009958B0" w:rsidRDefault="005A0857" w:rsidP="009958B0">
            <w:pPr>
              <w:pStyle w:val="Tabletext"/>
              <w:jc w:val="center"/>
              <w:rPr>
                <w:lang w:val="en-US"/>
              </w:rPr>
            </w:pPr>
            <w:r w:rsidRPr="009958B0">
              <w:rPr>
                <w:lang w:val="en-US"/>
              </w:rPr>
              <w:t>–133.5</w:t>
            </w:r>
          </w:p>
        </w:tc>
        <w:tc>
          <w:tcPr>
            <w:tcW w:w="1304" w:type="dxa"/>
            <w:tcBorders>
              <w:bottom w:val="single" w:sz="4" w:space="0" w:color="auto"/>
            </w:tcBorders>
          </w:tcPr>
          <w:p w:rsidR="005A0857" w:rsidRPr="009958B0" w:rsidRDefault="005A0857" w:rsidP="009958B0">
            <w:pPr>
              <w:pStyle w:val="Tabletext"/>
              <w:jc w:val="center"/>
              <w:rPr>
                <w:lang w:val="en-US"/>
              </w:rPr>
            </w:pPr>
            <w:r w:rsidRPr="009958B0">
              <w:rPr>
                <w:lang w:val="en-US"/>
              </w:rPr>
              <w:t>–152.1</w:t>
            </w:r>
          </w:p>
        </w:tc>
      </w:tr>
      <w:tr w:rsidR="00147A91" w:rsidRPr="00B5710B" w:rsidTr="009958B0">
        <w:trPr>
          <w:jc w:val="center"/>
        </w:trPr>
        <w:tc>
          <w:tcPr>
            <w:tcW w:w="13882" w:type="dxa"/>
            <w:gridSpan w:val="10"/>
            <w:tcBorders>
              <w:left w:val="nil"/>
              <w:bottom w:val="nil"/>
              <w:right w:val="nil"/>
            </w:tcBorders>
          </w:tcPr>
          <w:p w:rsidR="00147A91" w:rsidRDefault="00147A91" w:rsidP="00147A91">
            <w:pPr>
              <w:pStyle w:val="TableLegendNote"/>
            </w:pPr>
            <w:r>
              <w:t>NOTE 1 – The DRS spacecraft is assumed to be located 1° from the FSS satellite in the minimum separation distance case. Reductions in the DRS antenna input power due to the effects of power control are not taken into account. The pfd levels specified for DRS spacecraft are based on an integration of power density in a sin</w:t>
            </w:r>
            <w:r w:rsidRPr="009958B0">
              <w:rPr>
                <w:vertAlign w:val="superscript"/>
              </w:rPr>
              <w:t>2</w:t>
            </w:r>
            <w:r w:rsidRPr="009958B0">
              <w:rPr>
                <w:i/>
                <w:iCs/>
              </w:rPr>
              <w:t>x</w:t>
            </w:r>
            <w:r>
              <w:t>/</w:t>
            </w:r>
            <w:r w:rsidRPr="009958B0">
              <w:rPr>
                <w:i/>
                <w:iCs/>
              </w:rPr>
              <w:t>x</w:t>
            </w:r>
            <w:r w:rsidRPr="009958B0">
              <w:rPr>
                <w:vertAlign w:val="superscript"/>
              </w:rPr>
              <w:t>2</w:t>
            </w:r>
            <w:r>
              <w:t xml:space="preserve"> power spectral distribution over the reference bandwidth. A DRS data rate of 300 kbit/s is assumed in the above table with no spreading by a PN code, which yields the worst case pfd levels when considering all possible data rates.</w:t>
            </w:r>
          </w:p>
        </w:tc>
      </w:tr>
    </w:tbl>
    <w:p w:rsidR="00106689" w:rsidRDefault="00106689" w:rsidP="00B971E8">
      <w:pPr>
        <w:pStyle w:val="Tablefin"/>
      </w:pPr>
    </w:p>
    <w:p w:rsidR="00B971E8" w:rsidRDefault="00B971E8" w:rsidP="00B971E8">
      <w:pPr>
        <w:rPr>
          <w:lang w:val="en-GB"/>
        </w:rPr>
      </w:pPr>
    </w:p>
    <w:p w:rsidR="00B971E8" w:rsidRPr="00B971E8" w:rsidRDefault="00B971E8" w:rsidP="00B971E8">
      <w:pPr>
        <w:rPr>
          <w:lang w:val="en-GB"/>
        </w:rPr>
      </w:pPr>
    </w:p>
    <w:p w:rsidR="00C22519" w:rsidRDefault="00C22519" w:rsidP="00C22519">
      <w:pPr>
        <w:jc w:val="center"/>
        <w:rPr>
          <w:lang w:val="en-GB"/>
        </w:rPr>
      </w:pPr>
      <w:r>
        <w:rPr>
          <w:lang w:val="en-GB"/>
        </w:rPr>
        <w:t>______________</w:t>
      </w:r>
    </w:p>
    <w:sectPr w:rsidR="00C22519" w:rsidSect="004411F2">
      <w:headerReference w:type="even" r:id="rId40"/>
      <w:headerReference w:type="default" r:id="rId41"/>
      <w:pgSz w:w="16834" w:h="11907" w:orient="landscape" w:code="9"/>
      <w:pgMar w:top="1134" w:right="1418" w:bottom="1134" w:left="1134" w:header="720" w:footer="482" w:gutter="0"/>
      <w:paperSrc w:first="4" w:other="4"/>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58B0" w:rsidRDefault="009958B0">
      <w:r>
        <w:separator/>
      </w:r>
    </w:p>
  </w:endnote>
  <w:endnote w:type="continuationSeparator" w:id="0">
    <w:p w:rsidR="009958B0" w:rsidRDefault="009958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58B0" w:rsidRDefault="009958B0">
      <w:r>
        <w:separator/>
      </w:r>
    </w:p>
  </w:footnote>
  <w:footnote w:type="continuationSeparator" w:id="0">
    <w:p w:rsidR="009958B0" w:rsidRDefault="009958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04A" w:rsidRPr="00BF3B93" w:rsidRDefault="008E09C6" w:rsidP="009958B0">
    <w:pPr>
      <w:pStyle w:val="Header"/>
      <w:jc w:val="both"/>
      <w:rPr>
        <w:lang w:val="en-US"/>
      </w:rPr>
    </w:pPr>
    <w:r w:rsidRPr="008E09C6">
      <w:rPr>
        <w:b/>
        <w:bCs/>
      </w:rPr>
      <w:fldChar w:fldCharType="begin"/>
    </w:r>
    <w:r w:rsidR="0022604A" w:rsidRPr="009770E7">
      <w:rPr>
        <w:b/>
        <w:bCs/>
        <w:lang w:val="en-US"/>
      </w:rPr>
      <w:instrText xml:space="preserve"> PAGE </w:instrText>
    </w:r>
    <w:r w:rsidRPr="008E09C6">
      <w:rPr>
        <w:b/>
        <w:bCs/>
      </w:rPr>
      <w:fldChar w:fldCharType="separate"/>
    </w:r>
    <w:r w:rsidR="00DC443B">
      <w:rPr>
        <w:b/>
        <w:bCs/>
        <w:noProof/>
        <w:lang w:val="en-US"/>
      </w:rPr>
      <w:t>ii</w:t>
    </w:r>
    <w:r w:rsidRPr="009770E7">
      <w:fldChar w:fldCharType="end"/>
    </w:r>
    <w:r w:rsidR="0022604A" w:rsidRPr="009770E7">
      <w:rPr>
        <w:lang w:val="en-US"/>
      </w:rPr>
      <w:tab/>
    </w:r>
    <w:fldSimple w:instr=" DOCPROPERTY &quot;Header 2&quot; \* MERGEFORMAT ">
      <w:r w:rsidR="00B971E8" w:rsidRPr="00B971E8">
        <w:rPr>
          <w:b/>
          <w:bCs/>
          <w:lang w:val="en-US"/>
        </w:rPr>
        <w:t xml:space="preserve">Rep. </w:t>
      </w:r>
    </w:fldSimple>
    <w:r w:rsidR="0022604A" w:rsidRPr="00BF3B93">
      <w:rPr>
        <w:b/>
        <w:bCs/>
        <w:lang w:val="en-US"/>
      </w:rPr>
      <w:t xml:space="preserve"> </w:t>
    </w:r>
    <w:r w:rsidRPr="008E09C6">
      <w:rPr>
        <w:b/>
        <w:bCs/>
      </w:rPr>
      <w:fldChar w:fldCharType="begin"/>
    </w:r>
    <w:r w:rsidR="0022604A" w:rsidRPr="009770E7">
      <w:rPr>
        <w:b/>
        <w:bCs/>
        <w:lang w:val="en-US"/>
      </w:rPr>
      <w:instrText>styleref href</w:instrText>
    </w:r>
    <w:r w:rsidRPr="008E09C6">
      <w:rPr>
        <w:b/>
        <w:bCs/>
      </w:rPr>
      <w:fldChar w:fldCharType="separate"/>
    </w:r>
    <w:r w:rsidR="00DC443B">
      <w:rPr>
        <w:b/>
        <w:bCs/>
        <w:noProof/>
      </w:rPr>
      <w:t>ITU-R  SA.2067</w:t>
    </w:r>
    <w:r w:rsidRPr="009770E7">
      <w:fldChar w:fldCharType="end"/>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3EF" w:rsidRDefault="009303EF" w:rsidP="004667EF">
    <w:pPr>
      <w:pStyle w:val="Header"/>
      <w:tabs>
        <w:tab w:val="clear" w:pos="4848"/>
        <w:tab w:val="clear" w:pos="9696"/>
        <w:tab w:val="center" w:pos="7258"/>
        <w:tab w:val="center" w:pos="14515"/>
      </w:tabs>
    </w:pPr>
    <w:r>
      <w:rPr>
        <w:b/>
        <w:bCs/>
      </w:rPr>
      <w:tab/>
    </w:r>
    <w:fldSimple w:instr=" DOCPROPERTY &quot;Header 2&quot; \* MERGEFORMAT ">
      <w:r w:rsidR="00B971E8" w:rsidRPr="00B971E8">
        <w:rPr>
          <w:b/>
          <w:bCs/>
        </w:rPr>
        <w:t xml:space="preserve">Rep. </w:t>
      </w:r>
    </w:fldSimple>
    <w:r>
      <w:rPr>
        <w:b/>
        <w:bCs/>
      </w:rPr>
      <w:t xml:space="preserve"> </w:t>
    </w:r>
    <w:r w:rsidR="008E09C6">
      <w:rPr>
        <w:b/>
        <w:bCs/>
      </w:rPr>
      <w:fldChar w:fldCharType="begin"/>
    </w:r>
    <w:r>
      <w:rPr>
        <w:b/>
        <w:bCs/>
      </w:rPr>
      <w:instrText>styleref href</w:instrText>
    </w:r>
    <w:r w:rsidR="008E09C6">
      <w:rPr>
        <w:b/>
        <w:bCs/>
      </w:rPr>
      <w:fldChar w:fldCharType="separate"/>
    </w:r>
    <w:r w:rsidR="00DC443B">
      <w:rPr>
        <w:b/>
        <w:bCs/>
        <w:noProof/>
      </w:rPr>
      <w:t>ITU-R  SA.2067</w:t>
    </w:r>
    <w:r w:rsidR="008E09C6">
      <w:rPr>
        <w:b/>
        <w:bCs/>
      </w:rPr>
      <w:fldChar w:fldCharType="end"/>
    </w:r>
    <w:r>
      <w:tab/>
    </w:r>
    <w:r w:rsidR="008E09C6">
      <w:rPr>
        <w:rStyle w:val="PageNumber"/>
        <w:b/>
        <w:bCs/>
      </w:rPr>
      <w:fldChar w:fldCharType="begin"/>
    </w:r>
    <w:r>
      <w:rPr>
        <w:rStyle w:val="PageNumber"/>
        <w:b/>
        <w:bCs/>
      </w:rPr>
      <w:instrText xml:space="preserve"> PAGE </w:instrText>
    </w:r>
    <w:r w:rsidR="008E09C6">
      <w:rPr>
        <w:rStyle w:val="PageNumber"/>
        <w:b/>
        <w:bCs/>
      </w:rPr>
      <w:fldChar w:fldCharType="separate"/>
    </w:r>
    <w:r w:rsidR="00DC443B">
      <w:rPr>
        <w:rStyle w:val="PageNumber"/>
        <w:b/>
        <w:bCs/>
        <w:noProof/>
      </w:rPr>
      <w:t>21</w:t>
    </w:r>
    <w:r w:rsidR="008E09C6">
      <w:rPr>
        <w:rStyle w:val="PageNumber"/>
        <w:b/>
        <w:bC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04A" w:rsidRDefault="009D4FBE" w:rsidP="009958B0">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 name="Picture 1"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3EF" w:rsidRDefault="008E09C6">
    <w:pPr>
      <w:pStyle w:val="Header"/>
      <w:jc w:val="left"/>
      <w:rPr>
        <w:lang w:val="en-US"/>
      </w:rPr>
    </w:pPr>
    <w:r>
      <w:rPr>
        <w:rStyle w:val="PageNumber"/>
        <w:b/>
        <w:bCs/>
      </w:rPr>
      <w:fldChar w:fldCharType="begin"/>
    </w:r>
    <w:r w:rsidR="009303EF">
      <w:rPr>
        <w:rStyle w:val="PageNumber"/>
        <w:b/>
        <w:bCs/>
        <w:lang w:val="en-US"/>
      </w:rPr>
      <w:instrText xml:space="preserve"> PAGE </w:instrText>
    </w:r>
    <w:r>
      <w:rPr>
        <w:rStyle w:val="PageNumber"/>
        <w:b/>
        <w:bCs/>
      </w:rPr>
      <w:fldChar w:fldCharType="separate"/>
    </w:r>
    <w:r w:rsidR="00DC443B">
      <w:rPr>
        <w:rStyle w:val="PageNumber"/>
        <w:b/>
        <w:bCs/>
        <w:noProof/>
        <w:lang w:val="en-US"/>
      </w:rPr>
      <w:t>4</w:t>
    </w:r>
    <w:r>
      <w:rPr>
        <w:rStyle w:val="PageNumber"/>
        <w:b/>
        <w:bCs/>
      </w:rPr>
      <w:fldChar w:fldCharType="end"/>
    </w:r>
    <w:r w:rsidR="009303EF">
      <w:rPr>
        <w:lang w:val="en-US"/>
      </w:rPr>
      <w:tab/>
    </w:r>
    <w:fldSimple w:instr=" DOCPROPERTY &quot;Header 2&quot; \* MERGEFORMAT ">
      <w:r w:rsidR="00B971E8" w:rsidRPr="00B971E8">
        <w:rPr>
          <w:b/>
          <w:bCs/>
          <w:lang w:val="en-US"/>
        </w:rPr>
        <w:t xml:space="preserve">Rep. </w:t>
      </w:r>
    </w:fldSimple>
    <w:r w:rsidR="009303EF">
      <w:rPr>
        <w:b/>
        <w:bCs/>
      </w:rPr>
      <w:t xml:space="preserve"> </w:t>
    </w:r>
    <w:r>
      <w:rPr>
        <w:b/>
        <w:bCs/>
      </w:rPr>
      <w:fldChar w:fldCharType="begin"/>
    </w:r>
    <w:r w:rsidR="009303EF">
      <w:rPr>
        <w:b/>
        <w:bCs/>
        <w:lang w:val="en-US"/>
      </w:rPr>
      <w:instrText>styleref href</w:instrText>
    </w:r>
    <w:r>
      <w:rPr>
        <w:b/>
        <w:bCs/>
      </w:rPr>
      <w:fldChar w:fldCharType="separate"/>
    </w:r>
    <w:r w:rsidR="00DC443B">
      <w:rPr>
        <w:b/>
        <w:bCs/>
        <w:noProof/>
      </w:rPr>
      <w:t>ITU-R  SA.2067</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3EF" w:rsidRDefault="009303EF">
    <w:pPr>
      <w:pStyle w:val="Header"/>
    </w:pPr>
    <w:r>
      <w:tab/>
    </w:r>
    <w:fldSimple w:instr=" DOCPROPERTY &quot;Header 2&quot; \* MERGEFORMAT ">
      <w:r w:rsidR="00B971E8" w:rsidRPr="00B971E8">
        <w:rPr>
          <w:b/>
          <w:bCs/>
        </w:rPr>
        <w:t xml:space="preserve">Rep. </w:t>
      </w:r>
    </w:fldSimple>
    <w:r>
      <w:rPr>
        <w:b/>
        <w:bCs/>
      </w:rPr>
      <w:t xml:space="preserve"> </w:t>
    </w:r>
    <w:r w:rsidR="008E09C6">
      <w:rPr>
        <w:b/>
        <w:bCs/>
      </w:rPr>
      <w:fldChar w:fldCharType="begin"/>
    </w:r>
    <w:r>
      <w:rPr>
        <w:b/>
        <w:bCs/>
      </w:rPr>
      <w:instrText>styleref href</w:instrText>
    </w:r>
    <w:r w:rsidR="008E09C6">
      <w:rPr>
        <w:b/>
        <w:bCs/>
      </w:rPr>
      <w:fldChar w:fldCharType="separate"/>
    </w:r>
    <w:r w:rsidR="00DC443B">
      <w:rPr>
        <w:b/>
        <w:bCs/>
        <w:noProof/>
      </w:rPr>
      <w:t>ITU-R  SA.2067</w:t>
    </w:r>
    <w:r w:rsidR="008E09C6">
      <w:rPr>
        <w:b/>
        <w:bCs/>
      </w:rPr>
      <w:fldChar w:fldCharType="end"/>
    </w:r>
    <w:r>
      <w:tab/>
    </w:r>
    <w:r w:rsidR="008E09C6">
      <w:rPr>
        <w:rStyle w:val="PageNumber"/>
        <w:b/>
        <w:bCs/>
      </w:rPr>
      <w:fldChar w:fldCharType="begin"/>
    </w:r>
    <w:r>
      <w:rPr>
        <w:rStyle w:val="PageNumber"/>
        <w:b/>
        <w:bCs/>
      </w:rPr>
      <w:instrText xml:space="preserve"> PAGE </w:instrText>
    </w:r>
    <w:r w:rsidR="008E09C6">
      <w:rPr>
        <w:rStyle w:val="PageNumber"/>
        <w:b/>
        <w:bCs/>
      </w:rPr>
      <w:fldChar w:fldCharType="separate"/>
    </w:r>
    <w:r w:rsidR="00DC443B">
      <w:rPr>
        <w:rStyle w:val="PageNumber"/>
        <w:b/>
        <w:bCs/>
        <w:noProof/>
      </w:rPr>
      <w:t>3</w:t>
    </w:r>
    <w:r w:rsidR="008E09C6">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3EF" w:rsidRDefault="008E09C6" w:rsidP="00830E1C">
    <w:pPr>
      <w:pStyle w:val="Header"/>
      <w:tabs>
        <w:tab w:val="clear" w:pos="4848"/>
        <w:tab w:val="clear" w:pos="9696"/>
        <w:tab w:val="center" w:pos="7258"/>
        <w:tab w:val="right" w:pos="14515"/>
      </w:tabs>
      <w:jc w:val="left"/>
      <w:rPr>
        <w:lang w:val="en-US"/>
      </w:rPr>
    </w:pPr>
    <w:r>
      <w:rPr>
        <w:rStyle w:val="PageNumber"/>
        <w:b/>
        <w:bCs/>
      </w:rPr>
      <w:fldChar w:fldCharType="begin"/>
    </w:r>
    <w:r w:rsidR="009303EF">
      <w:rPr>
        <w:rStyle w:val="PageNumber"/>
        <w:b/>
        <w:bCs/>
        <w:lang w:val="en-US"/>
      </w:rPr>
      <w:instrText xml:space="preserve"> PAGE </w:instrText>
    </w:r>
    <w:r>
      <w:rPr>
        <w:rStyle w:val="PageNumber"/>
        <w:b/>
        <w:bCs/>
      </w:rPr>
      <w:fldChar w:fldCharType="separate"/>
    </w:r>
    <w:r w:rsidR="00DC443B">
      <w:rPr>
        <w:rStyle w:val="PageNumber"/>
        <w:b/>
        <w:bCs/>
        <w:noProof/>
        <w:lang w:val="en-US"/>
      </w:rPr>
      <w:t>18</w:t>
    </w:r>
    <w:r>
      <w:rPr>
        <w:rStyle w:val="PageNumber"/>
        <w:b/>
        <w:bCs/>
      </w:rPr>
      <w:fldChar w:fldCharType="end"/>
    </w:r>
    <w:r w:rsidR="009303EF">
      <w:rPr>
        <w:lang w:val="en-US"/>
      </w:rPr>
      <w:tab/>
    </w:r>
    <w:fldSimple w:instr=" DOCPROPERTY &quot;Header 2&quot; \* MERGEFORMAT ">
      <w:r w:rsidR="00B971E8" w:rsidRPr="00B971E8">
        <w:rPr>
          <w:b/>
          <w:bCs/>
          <w:lang w:val="en-US"/>
        </w:rPr>
        <w:t xml:space="preserve">Rep. </w:t>
      </w:r>
    </w:fldSimple>
    <w:r w:rsidR="009303EF">
      <w:rPr>
        <w:b/>
        <w:bCs/>
      </w:rPr>
      <w:t xml:space="preserve"> </w:t>
    </w:r>
    <w:r>
      <w:rPr>
        <w:b/>
        <w:bCs/>
      </w:rPr>
      <w:fldChar w:fldCharType="begin"/>
    </w:r>
    <w:r w:rsidR="009303EF">
      <w:rPr>
        <w:b/>
        <w:bCs/>
        <w:lang w:val="en-US"/>
      </w:rPr>
      <w:instrText>styleref href</w:instrText>
    </w:r>
    <w:r>
      <w:rPr>
        <w:b/>
        <w:bCs/>
      </w:rPr>
      <w:fldChar w:fldCharType="separate"/>
    </w:r>
    <w:r w:rsidR="00DC443B">
      <w:rPr>
        <w:b/>
        <w:bCs/>
        <w:noProof/>
      </w:rPr>
      <w:t>ITU-R  SA.2067</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3EF" w:rsidRDefault="009303EF" w:rsidP="00830E1C">
    <w:pPr>
      <w:pStyle w:val="Header"/>
      <w:tabs>
        <w:tab w:val="clear" w:pos="4848"/>
        <w:tab w:val="clear" w:pos="9696"/>
        <w:tab w:val="center" w:pos="7258"/>
        <w:tab w:val="right" w:pos="14515"/>
      </w:tabs>
    </w:pPr>
    <w:r>
      <w:tab/>
    </w:r>
    <w:fldSimple w:instr=" DOCPROPERTY &quot;Header 2&quot; \* MERGEFORMAT ">
      <w:r w:rsidR="00B971E8" w:rsidRPr="00B971E8">
        <w:rPr>
          <w:b/>
          <w:bCs/>
        </w:rPr>
        <w:t xml:space="preserve">Rep. </w:t>
      </w:r>
    </w:fldSimple>
    <w:r>
      <w:rPr>
        <w:b/>
        <w:bCs/>
      </w:rPr>
      <w:t xml:space="preserve"> </w:t>
    </w:r>
    <w:r w:rsidR="008E09C6">
      <w:rPr>
        <w:b/>
        <w:bCs/>
      </w:rPr>
      <w:fldChar w:fldCharType="begin"/>
    </w:r>
    <w:r>
      <w:rPr>
        <w:b/>
        <w:bCs/>
      </w:rPr>
      <w:instrText>styleref href</w:instrText>
    </w:r>
    <w:r w:rsidR="008E09C6">
      <w:rPr>
        <w:b/>
        <w:bCs/>
      </w:rPr>
      <w:fldChar w:fldCharType="separate"/>
    </w:r>
    <w:r w:rsidR="00DC443B">
      <w:rPr>
        <w:b/>
        <w:bCs/>
        <w:noProof/>
      </w:rPr>
      <w:t>ITU-R  SA.2067</w:t>
    </w:r>
    <w:r w:rsidR="008E09C6">
      <w:rPr>
        <w:b/>
        <w:bCs/>
      </w:rPr>
      <w:fldChar w:fldCharType="end"/>
    </w:r>
    <w:r>
      <w:tab/>
    </w:r>
    <w:r w:rsidR="008E09C6">
      <w:rPr>
        <w:rStyle w:val="PageNumber"/>
        <w:b/>
        <w:bCs/>
      </w:rPr>
      <w:fldChar w:fldCharType="begin"/>
    </w:r>
    <w:r>
      <w:rPr>
        <w:rStyle w:val="PageNumber"/>
        <w:b/>
        <w:bCs/>
      </w:rPr>
      <w:instrText xml:space="preserve"> PAGE </w:instrText>
    </w:r>
    <w:r w:rsidR="008E09C6">
      <w:rPr>
        <w:rStyle w:val="PageNumber"/>
        <w:b/>
        <w:bCs/>
      </w:rPr>
      <w:fldChar w:fldCharType="separate"/>
    </w:r>
    <w:r w:rsidR="00DC443B">
      <w:rPr>
        <w:rStyle w:val="PageNumber"/>
        <w:b/>
        <w:bCs/>
        <w:noProof/>
      </w:rPr>
      <w:t>17</w:t>
    </w:r>
    <w:r w:rsidR="008E09C6">
      <w:rPr>
        <w:rStyle w:val="PageNumbe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3EF" w:rsidRDefault="008E09C6">
    <w:pPr>
      <w:pStyle w:val="Header"/>
      <w:jc w:val="left"/>
      <w:rPr>
        <w:lang w:val="en-US"/>
      </w:rPr>
    </w:pPr>
    <w:r>
      <w:rPr>
        <w:rStyle w:val="PageNumber"/>
        <w:b/>
        <w:bCs/>
      </w:rPr>
      <w:fldChar w:fldCharType="begin"/>
    </w:r>
    <w:r w:rsidR="009303EF">
      <w:rPr>
        <w:rStyle w:val="PageNumber"/>
        <w:b/>
        <w:bCs/>
        <w:lang w:val="en-US"/>
      </w:rPr>
      <w:instrText xml:space="preserve"> PAGE </w:instrText>
    </w:r>
    <w:r>
      <w:rPr>
        <w:rStyle w:val="PageNumber"/>
        <w:b/>
        <w:bCs/>
      </w:rPr>
      <w:fldChar w:fldCharType="separate"/>
    </w:r>
    <w:r w:rsidR="00DC443B">
      <w:rPr>
        <w:rStyle w:val="PageNumber"/>
        <w:b/>
        <w:bCs/>
        <w:noProof/>
        <w:lang w:val="en-US"/>
      </w:rPr>
      <w:t>20</w:t>
    </w:r>
    <w:r>
      <w:rPr>
        <w:rStyle w:val="PageNumber"/>
        <w:b/>
        <w:bCs/>
      </w:rPr>
      <w:fldChar w:fldCharType="end"/>
    </w:r>
    <w:r w:rsidR="009303EF">
      <w:rPr>
        <w:lang w:val="en-US"/>
      </w:rPr>
      <w:tab/>
    </w:r>
    <w:fldSimple w:instr=" DOCPROPERTY &quot;Header 2&quot; \* MERGEFORMAT ">
      <w:r w:rsidR="00B971E8" w:rsidRPr="00B971E8">
        <w:rPr>
          <w:b/>
          <w:bCs/>
          <w:lang w:val="en-US"/>
        </w:rPr>
        <w:t xml:space="preserve">Rep. </w:t>
      </w:r>
    </w:fldSimple>
    <w:r w:rsidR="009303EF">
      <w:rPr>
        <w:b/>
        <w:bCs/>
      </w:rPr>
      <w:t xml:space="preserve"> </w:t>
    </w:r>
    <w:r>
      <w:rPr>
        <w:b/>
        <w:bCs/>
      </w:rPr>
      <w:fldChar w:fldCharType="begin"/>
    </w:r>
    <w:r w:rsidR="009303EF">
      <w:rPr>
        <w:b/>
        <w:bCs/>
        <w:lang w:val="en-US"/>
      </w:rPr>
      <w:instrText>styleref href</w:instrText>
    </w:r>
    <w:r>
      <w:rPr>
        <w:b/>
        <w:bCs/>
      </w:rPr>
      <w:fldChar w:fldCharType="separate"/>
    </w:r>
    <w:r w:rsidR="00DC443B">
      <w:rPr>
        <w:b/>
        <w:bCs/>
        <w:noProof/>
      </w:rPr>
      <w:t>ITU-R  SA.2067</w:t>
    </w:r>
    <w:r>
      <w:rPr>
        <w:b/>
        <w:bCs/>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3EF" w:rsidRDefault="009303EF" w:rsidP="00C81758">
    <w:pPr>
      <w:pStyle w:val="Header"/>
    </w:pPr>
    <w:r>
      <w:tab/>
    </w:r>
    <w:fldSimple w:instr=" DOCPROPERTY &quot;Header 2&quot; \* MERGEFORMAT ">
      <w:r w:rsidR="00B971E8" w:rsidRPr="00B971E8">
        <w:rPr>
          <w:b/>
          <w:bCs/>
        </w:rPr>
        <w:t xml:space="preserve">Rep. </w:t>
      </w:r>
    </w:fldSimple>
    <w:r>
      <w:rPr>
        <w:b/>
        <w:bCs/>
      </w:rPr>
      <w:t xml:space="preserve"> </w:t>
    </w:r>
    <w:r w:rsidR="008E09C6">
      <w:rPr>
        <w:b/>
        <w:bCs/>
      </w:rPr>
      <w:fldChar w:fldCharType="begin"/>
    </w:r>
    <w:r>
      <w:rPr>
        <w:b/>
        <w:bCs/>
      </w:rPr>
      <w:instrText>styleref href</w:instrText>
    </w:r>
    <w:r w:rsidR="008E09C6">
      <w:rPr>
        <w:b/>
        <w:bCs/>
      </w:rPr>
      <w:fldChar w:fldCharType="separate"/>
    </w:r>
    <w:r w:rsidR="00DC443B">
      <w:rPr>
        <w:b/>
        <w:bCs/>
        <w:noProof/>
      </w:rPr>
      <w:t>ITU-R  SA.2067</w:t>
    </w:r>
    <w:r w:rsidR="008E09C6">
      <w:rPr>
        <w:b/>
        <w:bCs/>
      </w:rPr>
      <w:fldChar w:fldCharType="end"/>
    </w:r>
    <w:r>
      <w:tab/>
    </w:r>
    <w:r w:rsidR="008E09C6">
      <w:rPr>
        <w:rStyle w:val="PageNumber"/>
        <w:b/>
        <w:bCs/>
      </w:rPr>
      <w:fldChar w:fldCharType="begin"/>
    </w:r>
    <w:r>
      <w:rPr>
        <w:rStyle w:val="PageNumber"/>
        <w:b/>
        <w:bCs/>
      </w:rPr>
      <w:instrText xml:space="preserve"> PAGE </w:instrText>
    </w:r>
    <w:r w:rsidR="008E09C6">
      <w:rPr>
        <w:rStyle w:val="PageNumber"/>
        <w:b/>
        <w:bCs/>
      </w:rPr>
      <w:fldChar w:fldCharType="separate"/>
    </w:r>
    <w:r w:rsidR="00DC443B">
      <w:rPr>
        <w:rStyle w:val="PageNumber"/>
        <w:b/>
        <w:bCs/>
        <w:noProof/>
      </w:rPr>
      <w:t>19</w:t>
    </w:r>
    <w:r w:rsidR="008E09C6">
      <w:rPr>
        <w:rStyle w:val="PageNumber"/>
        <w:b/>
        <w:bCs/>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3EF" w:rsidRDefault="008E09C6" w:rsidP="00830E1C">
    <w:pPr>
      <w:pStyle w:val="Header"/>
      <w:tabs>
        <w:tab w:val="clear" w:pos="4848"/>
        <w:tab w:val="clear" w:pos="9696"/>
        <w:tab w:val="center" w:pos="7258"/>
        <w:tab w:val="right" w:pos="14515"/>
      </w:tabs>
      <w:jc w:val="left"/>
      <w:rPr>
        <w:lang w:val="en-US"/>
      </w:rPr>
    </w:pPr>
    <w:r>
      <w:rPr>
        <w:rStyle w:val="PageNumber"/>
        <w:b/>
        <w:bCs/>
      </w:rPr>
      <w:fldChar w:fldCharType="begin"/>
    </w:r>
    <w:r w:rsidR="009303EF">
      <w:rPr>
        <w:rStyle w:val="PageNumber"/>
        <w:b/>
        <w:bCs/>
        <w:lang w:val="en-US"/>
      </w:rPr>
      <w:instrText xml:space="preserve"> PAGE </w:instrText>
    </w:r>
    <w:r>
      <w:rPr>
        <w:rStyle w:val="PageNumber"/>
        <w:b/>
        <w:bCs/>
      </w:rPr>
      <w:fldChar w:fldCharType="separate"/>
    </w:r>
    <w:r w:rsidR="00B5710B">
      <w:rPr>
        <w:rStyle w:val="PageNumber"/>
        <w:b/>
        <w:bCs/>
        <w:noProof/>
        <w:lang w:val="en-US"/>
      </w:rPr>
      <w:t>20</w:t>
    </w:r>
    <w:r>
      <w:rPr>
        <w:rStyle w:val="PageNumber"/>
        <w:b/>
        <w:bCs/>
      </w:rPr>
      <w:fldChar w:fldCharType="end"/>
    </w:r>
    <w:r w:rsidR="009303EF">
      <w:rPr>
        <w:lang w:val="en-US"/>
      </w:rPr>
      <w:tab/>
    </w:r>
    <w:fldSimple w:instr=" DOCPROPERTY &quot;Header 2&quot; \* MERGEFORMAT ">
      <w:r w:rsidR="00B971E8" w:rsidRPr="00B971E8">
        <w:rPr>
          <w:b/>
          <w:bCs/>
          <w:lang w:val="en-US"/>
        </w:rPr>
        <w:t xml:space="preserve">Rep. </w:t>
      </w:r>
    </w:fldSimple>
    <w:r w:rsidR="009303EF">
      <w:rPr>
        <w:b/>
        <w:bCs/>
      </w:rPr>
      <w:t xml:space="preserve"> </w:t>
    </w:r>
    <w:r>
      <w:rPr>
        <w:b/>
        <w:bCs/>
      </w:rPr>
      <w:fldChar w:fldCharType="begin"/>
    </w:r>
    <w:r w:rsidR="009303EF">
      <w:rPr>
        <w:b/>
        <w:bCs/>
        <w:lang w:val="en-US"/>
      </w:rPr>
      <w:instrText>styleref href</w:instrText>
    </w:r>
    <w:r>
      <w:rPr>
        <w:b/>
        <w:bCs/>
      </w:rPr>
      <w:fldChar w:fldCharType="separate"/>
    </w:r>
    <w:r w:rsidR="00B971E8">
      <w:rPr>
        <w:b/>
        <w:bCs/>
        <w:noProof/>
      </w:rPr>
      <w:t>ITU-R  SA.2067</w:t>
    </w:r>
    <w:r>
      <w:rP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defaultTabStop w:val="720"/>
  <w:evenAndOddHeaders/>
  <w:noPunctuationKerning/>
  <w:characterSpacingControl w:val="doNotCompress"/>
  <w:hdrShapeDefaults>
    <o:shapedefaults v:ext="edit" spidmax="11265"/>
  </w:hdrShapeDefaults>
  <w:footnotePr>
    <w:footnote w:id="-1"/>
    <w:footnote w:id="0"/>
  </w:footnotePr>
  <w:endnotePr>
    <w:endnote w:id="-1"/>
    <w:endnote w:id="0"/>
  </w:endnotePr>
  <w:compat/>
  <w:rsids>
    <w:rsidRoot w:val="001D7AE5"/>
    <w:rsid w:val="0000555B"/>
    <w:rsid w:val="00023935"/>
    <w:rsid w:val="00036B59"/>
    <w:rsid w:val="0008057B"/>
    <w:rsid w:val="00082C7A"/>
    <w:rsid w:val="000A3913"/>
    <w:rsid w:val="000C21C2"/>
    <w:rsid w:val="000F1640"/>
    <w:rsid w:val="00106689"/>
    <w:rsid w:val="00147A91"/>
    <w:rsid w:val="00196078"/>
    <w:rsid w:val="001A5ABD"/>
    <w:rsid w:val="001D7AE5"/>
    <w:rsid w:val="001E673C"/>
    <w:rsid w:val="002100A7"/>
    <w:rsid w:val="0022604A"/>
    <w:rsid w:val="00230C27"/>
    <w:rsid w:val="00235DD6"/>
    <w:rsid w:val="002612DA"/>
    <w:rsid w:val="00271587"/>
    <w:rsid w:val="00293B6E"/>
    <w:rsid w:val="002C09A4"/>
    <w:rsid w:val="002D76C4"/>
    <w:rsid w:val="002E06D2"/>
    <w:rsid w:val="00324037"/>
    <w:rsid w:val="00330BEA"/>
    <w:rsid w:val="00330D42"/>
    <w:rsid w:val="00397307"/>
    <w:rsid w:val="003B1494"/>
    <w:rsid w:val="003E0978"/>
    <w:rsid w:val="004044B2"/>
    <w:rsid w:val="004262DB"/>
    <w:rsid w:val="004411F2"/>
    <w:rsid w:val="004667EF"/>
    <w:rsid w:val="00476095"/>
    <w:rsid w:val="004E1FCD"/>
    <w:rsid w:val="00510AB9"/>
    <w:rsid w:val="0057273F"/>
    <w:rsid w:val="0059044A"/>
    <w:rsid w:val="005A0857"/>
    <w:rsid w:val="005A29B8"/>
    <w:rsid w:val="00607D68"/>
    <w:rsid w:val="006154DB"/>
    <w:rsid w:val="0068073B"/>
    <w:rsid w:val="006943B9"/>
    <w:rsid w:val="006B555E"/>
    <w:rsid w:val="006D69F1"/>
    <w:rsid w:val="006E1737"/>
    <w:rsid w:val="006E54AC"/>
    <w:rsid w:val="00702FC9"/>
    <w:rsid w:val="00703493"/>
    <w:rsid w:val="007468DA"/>
    <w:rsid w:val="00772C08"/>
    <w:rsid w:val="00775BF1"/>
    <w:rsid w:val="007B7775"/>
    <w:rsid w:val="007E7DE8"/>
    <w:rsid w:val="007F3386"/>
    <w:rsid w:val="007F56A1"/>
    <w:rsid w:val="00830E1C"/>
    <w:rsid w:val="00857E16"/>
    <w:rsid w:val="00862FF2"/>
    <w:rsid w:val="008632D5"/>
    <w:rsid w:val="00865A92"/>
    <w:rsid w:val="00895707"/>
    <w:rsid w:val="008A2C0C"/>
    <w:rsid w:val="008A540C"/>
    <w:rsid w:val="008E09C6"/>
    <w:rsid w:val="008F4607"/>
    <w:rsid w:val="009303EF"/>
    <w:rsid w:val="009517BA"/>
    <w:rsid w:val="00981FAB"/>
    <w:rsid w:val="00982DEF"/>
    <w:rsid w:val="009830AC"/>
    <w:rsid w:val="00983FDB"/>
    <w:rsid w:val="009904D2"/>
    <w:rsid w:val="009958B0"/>
    <w:rsid w:val="009D4FBE"/>
    <w:rsid w:val="00A31B29"/>
    <w:rsid w:val="00A42B50"/>
    <w:rsid w:val="00A6617B"/>
    <w:rsid w:val="00A7698E"/>
    <w:rsid w:val="00A80CE6"/>
    <w:rsid w:val="00A95ECE"/>
    <w:rsid w:val="00AB0DC8"/>
    <w:rsid w:val="00AC2806"/>
    <w:rsid w:val="00AF5608"/>
    <w:rsid w:val="00AF7569"/>
    <w:rsid w:val="00B14AD5"/>
    <w:rsid w:val="00B42C6E"/>
    <w:rsid w:val="00B44E24"/>
    <w:rsid w:val="00B5076C"/>
    <w:rsid w:val="00B5710B"/>
    <w:rsid w:val="00B6671A"/>
    <w:rsid w:val="00B81D37"/>
    <w:rsid w:val="00B971E8"/>
    <w:rsid w:val="00BC4BDE"/>
    <w:rsid w:val="00BF2B8A"/>
    <w:rsid w:val="00BF2EF5"/>
    <w:rsid w:val="00BF7A6A"/>
    <w:rsid w:val="00C20198"/>
    <w:rsid w:val="00C22519"/>
    <w:rsid w:val="00C434C8"/>
    <w:rsid w:val="00C621B5"/>
    <w:rsid w:val="00C65A1E"/>
    <w:rsid w:val="00C81758"/>
    <w:rsid w:val="00CA36CE"/>
    <w:rsid w:val="00CE5A9D"/>
    <w:rsid w:val="00D10168"/>
    <w:rsid w:val="00D14C1B"/>
    <w:rsid w:val="00D25982"/>
    <w:rsid w:val="00D43F24"/>
    <w:rsid w:val="00D65A0B"/>
    <w:rsid w:val="00D74C71"/>
    <w:rsid w:val="00DA22B5"/>
    <w:rsid w:val="00DA33E6"/>
    <w:rsid w:val="00DB5C47"/>
    <w:rsid w:val="00DC443B"/>
    <w:rsid w:val="00DF4176"/>
    <w:rsid w:val="00DF7412"/>
    <w:rsid w:val="00E73324"/>
    <w:rsid w:val="00EC2F97"/>
    <w:rsid w:val="00EE5C08"/>
    <w:rsid w:val="00F01F01"/>
    <w:rsid w:val="00F03195"/>
    <w:rsid w:val="00F45EAD"/>
    <w:rsid w:val="00F5648C"/>
    <w:rsid w:val="00F83959"/>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777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45EAD"/>
    <w:pPr>
      <w:keepNext/>
      <w:keepLines/>
      <w:spacing w:before="480"/>
      <w:ind w:left="794" w:hanging="794"/>
      <w:outlineLvl w:val="0"/>
    </w:pPr>
    <w:rPr>
      <w:b/>
    </w:rPr>
  </w:style>
  <w:style w:type="paragraph" w:styleId="Heading2">
    <w:name w:val="heading 2"/>
    <w:basedOn w:val="Heading1"/>
    <w:next w:val="Normal"/>
    <w:qFormat/>
    <w:rsid w:val="00F45EAD"/>
    <w:pPr>
      <w:spacing w:before="320"/>
      <w:outlineLvl w:val="1"/>
    </w:pPr>
  </w:style>
  <w:style w:type="paragraph" w:styleId="Heading3">
    <w:name w:val="heading 3"/>
    <w:basedOn w:val="Heading1"/>
    <w:next w:val="Normal"/>
    <w:qFormat/>
    <w:rsid w:val="00F45EAD"/>
    <w:pPr>
      <w:spacing w:before="200"/>
      <w:outlineLvl w:val="2"/>
    </w:pPr>
  </w:style>
  <w:style w:type="paragraph" w:styleId="Heading4">
    <w:name w:val="heading 4"/>
    <w:basedOn w:val="Heading3"/>
    <w:next w:val="Normal"/>
    <w:qFormat/>
    <w:rsid w:val="00F45EAD"/>
    <w:pPr>
      <w:tabs>
        <w:tab w:val="clear" w:pos="794"/>
        <w:tab w:val="left" w:pos="992"/>
      </w:tabs>
      <w:ind w:left="992" w:hanging="992"/>
      <w:outlineLvl w:val="3"/>
    </w:pPr>
  </w:style>
  <w:style w:type="paragraph" w:styleId="Heading5">
    <w:name w:val="heading 5"/>
    <w:basedOn w:val="Heading4"/>
    <w:next w:val="Normal"/>
    <w:qFormat/>
    <w:rsid w:val="00F45EAD"/>
    <w:pPr>
      <w:outlineLvl w:val="4"/>
    </w:pPr>
  </w:style>
  <w:style w:type="paragraph" w:styleId="Heading6">
    <w:name w:val="heading 6"/>
    <w:basedOn w:val="Heading4"/>
    <w:next w:val="Normal"/>
    <w:qFormat/>
    <w:rsid w:val="00F45EAD"/>
    <w:pPr>
      <w:tabs>
        <w:tab w:val="clear" w:pos="992"/>
        <w:tab w:val="clear" w:pos="1191"/>
      </w:tabs>
      <w:ind w:left="1588" w:hanging="1588"/>
      <w:outlineLvl w:val="5"/>
    </w:pPr>
  </w:style>
  <w:style w:type="paragraph" w:styleId="Heading7">
    <w:name w:val="heading 7"/>
    <w:basedOn w:val="Heading6"/>
    <w:next w:val="Normal"/>
    <w:qFormat/>
    <w:rsid w:val="00F45EAD"/>
    <w:pPr>
      <w:outlineLvl w:val="6"/>
    </w:pPr>
  </w:style>
  <w:style w:type="paragraph" w:styleId="Heading8">
    <w:name w:val="heading 8"/>
    <w:basedOn w:val="Heading6"/>
    <w:next w:val="Normal"/>
    <w:qFormat/>
    <w:rsid w:val="00F45EAD"/>
    <w:pPr>
      <w:outlineLvl w:val="7"/>
    </w:pPr>
  </w:style>
  <w:style w:type="paragraph" w:styleId="Heading9">
    <w:name w:val="heading 9"/>
    <w:basedOn w:val="Heading6"/>
    <w:next w:val="Normal"/>
    <w:qFormat/>
    <w:rsid w:val="00F45EA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45EA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45EA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45EAD"/>
  </w:style>
  <w:style w:type="paragraph" w:customStyle="1" w:styleId="Headingb">
    <w:name w:val="Heading_b"/>
    <w:basedOn w:val="Heading3"/>
    <w:next w:val="Normal"/>
    <w:rsid w:val="00F45EAD"/>
    <w:pPr>
      <w:spacing w:before="160"/>
      <w:ind w:left="0" w:firstLine="0"/>
      <w:outlineLvl w:val="9"/>
    </w:pPr>
  </w:style>
  <w:style w:type="paragraph" w:customStyle="1" w:styleId="Headingi">
    <w:name w:val="Heading_i"/>
    <w:basedOn w:val="Heading3"/>
    <w:next w:val="Normal"/>
    <w:rsid w:val="00F45EAD"/>
    <w:pPr>
      <w:spacing w:before="160"/>
      <w:ind w:left="0" w:firstLine="0"/>
    </w:pPr>
    <w:rPr>
      <w:b w:val="0"/>
      <w:i/>
    </w:rPr>
  </w:style>
  <w:style w:type="character" w:customStyle="1" w:styleId="href">
    <w:name w:val="href"/>
    <w:basedOn w:val="DefaultParagraphFont"/>
    <w:rsid w:val="00F45EAD"/>
  </w:style>
  <w:style w:type="paragraph" w:customStyle="1" w:styleId="enumlev1">
    <w:name w:val="enumlev1"/>
    <w:basedOn w:val="Normal"/>
    <w:rsid w:val="00F45EAD"/>
    <w:pPr>
      <w:spacing w:before="80"/>
      <w:ind w:left="794" w:hanging="794"/>
    </w:pPr>
  </w:style>
  <w:style w:type="paragraph" w:customStyle="1" w:styleId="enumlev2">
    <w:name w:val="enumlev2"/>
    <w:basedOn w:val="enumlev1"/>
    <w:rsid w:val="00F45EAD"/>
    <w:pPr>
      <w:ind w:left="1191" w:hanging="397"/>
    </w:pPr>
  </w:style>
  <w:style w:type="paragraph" w:customStyle="1" w:styleId="enumlev3">
    <w:name w:val="enumlev3"/>
    <w:basedOn w:val="enumlev2"/>
    <w:rsid w:val="00F45EAD"/>
    <w:pPr>
      <w:ind w:left="1588"/>
    </w:pPr>
  </w:style>
  <w:style w:type="paragraph" w:customStyle="1" w:styleId="Normalaftertitle">
    <w:name w:val="Normal_after_title"/>
    <w:basedOn w:val="Normal"/>
    <w:next w:val="Normal"/>
    <w:rsid w:val="00F45EAD"/>
    <w:pPr>
      <w:spacing w:before="320"/>
    </w:pPr>
  </w:style>
  <w:style w:type="paragraph" w:customStyle="1" w:styleId="Note">
    <w:name w:val="Note"/>
    <w:basedOn w:val="Normal"/>
    <w:rsid w:val="00F45EA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45EA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45EAD"/>
    <w:pPr>
      <w:spacing w:before="240"/>
    </w:pPr>
    <w:rPr>
      <w:sz w:val="22"/>
      <w:lang w:val="es-ES_tradnl"/>
    </w:rPr>
  </w:style>
  <w:style w:type="paragraph" w:customStyle="1" w:styleId="Recref">
    <w:name w:val="Rec_ref"/>
    <w:basedOn w:val="Normal"/>
    <w:next w:val="Recdate"/>
    <w:rsid w:val="00F45EAD"/>
    <w:pPr>
      <w:jc w:val="center"/>
    </w:pPr>
  </w:style>
  <w:style w:type="paragraph" w:customStyle="1" w:styleId="Recdate">
    <w:name w:val="Rec_date"/>
    <w:basedOn w:val="Recref"/>
    <w:next w:val="Normalaftertitle"/>
    <w:rsid w:val="00F45EAD"/>
    <w:pPr>
      <w:jc w:val="right"/>
    </w:pPr>
  </w:style>
  <w:style w:type="paragraph" w:customStyle="1" w:styleId="AnnexNoTitle">
    <w:name w:val="Annex_NoTitle"/>
    <w:basedOn w:val="Normal"/>
    <w:next w:val="Normalaftertitle"/>
    <w:rsid w:val="00F45EAD"/>
    <w:pPr>
      <w:keepNext/>
      <w:keepLines/>
      <w:spacing w:before="480" w:after="80"/>
      <w:jc w:val="center"/>
    </w:pPr>
    <w:rPr>
      <w:b/>
      <w:sz w:val="28"/>
    </w:rPr>
  </w:style>
  <w:style w:type="paragraph" w:customStyle="1" w:styleId="AppendixNoTitle">
    <w:name w:val="Appendix_NoTitle"/>
    <w:basedOn w:val="AnnexNoTitle"/>
    <w:next w:val="Normal"/>
    <w:rsid w:val="00F45EAD"/>
  </w:style>
  <w:style w:type="paragraph" w:customStyle="1" w:styleId="Tablefin">
    <w:name w:val="Table_fin"/>
    <w:basedOn w:val="Normal"/>
    <w:next w:val="Normal"/>
    <w:rsid w:val="00F45EAD"/>
    <w:pPr>
      <w:spacing w:before="0"/>
    </w:pPr>
    <w:rPr>
      <w:sz w:val="20"/>
      <w:lang w:val="en-GB"/>
    </w:rPr>
  </w:style>
  <w:style w:type="paragraph" w:customStyle="1" w:styleId="Tablehead">
    <w:name w:val="Table_head"/>
    <w:basedOn w:val="Normal"/>
    <w:next w:val="Normal"/>
    <w:rsid w:val="00F45EA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45EA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45EAD"/>
    <w:pPr>
      <w:keepNext/>
      <w:spacing w:before="360" w:after="120"/>
      <w:jc w:val="center"/>
    </w:pPr>
  </w:style>
  <w:style w:type="paragraph" w:customStyle="1" w:styleId="Tabletext">
    <w:name w:val="Table_text"/>
    <w:basedOn w:val="Normal"/>
    <w:rsid w:val="00F45EA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45EAD"/>
    <w:pPr>
      <w:tabs>
        <w:tab w:val="clear" w:pos="1191"/>
        <w:tab w:val="clear" w:pos="1588"/>
        <w:tab w:val="clear" w:pos="1985"/>
        <w:tab w:val="center" w:pos="4820"/>
        <w:tab w:val="right" w:pos="9639"/>
      </w:tabs>
    </w:pPr>
  </w:style>
  <w:style w:type="paragraph" w:customStyle="1" w:styleId="Equationlegend">
    <w:name w:val="Equation_legend"/>
    <w:basedOn w:val="NormalIndent"/>
    <w:rsid w:val="00F45EA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45EAD"/>
    <w:pPr>
      <w:ind w:left="794"/>
    </w:pPr>
  </w:style>
  <w:style w:type="paragraph" w:customStyle="1" w:styleId="Figurelegend">
    <w:name w:val="Figure_legend"/>
    <w:basedOn w:val="Normal"/>
    <w:rsid w:val="00F45EA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F45EA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45EAD"/>
    <w:pPr>
      <w:keepNext/>
      <w:keepLines/>
      <w:spacing w:before="480"/>
      <w:jc w:val="center"/>
    </w:pPr>
    <w:rPr>
      <w:sz w:val="28"/>
    </w:rPr>
  </w:style>
  <w:style w:type="paragraph" w:customStyle="1" w:styleId="Arttitle">
    <w:name w:val="Art_title"/>
    <w:basedOn w:val="Normal"/>
    <w:next w:val="Normalaftertitle"/>
    <w:rsid w:val="00F45EAD"/>
    <w:pPr>
      <w:keepNext/>
      <w:keepLines/>
      <w:spacing w:before="240"/>
      <w:jc w:val="center"/>
    </w:pPr>
    <w:rPr>
      <w:b/>
      <w:sz w:val="28"/>
    </w:rPr>
  </w:style>
  <w:style w:type="paragraph" w:customStyle="1" w:styleId="Blanc">
    <w:name w:val="Blanc"/>
    <w:basedOn w:val="Normal"/>
    <w:next w:val="Tabletext"/>
    <w:rsid w:val="00F45EA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45EA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45EAD"/>
    <w:pPr>
      <w:keepNext/>
      <w:keepLines/>
      <w:spacing w:before="160"/>
      <w:ind w:left="794"/>
    </w:pPr>
    <w:rPr>
      <w:i/>
    </w:rPr>
  </w:style>
  <w:style w:type="paragraph" w:customStyle="1" w:styleId="ChapNo">
    <w:name w:val="Chap_No"/>
    <w:basedOn w:val="ArtNo"/>
    <w:next w:val="Chaptitle"/>
    <w:rsid w:val="00F45EAD"/>
    <w:rPr>
      <w:b/>
    </w:rPr>
  </w:style>
  <w:style w:type="paragraph" w:customStyle="1" w:styleId="Chaptitle">
    <w:name w:val="Chap_title"/>
    <w:basedOn w:val="Arttitle"/>
    <w:next w:val="Normalaftertitle"/>
    <w:rsid w:val="00F45EAD"/>
  </w:style>
  <w:style w:type="character" w:styleId="FootnoteReference">
    <w:name w:val="footnote reference"/>
    <w:basedOn w:val="DefaultParagraphFont"/>
    <w:semiHidden/>
    <w:rsid w:val="00F45EAD"/>
    <w:rPr>
      <w:position w:val="6"/>
      <w:sz w:val="18"/>
    </w:rPr>
  </w:style>
  <w:style w:type="paragraph" w:styleId="FootnoteText">
    <w:name w:val="footnote text"/>
    <w:basedOn w:val="Normal"/>
    <w:semiHidden/>
    <w:rsid w:val="00F45EAD"/>
    <w:pPr>
      <w:keepLines/>
      <w:tabs>
        <w:tab w:val="left" w:pos="255"/>
      </w:tabs>
      <w:ind w:left="255" w:hanging="255"/>
    </w:pPr>
    <w:rPr>
      <w:sz w:val="22"/>
    </w:rPr>
  </w:style>
  <w:style w:type="paragraph" w:styleId="Index1">
    <w:name w:val="index 1"/>
    <w:basedOn w:val="Normal"/>
    <w:next w:val="Normal"/>
    <w:semiHidden/>
    <w:rsid w:val="00F45EAD"/>
  </w:style>
  <w:style w:type="paragraph" w:styleId="Index2">
    <w:name w:val="index 2"/>
    <w:basedOn w:val="Normal"/>
    <w:next w:val="Normal"/>
    <w:semiHidden/>
    <w:rsid w:val="00F45EAD"/>
    <w:pPr>
      <w:ind w:left="283"/>
    </w:pPr>
  </w:style>
  <w:style w:type="paragraph" w:styleId="Index3">
    <w:name w:val="index 3"/>
    <w:basedOn w:val="Normal"/>
    <w:next w:val="Normal"/>
    <w:semiHidden/>
    <w:rsid w:val="00F45EAD"/>
    <w:pPr>
      <w:ind w:left="566"/>
    </w:pPr>
  </w:style>
  <w:style w:type="paragraph" w:styleId="IndexHeading">
    <w:name w:val="index heading"/>
    <w:basedOn w:val="Normal"/>
    <w:next w:val="Index1"/>
    <w:semiHidden/>
    <w:rsid w:val="00F45EAD"/>
  </w:style>
  <w:style w:type="paragraph" w:customStyle="1" w:styleId="Line">
    <w:name w:val="Line"/>
    <w:basedOn w:val="Normal"/>
    <w:next w:val="Normal"/>
    <w:rsid w:val="00F45EA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45EA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45EAD"/>
  </w:style>
  <w:style w:type="paragraph" w:customStyle="1" w:styleId="Partref">
    <w:name w:val="Part_ref"/>
    <w:basedOn w:val="Normal"/>
    <w:next w:val="Normal"/>
    <w:rsid w:val="00F45EAD"/>
    <w:pPr>
      <w:keepNext/>
      <w:keepLines/>
      <w:spacing w:after="280"/>
      <w:jc w:val="center"/>
    </w:pPr>
  </w:style>
  <w:style w:type="paragraph" w:customStyle="1" w:styleId="Parttitle">
    <w:name w:val="Part_title"/>
    <w:basedOn w:val="Normal"/>
    <w:next w:val="Normalaftertitle"/>
    <w:rsid w:val="00F45EA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45EAD"/>
  </w:style>
  <w:style w:type="paragraph" w:customStyle="1" w:styleId="QuestionNo">
    <w:name w:val="Question_No"/>
    <w:basedOn w:val="RecNo"/>
    <w:next w:val="Normal"/>
    <w:rsid w:val="00F45EAD"/>
  </w:style>
  <w:style w:type="paragraph" w:customStyle="1" w:styleId="Questionref">
    <w:name w:val="Question_ref"/>
    <w:basedOn w:val="Recref"/>
    <w:next w:val="Questiondate"/>
    <w:rsid w:val="00F45EAD"/>
  </w:style>
  <w:style w:type="paragraph" w:customStyle="1" w:styleId="Questiontitle">
    <w:name w:val="Question_title"/>
    <w:basedOn w:val="Normal"/>
    <w:next w:val="Questionref"/>
    <w:rsid w:val="00F45EAD"/>
  </w:style>
  <w:style w:type="paragraph" w:customStyle="1" w:styleId="Reftext">
    <w:name w:val="Ref_text"/>
    <w:basedOn w:val="Normal"/>
    <w:rsid w:val="00F45EAD"/>
    <w:pPr>
      <w:ind w:left="794" w:hanging="794"/>
    </w:pPr>
    <w:rPr>
      <w:sz w:val="22"/>
    </w:rPr>
  </w:style>
  <w:style w:type="paragraph" w:customStyle="1" w:styleId="Reftitle">
    <w:name w:val="Ref_title"/>
    <w:basedOn w:val="Normal"/>
    <w:next w:val="Reftext"/>
    <w:rsid w:val="00F45EA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45EAD"/>
  </w:style>
  <w:style w:type="paragraph" w:customStyle="1" w:styleId="RepNo">
    <w:name w:val="Rep_No"/>
    <w:basedOn w:val="RecNo"/>
    <w:next w:val="Reptitle"/>
    <w:rsid w:val="00F45EAD"/>
  </w:style>
  <w:style w:type="paragraph" w:customStyle="1" w:styleId="Repref">
    <w:name w:val="Rep_ref"/>
    <w:basedOn w:val="Recref"/>
    <w:next w:val="Repdate"/>
    <w:rsid w:val="00F45EAD"/>
  </w:style>
  <w:style w:type="paragraph" w:customStyle="1" w:styleId="Reptitle">
    <w:name w:val="Rep_title"/>
    <w:basedOn w:val="Rectitle"/>
    <w:next w:val="Repref"/>
    <w:rsid w:val="00F45EAD"/>
  </w:style>
  <w:style w:type="paragraph" w:customStyle="1" w:styleId="Resdate">
    <w:name w:val="Res_date"/>
    <w:basedOn w:val="Recdate"/>
    <w:next w:val="Normalaftertitle"/>
    <w:rsid w:val="00F45EAD"/>
  </w:style>
  <w:style w:type="paragraph" w:customStyle="1" w:styleId="ResNo">
    <w:name w:val="Res_No"/>
    <w:basedOn w:val="RecNo"/>
    <w:next w:val="Restitle"/>
    <w:rsid w:val="00F45EAD"/>
  </w:style>
  <w:style w:type="paragraph" w:customStyle="1" w:styleId="Resref">
    <w:name w:val="Res_ref"/>
    <w:basedOn w:val="Recref"/>
    <w:next w:val="Resdate"/>
    <w:rsid w:val="00F45EAD"/>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F45EAD"/>
  </w:style>
  <w:style w:type="paragraph" w:customStyle="1" w:styleId="Sectiontitle">
    <w:name w:val="Section_title"/>
    <w:basedOn w:val="Normal"/>
    <w:next w:val="Normalaftertitle"/>
    <w:rsid w:val="00F45EA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45EAD"/>
    <w:pPr>
      <w:tabs>
        <w:tab w:val="clear" w:pos="794"/>
        <w:tab w:val="clear" w:pos="1191"/>
        <w:tab w:val="clear" w:pos="1588"/>
        <w:tab w:val="clear" w:pos="1985"/>
        <w:tab w:val="right" w:pos="9611"/>
      </w:tabs>
    </w:pPr>
    <w:rPr>
      <w:i/>
    </w:rPr>
  </w:style>
  <w:style w:type="paragraph" w:styleId="TOC1">
    <w:name w:val="toc 1"/>
    <w:basedOn w:val="Normal"/>
    <w:uiPriority w:val="39"/>
    <w:rsid w:val="00F45EA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F45EAD"/>
    <w:pPr>
      <w:tabs>
        <w:tab w:val="clear" w:pos="567"/>
        <w:tab w:val="left" w:pos="1276"/>
      </w:tabs>
      <w:spacing w:before="160"/>
      <w:ind w:left="1276" w:hanging="709"/>
    </w:pPr>
  </w:style>
  <w:style w:type="paragraph" w:styleId="TOC3">
    <w:name w:val="toc 3"/>
    <w:basedOn w:val="TOC2"/>
    <w:uiPriority w:val="39"/>
    <w:rsid w:val="00F45EAD"/>
    <w:pPr>
      <w:tabs>
        <w:tab w:val="clear" w:pos="1276"/>
        <w:tab w:val="left" w:pos="2155"/>
      </w:tabs>
      <w:ind w:left="2155" w:hanging="879"/>
    </w:pPr>
  </w:style>
  <w:style w:type="paragraph" w:styleId="TOC4">
    <w:name w:val="toc 4"/>
    <w:basedOn w:val="TOC3"/>
    <w:semiHidden/>
    <w:rsid w:val="00F45EAD"/>
    <w:pPr>
      <w:tabs>
        <w:tab w:val="left" w:pos="3261"/>
      </w:tabs>
      <w:spacing w:before="80"/>
      <w:ind w:left="3261" w:hanging="993"/>
    </w:pPr>
  </w:style>
  <w:style w:type="paragraph" w:styleId="TOC5">
    <w:name w:val="toc 5"/>
    <w:basedOn w:val="TOC4"/>
    <w:semiHidden/>
    <w:rsid w:val="00F45EAD"/>
  </w:style>
  <w:style w:type="paragraph" w:styleId="TOC6">
    <w:name w:val="toc 6"/>
    <w:basedOn w:val="TOC4"/>
    <w:semiHidden/>
    <w:rsid w:val="00F45EAD"/>
  </w:style>
  <w:style w:type="paragraph" w:styleId="TOC7">
    <w:name w:val="toc 7"/>
    <w:basedOn w:val="TOC4"/>
    <w:semiHidden/>
    <w:rsid w:val="00F45EAD"/>
  </w:style>
  <w:style w:type="paragraph" w:styleId="TOC8">
    <w:name w:val="toc 8"/>
    <w:basedOn w:val="TOC4"/>
    <w:semiHidden/>
    <w:rsid w:val="00F45EAD"/>
  </w:style>
  <w:style w:type="paragraph" w:customStyle="1" w:styleId="Rectitle">
    <w:name w:val="Rec_title"/>
    <w:basedOn w:val="Normal"/>
    <w:next w:val="Recref"/>
    <w:rsid w:val="00F45EAD"/>
    <w:pPr>
      <w:keepNext/>
      <w:keepLines/>
      <w:spacing w:before="240"/>
      <w:jc w:val="center"/>
    </w:pPr>
    <w:rPr>
      <w:b/>
      <w:sz w:val="28"/>
    </w:rPr>
  </w:style>
  <w:style w:type="paragraph" w:customStyle="1" w:styleId="Annexref">
    <w:name w:val="Annex_ref"/>
    <w:basedOn w:val="Normal"/>
    <w:next w:val="Normalaftertitle"/>
    <w:rsid w:val="00F45EAD"/>
    <w:pPr>
      <w:keepNext/>
      <w:keepLines/>
      <w:spacing w:after="280"/>
      <w:jc w:val="center"/>
    </w:pPr>
  </w:style>
  <w:style w:type="paragraph" w:customStyle="1" w:styleId="Appendixref">
    <w:name w:val="Appendix_ref"/>
    <w:basedOn w:val="Annexref"/>
    <w:next w:val="Normalaftertitle"/>
    <w:rsid w:val="00F45EAD"/>
  </w:style>
  <w:style w:type="paragraph" w:customStyle="1" w:styleId="Figuretitle">
    <w:name w:val="Figure_title"/>
    <w:basedOn w:val="Normal"/>
    <w:next w:val="Figure"/>
    <w:rsid w:val="00F45EAD"/>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45EAD"/>
    <w:pPr>
      <w:keepNext/>
      <w:spacing w:before="0" w:after="120"/>
      <w:jc w:val="center"/>
    </w:pPr>
    <w:rPr>
      <w:b/>
    </w:rPr>
  </w:style>
  <w:style w:type="paragraph" w:customStyle="1" w:styleId="Summary">
    <w:name w:val="Summary"/>
    <w:basedOn w:val="Normal"/>
    <w:next w:val="Normalaftertitle"/>
    <w:rsid w:val="00F45EAD"/>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table" w:styleId="TableGrid">
    <w:name w:val="Table Grid"/>
    <w:basedOn w:val="TableNormal"/>
    <w:rsid w:val="005A0857"/>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22604A"/>
    <w:rPr>
      <w:b/>
      <w:sz w:val="24"/>
      <w:lang w:val="fr-FR" w:eastAsia="en-US"/>
    </w:rPr>
  </w:style>
  <w:style w:type="character" w:customStyle="1" w:styleId="HeaderChar">
    <w:name w:val="Header Char"/>
    <w:basedOn w:val="DefaultParagraphFont"/>
    <w:link w:val="Header"/>
    <w:rsid w:val="0022604A"/>
    <w:rPr>
      <w:sz w:val="24"/>
      <w:lang w:val="fr-FR" w:eastAsia="en-US"/>
    </w:rPr>
  </w:style>
  <w:style w:type="character" w:styleId="Hyperlink">
    <w:name w:val="Hyperlink"/>
    <w:basedOn w:val="DefaultParagraphFont"/>
    <w:rsid w:val="0022604A"/>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header" Target="header3.xml"/><Relationship Id="rId39" Type="http://schemas.openxmlformats.org/officeDocument/2006/relationships/header" Target="header8.xml"/><Relationship Id="rId3" Type="http://schemas.openxmlformats.org/officeDocument/2006/relationships/webSettings" Target="webSettings.xml"/><Relationship Id="rId21" Type="http://schemas.openxmlformats.org/officeDocument/2006/relationships/oleObject" Target="embeddings/oleObject6.bin"/><Relationship Id="rId34" Type="http://schemas.openxmlformats.org/officeDocument/2006/relationships/header" Target="header5.xml"/><Relationship Id="rId42"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1.bin"/><Relationship Id="rId38" Type="http://schemas.openxmlformats.org/officeDocument/2006/relationships/header" Target="header7.xml"/><Relationship Id="rId2" Type="http://schemas.openxmlformats.org/officeDocument/2006/relationships/settings" Target="settings.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9.bin"/><Relationship Id="rId41" Type="http://schemas.openxmlformats.org/officeDocument/2006/relationships/header" Target="header10.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hyperlink" Target="http://www.itu.int/publ/R-REP/en" TargetMode="External"/><Relationship Id="rId24" Type="http://schemas.openxmlformats.org/officeDocument/2006/relationships/image" Target="media/image9.wmf"/><Relationship Id="rId32" Type="http://schemas.openxmlformats.org/officeDocument/2006/relationships/image" Target="media/image12.wmf"/><Relationship Id="rId37" Type="http://schemas.openxmlformats.org/officeDocument/2006/relationships/oleObject" Target="embeddings/oleObject12.bin"/><Relationship Id="rId40" Type="http://schemas.openxmlformats.org/officeDocument/2006/relationships/header" Target="header9.xml"/><Relationship Id="rId5"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wmf"/><Relationship Id="rId36" Type="http://schemas.openxmlformats.org/officeDocument/2006/relationships/image" Target="media/image13.wmf"/><Relationship Id="rId10" Type="http://schemas.openxmlformats.org/officeDocument/2006/relationships/hyperlink" Target="http://www.itu.int/ITU-R/go/patents/en" TargetMode="External"/><Relationship Id="rId19" Type="http://schemas.openxmlformats.org/officeDocument/2006/relationships/oleObject" Target="embeddings/oleObject5.bin"/><Relationship Id="rId31" Type="http://schemas.openxmlformats.org/officeDocument/2006/relationships/oleObject" Target="embeddings/oleObject10.bin"/><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header" Target="header4.xml"/><Relationship Id="rId30" Type="http://schemas.openxmlformats.org/officeDocument/2006/relationships/image" Target="media/image11.wmf"/><Relationship Id="rId35" Type="http://schemas.openxmlformats.org/officeDocument/2006/relationships/header" Target="header6.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bbaj\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21</TotalTime>
  <Pages>23</Pages>
  <Words>6122</Words>
  <Characters>31805</Characters>
  <Application>Microsoft Office Word</Application>
  <DocSecurity>0</DocSecurity>
  <Lines>815</Lines>
  <Paragraphs>67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37860</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SA.2067 - </dc:title>
  <dc:subject>SA Series = Space applications</dc:subject>
  <dc:creator>ITU Radiocommunication Bureau (BR)</dc:creator>
  <cp:keywords>SA,2067</cp:keywords>
  <dc:description>Santosbo, 23/03/2010, MSB106309</dc:description>
  <cp:lastModifiedBy>santosbo</cp:lastModifiedBy>
  <cp:revision>7</cp:revision>
  <cp:lastPrinted>2010-03-11T09:37:00Z</cp:lastPrinted>
  <dcterms:created xsi:type="dcterms:W3CDTF">2010-03-11T09:46:00Z</dcterms:created>
  <dcterms:modified xsi:type="dcterms:W3CDTF">2010-03-23T13:52:00Z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23 March 2010</vt:lpwstr>
  </property>
</Properties>
</file>