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7015E" w:rsidTr="00C92658">
        <w:tc>
          <w:tcPr>
            <w:tcW w:w="10089" w:type="dxa"/>
          </w:tcPr>
          <w:p w:rsidR="00276D21" w:rsidRPr="00C92658" w:rsidRDefault="00D73FBE" w:rsidP="00C92658">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6" o:title=""/>
                </v:shape>
                <o:OLEObject Type="Embed" ProgID="Equation.3" ShapeID="_x0000_i1025" DrawAspect="Content" ObjectID="_1630152727" r:id="rId7"/>
              </w:object>
            </w:r>
          </w:p>
          <w:p w:rsidR="00FE79FE" w:rsidRPr="00C92658" w:rsidRDefault="00FE79FE" w:rsidP="00C92658">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w:t>
            </w:r>
            <w:r w:rsidR="00526063" w:rsidRPr="00C92658">
              <w:rPr>
                <w:rFonts w:ascii="Tahoma" w:hAnsi="Tahoma" w:cs="Tahoma"/>
                <w:b/>
                <w:bCs/>
                <w:iCs/>
                <w:color w:val="509141"/>
                <w:sz w:val="36"/>
                <w:szCs w:val="36"/>
                <w:lang w:val="en-US"/>
              </w:rPr>
              <w:t>eport</w:t>
            </w:r>
            <w:r w:rsidRPr="00C92658">
              <w:rPr>
                <w:rFonts w:ascii="Tahoma" w:hAnsi="Tahoma" w:cs="Tahoma"/>
                <w:b/>
                <w:bCs/>
                <w:iCs/>
                <w:color w:val="509141"/>
                <w:sz w:val="36"/>
                <w:szCs w:val="36"/>
                <w:lang w:val="en-US"/>
              </w:rPr>
              <w:t xml:space="preserve">  ITU-R  </w:t>
            </w:r>
            <w:r w:rsidR="00D55B55" w:rsidRPr="00C92658">
              <w:rPr>
                <w:rFonts w:ascii="Tahoma" w:hAnsi="Tahoma" w:cs="Tahoma"/>
                <w:b/>
                <w:bCs/>
                <w:iCs/>
                <w:color w:val="509141"/>
                <w:sz w:val="36"/>
                <w:szCs w:val="36"/>
                <w:lang w:val="en-US"/>
              </w:rPr>
              <w:t>F</w:t>
            </w:r>
            <w:r w:rsidRPr="00C92658">
              <w:rPr>
                <w:rFonts w:ascii="Tahoma" w:hAnsi="Tahoma" w:cs="Tahoma"/>
                <w:b/>
                <w:bCs/>
                <w:iCs/>
                <w:color w:val="509141"/>
                <w:sz w:val="36"/>
                <w:szCs w:val="36"/>
                <w:lang w:val="en-US"/>
              </w:rPr>
              <w:t>.</w:t>
            </w:r>
            <w:r w:rsidR="007F215C" w:rsidRPr="007F215C">
              <w:rPr>
                <w:rFonts w:ascii="Tahoma" w:hAnsi="Tahoma" w:cs="Tahoma"/>
                <w:b/>
                <w:bCs/>
                <w:iCs/>
                <w:color w:val="509141"/>
                <w:sz w:val="36"/>
                <w:szCs w:val="36"/>
                <w:lang w:val="en-GB"/>
              </w:rPr>
              <w:t>2476-0</w:t>
            </w:r>
          </w:p>
          <w:p w:rsidR="00FE79FE" w:rsidRPr="00C92658" w:rsidRDefault="00FE79FE" w:rsidP="007F215C">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CB60A4" w:rsidRPr="00C92658">
              <w:rPr>
                <w:rFonts w:ascii="Tahoma" w:hAnsi="Tahoma" w:cs="Tahoma"/>
                <w:b/>
                <w:bCs/>
                <w:iCs/>
                <w:color w:val="509141"/>
                <w:szCs w:val="24"/>
                <w:lang w:val="en-US"/>
              </w:rPr>
              <w:t>0</w:t>
            </w:r>
            <w:r w:rsidR="007F215C">
              <w:rPr>
                <w:rFonts w:ascii="Tahoma" w:hAnsi="Tahoma" w:cs="Tahoma"/>
                <w:b/>
                <w:bCs/>
                <w:iCs/>
                <w:color w:val="509141"/>
                <w:szCs w:val="24"/>
                <w:lang w:val="en-US"/>
              </w:rPr>
              <w:t>9</w:t>
            </w:r>
            <w:r w:rsidRPr="00C92658">
              <w:rPr>
                <w:rFonts w:ascii="Tahoma" w:hAnsi="Tahoma" w:cs="Tahoma"/>
                <w:b/>
                <w:bCs/>
                <w:iCs/>
                <w:color w:val="509141"/>
                <w:szCs w:val="24"/>
                <w:lang w:val="en-US"/>
              </w:rPr>
              <w:t>/</w:t>
            </w:r>
            <w:r w:rsidR="007F215C">
              <w:rPr>
                <w:rFonts w:ascii="Tahoma" w:hAnsi="Tahoma" w:cs="Tahoma"/>
                <w:b/>
                <w:bCs/>
                <w:iCs/>
                <w:color w:val="509141"/>
                <w:szCs w:val="24"/>
                <w:lang w:val="en-US"/>
              </w:rPr>
              <w:t>2019</w:t>
            </w:r>
            <w:r w:rsidRPr="00C92658">
              <w:rPr>
                <w:rFonts w:ascii="Tahoma" w:hAnsi="Tahoma" w:cs="Tahoma"/>
                <w:b/>
                <w:bCs/>
                <w:iCs/>
                <w:color w:val="509141"/>
                <w:szCs w:val="24"/>
                <w:lang w:val="en-US"/>
              </w:rPr>
              <w:t>)</w:t>
            </w:r>
          </w:p>
        </w:tc>
      </w:tr>
      <w:tr w:rsidR="00FE79FE" w:rsidRPr="00481A00" w:rsidTr="00C92658">
        <w:tc>
          <w:tcPr>
            <w:tcW w:w="10089" w:type="dxa"/>
          </w:tcPr>
          <w:p w:rsidR="00013002" w:rsidRPr="00C92658" w:rsidRDefault="00013002" w:rsidP="00C92658">
            <w:pPr>
              <w:spacing w:before="80" w:line="500" w:lineRule="exact"/>
              <w:jc w:val="right"/>
              <w:rPr>
                <w:rFonts w:ascii="Tahoma" w:hAnsi="Tahoma" w:cs="Tahoma"/>
                <w:b/>
                <w:bCs/>
                <w:iCs/>
                <w:color w:val="509141"/>
                <w:sz w:val="44"/>
                <w:szCs w:val="44"/>
                <w:lang w:val="en-US"/>
              </w:rPr>
            </w:pPr>
          </w:p>
          <w:p w:rsidR="00D8150A" w:rsidRPr="00C92658" w:rsidRDefault="00B63D8D" w:rsidP="00C92658">
            <w:pPr>
              <w:spacing w:before="80" w:line="500" w:lineRule="exact"/>
              <w:jc w:val="right"/>
              <w:rPr>
                <w:rFonts w:ascii="Tahoma" w:hAnsi="Tahoma" w:cs="Tahoma"/>
                <w:b/>
                <w:bCs/>
                <w:iCs/>
                <w:color w:val="509141"/>
                <w:sz w:val="44"/>
                <w:szCs w:val="44"/>
                <w:lang w:val="en-US"/>
              </w:rPr>
            </w:pPr>
            <w:r w:rsidRPr="00B63D8D">
              <w:rPr>
                <w:rFonts w:ascii="Tahoma" w:hAnsi="Tahoma" w:cs="Tahoma"/>
                <w:b/>
                <w:bCs/>
                <w:iCs/>
                <w:color w:val="509141"/>
                <w:sz w:val="44"/>
                <w:szCs w:val="44"/>
                <w:lang w:val="en-GB"/>
              </w:rPr>
              <w:t xml:space="preserve">Sharing and compatibility studies of HAPS systems in the fixed service in the </w:t>
            </w:r>
            <w:r w:rsidR="00752DF2">
              <w:rPr>
                <w:rFonts w:ascii="Tahoma" w:hAnsi="Tahoma" w:cs="Tahoma"/>
                <w:b/>
                <w:bCs/>
                <w:iCs/>
                <w:color w:val="509141"/>
                <w:sz w:val="44"/>
                <w:szCs w:val="44"/>
                <w:lang w:val="en-GB"/>
              </w:rPr>
              <w:br/>
            </w:r>
            <w:r w:rsidRPr="00B63D8D">
              <w:rPr>
                <w:rFonts w:ascii="Tahoma" w:hAnsi="Tahoma" w:cs="Tahoma"/>
                <w:b/>
                <w:bCs/>
                <w:iCs/>
                <w:color w:val="509141"/>
                <w:sz w:val="44"/>
                <w:szCs w:val="44"/>
                <w:lang w:val="en-GB"/>
              </w:rPr>
              <w:t xml:space="preserve">47.2-47.5 GHz and 47.9-48.2 GHz </w:t>
            </w:r>
            <w:r w:rsidR="00752DF2">
              <w:rPr>
                <w:rFonts w:ascii="Tahoma" w:hAnsi="Tahoma" w:cs="Tahoma"/>
                <w:b/>
                <w:bCs/>
                <w:iCs/>
                <w:color w:val="509141"/>
                <w:sz w:val="44"/>
                <w:szCs w:val="44"/>
                <w:lang w:val="en-GB"/>
              </w:rPr>
              <w:br/>
            </w:r>
            <w:r w:rsidRPr="00B63D8D">
              <w:rPr>
                <w:rFonts w:ascii="Tahoma" w:hAnsi="Tahoma" w:cs="Tahoma"/>
                <w:b/>
                <w:bCs/>
                <w:iCs/>
                <w:color w:val="509141"/>
                <w:sz w:val="44"/>
                <w:szCs w:val="44"/>
                <w:lang w:val="en-GB"/>
              </w:rPr>
              <w:t>frequency ranges</w:t>
            </w:r>
          </w:p>
          <w:p w:rsidR="00FE79FE" w:rsidRPr="00C92658" w:rsidRDefault="00AD26B8" w:rsidP="00C92658">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FE79FE" w:rsidRPr="00C92658" w:rsidTr="00C92658">
        <w:tc>
          <w:tcPr>
            <w:tcW w:w="10089" w:type="dxa"/>
          </w:tcPr>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after="180" w:line="360" w:lineRule="exact"/>
              <w:jc w:val="right"/>
              <w:rPr>
                <w:rFonts w:ascii="Tahoma" w:hAnsi="Tahoma" w:cs="Tahoma"/>
                <w:b/>
                <w:bCs/>
                <w:iCs/>
                <w:color w:val="243285"/>
                <w:sz w:val="36"/>
                <w:szCs w:val="36"/>
                <w:lang w:val="en-US"/>
              </w:rPr>
            </w:pPr>
          </w:p>
          <w:p w:rsidR="00013002" w:rsidRPr="00C92658" w:rsidRDefault="00D55B55" w:rsidP="00C92658">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w:t>
            </w:r>
            <w:r w:rsidR="00FE79FE" w:rsidRPr="00C92658">
              <w:rPr>
                <w:rFonts w:ascii="Tahoma" w:hAnsi="Tahoma" w:cs="Tahoma"/>
                <w:b/>
                <w:bCs/>
                <w:iCs/>
                <w:color w:val="509141"/>
                <w:sz w:val="36"/>
                <w:szCs w:val="36"/>
                <w:lang w:val="en-US"/>
              </w:rPr>
              <w:t xml:space="preserve"> Series</w:t>
            </w:r>
          </w:p>
          <w:p w:rsidR="00FE79FE" w:rsidRPr="00C92658" w:rsidRDefault="00D55B55" w:rsidP="00C92658">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8"/>
          <w:headerReference w:type="default" r:id="rId9"/>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19283721"/>
      <w:bookmarkStart w:id="3" w:name="_Toc19289054"/>
      <w:r>
        <w:rPr>
          <w:szCs w:val="24"/>
          <w:lang w:val="en-US"/>
        </w:rPr>
        <w:t>Policy on Intellectual Property Right (IPR)</w:t>
      </w:r>
      <w:bookmarkEnd w:id="2"/>
      <w:bookmarkEnd w:id="3"/>
    </w:p>
    <w:p w:rsidR="00CB60A4" w:rsidRDefault="00CB60A4" w:rsidP="00F7015E">
      <w:pPr>
        <w:tabs>
          <w:tab w:val="left" w:pos="720"/>
        </w:tabs>
        <w:spacing w:before="240"/>
        <w:rPr>
          <w:sz w:val="20"/>
          <w:lang w:val="en-US"/>
        </w:rPr>
      </w:pPr>
      <w:r>
        <w:rPr>
          <w:sz w:val="20"/>
          <w:lang w:val="en-US"/>
        </w:rPr>
        <w:t>ITU-R policy on IPR is described in the Common Patent Policy for ITU-T/ITU-R/ISO/IEC referenced in Resolution ITU</w:t>
      </w:r>
      <w:r w:rsidR="008252AD">
        <w:rPr>
          <w:sz w:val="20"/>
          <w:lang w:val="en-US"/>
        </w:rPr>
        <w:noBreakHyphen/>
      </w:r>
      <w:r>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481A00">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481A00"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55B55">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Tr="00D55B55">
        <w:tc>
          <w:tcPr>
            <w:tcW w:w="1140" w:type="dxa"/>
            <w:tcBorders>
              <w:top w:val="nil"/>
              <w:left w:val="single" w:sz="12" w:space="0" w:color="000080"/>
              <w:bottom w:val="nil"/>
              <w:right w:val="nil"/>
            </w:tcBorders>
            <w:shd w:val="clear" w:color="auto" w:fill="F3F3F3"/>
          </w:tcPr>
          <w:p w:rsidR="00CB60A4" w:rsidRPr="00D55B55" w:rsidRDefault="00CB60A4">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CB60A4" w:rsidRPr="00D55B55"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194111">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481A00">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481A00" w:rsidTr="00C92658">
        <w:tc>
          <w:tcPr>
            <w:tcW w:w="9360" w:type="dxa"/>
            <w:tcBorders>
              <w:top w:val="single" w:sz="12" w:space="0" w:color="000080"/>
              <w:left w:val="single" w:sz="12" w:space="0" w:color="000080"/>
              <w:bottom w:val="single" w:sz="12" w:space="0" w:color="000080"/>
              <w:right w:val="single" w:sz="12" w:space="0" w:color="000080"/>
            </w:tcBorders>
          </w:tcPr>
          <w:p w:rsidR="00CB60A4" w:rsidRPr="00C92658" w:rsidRDefault="00CB60A4" w:rsidP="005A7013">
            <w:pPr>
              <w:spacing w:after="120"/>
              <w:jc w:val="left"/>
              <w:rPr>
                <w:b/>
                <w:bCs/>
                <w:sz w:val="20"/>
                <w:lang w:val="en-US"/>
              </w:rPr>
            </w:pPr>
            <w:r w:rsidRPr="00C92658">
              <w:rPr>
                <w:b/>
                <w:bCs/>
                <w:i/>
                <w:iCs/>
                <w:sz w:val="20"/>
                <w:lang w:val="en-US"/>
              </w:rPr>
              <w:t>Note</w:t>
            </w:r>
            <w:r w:rsidRPr="00C92658">
              <w:rPr>
                <w:i/>
                <w:iCs/>
                <w:sz w:val="20"/>
                <w:lang w:val="en-US"/>
              </w:rPr>
              <w:t xml:space="preserve">: This ITU-R </w:t>
            </w:r>
            <w:r w:rsidR="00505FB4" w:rsidRPr="00C92658">
              <w:rPr>
                <w:i/>
                <w:iCs/>
                <w:sz w:val="20"/>
                <w:lang w:val="en-US"/>
              </w:rPr>
              <w:t>Report</w:t>
            </w:r>
            <w:r w:rsidRPr="00C92658">
              <w:rPr>
                <w:i/>
                <w:iCs/>
                <w:sz w:val="20"/>
                <w:lang w:val="en-US"/>
              </w:rPr>
              <w:t xml:space="preserve"> was approved in English </w:t>
            </w:r>
            <w:r w:rsidR="001A5259" w:rsidRPr="00C92658">
              <w:rPr>
                <w:i/>
                <w:iCs/>
                <w:sz w:val="20"/>
                <w:lang w:val="en-US"/>
              </w:rPr>
              <w:t xml:space="preserve">by the Study Group </w:t>
            </w:r>
            <w:r w:rsidRPr="00C92658">
              <w:rPr>
                <w:i/>
                <w:iCs/>
                <w:sz w:val="20"/>
                <w:lang w:val="en-US"/>
              </w:rPr>
              <w:t xml:space="preserve">under the </w:t>
            </w:r>
            <w:r w:rsidR="001A5259" w:rsidRPr="00C92658">
              <w:rPr>
                <w:i/>
                <w:iCs/>
                <w:sz w:val="20"/>
                <w:lang w:val="en-US"/>
              </w:rPr>
              <w:t>procedure detailed in Resolution</w:t>
            </w:r>
            <w:r w:rsidR="005A7013">
              <w:rPr>
                <w:i/>
                <w:iCs/>
                <w:sz w:val="20"/>
                <w:lang w:val="en-US"/>
              </w:rPr>
              <w:t> </w:t>
            </w:r>
            <w:r w:rsidRPr="00C92658">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48332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84795C">
        <w:rPr>
          <w:sz w:val="20"/>
          <w:lang w:val="en-US"/>
        </w:rPr>
        <w:t>1</w:t>
      </w:r>
      <w:r w:rsidR="00B63D8D">
        <w:rPr>
          <w:sz w:val="20"/>
          <w:lang w:val="en-US"/>
        </w:rPr>
        <w:t>9</w:t>
      </w:r>
    </w:p>
    <w:p w:rsidR="00CB60A4" w:rsidRDefault="00CB60A4" w:rsidP="00483322">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84795C">
        <w:rPr>
          <w:sz w:val="20"/>
          <w:lang w:val="en-US"/>
        </w:rPr>
        <w:t>1</w:t>
      </w:r>
      <w:r w:rsidR="00B63D8D">
        <w:rPr>
          <w:sz w:val="20"/>
          <w:lang w:val="en-US"/>
        </w:rPr>
        <w:t>9</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752DF2" w:rsidRDefault="00934ED7" w:rsidP="00D55B55">
      <w:pPr>
        <w:pStyle w:val="RepNo"/>
        <w:spacing w:before="0"/>
        <w:rPr>
          <w:lang w:val="en-GB"/>
        </w:rPr>
      </w:pPr>
      <w:bookmarkStart w:id="5" w:name="irecnoe"/>
      <w:bookmarkEnd w:id="5"/>
      <w:r w:rsidRPr="008D3D8D">
        <w:rPr>
          <w:lang w:val="en-US"/>
        </w:rPr>
        <w:t>R</w:t>
      </w:r>
      <w:r w:rsidR="008D3D8D" w:rsidRPr="008D3D8D">
        <w:rPr>
          <w:lang w:val="en-US"/>
        </w:rPr>
        <w:t>EPORT</w:t>
      </w:r>
      <w:r w:rsidRPr="008D3D8D">
        <w:rPr>
          <w:lang w:val="en-US"/>
        </w:rPr>
        <w:t xml:space="preserve">  </w:t>
      </w:r>
      <w:r w:rsidRPr="008D3D8D">
        <w:rPr>
          <w:rStyle w:val="href"/>
          <w:lang w:val="en-US"/>
        </w:rPr>
        <w:t xml:space="preserve">ITU-R  </w:t>
      </w:r>
      <w:r w:rsidR="00D55B55">
        <w:rPr>
          <w:rStyle w:val="href"/>
          <w:lang w:val="en-US"/>
        </w:rPr>
        <w:t>F</w:t>
      </w:r>
      <w:r w:rsidR="008D3D8D" w:rsidRPr="008D3D8D">
        <w:rPr>
          <w:rStyle w:val="href"/>
          <w:lang w:val="en-US"/>
        </w:rPr>
        <w:t>.</w:t>
      </w:r>
      <w:r w:rsidR="00B63D8D">
        <w:rPr>
          <w:rStyle w:val="href"/>
          <w:lang w:val="en-US"/>
        </w:rPr>
        <w:t>2476-0</w:t>
      </w:r>
    </w:p>
    <w:p w:rsidR="00B63D8D" w:rsidRDefault="00B63D8D" w:rsidP="00B63D8D">
      <w:pPr>
        <w:pStyle w:val="Reptitle"/>
        <w:rPr>
          <w:lang w:val="en-GB"/>
        </w:rPr>
      </w:pPr>
      <w:r w:rsidRPr="00B63D8D">
        <w:rPr>
          <w:lang w:val="en-GB"/>
        </w:rPr>
        <w:t>Sharing and compatibility studies of HAPS systems in the fixed service in the 47.2-47.5 GHz and 47.9-48.2 GHz frequency ranges</w:t>
      </w:r>
    </w:p>
    <w:p w:rsidR="00B63D8D" w:rsidRDefault="00B63D8D" w:rsidP="00B63D8D">
      <w:pPr>
        <w:pStyle w:val="Repdate"/>
        <w:rPr>
          <w:lang w:val="en-GB"/>
        </w:rPr>
      </w:pPr>
      <w:r>
        <w:rPr>
          <w:lang w:val="en-GB"/>
        </w:rPr>
        <w:t>(2019)</w:t>
      </w:r>
    </w:p>
    <w:p w:rsidR="00B63D8D" w:rsidRDefault="00B63D8D" w:rsidP="00B63D8D">
      <w:pPr>
        <w:rPr>
          <w:lang w:val="en-GB"/>
        </w:rPr>
      </w:pPr>
    </w:p>
    <w:p w:rsidR="00B63D8D" w:rsidRPr="00B63D8D" w:rsidRDefault="00B63D8D" w:rsidP="00B63D8D">
      <w:pPr>
        <w:jc w:val="center"/>
        <w:rPr>
          <w:lang w:val="en-GB"/>
        </w:rPr>
      </w:pPr>
      <w:r w:rsidRPr="00B63D8D">
        <w:rPr>
          <w:lang w:val="en-GB"/>
        </w:rPr>
        <w:t>TABLE OF CONTENTS</w:t>
      </w:r>
    </w:p>
    <w:p w:rsidR="003B6267" w:rsidRPr="00752DF2" w:rsidRDefault="003B6267" w:rsidP="003B6267">
      <w:pPr>
        <w:pStyle w:val="toc0"/>
        <w:ind w:right="992"/>
        <w:rPr>
          <w:noProof/>
          <w:lang w:val="en-GB"/>
        </w:rPr>
      </w:pPr>
      <w:r w:rsidRPr="00752DF2">
        <w:rPr>
          <w:lang w:val="en-GB" w:eastAsia="ja-JP"/>
        </w:rPr>
        <w:tab/>
        <w:t>Page</w:t>
      </w:r>
    </w:p>
    <w:p w:rsidR="00752DF2" w:rsidRDefault="00752DF2" w:rsidP="003B6267">
      <w:pPr>
        <w:pStyle w:val="TOC1"/>
        <w:ind w:right="992"/>
        <w:rPr>
          <w:noProof/>
        </w:rPr>
      </w:pPr>
      <w:r>
        <w:rPr>
          <w:noProof/>
        </w:rPr>
        <w:t>1</w:t>
      </w:r>
      <w:r>
        <w:rPr>
          <w:noProof/>
        </w:rPr>
        <w:tab/>
        <w:t>Introduction</w:t>
      </w:r>
      <w:r>
        <w:rPr>
          <w:noProof/>
        </w:rPr>
        <w:tab/>
      </w:r>
      <w:r>
        <w:rPr>
          <w:noProof/>
        </w:rPr>
        <w:tab/>
        <w:t>2</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sidRPr="003B6267">
        <w:rPr>
          <w:noProof/>
        </w:rPr>
        <w:t>Glossary</w:t>
      </w:r>
      <w:r>
        <w:rPr>
          <w:noProof/>
        </w:rPr>
        <w:tab/>
      </w:r>
      <w:r>
        <w:rPr>
          <w:noProof/>
        </w:rPr>
        <w:tab/>
      </w:r>
      <w:r w:rsidRPr="003B6267">
        <w:rPr>
          <w:noProof/>
        </w:rPr>
        <w:t>2</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Allocation information in the 47.2-47.5 and 47.9-48.2 GHz frequency </w:t>
      </w:r>
      <w:r w:rsidRPr="003B6267">
        <w:rPr>
          <w:noProof/>
        </w:rPr>
        <w:t>ranges</w:t>
      </w:r>
      <w:r>
        <w:rPr>
          <w:noProof/>
        </w:rPr>
        <w:tab/>
      </w:r>
      <w:r>
        <w:rPr>
          <w:noProof/>
        </w:rPr>
        <w:tab/>
      </w:r>
      <w:r w:rsidRPr="003B6267">
        <w:rPr>
          <w:noProof/>
        </w:rPr>
        <w:t>2</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Pr>
          <w:noProof/>
        </w:rPr>
        <w:t>4</w:t>
      </w:r>
      <w:r>
        <w:rPr>
          <w:rFonts w:asciiTheme="minorHAnsi" w:eastAsiaTheme="minorEastAsia" w:hAnsiTheme="minorHAnsi" w:cstheme="minorBidi"/>
          <w:noProof/>
          <w:sz w:val="22"/>
          <w:szCs w:val="22"/>
          <w:lang w:val="en-GB" w:eastAsia="en-GB"/>
        </w:rPr>
        <w:tab/>
      </w:r>
      <w:r>
        <w:rPr>
          <w:noProof/>
        </w:rPr>
        <w:t xml:space="preserve">Technical </w:t>
      </w:r>
      <w:r w:rsidRPr="003B6267">
        <w:rPr>
          <w:noProof/>
        </w:rPr>
        <w:t>characteristics</w:t>
      </w:r>
      <w:r>
        <w:rPr>
          <w:noProof/>
        </w:rPr>
        <w:tab/>
      </w:r>
      <w:r>
        <w:rPr>
          <w:noProof/>
        </w:rPr>
        <w:tab/>
      </w:r>
      <w:r w:rsidRPr="003B6267">
        <w:rPr>
          <w:noProof/>
        </w:rPr>
        <w:t>3</w:t>
      </w:r>
    </w:p>
    <w:p w:rsidR="003B6267" w:rsidRDefault="003B6267" w:rsidP="003B6267">
      <w:pPr>
        <w:pStyle w:val="TOC2"/>
        <w:ind w:right="992"/>
        <w:rPr>
          <w:rFonts w:asciiTheme="minorHAnsi" w:eastAsiaTheme="minorEastAsia" w:hAnsiTheme="minorHAnsi" w:cstheme="minorBidi"/>
          <w:noProof/>
          <w:sz w:val="22"/>
          <w:szCs w:val="22"/>
          <w:lang w:val="en-GB" w:eastAsia="en-GB"/>
        </w:rPr>
      </w:pPr>
      <w:r>
        <w:rPr>
          <w:noProof/>
        </w:rPr>
        <w:t>4.1</w:t>
      </w:r>
      <w:r>
        <w:rPr>
          <w:rFonts w:asciiTheme="minorHAnsi" w:eastAsiaTheme="minorEastAsia" w:hAnsiTheme="minorHAnsi" w:cstheme="minorBidi"/>
          <w:noProof/>
          <w:sz w:val="22"/>
          <w:szCs w:val="22"/>
          <w:lang w:val="en-GB" w:eastAsia="en-GB"/>
        </w:rPr>
        <w:tab/>
      </w:r>
      <w:r>
        <w:rPr>
          <w:noProof/>
        </w:rPr>
        <w:t>Technical and operational characteristics of HAPS systems operating in the 47.2</w:t>
      </w:r>
      <w:r>
        <w:rPr>
          <w:noProof/>
        </w:rPr>
        <w:noBreakHyphen/>
        <w:t xml:space="preserve">47.5 and 47.9-48.2 GHz frequency </w:t>
      </w:r>
      <w:r w:rsidRPr="003B6267">
        <w:rPr>
          <w:noProof/>
        </w:rPr>
        <w:t>ranges</w:t>
      </w:r>
      <w:r>
        <w:rPr>
          <w:noProof/>
        </w:rPr>
        <w:tab/>
      </w:r>
      <w:r>
        <w:rPr>
          <w:noProof/>
        </w:rPr>
        <w:tab/>
      </w:r>
      <w:r w:rsidRPr="003B6267">
        <w:rPr>
          <w:noProof/>
        </w:rPr>
        <w:t>3</w:t>
      </w:r>
    </w:p>
    <w:p w:rsidR="003B6267" w:rsidRDefault="003B6267" w:rsidP="003B6267">
      <w:pPr>
        <w:pStyle w:val="TOC2"/>
        <w:ind w:right="992"/>
        <w:rPr>
          <w:rFonts w:asciiTheme="minorHAnsi" w:eastAsiaTheme="minorEastAsia" w:hAnsiTheme="minorHAnsi" w:cstheme="minorBidi"/>
          <w:noProof/>
          <w:sz w:val="22"/>
          <w:szCs w:val="22"/>
          <w:lang w:val="en-GB" w:eastAsia="en-GB"/>
        </w:rPr>
      </w:pPr>
      <w:r>
        <w:rPr>
          <w:noProof/>
        </w:rPr>
        <w:t>4.2</w:t>
      </w:r>
      <w:r>
        <w:rPr>
          <w:rFonts w:asciiTheme="minorHAnsi" w:eastAsiaTheme="minorEastAsia" w:hAnsiTheme="minorHAnsi" w:cstheme="minorBidi"/>
          <w:noProof/>
          <w:sz w:val="22"/>
          <w:szCs w:val="22"/>
          <w:lang w:val="en-GB" w:eastAsia="en-GB"/>
        </w:rPr>
        <w:tab/>
      </w:r>
      <w:r>
        <w:rPr>
          <w:noProof/>
        </w:rPr>
        <w:t>Technical and operational characteristics of Mobile service operating in the 47.2</w:t>
      </w:r>
      <w:r>
        <w:rPr>
          <w:noProof/>
        </w:rPr>
        <w:noBreakHyphen/>
        <w:t xml:space="preserve">47.5 and 47.9-48.2 GHz frequency </w:t>
      </w:r>
      <w:r w:rsidRPr="003B6267">
        <w:rPr>
          <w:noProof/>
        </w:rPr>
        <w:t>ranges</w:t>
      </w:r>
      <w:r>
        <w:rPr>
          <w:noProof/>
        </w:rPr>
        <w:tab/>
      </w:r>
      <w:r>
        <w:rPr>
          <w:noProof/>
        </w:rPr>
        <w:tab/>
      </w:r>
      <w:r w:rsidRPr="003B6267">
        <w:rPr>
          <w:noProof/>
        </w:rPr>
        <w:t>3</w:t>
      </w:r>
    </w:p>
    <w:p w:rsidR="003B6267" w:rsidRDefault="003B6267" w:rsidP="003B6267">
      <w:pPr>
        <w:pStyle w:val="TOC2"/>
        <w:ind w:right="992"/>
        <w:rPr>
          <w:rFonts w:asciiTheme="minorHAnsi" w:eastAsiaTheme="minorEastAsia" w:hAnsiTheme="minorHAnsi" w:cstheme="minorBidi"/>
          <w:noProof/>
          <w:sz w:val="22"/>
          <w:szCs w:val="22"/>
          <w:lang w:val="en-GB" w:eastAsia="en-GB"/>
        </w:rPr>
      </w:pPr>
      <w:r>
        <w:rPr>
          <w:noProof/>
        </w:rPr>
        <w:t>4.3</w:t>
      </w:r>
      <w:r>
        <w:rPr>
          <w:rFonts w:asciiTheme="minorHAnsi" w:eastAsiaTheme="minorEastAsia" w:hAnsiTheme="minorHAnsi" w:cstheme="minorBidi"/>
          <w:noProof/>
          <w:sz w:val="22"/>
          <w:szCs w:val="22"/>
          <w:lang w:val="en-GB" w:eastAsia="en-GB"/>
        </w:rPr>
        <w:tab/>
      </w:r>
      <w:r>
        <w:rPr>
          <w:noProof/>
        </w:rPr>
        <w:t xml:space="preserve">Technical and operational characteristics of FSS operating in the 47.2-47.5 and 47.9-48.2 GHz frequency </w:t>
      </w:r>
      <w:r w:rsidRPr="003B6267">
        <w:rPr>
          <w:noProof/>
        </w:rPr>
        <w:t>ranges</w:t>
      </w:r>
      <w:r>
        <w:rPr>
          <w:noProof/>
        </w:rPr>
        <w:tab/>
      </w:r>
      <w:r>
        <w:rPr>
          <w:noProof/>
        </w:rPr>
        <w:tab/>
      </w:r>
      <w:r w:rsidRPr="003B6267">
        <w:rPr>
          <w:noProof/>
        </w:rPr>
        <w:t>5</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Pr>
          <w:noProof/>
        </w:rPr>
        <w:t>5</w:t>
      </w:r>
      <w:r>
        <w:rPr>
          <w:rFonts w:asciiTheme="minorHAnsi" w:eastAsiaTheme="minorEastAsia" w:hAnsiTheme="minorHAnsi" w:cstheme="minorBidi"/>
          <w:noProof/>
          <w:sz w:val="22"/>
          <w:szCs w:val="22"/>
          <w:lang w:val="en-GB" w:eastAsia="en-GB"/>
        </w:rPr>
        <w:tab/>
      </w:r>
      <w:r>
        <w:rPr>
          <w:noProof/>
        </w:rPr>
        <w:t xml:space="preserve">Sharing and compatibility </w:t>
      </w:r>
      <w:r w:rsidRPr="003B6267">
        <w:rPr>
          <w:noProof/>
        </w:rPr>
        <w:t>studies</w:t>
      </w:r>
      <w:r>
        <w:rPr>
          <w:noProof/>
        </w:rPr>
        <w:tab/>
      </w:r>
      <w:r>
        <w:rPr>
          <w:noProof/>
        </w:rPr>
        <w:tab/>
      </w:r>
      <w:r w:rsidRPr="003B6267">
        <w:rPr>
          <w:noProof/>
        </w:rPr>
        <w:t>6</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sidRPr="005D123D">
        <w:rPr>
          <w:rFonts w:eastAsia="MS Mincho"/>
          <w:noProof/>
        </w:rPr>
        <w:t xml:space="preserve">Annex 1 </w:t>
      </w:r>
      <w:r w:rsidRPr="003B6267">
        <w:rPr>
          <w:rFonts w:eastAsia="MS Mincho"/>
          <w:noProof/>
        </w:rPr>
        <w:t>–</w:t>
      </w:r>
      <w:r w:rsidRPr="005D123D">
        <w:rPr>
          <w:rFonts w:eastAsia="MS Mincho"/>
          <w:noProof/>
        </w:rPr>
        <w:t xml:space="preserve"> </w:t>
      </w:r>
      <w:r w:rsidRPr="005D123D">
        <w:rPr>
          <w:noProof/>
          <w:shd w:val="clear" w:color="auto" w:fill="FFFFFF"/>
        </w:rPr>
        <w:t xml:space="preserve">Sharing and compatibility </w:t>
      </w:r>
      <w:r>
        <w:rPr>
          <w:noProof/>
        </w:rPr>
        <w:t>study</w:t>
      </w:r>
      <w:r w:rsidRPr="005D123D">
        <w:rPr>
          <w:noProof/>
          <w:shd w:val="clear" w:color="auto" w:fill="FFFFFF"/>
        </w:rPr>
        <w:t xml:space="preserve"> of mobile service and HAPS systems operating in the 47.2-47.5 and 47.9-48.2 GHz frequency </w:t>
      </w:r>
      <w:r w:rsidRPr="003B6267">
        <w:rPr>
          <w:noProof/>
          <w:shd w:val="clear" w:color="auto" w:fill="FFFFFF"/>
        </w:rPr>
        <w:t>ranges</w:t>
      </w:r>
      <w:r>
        <w:rPr>
          <w:noProof/>
          <w:shd w:val="clear" w:color="auto" w:fill="FFFFFF"/>
        </w:rPr>
        <w:tab/>
      </w:r>
      <w:r>
        <w:rPr>
          <w:noProof/>
          <w:shd w:val="clear" w:color="auto" w:fill="FFFFFF"/>
        </w:rPr>
        <w:tab/>
      </w:r>
      <w:r w:rsidRPr="003B6267">
        <w:rPr>
          <w:noProof/>
        </w:rPr>
        <w:t>6</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Pr>
          <w:noProof/>
        </w:rPr>
        <w:t xml:space="preserve">Technical </w:t>
      </w:r>
      <w:r w:rsidRPr="003B6267">
        <w:rPr>
          <w:noProof/>
        </w:rPr>
        <w:t>analysis</w:t>
      </w:r>
      <w:r>
        <w:rPr>
          <w:noProof/>
        </w:rPr>
        <w:tab/>
      </w:r>
      <w:r>
        <w:rPr>
          <w:noProof/>
        </w:rPr>
        <w:tab/>
      </w:r>
      <w:r w:rsidRPr="003B6267">
        <w:rPr>
          <w:noProof/>
        </w:rPr>
        <w:t>6</w:t>
      </w:r>
    </w:p>
    <w:p w:rsidR="003B6267" w:rsidRDefault="003B6267" w:rsidP="003B6267">
      <w:pPr>
        <w:pStyle w:val="TOC2"/>
        <w:ind w:right="992"/>
        <w:rPr>
          <w:rFonts w:asciiTheme="minorHAnsi" w:eastAsiaTheme="minorEastAsia" w:hAnsiTheme="minorHAnsi" w:cstheme="minorBidi"/>
          <w:noProof/>
          <w:sz w:val="22"/>
          <w:szCs w:val="22"/>
          <w:lang w:val="en-GB" w:eastAsia="en-GB"/>
        </w:rPr>
      </w:pPr>
      <w:r w:rsidRPr="005D123D">
        <w:rPr>
          <w:rFonts w:eastAsia="MS Mincho"/>
          <w:noProof/>
        </w:rPr>
        <w:t>1.1</w:t>
      </w:r>
      <w:r>
        <w:rPr>
          <w:rFonts w:asciiTheme="minorHAnsi" w:eastAsiaTheme="minorEastAsia" w:hAnsiTheme="minorHAnsi" w:cstheme="minorBidi"/>
          <w:noProof/>
          <w:sz w:val="22"/>
          <w:szCs w:val="22"/>
          <w:lang w:val="en-GB" w:eastAsia="en-GB"/>
        </w:rPr>
        <w:tab/>
      </w:r>
      <w:r w:rsidRPr="005D123D">
        <w:rPr>
          <w:rFonts w:eastAsia="MS Mincho"/>
          <w:noProof/>
        </w:rPr>
        <w:t xml:space="preserve">Study </w:t>
      </w:r>
      <w:r w:rsidRPr="003B6267">
        <w:rPr>
          <w:rFonts w:eastAsia="MS Mincho"/>
          <w:noProof/>
        </w:rPr>
        <w:t>A</w:t>
      </w:r>
      <w:r>
        <w:rPr>
          <w:rFonts w:eastAsia="MS Mincho"/>
          <w:noProof/>
        </w:rPr>
        <w:tab/>
      </w:r>
      <w:r>
        <w:rPr>
          <w:rFonts w:eastAsia="MS Mincho"/>
          <w:noProof/>
        </w:rPr>
        <w:tab/>
      </w:r>
      <w:r w:rsidRPr="003B6267">
        <w:rPr>
          <w:noProof/>
        </w:rPr>
        <w:t>8</w:t>
      </w:r>
    </w:p>
    <w:p w:rsidR="003B6267" w:rsidRDefault="003B6267" w:rsidP="003B6267">
      <w:pPr>
        <w:pStyle w:val="TOC2"/>
        <w:ind w:right="992"/>
        <w:rPr>
          <w:rFonts w:asciiTheme="minorHAnsi" w:eastAsiaTheme="minorEastAsia" w:hAnsiTheme="minorHAnsi" w:cstheme="minorBidi"/>
          <w:noProof/>
          <w:sz w:val="22"/>
          <w:szCs w:val="22"/>
          <w:lang w:val="en-GB" w:eastAsia="en-GB"/>
        </w:rPr>
      </w:pPr>
      <w:r w:rsidRPr="005D123D">
        <w:rPr>
          <w:rFonts w:eastAsia="MS Mincho"/>
          <w:noProof/>
        </w:rPr>
        <w:t>1.2</w:t>
      </w:r>
      <w:r>
        <w:rPr>
          <w:rFonts w:asciiTheme="minorHAnsi" w:eastAsiaTheme="minorEastAsia" w:hAnsiTheme="minorHAnsi" w:cstheme="minorBidi"/>
          <w:noProof/>
          <w:sz w:val="22"/>
          <w:szCs w:val="22"/>
          <w:lang w:val="en-GB" w:eastAsia="en-GB"/>
        </w:rPr>
        <w:tab/>
      </w:r>
      <w:r w:rsidRPr="005D123D">
        <w:rPr>
          <w:rFonts w:eastAsia="MS Mincho"/>
          <w:noProof/>
        </w:rPr>
        <w:t xml:space="preserve">Study </w:t>
      </w:r>
      <w:r w:rsidRPr="003B6267">
        <w:rPr>
          <w:rFonts w:eastAsia="MS Mincho"/>
          <w:noProof/>
        </w:rPr>
        <w:t>B</w:t>
      </w:r>
      <w:r>
        <w:rPr>
          <w:rFonts w:eastAsia="MS Mincho"/>
          <w:noProof/>
        </w:rPr>
        <w:tab/>
      </w:r>
      <w:r>
        <w:rPr>
          <w:rFonts w:eastAsia="MS Mincho"/>
          <w:noProof/>
        </w:rPr>
        <w:tab/>
      </w:r>
      <w:r w:rsidRPr="003B6267">
        <w:rPr>
          <w:noProof/>
        </w:rPr>
        <w:t>13</w:t>
      </w:r>
    </w:p>
    <w:p w:rsidR="003B6267" w:rsidRDefault="003B6267" w:rsidP="00752DF2">
      <w:pPr>
        <w:pStyle w:val="TOC1"/>
        <w:ind w:right="992"/>
        <w:rPr>
          <w:rFonts w:asciiTheme="minorHAnsi" w:eastAsiaTheme="minorEastAsia" w:hAnsiTheme="minorHAnsi" w:cstheme="minorBidi"/>
          <w:noProof/>
          <w:sz w:val="22"/>
          <w:szCs w:val="22"/>
          <w:lang w:val="en-GB" w:eastAsia="en-GB"/>
        </w:rPr>
      </w:pPr>
      <w:r w:rsidRPr="005D123D">
        <w:rPr>
          <w:rFonts w:eastAsia="MS Mincho"/>
          <w:noProof/>
        </w:rPr>
        <w:t>2</w:t>
      </w:r>
      <w:r>
        <w:rPr>
          <w:rFonts w:asciiTheme="minorHAnsi" w:eastAsiaTheme="minorEastAsia" w:hAnsiTheme="minorHAnsi" w:cstheme="minorBidi"/>
          <w:noProof/>
          <w:sz w:val="22"/>
          <w:szCs w:val="22"/>
          <w:lang w:val="en-GB" w:eastAsia="en-GB"/>
        </w:rPr>
        <w:tab/>
      </w:r>
      <w:r w:rsidRPr="00752DF2">
        <w:rPr>
          <w:noProof/>
        </w:rPr>
        <w:t>Summary</w:t>
      </w:r>
      <w:r w:rsidRPr="005D123D">
        <w:rPr>
          <w:rFonts w:eastAsia="MS Mincho"/>
          <w:noProof/>
        </w:rPr>
        <w:t xml:space="preserve"> and analysis of the results of </w:t>
      </w:r>
      <w:r w:rsidRPr="003B6267">
        <w:rPr>
          <w:rFonts w:eastAsia="MS Mincho"/>
          <w:noProof/>
        </w:rPr>
        <w:t>studies</w:t>
      </w:r>
      <w:r>
        <w:rPr>
          <w:rFonts w:eastAsia="MS Mincho"/>
          <w:noProof/>
        </w:rPr>
        <w:tab/>
      </w:r>
      <w:r>
        <w:rPr>
          <w:rFonts w:eastAsia="MS Mincho"/>
          <w:noProof/>
        </w:rPr>
        <w:tab/>
      </w:r>
      <w:r w:rsidRPr="003B6267">
        <w:rPr>
          <w:noProof/>
        </w:rPr>
        <w:t>24</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sidRPr="005D123D">
        <w:rPr>
          <w:rFonts w:eastAsia="MS Mincho"/>
          <w:noProof/>
        </w:rPr>
        <w:t xml:space="preserve">Annex 2 </w:t>
      </w:r>
      <w:r w:rsidRPr="003B6267">
        <w:rPr>
          <w:rFonts w:eastAsia="MS Mincho"/>
          <w:noProof/>
        </w:rPr>
        <w:t>–</w:t>
      </w:r>
      <w:r w:rsidRPr="005D123D">
        <w:rPr>
          <w:rFonts w:eastAsia="MS Mincho"/>
          <w:noProof/>
        </w:rPr>
        <w:t xml:space="preserve"> </w:t>
      </w:r>
      <w:r w:rsidRPr="005D123D">
        <w:rPr>
          <w:noProof/>
          <w:shd w:val="clear" w:color="auto" w:fill="FFFFFF"/>
        </w:rPr>
        <w:t xml:space="preserve">Sharing and compatibility study of fixed satellite service and HAPS systems operating in the 47.2-47.5 and 47.9-48.2 GHz frequency </w:t>
      </w:r>
      <w:r w:rsidRPr="003B6267">
        <w:rPr>
          <w:noProof/>
          <w:shd w:val="clear" w:color="auto" w:fill="FFFFFF"/>
        </w:rPr>
        <w:t>ranges</w:t>
      </w:r>
      <w:r>
        <w:rPr>
          <w:noProof/>
          <w:shd w:val="clear" w:color="auto" w:fill="FFFFFF"/>
        </w:rPr>
        <w:tab/>
      </w:r>
      <w:r>
        <w:rPr>
          <w:noProof/>
          <w:shd w:val="clear" w:color="auto" w:fill="FFFFFF"/>
        </w:rPr>
        <w:tab/>
      </w:r>
      <w:r w:rsidRPr="003B6267">
        <w:rPr>
          <w:noProof/>
        </w:rPr>
        <w:t>24</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Pr>
          <w:noProof/>
        </w:rPr>
        <w:t xml:space="preserve">Summary of scenarios </w:t>
      </w:r>
      <w:r w:rsidRPr="003B6267">
        <w:rPr>
          <w:noProof/>
        </w:rPr>
        <w:t>considered</w:t>
      </w:r>
      <w:r>
        <w:rPr>
          <w:noProof/>
        </w:rPr>
        <w:tab/>
      </w:r>
      <w:r>
        <w:rPr>
          <w:noProof/>
        </w:rPr>
        <w:tab/>
      </w:r>
      <w:r w:rsidRPr="003B6267">
        <w:rPr>
          <w:noProof/>
        </w:rPr>
        <w:t>24</w:t>
      </w:r>
    </w:p>
    <w:p w:rsidR="003B6267" w:rsidRDefault="003B6267" w:rsidP="003B6267">
      <w:pPr>
        <w:pStyle w:val="TOC1"/>
        <w:ind w:right="992"/>
        <w:rPr>
          <w:rFonts w:asciiTheme="minorHAnsi" w:eastAsiaTheme="minorEastAsia" w:hAnsiTheme="minorHAnsi" w:cstheme="minorBidi"/>
          <w:noProof/>
          <w:sz w:val="22"/>
          <w:szCs w:val="22"/>
          <w:lang w:val="en-GB" w:eastAsia="en-GB"/>
        </w:rPr>
      </w:pPr>
      <w:r w:rsidRPr="005D123D">
        <w:rPr>
          <w:rFonts w:eastAsia="MS Mincho"/>
          <w:noProof/>
        </w:rPr>
        <w:t>2</w:t>
      </w:r>
      <w:r>
        <w:rPr>
          <w:rFonts w:asciiTheme="minorHAnsi" w:eastAsiaTheme="minorEastAsia" w:hAnsiTheme="minorHAnsi" w:cstheme="minorBidi"/>
          <w:noProof/>
          <w:sz w:val="22"/>
          <w:szCs w:val="22"/>
          <w:lang w:val="en-GB" w:eastAsia="en-GB"/>
        </w:rPr>
        <w:tab/>
      </w:r>
      <w:r w:rsidRPr="005D123D">
        <w:rPr>
          <w:rFonts w:eastAsia="MS Mincho"/>
          <w:noProof/>
        </w:rPr>
        <w:t xml:space="preserve">Technical </w:t>
      </w:r>
      <w:r w:rsidRPr="003B6267">
        <w:rPr>
          <w:rFonts w:eastAsia="MS Mincho"/>
          <w:noProof/>
        </w:rPr>
        <w:t>analysis</w:t>
      </w:r>
      <w:r>
        <w:rPr>
          <w:rFonts w:eastAsia="MS Mincho"/>
          <w:noProof/>
        </w:rPr>
        <w:tab/>
      </w:r>
      <w:r>
        <w:rPr>
          <w:rFonts w:eastAsia="MS Mincho"/>
          <w:noProof/>
        </w:rPr>
        <w:tab/>
      </w:r>
      <w:r w:rsidRPr="003B6267">
        <w:rPr>
          <w:noProof/>
        </w:rPr>
        <w:t>24</w:t>
      </w:r>
    </w:p>
    <w:p w:rsidR="003B6267" w:rsidRDefault="003B6267" w:rsidP="003B6267">
      <w:pPr>
        <w:pStyle w:val="TOC2"/>
        <w:ind w:right="992"/>
        <w:rPr>
          <w:rFonts w:asciiTheme="minorHAnsi" w:eastAsiaTheme="minorEastAsia" w:hAnsiTheme="minorHAnsi" w:cstheme="minorBidi"/>
          <w:noProof/>
          <w:sz w:val="22"/>
          <w:szCs w:val="22"/>
          <w:lang w:val="en-GB" w:eastAsia="en-GB"/>
        </w:rPr>
      </w:pPr>
      <w:r w:rsidRPr="005D123D">
        <w:rPr>
          <w:rFonts w:eastAsia="MS Mincho"/>
          <w:noProof/>
        </w:rPr>
        <w:t>2.1</w:t>
      </w:r>
      <w:r>
        <w:rPr>
          <w:rFonts w:asciiTheme="minorHAnsi" w:eastAsiaTheme="minorEastAsia" w:hAnsiTheme="minorHAnsi" w:cstheme="minorBidi"/>
          <w:noProof/>
          <w:sz w:val="22"/>
          <w:szCs w:val="22"/>
          <w:lang w:val="en-GB" w:eastAsia="en-GB"/>
        </w:rPr>
        <w:tab/>
      </w:r>
      <w:r w:rsidRPr="005D123D">
        <w:rPr>
          <w:rFonts w:eastAsia="MS Mincho"/>
          <w:noProof/>
        </w:rPr>
        <w:t xml:space="preserve">Technical characteristics of </w:t>
      </w:r>
      <w:r w:rsidRPr="003B6267">
        <w:rPr>
          <w:rFonts w:eastAsia="MS Mincho"/>
          <w:noProof/>
        </w:rPr>
        <w:t>HAPS</w:t>
      </w:r>
      <w:r>
        <w:rPr>
          <w:rFonts w:eastAsia="MS Mincho"/>
          <w:noProof/>
        </w:rPr>
        <w:tab/>
      </w:r>
      <w:r>
        <w:rPr>
          <w:rFonts w:eastAsia="MS Mincho"/>
          <w:noProof/>
        </w:rPr>
        <w:tab/>
      </w:r>
      <w:r w:rsidRPr="003B6267">
        <w:rPr>
          <w:noProof/>
        </w:rPr>
        <w:t>24</w:t>
      </w:r>
    </w:p>
    <w:p w:rsidR="003B6267" w:rsidRDefault="003B6267" w:rsidP="003B6267">
      <w:pPr>
        <w:pStyle w:val="TOC2"/>
        <w:ind w:right="992"/>
        <w:rPr>
          <w:rFonts w:asciiTheme="minorHAnsi" w:eastAsiaTheme="minorEastAsia" w:hAnsiTheme="minorHAnsi" w:cstheme="minorBidi"/>
          <w:noProof/>
          <w:sz w:val="22"/>
          <w:szCs w:val="22"/>
          <w:lang w:val="en-GB" w:eastAsia="en-GB"/>
        </w:rPr>
      </w:pPr>
      <w:r w:rsidRPr="005D123D">
        <w:rPr>
          <w:rFonts w:eastAsia="MS Mincho"/>
          <w:noProof/>
        </w:rPr>
        <w:t>2.2</w:t>
      </w:r>
      <w:r>
        <w:rPr>
          <w:rFonts w:asciiTheme="minorHAnsi" w:eastAsiaTheme="minorEastAsia" w:hAnsiTheme="minorHAnsi" w:cstheme="minorBidi"/>
          <w:noProof/>
          <w:sz w:val="22"/>
          <w:szCs w:val="22"/>
          <w:lang w:val="en-GB" w:eastAsia="en-GB"/>
        </w:rPr>
        <w:tab/>
      </w:r>
      <w:r w:rsidRPr="005D123D">
        <w:rPr>
          <w:rFonts w:eastAsia="MS Mincho"/>
          <w:noProof/>
        </w:rPr>
        <w:t xml:space="preserve">Technical </w:t>
      </w:r>
      <w:r w:rsidRPr="003B6267">
        <w:rPr>
          <w:rFonts w:eastAsia="MS Mincho"/>
          <w:noProof/>
        </w:rPr>
        <w:t>analysis</w:t>
      </w:r>
      <w:r>
        <w:rPr>
          <w:rFonts w:eastAsia="MS Mincho"/>
          <w:noProof/>
        </w:rPr>
        <w:tab/>
      </w:r>
      <w:r>
        <w:rPr>
          <w:rFonts w:eastAsia="MS Mincho"/>
          <w:noProof/>
        </w:rPr>
        <w:tab/>
      </w:r>
      <w:r w:rsidRPr="003B6267">
        <w:rPr>
          <w:noProof/>
        </w:rPr>
        <w:t>25</w:t>
      </w:r>
    </w:p>
    <w:p w:rsidR="003B6267" w:rsidRDefault="003B6267" w:rsidP="003B6267">
      <w:pPr>
        <w:pStyle w:val="TOC2"/>
        <w:ind w:right="992"/>
        <w:rPr>
          <w:rFonts w:asciiTheme="minorHAnsi" w:eastAsiaTheme="minorEastAsia" w:hAnsiTheme="minorHAnsi" w:cstheme="minorBidi"/>
          <w:noProof/>
          <w:sz w:val="22"/>
          <w:szCs w:val="22"/>
          <w:lang w:val="en-GB" w:eastAsia="en-GB"/>
        </w:rPr>
      </w:pPr>
      <w:r w:rsidRPr="005D123D">
        <w:rPr>
          <w:rFonts w:eastAsia="MS Mincho"/>
          <w:noProof/>
        </w:rPr>
        <w:t>2.3</w:t>
      </w:r>
      <w:r>
        <w:rPr>
          <w:rFonts w:asciiTheme="minorHAnsi" w:eastAsiaTheme="minorEastAsia" w:hAnsiTheme="minorHAnsi" w:cstheme="minorBidi"/>
          <w:noProof/>
          <w:sz w:val="22"/>
          <w:szCs w:val="22"/>
          <w:lang w:val="en-GB" w:eastAsia="en-GB"/>
        </w:rPr>
        <w:tab/>
      </w:r>
      <w:r w:rsidRPr="005D123D">
        <w:rPr>
          <w:rFonts w:eastAsia="MS Mincho"/>
          <w:noProof/>
        </w:rPr>
        <w:t xml:space="preserve">Result of </w:t>
      </w:r>
      <w:r w:rsidRPr="003B6267">
        <w:rPr>
          <w:rFonts w:eastAsia="MS Mincho"/>
          <w:noProof/>
        </w:rPr>
        <w:t>studies</w:t>
      </w:r>
      <w:r>
        <w:rPr>
          <w:rFonts w:eastAsia="MS Mincho"/>
          <w:noProof/>
        </w:rPr>
        <w:tab/>
      </w:r>
      <w:r>
        <w:rPr>
          <w:rFonts w:eastAsia="MS Mincho"/>
          <w:noProof/>
        </w:rPr>
        <w:tab/>
      </w:r>
      <w:r w:rsidRPr="003B6267">
        <w:rPr>
          <w:noProof/>
        </w:rPr>
        <w:t>31</w:t>
      </w:r>
    </w:p>
    <w:p w:rsidR="00915525" w:rsidRPr="00752DF2" w:rsidRDefault="00915525" w:rsidP="00915525">
      <w:pPr>
        <w:rPr>
          <w:lang w:val="en-GB" w:eastAsia="ja-JP"/>
        </w:rPr>
      </w:pPr>
    </w:p>
    <w:p w:rsidR="003B6267" w:rsidRPr="00752DF2" w:rsidRDefault="003B6267" w:rsidP="00915525">
      <w:pPr>
        <w:rPr>
          <w:lang w:val="en-GB" w:eastAsia="ja-JP"/>
        </w:rPr>
      </w:pPr>
    </w:p>
    <w:p w:rsidR="00752DF2" w:rsidRDefault="00752DF2" w:rsidP="00752DF2">
      <w:pPr>
        <w:pStyle w:val="Heading1"/>
        <w:rPr>
          <w:lang w:val="en-GB" w:eastAsia="ja-JP"/>
        </w:rPr>
      </w:pPr>
      <w:r>
        <w:rPr>
          <w:lang w:val="en-GB" w:eastAsia="ja-JP"/>
        </w:rPr>
        <w:t>1</w:t>
      </w:r>
      <w:r>
        <w:rPr>
          <w:lang w:val="en-GB" w:eastAsia="ja-JP"/>
        </w:rPr>
        <w:tab/>
        <w:t>Introduction</w:t>
      </w:r>
    </w:p>
    <w:p w:rsidR="00B63D8D" w:rsidRPr="00752DF2" w:rsidRDefault="00B63D8D" w:rsidP="00B63D8D">
      <w:pPr>
        <w:rPr>
          <w:color w:val="000000"/>
          <w:lang w:val="en-GB"/>
        </w:rPr>
      </w:pPr>
      <w:r w:rsidRPr="00752DF2">
        <w:rPr>
          <w:lang w:val="en-GB" w:eastAsia="ja-JP"/>
        </w:rPr>
        <w:t xml:space="preserve">This </w:t>
      </w:r>
      <w:r w:rsidRPr="00752DF2">
        <w:rPr>
          <w:rFonts w:eastAsia="MS Mincho"/>
          <w:lang w:val="en-GB" w:eastAsia="ja-JP"/>
        </w:rPr>
        <w:t xml:space="preserve">Report </w:t>
      </w:r>
      <w:r w:rsidRPr="00752DF2">
        <w:rPr>
          <w:lang w:val="en-GB" w:eastAsia="ja-JP"/>
        </w:rPr>
        <w:t xml:space="preserve">includes the sharing and compatibility studies of HAPS systems </w:t>
      </w:r>
      <w:r w:rsidRPr="00752DF2">
        <w:rPr>
          <w:color w:val="000000"/>
          <w:lang w:val="en-GB"/>
        </w:rPr>
        <w:t xml:space="preserve">in the </w:t>
      </w:r>
      <w:r w:rsidRPr="00752DF2">
        <w:rPr>
          <w:lang w:val="en-GB" w:eastAsia="zh-CN"/>
        </w:rPr>
        <w:t>47.2-47.5 and 47.9-48.2 GHz</w:t>
      </w:r>
      <w:r w:rsidRPr="00752DF2">
        <w:rPr>
          <w:color w:val="000000"/>
          <w:lang w:val="en-GB"/>
        </w:rPr>
        <w:t xml:space="preserve"> frequency ranges</w:t>
      </w:r>
      <w:r w:rsidRPr="00752DF2">
        <w:rPr>
          <w:lang w:val="en-GB" w:eastAsia="ja-JP"/>
        </w:rPr>
        <w:t xml:space="preserve"> with </w:t>
      </w:r>
      <w:r w:rsidRPr="00752DF2">
        <w:rPr>
          <w:lang w:val="en-GB"/>
        </w:rPr>
        <w:t>services to which the bands are allocated on a primary basis</w:t>
      </w:r>
      <w:r w:rsidRPr="00752DF2">
        <w:rPr>
          <w:color w:val="000000"/>
          <w:lang w:val="en-GB"/>
        </w:rPr>
        <w:t>.</w:t>
      </w:r>
    </w:p>
    <w:p w:rsidR="00B63D8D" w:rsidRPr="00752DF2" w:rsidRDefault="00B63D8D" w:rsidP="00B63D8D">
      <w:pPr>
        <w:rPr>
          <w:color w:val="000000"/>
          <w:spacing w:val="-2"/>
          <w:lang w:val="en-GB"/>
        </w:rPr>
      </w:pPr>
      <w:r w:rsidRPr="00752DF2">
        <w:rPr>
          <w:color w:val="000000"/>
          <w:spacing w:val="-2"/>
          <w:lang w:val="en-GB"/>
        </w:rPr>
        <w:t xml:space="preserve">This Report provides the sharing and compatibility studies referenced under </w:t>
      </w:r>
      <w:r w:rsidRPr="00752DF2">
        <w:rPr>
          <w:i/>
          <w:color w:val="000000"/>
          <w:spacing w:val="-2"/>
          <w:lang w:val="en-GB"/>
        </w:rPr>
        <w:t xml:space="preserve">further resolves </w:t>
      </w:r>
      <w:r w:rsidRPr="00752DF2">
        <w:rPr>
          <w:iCs/>
          <w:color w:val="000000"/>
          <w:spacing w:val="-2"/>
          <w:lang w:val="en-GB"/>
        </w:rPr>
        <w:t>1</w:t>
      </w:r>
      <w:r w:rsidRPr="00752DF2">
        <w:rPr>
          <w:color w:val="000000"/>
          <w:spacing w:val="-2"/>
          <w:lang w:val="en-GB"/>
        </w:rPr>
        <w:t xml:space="preserve"> of Resolution </w:t>
      </w:r>
      <w:r w:rsidRPr="00752DF2">
        <w:rPr>
          <w:b/>
          <w:bCs/>
          <w:color w:val="000000"/>
          <w:spacing w:val="-2"/>
          <w:lang w:val="en-GB"/>
        </w:rPr>
        <w:t>160 (WRC-15)</w:t>
      </w:r>
      <w:r w:rsidRPr="00752DF2">
        <w:rPr>
          <w:color w:val="000000" w:themeColor="text1"/>
          <w:spacing w:val="-2"/>
          <w:lang w:val="en-GB"/>
        </w:rPr>
        <w:t xml:space="preserve">, to ensure the protection of the existing services allocated to the frequency range and taking into account relevant footnotes of Article </w:t>
      </w:r>
      <w:r w:rsidRPr="00752DF2">
        <w:rPr>
          <w:b/>
          <w:bCs/>
          <w:color w:val="000000" w:themeColor="text1"/>
          <w:spacing w:val="-2"/>
          <w:lang w:val="en-GB"/>
        </w:rPr>
        <w:t>5</w:t>
      </w:r>
      <w:r w:rsidRPr="00752DF2">
        <w:rPr>
          <w:color w:val="000000" w:themeColor="text1"/>
          <w:spacing w:val="-2"/>
          <w:lang w:val="en-GB"/>
        </w:rPr>
        <w:t xml:space="preserve"> of the RR.</w:t>
      </w:r>
    </w:p>
    <w:p w:rsidR="00B63D8D" w:rsidRPr="00752DF2" w:rsidRDefault="00B63D8D" w:rsidP="00B63D8D">
      <w:pPr>
        <w:pStyle w:val="Heading1"/>
        <w:rPr>
          <w:lang w:val="en-GB"/>
        </w:rPr>
      </w:pPr>
      <w:bookmarkStart w:id="6" w:name="_Toc529879760"/>
      <w:bookmarkStart w:id="7" w:name="_Toc529880020"/>
      <w:bookmarkStart w:id="8" w:name="_Toc529886532"/>
      <w:bookmarkStart w:id="9" w:name="_Toc529879761"/>
      <w:bookmarkStart w:id="10" w:name="_Toc529880021"/>
      <w:bookmarkStart w:id="11" w:name="_Toc529886533"/>
      <w:bookmarkStart w:id="12" w:name="_Toc530661312"/>
      <w:bookmarkStart w:id="13" w:name="_Toc7699363"/>
      <w:bookmarkStart w:id="14" w:name="_Toc19283722"/>
      <w:bookmarkStart w:id="15" w:name="_Toc19289055"/>
      <w:bookmarkEnd w:id="6"/>
      <w:bookmarkEnd w:id="7"/>
      <w:bookmarkEnd w:id="8"/>
      <w:bookmarkEnd w:id="9"/>
      <w:bookmarkEnd w:id="10"/>
      <w:bookmarkEnd w:id="11"/>
      <w:r w:rsidRPr="00752DF2">
        <w:rPr>
          <w:lang w:val="en-GB"/>
        </w:rPr>
        <w:t>2</w:t>
      </w:r>
      <w:r w:rsidRPr="00752DF2">
        <w:rPr>
          <w:lang w:val="en-GB"/>
        </w:rPr>
        <w:tab/>
        <w:t>Glossary</w:t>
      </w:r>
      <w:bookmarkEnd w:id="12"/>
      <w:bookmarkEnd w:id="13"/>
      <w:bookmarkEnd w:id="14"/>
      <w:bookmarkEnd w:id="15"/>
    </w:p>
    <w:p w:rsidR="00B63D8D" w:rsidRPr="00752DF2" w:rsidRDefault="00B63D8D" w:rsidP="0083772B">
      <w:pPr>
        <w:tabs>
          <w:tab w:val="clear" w:pos="794"/>
        </w:tabs>
        <w:ind w:left="1191" w:hanging="1191"/>
        <w:rPr>
          <w:lang w:val="en-GB"/>
        </w:rPr>
      </w:pPr>
      <w:r w:rsidRPr="00752DF2">
        <w:rPr>
          <w:lang w:val="en-GB"/>
        </w:rPr>
        <w:t>BS</w:t>
      </w:r>
      <w:r w:rsidRPr="00752DF2">
        <w:rPr>
          <w:lang w:val="en-GB"/>
        </w:rPr>
        <w:tab/>
        <w:t>Base station</w:t>
      </w:r>
    </w:p>
    <w:p w:rsidR="00B63D8D" w:rsidRPr="00752DF2" w:rsidRDefault="00B63D8D" w:rsidP="0083772B">
      <w:pPr>
        <w:tabs>
          <w:tab w:val="clear" w:pos="794"/>
        </w:tabs>
        <w:ind w:left="1191" w:hanging="1191"/>
        <w:rPr>
          <w:lang w:val="en-GB"/>
        </w:rPr>
      </w:pPr>
      <w:r w:rsidRPr="00752DF2">
        <w:rPr>
          <w:lang w:val="en-GB"/>
        </w:rPr>
        <w:t>CDF</w:t>
      </w:r>
      <w:r w:rsidRPr="00752DF2">
        <w:rPr>
          <w:lang w:val="en-GB"/>
        </w:rPr>
        <w:tab/>
        <w:t>Cumulative distribution function</w:t>
      </w:r>
    </w:p>
    <w:p w:rsidR="00B63D8D" w:rsidRPr="00752DF2" w:rsidRDefault="00B63D8D" w:rsidP="0083772B">
      <w:pPr>
        <w:tabs>
          <w:tab w:val="clear" w:pos="794"/>
        </w:tabs>
        <w:ind w:left="1191" w:hanging="1191"/>
        <w:rPr>
          <w:lang w:val="en-GB"/>
        </w:rPr>
      </w:pPr>
      <w:r w:rsidRPr="00752DF2">
        <w:rPr>
          <w:lang w:val="en-GB"/>
        </w:rPr>
        <w:t>CPE</w:t>
      </w:r>
      <w:r w:rsidRPr="00752DF2">
        <w:rPr>
          <w:lang w:val="en-GB"/>
        </w:rPr>
        <w:tab/>
        <w:t xml:space="preserve">Customer </w:t>
      </w:r>
      <w:r w:rsidR="00752DF2" w:rsidRPr="00752DF2">
        <w:rPr>
          <w:lang w:val="en-GB"/>
        </w:rPr>
        <w:t>premise</w:t>
      </w:r>
      <w:r w:rsidR="00752DF2">
        <w:rPr>
          <w:lang w:val="en-GB"/>
        </w:rPr>
        <w:t>s</w:t>
      </w:r>
      <w:r w:rsidR="00752DF2" w:rsidRPr="00752DF2">
        <w:rPr>
          <w:lang w:val="en-GB"/>
        </w:rPr>
        <w:t xml:space="preserve"> equipment </w:t>
      </w:r>
      <w:r w:rsidRPr="00752DF2">
        <w:rPr>
          <w:lang w:val="en-GB"/>
        </w:rPr>
        <w:t>(serves fixed terminal links between HAPS and customer networks)</w:t>
      </w:r>
    </w:p>
    <w:p w:rsidR="00B63D8D" w:rsidRPr="00752DF2" w:rsidRDefault="00B63D8D" w:rsidP="0083772B">
      <w:pPr>
        <w:tabs>
          <w:tab w:val="clear" w:pos="794"/>
        </w:tabs>
        <w:ind w:left="1191" w:hanging="1191"/>
        <w:rPr>
          <w:lang w:val="en-GB"/>
        </w:rPr>
      </w:pPr>
      <w:r w:rsidRPr="00752DF2">
        <w:rPr>
          <w:lang w:val="en-GB"/>
        </w:rPr>
        <w:t>e.i.r.p.</w:t>
      </w:r>
      <w:r w:rsidRPr="00752DF2">
        <w:rPr>
          <w:lang w:val="en-GB"/>
        </w:rPr>
        <w:tab/>
        <w:t>Equivalent isotopically radiated power</w:t>
      </w:r>
    </w:p>
    <w:p w:rsidR="00B63D8D" w:rsidRPr="00752DF2" w:rsidRDefault="00B63D8D" w:rsidP="0083772B">
      <w:pPr>
        <w:tabs>
          <w:tab w:val="clear" w:pos="794"/>
        </w:tabs>
        <w:ind w:left="1191" w:hanging="1191"/>
        <w:rPr>
          <w:lang w:val="en-GB"/>
        </w:rPr>
      </w:pPr>
      <w:r w:rsidRPr="00752DF2">
        <w:rPr>
          <w:lang w:val="en-GB"/>
        </w:rPr>
        <w:t xml:space="preserve">FS </w:t>
      </w:r>
      <w:r w:rsidRPr="00752DF2">
        <w:rPr>
          <w:lang w:val="en-GB"/>
        </w:rPr>
        <w:tab/>
        <w:t>Fixed service</w:t>
      </w:r>
    </w:p>
    <w:p w:rsidR="00B63D8D" w:rsidRPr="00752DF2" w:rsidRDefault="00B63D8D" w:rsidP="0083772B">
      <w:pPr>
        <w:tabs>
          <w:tab w:val="clear" w:pos="794"/>
        </w:tabs>
        <w:ind w:left="1191" w:hanging="1191"/>
        <w:rPr>
          <w:lang w:val="en-GB"/>
        </w:rPr>
      </w:pPr>
      <w:r w:rsidRPr="00752DF2">
        <w:rPr>
          <w:lang w:val="en-GB"/>
        </w:rPr>
        <w:t>FSS</w:t>
      </w:r>
      <w:r w:rsidRPr="00752DF2">
        <w:rPr>
          <w:lang w:val="en-GB"/>
        </w:rPr>
        <w:tab/>
        <w:t>Fixed</w:t>
      </w:r>
      <w:r w:rsidR="00752DF2">
        <w:rPr>
          <w:lang w:val="en-GB"/>
        </w:rPr>
        <w:t>-</w:t>
      </w:r>
      <w:r w:rsidRPr="00752DF2">
        <w:rPr>
          <w:lang w:val="en-GB"/>
        </w:rPr>
        <w:t>satellite service</w:t>
      </w:r>
    </w:p>
    <w:p w:rsidR="00B63D8D" w:rsidRPr="00752DF2" w:rsidRDefault="00B63D8D" w:rsidP="0083772B">
      <w:pPr>
        <w:tabs>
          <w:tab w:val="clear" w:pos="794"/>
        </w:tabs>
        <w:ind w:left="1191" w:hanging="1191"/>
        <w:rPr>
          <w:lang w:val="en-GB"/>
        </w:rPr>
      </w:pPr>
      <w:r w:rsidRPr="00752DF2">
        <w:rPr>
          <w:lang w:val="en-GB"/>
        </w:rPr>
        <w:t>GSO</w:t>
      </w:r>
      <w:r w:rsidRPr="00752DF2">
        <w:rPr>
          <w:lang w:val="en-GB"/>
        </w:rPr>
        <w:tab/>
        <w:t>Geostationary satellite orbit</w:t>
      </w:r>
    </w:p>
    <w:p w:rsidR="00B63D8D" w:rsidRPr="00752DF2" w:rsidRDefault="00B63D8D" w:rsidP="0083772B">
      <w:pPr>
        <w:tabs>
          <w:tab w:val="clear" w:pos="794"/>
        </w:tabs>
        <w:ind w:left="1191" w:hanging="1191"/>
        <w:rPr>
          <w:lang w:val="en-GB"/>
        </w:rPr>
      </w:pPr>
      <w:r w:rsidRPr="00752DF2">
        <w:rPr>
          <w:lang w:val="en-GB"/>
        </w:rPr>
        <w:t>GW</w:t>
      </w:r>
      <w:r w:rsidRPr="00752DF2">
        <w:rPr>
          <w:lang w:val="en-GB"/>
        </w:rPr>
        <w:tab/>
        <w:t>Gateway (provides feeder link service between ground and HAPS)</w:t>
      </w:r>
    </w:p>
    <w:p w:rsidR="00B63D8D" w:rsidRPr="00752DF2" w:rsidRDefault="00B63D8D" w:rsidP="0083772B">
      <w:pPr>
        <w:tabs>
          <w:tab w:val="clear" w:pos="794"/>
        </w:tabs>
        <w:ind w:left="1191" w:hanging="1191"/>
        <w:rPr>
          <w:lang w:val="en-GB"/>
        </w:rPr>
      </w:pPr>
      <w:r w:rsidRPr="00752DF2">
        <w:rPr>
          <w:lang w:val="en-GB"/>
        </w:rPr>
        <w:t>HAPS</w:t>
      </w:r>
      <w:r w:rsidRPr="00752DF2">
        <w:rPr>
          <w:lang w:val="en-GB"/>
        </w:rPr>
        <w:tab/>
        <w:t xml:space="preserve">High altitude platform station </w:t>
      </w:r>
    </w:p>
    <w:p w:rsidR="00B63D8D" w:rsidRPr="00752DF2" w:rsidRDefault="00B63D8D" w:rsidP="0083772B">
      <w:pPr>
        <w:tabs>
          <w:tab w:val="clear" w:pos="794"/>
        </w:tabs>
        <w:ind w:left="1191" w:hanging="1191"/>
        <w:rPr>
          <w:lang w:val="en-GB"/>
        </w:rPr>
      </w:pPr>
      <w:r w:rsidRPr="00752DF2">
        <w:rPr>
          <w:lang w:val="en-GB"/>
        </w:rPr>
        <w:t>LHCP</w:t>
      </w:r>
      <w:r w:rsidRPr="00752DF2">
        <w:rPr>
          <w:lang w:val="en-GB"/>
        </w:rPr>
        <w:tab/>
        <w:t>Left hand circular polarisation</w:t>
      </w:r>
    </w:p>
    <w:p w:rsidR="00B63D8D" w:rsidRPr="00752DF2" w:rsidRDefault="00B63D8D" w:rsidP="0083772B">
      <w:pPr>
        <w:tabs>
          <w:tab w:val="clear" w:pos="794"/>
        </w:tabs>
        <w:ind w:left="1191" w:hanging="1191"/>
        <w:rPr>
          <w:lang w:val="en-GB"/>
        </w:rPr>
      </w:pPr>
      <w:r w:rsidRPr="00752DF2">
        <w:rPr>
          <w:lang w:val="en-GB"/>
        </w:rPr>
        <w:t xml:space="preserve">MS </w:t>
      </w:r>
      <w:r w:rsidRPr="00752DF2">
        <w:rPr>
          <w:lang w:val="en-GB"/>
        </w:rPr>
        <w:tab/>
        <w:t>Mobile service</w:t>
      </w:r>
    </w:p>
    <w:p w:rsidR="00B63D8D" w:rsidRPr="00752DF2" w:rsidRDefault="00B63D8D" w:rsidP="0083772B">
      <w:pPr>
        <w:tabs>
          <w:tab w:val="clear" w:pos="794"/>
        </w:tabs>
        <w:ind w:left="1191" w:hanging="1191"/>
        <w:rPr>
          <w:lang w:val="en-GB"/>
        </w:rPr>
      </w:pPr>
      <w:r w:rsidRPr="00752DF2">
        <w:rPr>
          <w:lang w:val="en-GB"/>
        </w:rPr>
        <w:t>pfd</w:t>
      </w:r>
      <w:r w:rsidRPr="00752DF2">
        <w:rPr>
          <w:lang w:val="en-GB"/>
        </w:rPr>
        <w:tab/>
        <w:t>Power flux-density</w:t>
      </w:r>
    </w:p>
    <w:p w:rsidR="00B63D8D" w:rsidRPr="00752DF2" w:rsidRDefault="00B63D8D" w:rsidP="0083772B">
      <w:pPr>
        <w:tabs>
          <w:tab w:val="clear" w:pos="794"/>
        </w:tabs>
        <w:ind w:left="1191" w:hanging="1191"/>
        <w:rPr>
          <w:lang w:val="en-GB"/>
        </w:rPr>
      </w:pPr>
      <w:r w:rsidRPr="00752DF2">
        <w:rPr>
          <w:lang w:val="en-GB"/>
        </w:rPr>
        <w:t>RHCP</w:t>
      </w:r>
      <w:r w:rsidRPr="00752DF2">
        <w:rPr>
          <w:lang w:val="en-GB"/>
        </w:rPr>
        <w:tab/>
        <w:t>Right hand circular polarisation</w:t>
      </w:r>
    </w:p>
    <w:p w:rsidR="00B63D8D" w:rsidRPr="00752DF2" w:rsidRDefault="00B63D8D" w:rsidP="0083772B">
      <w:pPr>
        <w:tabs>
          <w:tab w:val="clear" w:pos="794"/>
        </w:tabs>
        <w:ind w:left="1191" w:hanging="1191"/>
        <w:rPr>
          <w:lang w:val="en-GB"/>
        </w:rPr>
      </w:pPr>
      <w:r w:rsidRPr="00752DF2">
        <w:rPr>
          <w:lang w:val="en-GB"/>
        </w:rPr>
        <w:t>UL</w:t>
      </w:r>
      <w:r w:rsidRPr="00752DF2">
        <w:rPr>
          <w:lang w:val="en-GB"/>
        </w:rPr>
        <w:tab/>
        <w:t>Up link</w:t>
      </w:r>
    </w:p>
    <w:p w:rsidR="00B63D8D" w:rsidRPr="00752DF2" w:rsidRDefault="00B63D8D" w:rsidP="0083772B">
      <w:pPr>
        <w:tabs>
          <w:tab w:val="clear" w:pos="794"/>
        </w:tabs>
        <w:ind w:left="1191" w:hanging="1191"/>
        <w:rPr>
          <w:rFonts w:eastAsia="SimSun"/>
          <w:lang w:val="en-GB"/>
        </w:rPr>
      </w:pPr>
      <w:r w:rsidRPr="00752DF2">
        <w:rPr>
          <w:rFonts w:eastAsia="SimSun"/>
          <w:lang w:val="en-GB"/>
        </w:rPr>
        <w:t>UE</w:t>
      </w:r>
      <w:r w:rsidRPr="00752DF2">
        <w:rPr>
          <w:rFonts w:eastAsia="SimSun"/>
          <w:lang w:val="en-GB"/>
        </w:rPr>
        <w:tab/>
        <w:t xml:space="preserve">User equipment </w:t>
      </w:r>
    </w:p>
    <w:p w:rsidR="00B63D8D" w:rsidRPr="00752DF2" w:rsidRDefault="00B63D8D" w:rsidP="00B63D8D">
      <w:pPr>
        <w:pStyle w:val="Heading1"/>
        <w:rPr>
          <w:lang w:val="en-GB"/>
        </w:rPr>
      </w:pPr>
      <w:bookmarkStart w:id="16" w:name="_Toc530661313"/>
      <w:bookmarkStart w:id="17" w:name="_Toc7699364"/>
      <w:bookmarkStart w:id="18" w:name="_Toc19283723"/>
      <w:bookmarkStart w:id="19" w:name="_Toc19289056"/>
      <w:r w:rsidRPr="00752DF2">
        <w:rPr>
          <w:lang w:val="en-GB"/>
        </w:rPr>
        <w:t>3</w:t>
      </w:r>
      <w:r w:rsidRPr="00752DF2">
        <w:rPr>
          <w:lang w:val="en-GB"/>
        </w:rPr>
        <w:tab/>
        <w:t>Allocation information in the 47.2-47.5 and 47.9-48.2 GHz frequency ranges</w:t>
      </w:r>
      <w:bookmarkEnd w:id="16"/>
      <w:bookmarkEnd w:id="17"/>
      <w:bookmarkEnd w:id="18"/>
      <w:bookmarkEnd w:id="19"/>
    </w:p>
    <w:p w:rsidR="00B63D8D" w:rsidRPr="00752DF2" w:rsidRDefault="00B63D8D" w:rsidP="00B63D8D">
      <w:pPr>
        <w:rPr>
          <w:lang w:val="en-GB" w:eastAsia="ja-JP"/>
        </w:rPr>
      </w:pPr>
      <w:r w:rsidRPr="00752DF2">
        <w:rPr>
          <w:lang w:val="en-GB" w:eastAsia="ja-JP"/>
        </w:rPr>
        <w:t>The Radio Regulations Table of Frequency Allocations is provided for reference below.</w:t>
      </w:r>
    </w:p>
    <w:p w:rsidR="00752DF2" w:rsidRDefault="00752DF2" w:rsidP="00B63D8D">
      <w:pPr>
        <w:pStyle w:val="TableNo"/>
        <w:rPr>
          <w:lang w:val="en-GB"/>
        </w:rPr>
      </w:pPr>
      <w:r>
        <w:rPr>
          <w:lang w:val="en-GB"/>
        </w:rPr>
        <w:br w:type="page"/>
      </w:r>
    </w:p>
    <w:p w:rsidR="00B63D8D" w:rsidRPr="00752DF2" w:rsidRDefault="00B63D8D" w:rsidP="00B63D8D">
      <w:pPr>
        <w:pStyle w:val="TableNo"/>
        <w:rPr>
          <w:lang w:val="en-GB"/>
        </w:rPr>
      </w:pPr>
      <w:r w:rsidRPr="00752DF2">
        <w:rPr>
          <w:lang w:val="en-GB"/>
        </w:rPr>
        <w:t>T</w:t>
      </w:r>
      <w:r w:rsidR="0083772B" w:rsidRPr="00752DF2">
        <w:rPr>
          <w:lang w:val="en-GB"/>
        </w:rPr>
        <w:t>ABLE</w:t>
      </w:r>
      <w:r w:rsidRPr="00752DF2">
        <w:rPr>
          <w:lang w:val="en-GB"/>
        </w:rPr>
        <w:t xml:space="preserve"> </w:t>
      </w:r>
      <w:r w:rsidRPr="001954AF">
        <w:fldChar w:fldCharType="begin"/>
      </w:r>
      <w:r w:rsidRPr="00752DF2">
        <w:rPr>
          <w:lang w:val="en-GB"/>
        </w:rPr>
        <w:instrText xml:space="preserve"> SEQ Table \* ARABIC </w:instrText>
      </w:r>
      <w:r w:rsidRPr="001954AF">
        <w:fldChar w:fldCharType="separate"/>
      </w:r>
      <w:r w:rsidR="00B5458E" w:rsidRPr="00752DF2">
        <w:rPr>
          <w:noProof/>
          <w:lang w:val="en-GB"/>
        </w:rPr>
        <w:t>1</w:t>
      </w:r>
      <w:r w:rsidRPr="001954AF">
        <w:fldChar w:fldCharType="end"/>
      </w:r>
    </w:p>
    <w:p w:rsidR="00B63D8D" w:rsidRPr="00752DF2" w:rsidRDefault="00B63D8D" w:rsidP="00B63D8D">
      <w:pPr>
        <w:pStyle w:val="Tabletitle"/>
        <w:rPr>
          <w:lang w:val="en-GB"/>
        </w:rPr>
      </w:pPr>
      <w:r w:rsidRPr="00752DF2">
        <w:rPr>
          <w:lang w:val="en-GB"/>
        </w:rPr>
        <w:t>Allocation information in the 47.2-47.5 and 47.9-48.2 GHz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2"/>
      </w:tblGrid>
      <w:tr w:rsidR="00B63D8D" w:rsidRPr="001954AF" w:rsidTr="00194EFE">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head"/>
            </w:pPr>
            <w:r w:rsidRPr="001954AF">
              <w:t>Allocation to services</w:t>
            </w:r>
          </w:p>
        </w:tc>
      </w:tr>
      <w:tr w:rsidR="00B63D8D" w:rsidRPr="001954AF" w:rsidTr="00194EFE">
        <w:trPr>
          <w:cantSplit/>
          <w:jc w:val="center"/>
        </w:trPr>
        <w:tc>
          <w:tcPr>
            <w:tcW w:w="3101" w:type="dxa"/>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head"/>
            </w:pPr>
            <w:r w:rsidRPr="001954AF">
              <w:t>Region 1</w:t>
            </w:r>
          </w:p>
        </w:tc>
        <w:tc>
          <w:tcPr>
            <w:tcW w:w="3101" w:type="dxa"/>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head"/>
            </w:pPr>
            <w:r w:rsidRPr="001954AF">
              <w:t>Region 2</w:t>
            </w:r>
          </w:p>
        </w:tc>
        <w:tc>
          <w:tcPr>
            <w:tcW w:w="3102" w:type="dxa"/>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head"/>
            </w:pPr>
            <w:r w:rsidRPr="001954AF">
              <w:t>Region 3</w:t>
            </w:r>
          </w:p>
        </w:tc>
      </w:tr>
      <w:tr w:rsidR="00B63D8D" w:rsidRPr="001954AF" w:rsidTr="00194EFE">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S5"/>
              <w:rPr>
                <w:color w:val="000000"/>
              </w:rPr>
            </w:pPr>
            <w:r w:rsidRPr="001954AF">
              <w:rPr>
                <w:rStyle w:val="Tablefreq"/>
              </w:rPr>
              <w:t>47.2-47.5</w:t>
            </w:r>
            <w:r w:rsidRPr="001954AF">
              <w:rPr>
                <w:color w:val="000000"/>
              </w:rPr>
              <w:tab/>
              <w:t>FIXED</w:t>
            </w:r>
          </w:p>
          <w:p w:rsidR="00B63D8D" w:rsidRPr="001954AF" w:rsidRDefault="00B63D8D" w:rsidP="00194EFE">
            <w:pPr>
              <w:pStyle w:val="TableTextS5"/>
              <w:rPr>
                <w:color w:val="000000"/>
              </w:rPr>
            </w:pPr>
            <w:r w:rsidRPr="001954AF">
              <w:rPr>
                <w:color w:val="000000"/>
              </w:rPr>
              <w:tab/>
            </w:r>
            <w:r w:rsidRPr="001954AF">
              <w:rPr>
                <w:color w:val="000000"/>
              </w:rPr>
              <w:tab/>
            </w:r>
            <w:r w:rsidRPr="001954AF">
              <w:rPr>
                <w:color w:val="000000"/>
              </w:rPr>
              <w:tab/>
            </w:r>
            <w:r w:rsidRPr="001954AF">
              <w:rPr>
                <w:color w:val="000000"/>
              </w:rPr>
              <w:tab/>
              <w:t xml:space="preserve">FIXED-SATELLITE (Earth-to-space)  </w:t>
            </w:r>
            <w:r w:rsidRPr="001954AF">
              <w:rPr>
                <w:rStyle w:val="Artref"/>
                <w:color w:val="000000"/>
              </w:rPr>
              <w:t>5.552</w:t>
            </w:r>
          </w:p>
          <w:p w:rsidR="00B63D8D" w:rsidRPr="001954AF" w:rsidRDefault="00B63D8D" w:rsidP="00194EFE">
            <w:pPr>
              <w:pStyle w:val="TableTextS5"/>
              <w:rPr>
                <w:color w:val="000000"/>
              </w:rPr>
            </w:pPr>
            <w:r w:rsidRPr="001954AF">
              <w:rPr>
                <w:color w:val="000000"/>
              </w:rPr>
              <w:tab/>
            </w:r>
            <w:r w:rsidRPr="001954AF">
              <w:rPr>
                <w:color w:val="000000"/>
              </w:rPr>
              <w:tab/>
            </w:r>
            <w:r w:rsidRPr="001954AF">
              <w:rPr>
                <w:color w:val="000000"/>
              </w:rPr>
              <w:tab/>
            </w:r>
            <w:r w:rsidRPr="001954AF">
              <w:rPr>
                <w:color w:val="000000"/>
              </w:rPr>
              <w:tab/>
              <w:t>MOBILE</w:t>
            </w:r>
          </w:p>
          <w:p w:rsidR="00B63D8D" w:rsidRPr="001954AF" w:rsidRDefault="00B63D8D" w:rsidP="00194EFE">
            <w:pPr>
              <w:pStyle w:val="TableTextS5"/>
              <w:rPr>
                <w:color w:val="000000"/>
              </w:rPr>
            </w:pPr>
            <w:r w:rsidRPr="001954AF">
              <w:rPr>
                <w:color w:val="000000"/>
              </w:rPr>
              <w:tab/>
            </w:r>
            <w:r w:rsidRPr="001954AF">
              <w:rPr>
                <w:color w:val="000000"/>
              </w:rPr>
              <w:tab/>
            </w:r>
            <w:r w:rsidRPr="001954AF">
              <w:rPr>
                <w:color w:val="000000"/>
              </w:rPr>
              <w:tab/>
            </w:r>
            <w:r w:rsidRPr="001954AF">
              <w:rPr>
                <w:color w:val="000000"/>
              </w:rPr>
              <w:tab/>
            </w:r>
            <w:r w:rsidRPr="001954AF">
              <w:rPr>
                <w:rStyle w:val="Artref"/>
                <w:color w:val="000000"/>
              </w:rPr>
              <w:t>5.552A</w:t>
            </w:r>
          </w:p>
        </w:tc>
      </w:tr>
      <w:tr w:rsidR="00B63D8D" w:rsidRPr="001954AF" w:rsidTr="00194EFE">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S5"/>
              <w:rPr>
                <w:rStyle w:val="Tablefreq"/>
              </w:rPr>
            </w:pPr>
            <w:r w:rsidRPr="001954AF">
              <w:rPr>
                <w:rStyle w:val="Tablefreq"/>
              </w:rPr>
              <w:t>…</w:t>
            </w:r>
          </w:p>
        </w:tc>
      </w:tr>
      <w:tr w:rsidR="00B63D8D" w:rsidRPr="001954AF" w:rsidTr="00194EFE">
        <w:tblPrEx>
          <w:tblBorders>
            <w:top w:val="none" w:sz="0" w:space="0" w:color="auto"/>
            <w:bottom w:val="single" w:sz="6" w:space="0" w:color="auto"/>
            <w:insideV w:val="single" w:sz="6" w:space="0" w:color="auto"/>
          </w:tblBorders>
        </w:tblPrEx>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S5"/>
            </w:pPr>
            <w:r w:rsidRPr="001954AF">
              <w:rPr>
                <w:rStyle w:val="Tablefreq"/>
              </w:rPr>
              <w:t>47.9-48.2</w:t>
            </w:r>
            <w:r w:rsidRPr="001954AF">
              <w:tab/>
              <w:t>FIXED</w:t>
            </w:r>
          </w:p>
          <w:p w:rsidR="00B63D8D" w:rsidRPr="001954AF" w:rsidRDefault="00B63D8D" w:rsidP="00194EFE">
            <w:pPr>
              <w:pStyle w:val="TableTextS5"/>
            </w:pPr>
            <w:r w:rsidRPr="001954AF">
              <w:tab/>
            </w:r>
            <w:r w:rsidRPr="001954AF">
              <w:tab/>
            </w:r>
            <w:r w:rsidRPr="001954AF">
              <w:tab/>
            </w:r>
            <w:r w:rsidRPr="001954AF">
              <w:tab/>
              <w:t xml:space="preserve">FIXED-SATELLITE (Earth-to-space)  </w:t>
            </w:r>
            <w:r w:rsidRPr="001954AF">
              <w:rPr>
                <w:rStyle w:val="Artref"/>
                <w:color w:val="000000"/>
              </w:rPr>
              <w:t>5.552</w:t>
            </w:r>
          </w:p>
          <w:p w:rsidR="00B63D8D" w:rsidRPr="001954AF" w:rsidRDefault="00B63D8D" w:rsidP="00194EFE">
            <w:pPr>
              <w:pStyle w:val="TableTextS5"/>
              <w:rPr>
                <w:color w:val="000000"/>
              </w:rPr>
            </w:pPr>
            <w:r w:rsidRPr="001954AF">
              <w:rPr>
                <w:color w:val="000000"/>
              </w:rPr>
              <w:tab/>
            </w:r>
            <w:r w:rsidRPr="001954AF">
              <w:rPr>
                <w:color w:val="000000"/>
              </w:rPr>
              <w:tab/>
            </w:r>
            <w:r w:rsidRPr="001954AF">
              <w:rPr>
                <w:color w:val="000000"/>
              </w:rPr>
              <w:tab/>
            </w:r>
            <w:r w:rsidRPr="001954AF">
              <w:rPr>
                <w:color w:val="000000"/>
              </w:rPr>
              <w:tab/>
            </w:r>
            <w:r w:rsidRPr="001954AF">
              <w:t>MOBILE</w:t>
            </w:r>
          </w:p>
          <w:p w:rsidR="00B63D8D" w:rsidRPr="001954AF" w:rsidRDefault="00B63D8D" w:rsidP="00194EFE">
            <w:pPr>
              <w:pStyle w:val="TableTextS5"/>
              <w:rPr>
                <w:rStyle w:val="Tablefreq"/>
                <w:color w:val="000000"/>
              </w:rPr>
            </w:pPr>
            <w:r w:rsidRPr="001954AF">
              <w:tab/>
            </w:r>
            <w:r w:rsidRPr="001954AF">
              <w:tab/>
            </w:r>
            <w:r w:rsidRPr="001954AF">
              <w:tab/>
            </w:r>
            <w:r w:rsidRPr="001954AF">
              <w:tab/>
            </w:r>
            <w:r w:rsidRPr="001954AF">
              <w:rPr>
                <w:rStyle w:val="Artref"/>
                <w:color w:val="000000"/>
              </w:rPr>
              <w:t>5.552A</w:t>
            </w:r>
          </w:p>
        </w:tc>
      </w:tr>
    </w:tbl>
    <w:p w:rsidR="00B63D8D" w:rsidRPr="0083772B" w:rsidRDefault="00B63D8D" w:rsidP="00B63D8D">
      <w:pPr>
        <w:pStyle w:val="Tablefin"/>
        <w:rPr>
          <w:sz w:val="4"/>
          <w:szCs w:val="4"/>
        </w:rPr>
      </w:pPr>
      <w:bookmarkStart w:id="20" w:name="_Toc530661314"/>
    </w:p>
    <w:p w:rsidR="00B63D8D" w:rsidRPr="001954AF" w:rsidRDefault="00B63D8D" w:rsidP="00B63D8D">
      <w:pPr>
        <w:pStyle w:val="Heading1"/>
      </w:pPr>
      <w:bookmarkStart w:id="21" w:name="_Toc7699365"/>
      <w:bookmarkStart w:id="22" w:name="_Toc19283724"/>
      <w:bookmarkStart w:id="23" w:name="_Toc19289057"/>
      <w:r w:rsidRPr="001954AF">
        <w:t>4</w:t>
      </w:r>
      <w:r w:rsidRPr="001954AF">
        <w:tab/>
        <w:t>Technical characteristics</w:t>
      </w:r>
      <w:bookmarkEnd w:id="20"/>
      <w:bookmarkEnd w:id="21"/>
      <w:bookmarkEnd w:id="22"/>
      <w:bookmarkEnd w:id="23"/>
    </w:p>
    <w:p w:rsidR="00B63D8D" w:rsidRPr="00752DF2" w:rsidRDefault="00B63D8D" w:rsidP="00B63D8D">
      <w:pPr>
        <w:pStyle w:val="Heading2"/>
        <w:rPr>
          <w:lang w:val="en-GB"/>
        </w:rPr>
      </w:pPr>
      <w:bookmarkStart w:id="24" w:name="_Toc530661315"/>
      <w:bookmarkStart w:id="25" w:name="_Toc7699366"/>
      <w:bookmarkStart w:id="26" w:name="_Toc19283725"/>
      <w:bookmarkStart w:id="27" w:name="_Toc19289058"/>
      <w:r w:rsidRPr="00752DF2">
        <w:rPr>
          <w:lang w:val="en-GB"/>
        </w:rPr>
        <w:t>4.1</w:t>
      </w:r>
      <w:r w:rsidRPr="00752DF2">
        <w:rPr>
          <w:lang w:val="en-GB"/>
        </w:rPr>
        <w:tab/>
        <w:t>Technical and operational characteristics of HAPS systems operating in the 47.2</w:t>
      </w:r>
      <w:r w:rsidR="00752DF2">
        <w:rPr>
          <w:lang w:val="en-GB"/>
        </w:rPr>
        <w:noBreakHyphen/>
      </w:r>
      <w:r w:rsidRPr="00752DF2">
        <w:rPr>
          <w:lang w:val="en-GB"/>
        </w:rPr>
        <w:t>47.5</w:t>
      </w:r>
      <w:r w:rsidR="00752DF2">
        <w:rPr>
          <w:lang w:val="en-GB"/>
        </w:rPr>
        <w:t> </w:t>
      </w:r>
      <w:r w:rsidRPr="00752DF2">
        <w:rPr>
          <w:lang w:val="en-GB"/>
        </w:rPr>
        <w:t>and 47.9-48.2 GHz frequency ranges</w:t>
      </w:r>
      <w:bookmarkEnd w:id="24"/>
      <w:bookmarkEnd w:id="25"/>
      <w:bookmarkEnd w:id="26"/>
      <w:bookmarkEnd w:id="27"/>
    </w:p>
    <w:p w:rsidR="00B63D8D" w:rsidRPr="00752DF2" w:rsidRDefault="00B63D8D" w:rsidP="00576C6B">
      <w:pPr>
        <w:rPr>
          <w:lang w:val="en-GB"/>
        </w:rPr>
      </w:pPr>
      <w:r w:rsidRPr="00752DF2">
        <w:rPr>
          <w:lang w:val="en-GB"/>
        </w:rPr>
        <w:t>For technical and operational characteristics of HAPS systems, see Report ITU-R F.2439-0.</w:t>
      </w:r>
    </w:p>
    <w:p w:rsidR="00B63D8D" w:rsidRPr="00752DF2" w:rsidRDefault="00B63D8D" w:rsidP="00B63D8D">
      <w:pPr>
        <w:pStyle w:val="Heading2"/>
        <w:rPr>
          <w:lang w:val="en-GB"/>
        </w:rPr>
      </w:pPr>
      <w:bookmarkStart w:id="28" w:name="_Toc529892322"/>
      <w:bookmarkStart w:id="29" w:name="_Toc529892974"/>
      <w:bookmarkStart w:id="30" w:name="_Toc529901926"/>
      <w:bookmarkStart w:id="31" w:name="_Toc529902145"/>
      <w:bookmarkStart w:id="32" w:name="_Toc529904259"/>
      <w:bookmarkStart w:id="33" w:name="_Toc529892323"/>
      <w:bookmarkStart w:id="34" w:name="_Toc529892975"/>
      <w:bookmarkStart w:id="35" w:name="_Toc529901927"/>
      <w:bookmarkStart w:id="36" w:name="_Toc529902146"/>
      <w:bookmarkStart w:id="37" w:name="_Toc529904260"/>
      <w:bookmarkStart w:id="38" w:name="_Toc529892324"/>
      <w:bookmarkStart w:id="39" w:name="_Toc529892976"/>
      <w:bookmarkStart w:id="40" w:name="_Toc529901928"/>
      <w:bookmarkStart w:id="41" w:name="_Toc529902147"/>
      <w:bookmarkStart w:id="42" w:name="_Toc529904261"/>
      <w:bookmarkStart w:id="43" w:name="_Toc529892325"/>
      <w:bookmarkStart w:id="44" w:name="_Toc529892977"/>
      <w:bookmarkStart w:id="45" w:name="_Toc529901929"/>
      <w:bookmarkStart w:id="46" w:name="_Toc529902148"/>
      <w:bookmarkStart w:id="47" w:name="_Toc529904262"/>
      <w:bookmarkStart w:id="48" w:name="_Toc529892326"/>
      <w:bookmarkStart w:id="49" w:name="_Toc529892978"/>
      <w:bookmarkStart w:id="50" w:name="_Toc529901930"/>
      <w:bookmarkStart w:id="51" w:name="_Toc529902149"/>
      <w:bookmarkStart w:id="52" w:name="_Toc529904263"/>
      <w:bookmarkStart w:id="53" w:name="_Toc529892327"/>
      <w:bookmarkStart w:id="54" w:name="_Toc529892979"/>
      <w:bookmarkStart w:id="55" w:name="_Toc529901931"/>
      <w:bookmarkStart w:id="56" w:name="_Toc529902150"/>
      <w:bookmarkStart w:id="57" w:name="_Toc529904264"/>
      <w:bookmarkStart w:id="58" w:name="_Toc529892394"/>
      <w:bookmarkStart w:id="59" w:name="_Toc529893046"/>
      <w:bookmarkStart w:id="60" w:name="_Toc529901998"/>
      <w:bookmarkStart w:id="61" w:name="_Toc529902217"/>
      <w:bookmarkStart w:id="62" w:name="_Toc529904331"/>
      <w:bookmarkStart w:id="63" w:name="_Toc530661316"/>
      <w:bookmarkStart w:id="64" w:name="_Toc7699367"/>
      <w:bookmarkStart w:id="65" w:name="_Toc19283726"/>
      <w:bookmarkStart w:id="66" w:name="_Toc1928905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752DF2">
        <w:rPr>
          <w:lang w:val="en-GB"/>
        </w:rPr>
        <w:t>4.2</w:t>
      </w:r>
      <w:r w:rsidRPr="00752DF2">
        <w:rPr>
          <w:lang w:val="en-GB"/>
        </w:rPr>
        <w:tab/>
        <w:t>Technical and operational characteristics of Mobile service operating in the 47.2</w:t>
      </w:r>
      <w:r w:rsidR="00752DF2">
        <w:rPr>
          <w:lang w:val="en-GB"/>
        </w:rPr>
        <w:noBreakHyphen/>
      </w:r>
      <w:r w:rsidRPr="00752DF2">
        <w:rPr>
          <w:lang w:val="en-GB"/>
        </w:rPr>
        <w:t>47.5</w:t>
      </w:r>
      <w:r w:rsidR="00752DF2">
        <w:rPr>
          <w:lang w:val="en-GB"/>
        </w:rPr>
        <w:t> </w:t>
      </w:r>
      <w:r w:rsidRPr="00752DF2">
        <w:rPr>
          <w:lang w:val="en-GB"/>
        </w:rPr>
        <w:t>and 47.9-48.2 GHz frequency ranges</w:t>
      </w:r>
      <w:bookmarkEnd w:id="63"/>
      <w:bookmarkEnd w:id="64"/>
      <w:bookmarkEnd w:id="65"/>
      <w:bookmarkEnd w:id="66"/>
    </w:p>
    <w:p w:rsidR="00B63D8D" w:rsidRPr="00752DF2" w:rsidRDefault="00B63D8D" w:rsidP="00B63D8D">
      <w:pPr>
        <w:rPr>
          <w:lang w:val="en-GB"/>
        </w:rPr>
      </w:pPr>
      <w:r w:rsidRPr="00752DF2">
        <w:rPr>
          <w:lang w:val="en-GB"/>
        </w:rPr>
        <w:t>The technical and operational characteristics of mobile service to be used for sharing studies is given in the Tables below.</w:t>
      </w:r>
    </w:p>
    <w:p w:rsidR="00B63D8D" w:rsidRPr="00752DF2" w:rsidRDefault="00B63D8D" w:rsidP="00B63D8D">
      <w:pPr>
        <w:rPr>
          <w:lang w:val="en-GB"/>
        </w:rPr>
      </w:pPr>
      <w:r w:rsidRPr="00752DF2">
        <w:rPr>
          <w:lang w:val="en-GB"/>
        </w:rPr>
        <w:t>Table 2 shows the deployment related parameters for mobile services. The parameters are from Recommendation ITU-R M.2101 and from the relevant group for:</w:t>
      </w:r>
    </w:p>
    <w:p w:rsidR="00B63D8D" w:rsidRPr="00752DF2" w:rsidRDefault="00B63D8D" w:rsidP="00B63D8D">
      <w:pPr>
        <w:pStyle w:val="enumlev1"/>
        <w:rPr>
          <w:lang w:val="en-GB"/>
        </w:rPr>
      </w:pPr>
      <w:r w:rsidRPr="00752DF2">
        <w:rPr>
          <w:lang w:val="en-GB"/>
        </w:rPr>
        <w:t>–</w:t>
      </w:r>
      <w:r w:rsidRPr="00752DF2">
        <w:rPr>
          <w:lang w:val="en-GB"/>
        </w:rPr>
        <w:tab/>
        <w:t>Base station outdoor suburban hotspot</w:t>
      </w:r>
    </w:p>
    <w:p w:rsidR="00B63D8D" w:rsidRPr="00752DF2" w:rsidRDefault="00B63D8D" w:rsidP="00B63D8D">
      <w:pPr>
        <w:pStyle w:val="enumlev1"/>
        <w:rPr>
          <w:lang w:val="en-GB"/>
        </w:rPr>
      </w:pPr>
      <w:r w:rsidRPr="00752DF2">
        <w:rPr>
          <w:lang w:val="en-GB"/>
        </w:rPr>
        <w:t>–</w:t>
      </w:r>
      <w:r w:rsidRPr="00752DF2">
        <w:rPr>
          <w:lang w:val="en-GB"/>
        </w:rPr>
        <w:tab/>
        <w:t>Base station outdoor urban hotspot</w:t>
      </w:r>
    </w:p>
    <w:p w:rsidR="00B63D8D" w:rsidRPr="00752DF2" w:rsidRDefault="00B63D8D" w:rsidP="00B63D8D">
      <w:pPr>
        <w:pStyle w:val="enumlev1"/>
        <w:rPr>
          <w:lang w:val="en-GB"/>
        </w:rPr>
      </w:pPr>
      <w:r w:rsidRPr="00752DF2">
        <w:rPr>
          <w:lang w:val="en-GB"/>
        </w:rPr>
        <w:t>–</w:t>
      </w:r>
      <w:r w:rsidRPr="00752DF2">
        <w:rPr>
          <w:lang w:val="en-GB"/>
        </w:rPr>
        <w:tab/>
        <w:t>Base station indoor office</w:t>
      </w:r>
    </w:p>
    <w:p w:rsidR="00B63D8D" w:rsidRPr="00752DF2" w:rsidRDefault="00B63D8D" w:rsidP="00B63D8D">
      <w:pPr>
        <w:pStyle w:val="enumlev1"/>
        <w:rPr>
          <w:lang w:val="en-GB"/>
        </w:rPr>
      </w:pPr>
      <w:r w:rsidRPr="00752DF2">
        <w:rPr>
          <w:lang w:val="en-GB"/>
        </w:rPr>
        <w:t>–</w:t>
      </w:r>
      <w:r w:rsidRPr="00752DF2">
        <w:rPr>
          <w:lang w:val="en-GB"/>
        </w:rPr>
        <w:tab/>
        <w:t>User terminal.</w:t>
      </w:r>
    </w:p>
    <w:p w:rsidR="00B63D8D" w:rsidRPr="00752DF2" w:rsidRDefault="00B63D8D" w:rsidP="00B63D8D">
      <w:pPr>
        <w:pStyle w:val="TableNo"/>
        <w:rPr>
          <w:lang w:val="en-GB"/>
        </w:rPr>
      </w:pPr>
      <w:r w:rsidRPr="00752DF2">
        <w:rPr>
          <w:lang w:val="en-GB"/>
        </w:rPr>
        <w:t>T</w:t>
      </w:r>
      <w:r w:rsidR="00576C6B" w:rsidRPr="00752DF2">
        <w:rPr>
          <w:lang w:val="en-GB"/>
        </w:rPr>
        <w:t>ABLE</w:t>
      </w:r>
      <w:r w:rsidRPr="00752DF2">
        <w:rPr>
          <w:lang w:val="en-GB"/>
        </w:rPr>
        <w:t xml:space="preserve"> </w:t>
      </w:r>
      <w:r w:rsidRPr="00752DF2">
        <w:rPr>
          <w:noProof/>
          <w:lang w:val="en-GB"/>
        </w:rPr>
        <w:t>2</w:t>
      </w:r>
    </w:p>
    <w:p w:rsidR="00B63D8D" w:rsidRPr="00752DF2" w:rsidRDefault="00B63D8D" w:rsidP="00B63D8D">
      <w:pPr>
        <w:pStyle w:val="Tabletitle"/>
        <w:rPr>
          <w:lang w:val="en-GB"/>
        </w:rPr>
      </w:pPr>
      <w:r w:rsidRPr="00752DF2">
        <w:rPr>
          <w:lang w:val="en-GB"/>
        </w:rPr>
        <w:t>Deployment related parameters for bands between 45.5 GHz and 52.6 GHz</w:t>
      </w:r>
    </w:p>
    <w:tbl>
      <w:tblPr>
        <w:tblW w:w="9639" w:type="dxa"/>
        <w:jc w:val="center"/>
        <w:tblLayout w:type="fixed"/>
        <w:tblLook w:val="04A0" w:firstRow="1" w:lastRow="0" w:firstColumn="1" w:lastColumn="0" w:noHBand="0" w:noVBand="1"/>
      </w:tblPr>
      <w:tblGrid>
        <w:gridCol w:w="640"/>
        <w:gridCol w:w="2051"/>
        <w:gridCol w:w="2271"/>
        <w:gridCol w:w="2269"/>
        <w:gridCol w:w="2408"/>
      </w:tblGrid>
      <w:tr w:rsidR="00B63D8D" w:rsidRPr="001954AF" w:rsidTr="00D51FE8">
        <w:trPr>
          <w:jc w:val="center"/>
        </w:trPr>
        <w:tc>
          <w:tcPr>
            <w:tcW w:w="1396" w:type="pct"/>
            <w:gridSpan w:val="2"/>
            <w:tcBorders>
              <w:top w:val="single" w:sz="4" w:space="0" w:color="auto"/>
              <w:left w:val="single" w:sz="4" w:space="0" w:color="auto"/>
              <w:bottom w:val="single" w:sz="4" w:space="0" w:color="auto"/>
              <w:right w:val="single" w:sz="4" w:space="0" w:color="auto"/>
            </w:tcBorders>
            <w:vAlign w:val="center"/>
          </w:tcPr>
          <w:p w:rsidR="00B63D8D" w:rsidRPr="00752DF2" w:rsidRDefault="00B63D8D" w:rsidP="00194EFE">
            <w:pPr>
              <w:pStyle w:val="Tablehead"/>
              <w:rPr>
                <w:spacing w:val="-2"/>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B63D8D" w:rsidRPr="001954AF" w:rsidRDefault="00B63D8D" w:rsidP="00194EFE">
            <w:pPr>
              <w:pStyle w:val="Tablehead"/>
              <w:rPr>
                <w:spacing w:val="-2"/>
              </w:rPr>
            </w:pPr>
            <w:r w:rsidRPr="001954AF">
              <w:rPr>
                <w:spacing w:val="-2"/>
              </w:rPr>
              <w:t>Outdoor suburban hotspot</w:t>
            </w:r>
          </w:p>
        </w:tc>
        <w:tc>
          <w:tcPr>
            <w:tcW w:w="1177" w:type="pct"/>
            <w:tcBorders>
              <w:top w:val="single" w:sz="4" w:space="0" w:color="auto"/>
              <w:left w:val="single" w:sz="4" w:space="0" w:color="auto"/>
              <w:bottom w:val="single" w:sz="4" w:space="0" w:color="auto"/>
              <w:right w:val="single" w:sz="4" w:space="0" w:color="auto"/>
            </w:tcBorders>
            <w:vAlign w:val="center"/>
            <w:hideMark/>
          </w:tcPr>
          <w:p w:rsidR="00B63D8D" w:rsidRPr="001954AF" w:rsidRDefault="00B63D8D" w:rsidP="00194EFE">
            <w:pPr>
              <w:pStyle w:val="Tablehead"/>
              <w:rPr>
                <w:spacing w:val="-2"/>
              </w:rPr>
            </w:pPr>
            <w:r w:rsidRPr="001954AF">
              <w:rPr>
                <w:spacing w:val="-2"/>
              </w:rPr>
              <w:t>Outdoor urban hotspot</w:t>
            </w:r>
          </w:p>
        </w:tc>
        <w:tc>
          <w:tcPr>
            <w:tcW w:w="1249" w:type="pct"/>
            <w:tcBorders>
              <w:top w:val="single" w:sz="4" w:space="0" w:color="auto"/>
              <w:left w:val="single" w:sz="4" w:space="0" w:color="auto"/>
              <w:bottom w:val="single" w:sz="4" w:space="0" w:color="auto"/>
              <w:right w:val="single" w:sz="4" w:space="0" w:color="auto"/>
            </w:tcBorders>
            <w:vAlign w:val="center"/>
            <w:hideMark/>
          </w:tcPr>
          <w:p w:rsidR="00B63D8D" w:rsidRPr="001954AF" w:rsidRDefault="00B63D8D" w:rsidP="00194EFE">
            <w:pPr>
              <w:pStyle w:val="Tablehead"/>
              <w:rPr>
                <w:spacing w:val="-2"/>
              </w:rPr>
            </w:pPr>
            <w:r w:rsidRPr="001954AF">
              <w:rPr>
                <w:spacing w:val="-2"/>
              </w:rPr>
              <w:t>Indoor</w:t>
            </w:r>
          </w:p>
        </w:tc>
      </w:tr>
      <w:tr w:rsidR="00B63D8D" w:rsidRPr="001954AF" w:rsidTr="00D51FE8">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keepNext/>
              <w:keepLines/>
              <w:rPr>
                <w:b/>
                <w:bCs/>
                <w:spacing w:val="-2"/>
              </w:rPr>
            </w:pPr>
            <w:r w:rsidRPr="001954AF">
              <w:rPr>
                <w:b/>
                <w:bCs/>
                <w:spacing w:val="-2"/>
              </w:rPr>
              <w:t>Base station characteristics/Cell structure</w:t>
            </w:r>
          </w:p>
        </w:tc>
      </w:tr>
      <w:tr w:rsidR="00B63D8D" w:rsidRPr="001954AF" w:rsidTr="00D51FE8">
        <w:trPr>
          <w:jc w:val="center"/>
        </w:trPr>
        <w:tc>
          <w:tcPr>
            <w:tcW w:w="1396" w:type="pct"/>
            <w:gridSpan w:val="2"/>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keepNext/>
              <w:keepLines/>
              <w:rPr>
                <w:spacing w:val="-2"/>
              </w:rPr>
            </w:pPr>
            <w:r w:rsidRPr="001954AF">
              <w:rPr>
                <w:spacing w:val="-2"/>
              </w:rPr>
              <w:t>Downtilt</w:t>
            </w:r>
          </w:p>
        </w:tc>
        <w:tc>
          <w:tcPr>
            <w:tcW w:w="1178"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keepNext/>
              <w:keepLines/>
              <w:jc w:val="center"/>
              <w:rPr>
                <w:spacing w:val="-2"/>
              </w:rPr>
            </w:pPr>
            <w:r w:rsidRPr="001954AF">
              <w:rPr>
                <w:spacing w:val="-2"/>
              </w:rPr>
              <w:t>10 degrees</w:t>
            </w:r>
          </w:p>
        </w:tc>
        <w:tc>
          <w:tcPr>
            <w:tcW w:w="1177"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keepNext/>
              <w:keepLines/>
              <w:jc w:val="center"/>
              <w:rPr>
                <w:spacing w:val="-2"/>
              </w:rPr>
            </w:pPr>
            <w:r w:rsidRPr="001954AF">
              <w:rPr>
                <w:spacing w:val="-2"/>
              </w:rPr>
              <w:t>10 degrees</w:t>
            </w:r>
          </w:p>
        </w:tc>
        <w:tc>
          <w:tcPr>
            <w:tcW w:w="1249"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keepNext/>
              <w:keepLines/>
              <w:jc w:val="center"/>
              <w:rPr>
                <w:spacing w:val="-2"/>
              </w:rPr>
            </w:pPr>
            <w:r w:rsidRPr="001954AF">
              <w:rPr>
                <w:spacing w:val="-2"/>
              </w:rPr>
              <w:t>90 degrees /ceiling-mounted</w:t>
            </w:r>
          </w:p>
        </w:tc>
      </w:tr>
      <w:tr w:rsidR="00B63D8D" w:rsidRPr="001954AF" w:rsidTr="00D51FE8">
        <w:trPr>
          <w:jc w:val="center"/>
        </w:trPr>
        <w:tc>
          <w:tcPr>
            <w:tcW w:w="1396" w:type="pct"/>
            <w:gridSpan w:val="2"/>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rPr>
                <w:spacing w:val="-2"/>
                <w:lang w:val="en-GB"/>
              </w:rPr>
            </w:pPr>
            <w:r w:rsidRPr="00752DF2">
              <w:rPr>
                <w:spacing w:val="-2"/>
                <w:lang w:val="en-GB"/>
              </w:rPr>
              <w:t>Spurious emission/TRP (dbm/MHz)</w:t>
            </w:r>
          </w:p>
        </w:tc>
        <w:tc>
          <w:tcPr>
            <w:tcW w:w="1178"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–13</w:t>
            </w:r>
          </w:p>
        </w:tc>
        <w:tc>
          <w:tcPr>
            <w:tcW w:w="1177"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–13</w:t>
            </w:r>
          </w:p>
        </w:tc>
        <w:tc>
          <w:tcPr>
            <w:tcW w:w="1249"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–13</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w:t>
            </w:r>
          </w:p>
        </w:tc>
        <w:tc>
          <w:tcPr>
            <w:tcW w:w="1064"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 xml:space="preserve">Antenna characteristics </w:t>
            </w:r>
          </w:p>
        </w:tc>
        <w:tc>
          <w:tcPr>
            <w:tcW w:w="3604" w:type="pct"/>
            <w:gridSpan w:val="3"/>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rPr>
                <w:spacing w:val="-2"/>
              </w:rPr>
            </w:pPr>
          </w:p>
        </w:tc>
      </w:tr>
    </w:tbl>
    <w:p w:rsidR="00752DF2" w:rsidRDefault="00752DF2">
      <w:r>
        <w:br w:type="page"/>
      </w:r>
    </w:p>
    <w:p w:rsidR="00752DF2" w:rsidRPr="001954AF" w:rsidRDefault="00752DF2" w:rsidP="00752DF2">
      <w:pPr>
        <w:pStyle w:val="TableNo"/>
      </w:pPr>
      <w:r w:rsidRPr="001954AF">
        <w:t xml:space="preserve">TABLE </w:t>
      </w:r>
      <w:r w:rsidRPr="001954AF">
        <w:rPr>
          <w:noProof/>
        </w:rPr>
        <w:t>2</w:t>
      </w:r>
      <w:r>
        <w:rPr>
          <w:noProof/>
        </w:rPr>
        <w:t xml:space="preserve"> (</w:t>
      </w:r>
      <w:r>
        <w:rPr>
          <w:i/>
          <w:noProof/>
        </w:rPr>
        <w:t>continued</w:t>
      </w:r>
      <w:r>
        <w:rPr>
          <w:noProof/>
        </w:rPr>
        <w:t>)</w:t>
      </w:r>
    </w:p>
    <w:tbl>
      <w:tblPr>
        <w:tblW w:w="9639" w:type="dxa"/>
        <w:jc w:val="center"/>
        <w:tblLayout w:type="fixed"/>
        <w:tblLook w:val="04A0" w:firstRow="1" w:lastRow="0" w:firstColumn="1" w:lastColumn="0" w:noHBand="0" w:noVBand="1"/>
      </w:tblPr>
      <w:tblGrid>
        <w:gridCol w:w="640"/>
        <w:gridCol w:w="2051"/>
        <w:gridCol w:w="2271"/>
        <w:gridCol w:w="2269"/>
        <w:gridCol w:w="2408"/>
      </w:tblGrid>
      <w:tr w:rsidR="00752DF2" w:rsidRPr="001954AF" w:rsidTr="00194EFE">
        <w:trPr>
          <w:jc w:val="center"/>
        </w:trPr>
        <w:tc>
          <w:tcPr>
            <w:tcW w:w="1396" w:type="pct"/>
            <w:gridSpan w:val="2"/>
            <w:tcBorders>
              <w:top w:val="single" w:sz="4" w:space="0" w:color="auto"/>
              <w:left w:val="single" w:sz="4" w:space="0" w:color="auto"/>
              <w:bottom w:val="single" w:sz="4" w:space="0" w:color="auto"/>
              <w:right w:val="single" w:sz="4" w:space="0" w:color="auto"/>
            </w:tcBorders>
            <w:vAlign w:val="center"/>
          </w:tcPr>
          <w:p w:rsidR="00752DF2" w:rsidRPr="001954AF" w:rsidRDefault="00752DF2" w:rsidP="00194EFE">
            <w:pPr>
              <w:pStyle w:val="Tablehead"/>
              <w:rPr>
                <w:spacing w:val="-2"/>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752DF2" w:rsidRPr="001954AF" w:rsidRDefault="00752DF2" w:rsidP="00194EFE">
            <w:pPr>
              <w:pStyle w:val="Tablehead"/>
              <w:rPr>
                <w:spacing w:val="-2"/>
              </w:rPr>
            </w:pPr>
            <w:r w:rsidRPr="001954AF">
              <w:rPr>
                <w:spacing w:val="-2"/>
              </w:rPr>
              <w:t>Outdoor suburban hotspot</w:t>
            </w:r>
          </w:p>
        </w:tc>
        <w:tc>
          <w:tcPr>
            <w:tcW w:w="1177" w:type="pct"/>
            <w:tcBorders>
              <w:top w:val="single" w:sz="4" w:space="0" w:color="auto"/>
              <w:left w:val="single" w:sz="4" w:space="0" w:color="auto"/>
              <w:bottom w:val="single" w:sz="4" w:space="0" w:color="auto"/>
              <w:right w:val="single" w:sz="4" w:space="0" w:color="auto"/>
            </w:tcBorders>
            <w:vAlign w:val="center"/>
            <w:hideMark/>
          </w:tcPr>
          <w:p w:rsidR="00752DF2" w:rsidRPr="001954AF" w:rsidRDefault="00752DF2" w:rsidP="00194EFE">
            <w:pPr>
              <w:pStyle w:val="Tablehead"/>
              <w:rPr>
                <w:spacing w:val="-2"/>
              </w:rPr>
            </w:pPr>
            <w:r w:rsidRPr="001954AF">
              <w:rPr>
                <w:spacing w:val="-2"/>
              </w:rPr>
              <w:t>Outdoor urban hotspot</w:t>
            </w:r>
          </w:p>
        </w:tc>
        <w:tc>
          <w:tcPr>
            <w:tcW w:w="1249" w:type="pct"/>
            <w:tcBorders>
              <w:top w:val="single" w:sz="4" w:space="0" w:color="auto"/>
              <w:left w:val="single" w:sz="4" w:space="0" w:color="auto"/>
              <w:bottom w:val="single" w:sz="4" w:space="0" w:color="auto"/>
              <w:right w:val="single" w:sz="4" w:space="0" w:color="auto"/>
            </w:tcBorders>
            <w:vAlign w:val="center"/>
            <w:hideMark/>
          </w:tcPr>
          <w:p w:rsidR="00752DF2" w:rsidRPr="001954AF" w:rsidRDefault="00752DF2" w:rsidP="00194EFE">
            <w:pPr>
              <w:pStyle w:val="Tablehead"/>
              <w:rPr>
                <w:spacing w:val="-2"/>
              </w:rPr>
            </w:pPr>
            <w:r w:rsidRPr="001954AF">
              <w:rPr>
                <w:spacing w:val="-2"/>
              </w:rPr>
              <w:t>Indoor</w:t>
            </w:r>
          </w:p>
        </w:tc>
      </w:tr>
      <w:tr w:rsidR="00B63D8D" w:rsidRPr="00481A00"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1.1</w:t>
            </w:r>
          </w:p>
        </w:tc>
        <w:tc>
          <w:tcPr>
            <w:tcW w:w="1064"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 xml:space="preserve">Antenna pattern </w:t>
            </w:r>
          </w:p>
        </w:tc>
        <w:tc>
          <w:tcPr>
            <w:tcW w:w="3604" w:type="pct"/>
            <w:gridSpan w:val="3"/>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Refer to Recommendation ITU-R M.2101</w:t>
            </w:r>
            <w:r w:rsidRPr="00752DF2">
              <w:rPr>
                <w:spacing w:val="-2"/>
                <w:lang w:val="en-GB"/>
              </w:rPr>
              <w:br/>
              <w:t>N</w:t>
            </w:r>
            <w:r w:rsidR="00752DF2" w:rsidRPr="00752DF2">
              <w:rPr>
                <w:spacing w:val="-2"/>
                <w:lang w:val="en-GB"/>
              </w:rPr>
              <w:t xml:space="preserve">ote </w:t>
            </w:r>
            <w:r w:rsidRPr="00752DF2">
              <w:rPr>
                <w:spacing w:val="-2"/>
                <w:lang w:val="en-GB"/>
              </w:rPr>
              <w:t>1</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1.2</w:t>
            </w:r>
          </w:p>
        </w:tc>
        <w:tc>
          <w:tcPr>
            <w:tcW w:w="1064"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Element gain (dBi)</w:t>
            </w:r>
          </w:p>
        </w:tc>
        <w:tc>
          <w:tcPr>
            <w:tcW w:w="1178"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5</w:t>
            </w:r>
          </w:p>
        </w:tc>
        <w:tc>
          <w:tcPr>
            <w:tcW w:w="1177"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5</w:t>
            </w:r>
          </w:p>
        </w:tc>
        <w:tc>
          <w:tcPr>
            <w:tcW w:w="1249"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5</w:t>
            </w:r>
          </w:p>
        </w:tc>
      </w:tr>
      <w:tr w:rsidR="00B63D8D" w:rsidRPr="00481A00"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1.3</w:t>
            </w:r>
          </w:p>
        </w:tc>
        <w:tc>
          <w:tcPr>
            <w:tcW w:w="1064"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rPr>
                <w:spacing w:val="-2"/>
                <w:lang w:val="en-GB"/>
              </w:rPr>
            </w:pPr>
            <w:r w:rsidRPr="00752DF2">
              <w:rPr>
                <w:spacing w:val="-2"/>
                <w:lang w:val="en-GB"/>
              </w:rPr>
              <w:t xml:space="preserve">Horizontal/vertical 3 dB beamwidth of single element (degree) </w:t>
            </w:r>
          </w:p>
        </w:tc>
        <w:tc>
          <w:tcPr>
            <w:tcW w:w="1178"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65º for both H/V</w:t>
            </w:r>
          </w:p>
        </w:tc>
        <w:tc>
          <w:tcPr>
            <w:tcW w:w="1177"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65º for both H/V</w:t>
            </w:r>
          </w:p>
        </w:tc>
        <w:tc>
          <w:tcPr>
            <w:tcW w:w="1249"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90º for both H/V</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1.4</w:t>
            </w:r>
          </w:p>
        </w:tc>
        <w:tc>
          <w:tcPr>
            <w:tcW w:w="1064" w:type="pct"/>
            <w:tcBorders>
              <w:top w:val="single" w:sz="4" w:space="0" w:color="auto"/>
              <w:left w:val="single" w:sz="4" w:space="0" w:color="auto"/>
              <w:bottom w:val="single" w:sz="4" w:space="0" w:color="auto"/>
              <w:right w:val="single" w:sz="4" w:space="0" w:color="auto"/>
            </w:tcBorders>
            <w:hideMark/>
          </w:tcPr>
          <w:p w:rsidR="00B63D8D" w:rsidRPr="00752DF2" w:rsidRDefault="00B63D8D" w:rsidP="00576C6B">
            <w:pPr>
              <w:pStyle w:val="Tabletext"/>
              <w:rPr>
                <w:spacing w:val="-2"/>
                <w:lang w:val="en-GB"/>
              </w:rPr>
            </w:pPr>
            <w:r w:rsidRPr="00752DF2">
              <w:rPr>
                <w:spacing w:val="-2"/>
                <w:lang w:val="en-GB"/>
              </w:rPr>
              <w:t>Horizontal/vertical front-to-back ratio (dB)</w:t>
            </w:r>
          </w:p>
        </w:tc>
        <w:tc>
          <w:tcPr>
            <w:tcW w:w="1178"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30 for both H/V</w:t>
            </w:r>
          </w:p>
        </w:tc>
        <w:tc>
          <w:tcPr>
            <w:tcW w:w="1177"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30 for both H/V</w:t>
            </w:r>
          </w:p>
        </w:tc>
        <w:tc>
          <w:tcPr>
            <w:tcW w:w="1249"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25 for both H/V</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1.5</w:t>
            </w:r>
          </w:p>
        </w:tc>
        <w:tc>
          <w:tcPr>
            <w:tcW w:w="1064" w:type="pct"/>
            <w:tcBorders>
              <w:top w:val="single" w:sz="4" w:space="0" w:color="auto"/>
              <w:left w:val="single" w:sz="4" w:space="0" w:color="auto"/>
              <w:bottom w:val="single" w:sz="4" w:space="0" w:color="auto"/>
              <w:right w:val="single" w:sz="4" w:space="0" w:color="auto"/>
            </w:tcBorders>
            <w:hideMark/>
          </w:tcPr>
          <w:p w:rsidR="00B63D8D" w:rsidRPr="00752DF2" w:rsidRDefault="00B63D8D" w:rsidP="00576C6B">
            <w:pPr>
              <w:pStyle w:val="Tabletext"/>
              <w:rPr>
                <w:spacing w:val="-2"/>
                <w:lang w:val="en-GB"/>
              </w:rPr>
            </w:pPr>
            <w:r w:rsidRPr="00752DF2">
              <w:rPr>
                <w:spacing w:val="-2"/>
                <w:lang w:val="en-GB"/>
              </w:rPr>
              <w:t>Antenna array configuration (Row × Column)</w:t>
            </w:r>
          </w:p>
          <w:p w:rsidR="00B63D8D" w:rsidRPr="001954AF" w:rsidRDefault="00B63D8D" w:rsidP="00576C6B">
            <w:pPr>
              <w:pStyle w:val="Tabletext"/>
              <w:rPr>
                <w:spacing w:val="-2"/>
              </w:rPr>
            </w:pPr>
            <w:r w:rsidRPr="001954AF">
              <w:rPr>
                <w:spacing w:val="-2"/>
              </w:rPr>
              <w:t>N</w:t>
            </w:r>
            <w:r w:rsidR="00752DF2" w:rsidRPr="001954AF">
              <w:rPr>
                <w:spacing w:val="-2"/>
              </w:rPr>
              <w:t xml:space="preserve">ote </w:t>
            </w:r>
            <w:r w:rsidRPr="001954AF">
              <w:rPr>
                <w:spacing w:val="-2"/>
              </w:rPr>
              <w:t>2</w:t>
            </w:r>
          </w:p>
        </w:tc>
        <w:tc>
          <w:tcPr>
            <w:tcW w:w="1178"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8 × 16 elements</w:t>
            </w:r>
          </w:p>
        </w:tc>
        <w:tc>
          <w:tcPr>
            <w:tcW w:w="1177"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8 × 16 elements</w:t>
            </w:r>
          </w:p>
        </w:tc>
        <w:tc>
          <w:tcPr>
            <w:tcW w:w="1249"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8 × 16 elements</w:t>
            </w:r>
          </w:p>
        </w:tc>
      </w:tr>
      <w:tr w:rsidR="00B63D8D" w:rsidRPr="00481A00"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1.6</w:t>
            </w:r>
          </w:p>
        </w:tc>
        <w:tc>
          <w:tcPr>
            <w:tcW w:w="1064" w:type="pct"/>
            <w:tcBorders>
              <w:top w:val="single" w:sz="4" w:space="0" w:color="auto"/>
              <w:left w:val="single" w:sz="4" w:space="0" w:color="auto"/>
              <w:bottom w:val="single" w:sz="4" w:space="0" w:color="auto"/>
              <w:right w:val="single" w:sz="4" w:space="0" w:color="auto"/>
            </w:tcBorders>
            <w:hideMark/>
          </w:tcPr>
          <w:p w:rsidR="00B63D8D" w:rsidRPr="00752DF2" w:rsidRDefault="00B63D8D" w:rsidP="00576C6B">
            <w:pPr>
              <w:pStyle w:val="Tabletext"/>
              <w:rPr>
                <w:spacing w:val="-2"/>
                <w:lang w:val="en-GB"/>
              </w:rPr>
            </w:pPr>
            <w:r w:rsidRPr="00752DF2">
              <w:rPr>
                <w:spacing w:val="-2"/>
                <w:lang w:val="en-GB"/>
              </w:rPr>
              <w:t xml:space="preserve">Horizontal/Vertical radiating element spacing </w:t>
            </w:r>
          </w:p>
        </w:tc>
        <w:tc>
          <w:tcPr>
            <w:tcW w:w="1178"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0.5 of wavelength for both H/V</w:t>
            </w:r>
          </w:p>
        </w:tc>
        <w:tc>
          <w:tcPr>
            <w:tcW w:w="1177"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0.5 of wavelength for both H/V</w:t>
            </w:r>
          </w:p>
        </w:tc>
        <w:tc>
          <w:tcPr>
            <w:tcW w:w="1249"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0.5 of wavelength for both H/V</w:t>
            </w:r>
          </w:p>
        </w:tc>
      </w:tr>
      <w:tr w:rsidR="00B63D8D" w:rsidRPr="001954AF" w:rsidTr="00D51FE8">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B63D8D" w:rsidRPr="001954AF" w:rsidRDefault="00B63D8D" w:rsidP="00576C6B">
            <w:pPr>
              <w:pStyle w:val="Tabletext"/>
              <w:keepNext/>
              <w:keepLines/>
              <w:rPr>
                <w:b/>
                <w:bCs/>
                <w:spacing w:val="-2"/>
              </w:rPr>
            </w:pPr>
            <w:r w:rsidRPr="001954AF">
              <w:rPr>
                <w:b/>
                <w:bCs/>
                <w:spacing w:val="-2"/>
              </w:rPr>
              <w:t>User terminal characteristics</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w:t>
            </w:r>
          </w:p>
        </w:tc>
        <w:tc>
          <w:tcPr>
            <w:tcW w:w="1064"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 xml:space="preserve">Antenna characteristics </w:t>
            </w:r>
          </w:p>
        </w:tc>
        <w:tc>
          <w:tcPr>
            <w:tcW w:w="3604" w:type="pct"/>
            <w:gridSpan w:val="3"/>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rPr>
                <w:spacing w:val="-2"/>
              </w:rPr>
            </w:pPr>
          </w:p>
        </w:tc>
      </w:tr>
      <w:tr w:rsidR="00B63D8D" w:rsidRPr="00481A00"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1.1</w:t>
            </w:r>
          </w:p>
        </w:tc>
        <w:tc>
          <w:tcPr>
            <w:tcW w:w="1064"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Antenna pattern</w:t>
            </w:r>
          </w:p>
        </w:tc>
        <w:tc>
          <w:tcPr>
            <w:tcW w:w="3604" w:type="pct"/>
            <w:gridSpan w:val="3"/>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Refer to Recommendation ITU-R M.2101</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1.2</w:t>
            </w:r>
          </w:p>
        </w:tc>
        <w:tc>
          <w:tcPr>
            <w:tcW w:w="1064"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Element gain</w:t>
            </w:r>
          </w:p>
        </w:tc>
        <w:tc>
          <w:tcPr>
            <w:tcW w:w="1178"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5</w:t>
            </w:r>
          </w:p>
        </w:tc>
        <w:tc>
          <w:tcPr>
            <w:tcW w:w="1177"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5</w:t>
            </w:r>
          </w:p>
        </w:tc>
        <w:tc>
          <w:tcPr>
            <w:tcW w:w="1249"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5</w:t>
            </w:r>
          </w:p>
        </w:tc>
      </w:tr>
      <w:tr w:rsidR="00B63D8D" w:rsidRPr="00481A00"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1.3</w:t>
            </w:r>
          </w:p>
        </w:tc>
        <w:tc>
          <w:tcPr>
            <w:tcW w:w="1064"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rPr>
                <w:spacing w:val="-2"/>
                <w:lang w:val="en-GB"/>
              </w:rPr>
            </w:pPr>
            <w:r w:rsidRPr="00752DF2">
              <w:rPr>
                <w:spacing w:val="-2"/>
                <w:lang w:val="en-GB"/>
              </w:rPr>
              <w:t>Horizontal/vertical 3 dB beamwidth of single element (degree)</w:t>
            </w:r>
          </w:p>
        </w:tc>
        <w:tc>
          <w:tcPr>
            <w:tcW w:w="1178"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90º for both H/V</w:t>
            </w:r>
          </w:p>
        </w:tc>
        <w:tc>
          <w:tcPr>
            <w:tcW w:w="1177"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90º for both H/V</w:t>
            </w:r>
          </w:p>
        </w:tc>
        <w:tc>
          <w:tcPr>
            <w:tcW w:w="1249"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90º for both H/V</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1.4</w:t>
            </w:r>
          </w:p>
        </w:tc>
        <w:tc>
          <w:tcPr>
            <w:tcW w:w="1064"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rPr>
                <w:spacing w:val="-2"/>
                <w:lang w:val="en-GB"/>
              </w:rPr>
            </w:pPr>
            <w:r w:rsidRPr="00752DF2">
              <w:rPr>
                <w:spacing w:val="-2"/>
                <w:lang w:val="en-GB"/>
              </w:rPr>
              <w:t>Horizontal/vertical front-to-back ratio (dB)</w:t>
            </w:r>
          </w:p>
        </w:tc>
        <w:tc>
          <w:tcPr>
            <w:tcW w:w="1178"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25 for both H/V</w:t>
            </w:r>
          </w:p>
        </w:tc>
        <w:tc>
          <w:tcPr>
            <w:tcW w:w="1177"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25 for both H/V</w:t>
            </w:r>
          </w:p>
        </w:tc>
        <w:tc>
          <w:tcPr>
            <w:tcW w:w="1249"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25 for both H/V</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1.5</w:t>
            </w:r>
          </w:p>
        </w:tc>
        <w:tc>
          <w:tcPr>
            <w:tcW w:w="1064" w:type="pct"/>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rPr>
                <w:spacing w:val="-2"/>
                <w:lang w:val="en-GB"/>
              </w:rPr>
            </w:pPr>
            <w:r w:rsidRPr="00752DF2">
              <w:rPr>
                <w:spacing w:val="-2"/>
                <w:lang w:val="en-GB"/>
              </w:rPr>
              <w:t>Antenna array configuration (Row × Column)</w:t>
            </w:r>
          </w:p>
          <w:p w:rsidR="00B63D8D" w:rsidRPr="001954AF" w:rsidRDefault="00B63D8D" w:rsidP="00194EFE">
            <w:pPr>
              <w:pStyle w:val="Tabletext"/>
              <w:rPr>
                <w:spacing w:val="-2"/>
              </w:rPr>
            </w:pPr>
            <w:r w:rsidRPr="001954AF">
              <w:rPr>
                <w:spacing w:val="-2"/>
              </w:rPr>
              <w:t>N</w:t>
            </w:r>
            <w:r w:rsidR="00752DF2" w:rsidRPr="001954AF">
              <w:rPr>
                <w:spacing w:val="-2"/>
              </w:rPr>
              <w:t xml:space="preserve">ote </w:t>
            </w:r>
            <w:r w:rsidRPr="001954AF">
              <w:rPr>
                <w:spacing w:val="-2"/>
              </w:rPr>
              <w:t>2</w:t>
            </w:r>
          </w:p>
        </w:tc>
        <w:tc>
          <w:tcPr>
            <w:tcW w:w="1178"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4 × 4 elements</w:t>
            </w:r>
          </w:p>
        </w:tc>
        <w:tc>
          <w:tcPr>
            <w:tcW w:w="1177"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4 × 4 elements</w:t>
            </w:r>
          </w:p>
        </w:tc>
        <w:tc>
          <w:tcPr>
            <w:tcW w:w="1249"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rPr>
                <w:spacing w:val="-2"/>
              </w:rPr>
            </w:pPr>
            <w:r w:rsidRPr="001954AF">
              <w:rPr>
                <w:spacing w:val="-2"/>
              </w:rPr>
              <w:t>4 × 4 elements</w:t>
            </w:r>
          </w:p>
        </w:tc>
      </w:tr>
      <w:tr w:rsidR="00B63D8D" w:rsidRPr="001954AF"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2</w:t>
            </w:r>
          </w:p>
        </w:tc>
        <w:tc>
          <w:tcPr>
            <w:tcW w:w="1064"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Transmit power control</w:t>
            </w:r>
          </w:p>
        </w:tc>
        <w:tc>
          <w:tcPr>
            <w:tcW w:w="3604" w:type="pct"/>
            <w:gridSpan w:val="3"/>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rPr>
                <w:spacing w:val="-2"/>
              </w:rPr>
            </w:pPr>
          </w:p>
        </w:tc>
      </w:tr>
      <w:tr w:rsidR="00B63D8D" w:rsidRPr="00481A00" w:rsidTr="00D51FE8">
        <w:trPr>
          <w:jc w:val="center"/>
        </w:trPr>
        <w:tc>
          <w:tcPr>
            <w:tcW w:w="332"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2.1</w:t>
            </w:r>
          </w:p>
        </w:tc>
        <w:tc>
          <w:tcPr>
            <w:tcW w:w="1064" w:type="pct"/>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rPr>
                <w:spacing w:val="-2"/>
              </w:rPr>
            </w:pPr>
            <w:r w:rsidRPr="001954AF">
              <w:rPr>
                <w:spacing w:val="-2"/>
              </w:rPr>
              <w:t>Power control model</w:t>
            </w:r>
          </w:p>
        </w:tc>
        <w:tc>
          <w:tcPr>
            <w:tcW w:w="3604" w:type="pct"/>
            <w:gridSpan w:val="3"/>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jc w:val="center"/>
              <w:rPr>
                <w:spacing w:val="-2"/>
                <w:lang w:val="en-GB"/>
              </w:rPr>
            </w:pPr>
            <w:r w:rsidRPr="00752DF2">
              <w:rPr>
                <w:spacing w:val="-2"/>
                <w:lang w:val="en-GB"/>
              </w:rPr>
              <w:t>Refer to Recommendation ITU-R M.2101</w:t>
            </w:r>
          </w:p>
        </w:tc>
      </w:tr>
      <w:tr w:rsidR="00752DF2" w:rsidRPr="001954AF" w:rsidTr="00194EFE">
        <w:trPr>
          <w:jc w:val="center"/>
        </w:trPr>
        <w:tc>
          <w:tcPr>
            <w:tcW w:w="332" w:type="pct"/>
            <w:tcBorders>
              <w:top w:val="single" w:sz="4" w:space="0" w:color="auto"/>
              <w:left w:val="single" w:sz="4" w:space="0" w:color="auto"/>
              <w:bottom w:val="single" w:sz="4" w:space="0" w:color="auto"/>
              <w:right w:val="single" w:sz="4" w:space="0" w:color="auto"/>
            </w:tcBorders>
            <w:hideMark/>
          </w:tcPr>
          <w:p w:rsidR="00752DF2" w:rsidRPr="001954AF" w:rsidRDefault="00752DF2" w:rsidP="00194EFE">
            <w:pPr>
              <w:pStyle w:val="Tabletext"/>
              <w:rPr>
                <w:spacing w:val="-2"/>
              </w:rPr>
            </w:pPr>
            <w:r w:rsidRPr="001954AF">
              <w:rPr>
                <w:spacing w:val="-2"/>
              </w:rPr>
              <w:t>2.2</w:t>
            </w:r>
          </w:p>
        </w:tc>
        <w:tc>
          <w:tcPr>
            <w:tcW w:w="1064" w:type="pct"/>
            <w:tcBorders>
              <w:top w:val="single" w:sz="4" w:space="0" w:color="auto"/>
              <w:left w:val="single" w:sz="4" w:space="0" w:color="auto"/>
              <w:bottom w:val="single" w:sz="4" w:space="0" w:color="auto"/>
              <w:right w:val="single" w:sz="4" w:space="0" w:color="auto"/>
            </w:tcBorders>
            <w:hideMark/>
          </w:tcPr>
          <w:p w:rsidR="00752DF2" w:rsidRPr="00752DF2" w:rsidRDefault="00752DF2" w:rsidP="00194EFE">
            <w:pPr>
              <w:pStyle w:val="Tabletext"/>
              <w:rPr>
                <w:spacing w:val="-2"/>
                <w:vertAlign w:val="subscript"/>
                <w:lang w:val="en-GB"/>
              </w:rPr>
            </w:pPr>
            <w:r w:rsidRPr="00752DF2">
              <w:rPr>
                <w:spacing w:val="-2"/>
                <w:lang w:val="en-GB"/>
              </w:rPr>
              <w:t xml:space="preserve">Maximum user terminal output power, </w:t>
            </w:r>
            <w:r w:rsidRPr="00752DF2">
              <w:rPr>
                <w:i/>
                <w:spacing w:val="-2"/>
                <w:lang w:val="en-GB"/>
              </w:rPr>
              <w:t>P</w:t>
            </w:r>
            <w:r w:rsidRPr="00752DF2">
              <w:rPr>
                <w:spacing w:val="-2"/>
                <w:vertAlign w:val="subscript"/>
                <w:lang w:val="en-GB"/>
              </w:rPr>
              <w:t>CMAX</w:t>
            </w:r>
          </w:p>
          <w:p w:rsidR="00752DF2" w:rsidRPr="001954AF" w:rsidRDefault="00752DF2" w:rsidP="00194EFE">
            <w:pPr>
              <w:pStyle w:val="Tabletext"/>
              <w:rPr>
                <w:spacing w:val="-2"/>
              </w:rPr>
            </w:pPr>
            <w:r w:rsidRPr="001954AF">
              <w:rPr>
                <w:spacing w:val="-2"/>
              </w:rPr>
              <w:t>Note 3</w:t>
            </w:r>
          </w:p>
        </w:tc>
        <w:tc>
          <w:tcPr>
            <w:tcW w:w="1178" w:type="pct"/>
            <w:tcBorders>
              <w:top w:val="single" w:sz="4" w:space="0" w:color="auto"/>
              <w:left w:val="single" w:sz="4" w:space="0" w:color="auto"/>
              <w:bottom w:val="single" w:sz="4" w:space="0" w:color="auto"/>
              <w:right w:val="single" w:sz="4" w:space="0" w:color="auto"/>
            </w:tcBorders>
            <w:hideMark/>
          </w:tcPr>
          <w:p w:rsidR="00752DF2" w:rsidRPr="001954AF" w:rsidRDefault="00752DF2" w:rsidP="00194EFE">
            <w:pPr>
              <w:pStyle w:val="Tabletext"/>
              <w:jc w:val="center"/>
              <w:rPr>
                <w:spacing w:val="-2"/>
              </w:rPr>
            </w:pPr>
            <w:r w:rsidRPr="001954AF">
              <w:rPr>
                <w:spacing w:val="-2"/>
              </w:rPr>
              <w:t>22 dBm</w:t>
            </w:r>
          </w:p>
        </w:tc>
        <w:tc>
          <w:tcPr>
            <w:tcW w:w="1177" w:type="pct"/>
            <w:tcBorders>
              <w:top w:val="single" w:sz="4" w:space="0" w:color="auto"/>
              <w:left w:val="single" w:sz="4" w:space="0" w:color="auto"/>
              <w:bottom w:val="single" w:sz="4" w:space="0" w:color="auto"/>
              <w:right w:val="single" w:sz="4" w:space="0" w:color="auto"/>
            </w:tcBorders>
            <w:hideMark/>
          </w:tcPr>
          <w:p w:rsidR="00752DF2" w:rsidRPr="001954AF" w:rsidRDefault="00752DF2" w:rsidP="00194EFE">
            <w:pPr>
              <w:pStyle w:val="Tabletext"/>
              <w:jc w:val="center"/>
              <w:rPr>
                <w:spacing w:val="-2"/>
              </w:rPr>
            </w:pPr>
            <w:r w:rsidRPr="001954AF">
              <w:rPr>
                <w:spacing w:val="-2"/>
              </w:rPr>
              <w:t>22 dBm</w:t>
            </w:r>
          </w:p>
        </w:tc>
        <w:tc>
          <w:tcPr>
            <w:tcW w:w="1249" w:type="pct"/>
            <w:tcBorders>
              <w:top w:val="single" w:sz="4" w:space="0" w:color="auto"/>
              <w:left w:val="single" w:sz="4" w:space="0" w:color="auto"/>
              <w:bottom w:val="single" w:sz="4" w:space="0" w:color="auto"/>
              <w:right w:val="single" w:sz="4" w:space="0" w:color="auto"/>
            </w:tcBorders>
            <w:hideMark/>
          </w:tcPr>
          <w:p w:rsidR="00752DF2" w:rsidRPr="001954AF" w:rsidRDefault="00752DF2" w:rsidP="00194EFE">
            <w:pPr>
              <w:pStyle w:val="Tabletext"/>
              <w:jc w:val="center"/>
              <w:rPr>
                <w:spacing w:val="-2"/>
              </w:rPr>
            </w:pPr>
            <w:r w:rsidRPr="001954AF">
              <w:rPr>
                <w:spacing w:val="-2"/>
              </w:rPr>
              <w:t>22 dBm</w:t>
            </w:r>
          </w:p>
        </w:tc>
      </w:tr>
    </w:tbl>
    <w:p w:rsidR="00752DF2" w:rsidRDefault="00752DF2"/>
    <w:p w:rsidR="00752DF2" w:rsidRDefault="00752DF2">
      <w:r>
        <w:br w:type="page"/>
      </w:r>
    </w:p>
    <w:p w:rsidR="00752DF2" w:rsidRDefault="00752DF2"/>
    <w:tbl>
      <w:tblPr>
        <w:tblW w:w="9639" w:type="dxa"/>
        <w:jc w:val="center"/>
        <w:tblLayout w:type="fixed"/>
        <w:tblLook w:val="04A0" w:firstRow="1" w:lastRow="0" w:firstColumn="1" w:lastColumn="0" w:noHBand="0" w:noVBand="1"/>
      </w:tblPr>
      <w:tblGrid>
        <w:gridCol w:w="9639"/>
      </w:tblGrid>
      <w:tr w:rsidR="00B63D8D" w:rsidRPr="00481A00" w:rsidTr="00752DF2">
        <w:trPr>
          <w:jc w:val="center"/>
        </w:trPr>
        <w:tc>
          <w:tcPr>
            <w:tcW w:w="5000" w:type="pct"/>
            <w:noWrap/>
            <w:hideMark/>
          </w:tcPr>
          <w:p w:rsidR="00752DF2" w:rsidRPr="00752DF2" w:rsidRDefault="00752DF2" w:rsidP="00D51FE8">
            <w:pPr>
              <w:pStyle w:val="Tabletext"/>
              <w:rPr>
                <w:i/>
                <w:lang w:val="en-GB"/>
              </w:rPr>
            </w:pPr>
            <w:r w:rsidRPr="00752DF2">
              <w:rPr>
                <w:i/>
                <w:lang w:val="en-GB"/>
              </w:rPr>
              <w:t>Notes to Table 2:</w:t>
            </w:r>
          </w:p>
          <w:p w:rsidR="00B63D8D" w:rsidRPr="00752DF2" w:rsidRDefault="00B63D8D" w:rsidP="00D51FE8">
            <w:pPr>
              <w:pStyle w:val="Tabletext"/>
              <w:rPr>
                <w:lang w:val="en-GB"/>
              </w:rPr>
            </w:pPr>
            <w:r w:rsidRPr="00752DF2">
              <w:rPr>
                <w:lang w:val="en-GB"/>
              </w:rPr>
              <w:t>NOTE 1</w:t>
            </w:r>
            <w:r w:rsidR="00D51FE8" w:rsidRPr="00752DF2">
              <w:rPr>
                <w:lang w:val="en-GB"/>
              </w:rPr>
              <w:t xml:space="preserve"> –</w:t>
            </w:r>
            <w:r w:rsidRPr="00752DF2">
              <w:rPr>
                <w:lang w:val="en-GB"/>
              </w:rPr>
              <w:t xml:space="preserve"> The BS (sector) density must be translated into the Inter-Site Distance (ISD) according to the network topology for use as input in Recommendation ITU-R M.2101. Dense urban environments are likely to be served by single sector small cells. </w:t>
            </w:r>
          </w:p>
          <w:p w:rsidR="00B63D8D" w:rsidRPr="00752DF2" w:rsidRDefault="00B63D8D" w:rsidP="00D51FE8">
            <w:pPr>
              <w:pStyle w:val="Tabletext"/>
              <w:rPr>
                <w:lang w:val="en-GB"/>
              </w:rPr>
            </w:pPr>
            <w:r w:rsidRPr="00752DF2">
              <w:rPr>
                <w:lang w:val="en-GB"/>
              </w:rPr>
              <w:t>NOTE 2</w:t>
            </w:r>
            <w:r w:rsidR="00D51FE8" w:rsidRPr="00752DF2">
              <w:rPr>
                <w:lang w:val="en-GB"/>
              </w:rPr>
              <w:t xml:space="preserve"> –</w:t>
            </w:r>
            <w:r w:rsidRPr="00752DF2">
              <w:rPr>
                <w:lang w:val="en-GB"/>
              </w:rPr>
              <w:t xml:space="preserve"> The antenna pattern for base station or user equipment depends on the antenna array configuration and the antenna element pattern and gain. For example, the antenna array composed of 8 × 8 identical antenna elements with 5 dBi gain each produces a maximum 23 dBi main beam antenna gain for base stations and an antenna array composed of 4 × 4 identical antenna elements with 5 dBi gain each produces a maximum 17 dBi main beam antenna gain for user terminal. Antenna gain in directions other than the main beam is reduced according to the antenna model described in Recommendation ITU-R M.2101. The use of antenna array configurations other than those indicated in the table above should not lead to an increase of interference to other services to which the bands are currently allocated and should not increase the e.i.r.p., by adjusting the other relevant parameters.</w:t>
            </w:r>
          </w:p>
          <w:p w:rsidR="00B63D8D" w:rsidRPr="00752DF2" w:rsidRDefault="00B63D8D" w:rsidP="00D51FE8">
            <w:pPr>
              <w:pStyle w:val="Tabletext"/>
              <w:rPr>
                <w:lang w:val="en-GB"/>
              </w:rPr>
            </w:pPr>
            <w:r w:rsidRPr="00752DF2">
              <w:rPr>
                <w:lang w:val="en-GB"/>
              </w:rPr>
              <w:t>NOTE 3</w:t>
            </w:r>
            <w:r w:rsidR="00D51FE8" w:rsidRPr="00752DF2">
              <w:rPr>
                <w:lang w:val="en-GB"/>
              </w:rPr>
              <w:t xml:space="preserve"> –</w:t>
            </w:r>
            <w:r w:rsidRPr="00752DF2">
              <w:rPr>
                <w:lang w:val="en-GB"/>
              </w:rPr>
              <w:t xml:space="preserve"> Maximum user terminal output power depends on the antenna array configuration and conducted power (before Ohmic loss) per antenna element. For example, the antenna array composed of 4 × 4 identical antenna elements with conducted power per antenna element 10 dBm produces 22 dBm maximum user terminal output power. The reduction of maximum user terminal output power resulting from power control model is applied to each element within antenna array; i.e. conducted power (before Ohmic loss) per antenna element is reduced to same extent as </w:t>
            </w:r>
            <w:r w:rsidRPr="00752DF2">
              <w:rPr>
                <w:i/>
                <w:lang w:val="en-GB"/>
              </w:rPr>
              <w:t>P</w:t>
            </w:r>
            <w:r w:rsidRPr="00752DF2">
              <w:rPr>
                <w:vertAlign w:val="subscript"/>
                <w:lang w:val="en-GB"/>
              </w:rPr>
              <w:t>PUSCH</w:t>
            </w:r>
            <w:r w:rsidRPr="00752DF2">
              <w:rPr>
                <w:lang w:val="en-GB"/>
              </w:rPr>
              <w:t xml:space="preserve"> reduced compared to </w:t>
            </w:r>
            <w:r w:rsidRPr="00752DF2">
              <w:rPr>
                <w:i/>
                <w:lang w:val="en-GB"/>
              </w:rPr>
              <w:t>P</w:t>
            </w:r>
            <w:r w:rsidRPr="00752DF2">
              <w:rPr>
                <w:vertAlign w:val="subscript"/>
                <w:lang w:val="en-GB"/>
              </w:rPr>
              <w:t>CMAX</w:t>
            </w:r>
            <w:r w:rsidRPr="00752DF2">
              <w:rPr>
                <w:lang w:val="en-GB"/>
              </w:rPr>
              <w:t xml:space="preserve">. </w:t>
            </w:r>
          </w:p>
        </w:tc>
      </w:tr>
    </w:tbl>
    <w:p w:rsidR="00752DF2" w:rsidRDefault="00752DF2" w:rsidP="00B63D8D">
      <w:pPr>
        <w:pStyle w:val="Tablefin"/>
        <w:rPr>
          <w:lang w:eastAsia="ja-JP"/>
        </w:rPr>
      </w:pPr>
    </w:p>
    <w:p w:rsidR="00B63D8D" w:rsidRPr="00752DF2" w:rsidRDefault="00B63D8D" w:rsidP="00B63D8D">
      <w:pPr>
        <w:pStyle w:val="Heading2"/>
        <w:rPr>
          <w:lang w:val="en-GB"/>
        </w:rPr>
      </w:pPr>
      <w:bookmarkStart w:id="67" w:name="_Toc530661317"/>
      <w:bookmarkStart w:id="68" w:name="_Toc7699368"/>
      <w:bookmarkStart w:id="69" w:name="_Toc19283727"/>
      <w:bookmarkStart w:id="70" w:name="_Toc19289060"/>
      <w:r w:rsidRPr="00752DF2">
        <w:rPr>
          <w:lang w:val="en-GB"/>
        </w:rPr>
        <w:t>4.3</w:t>
      </w:r>
      <w:r w:rsidRPr="00752DF2">
        <w:rPr>
          <w:lang w:val="en-GB"/>
        </w:rPr>
        <w:tab/>
        <w:t>Technical and operational characteristics of FSS operating in the 47.2-47.5 and 47.9</w:t>
      </w:r>
      <w:r w:rsidR="00752DF2">
        <w:rPr>
          <w:lang w:val="en-GB"/>
        </w:rPr>
        <w:noBreakHyphen/>
      </w:r>
      <w:r w:rsidRPr="00752DF2">
        <w:rPr>
          <w:lang w:val="en-GB"/>
        </w:rPr>
        <w:t>48.2 GHz frequency ranges</w:t>
      </w:r>
      <w:bookmarkEnd w:id="67"/>
      <w:bookmarkEnd w:id="68"/>
      <w:bookmarkEnd w:id="69"/>
      <w:bookmarkEnd w:id="70"/>
    </w:p>
    <w:p w:rsidR="00B63D8D" w:rsidRPr="001954AF" w:rsidRDefault="00B63D8D" w:rsidP="00B63D8D">
      <w:pPr>
        <w:pStyle w:val="TableNo"/>
      </w:pPr>
      <w:r w:rsidRPr="001954AF">
        <w:t>T</w:t>
      </w:r>
      <w:r w:rsidR="00D51FE8" w:rsidRPr="001954AF">
        <w:t>ABLE</w:t>
      </w:r>
      <w:r w:rsidRPr="001954AF">
        <w:t xml:space="preserve"> </w:t>
      </w:r>
      <w:r w:rsidRPr="001954AF">
        <w:rPr>
          <w:noProof/>
        </w:rPr>
        <w:t>3</w:t>
      </w:r>
    </w:p>
    <w:p w:rsidR="00B63D8D" w:rsidRPr="001954AF" w:rsidRDefault="00B63D8D" w:rsidP="00B63D8D">
      <w:pPr>
        <w:pStyle w:val="Tabletitle"/>
      </w:pPr>
      <w:r w:rsidRPr="001954AF">
        <w:t>FSS victim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130"/>
        <w:gridCol w:w="2126"/>
        <w:gridCol w:w="1982"/>
      </w:tblGrid>
      <w:tr w:rsidR="00B63D8D" w:rsidRPr="00481A00" w:rsidTr="00D51FE8">
        <w:trPr>
          <w:jc w:val="center"/>
        </w:trPr>
        <w:tc>
          <w:tcPr>
            <w:tcW w:w="5000" w:type="pct"/>
            <w:gridSpan w:val="4"/>
            <w:noWrap/>
            <w:hideMark/>
          </w:tcPr>
          <w:p w:rsidR="00B63D8D" w:rsidRPr="00752DF2" w:rsidRDefault="00B63D8D" w:rsidP="00194EFE">
            <w:pPr>
              <w:pStyle w:val="Tabletext"/>
              <w:rPr>
                <w:b/>
                <w:bCs/>
                <w:lang w:val="en-GB" w:eastAsia="en-GB"/>
              </w:rPr>
            </w:pPr>
            <w:r w:rsidRPr="00752DF2">
              <w:rPr>
                <w:b/>
                <w:bCs/>
                <w:lang w:val="en-GB" w:eastAsia="en-GB"/>
              </w:rPr>
              <w:t>FSS uplink parameters (interfered with)</w:t>
            </w:r>
          </w:p>
        </w:tc>
      </w:tr>
      <w:tr w:rsidR="00B63D8D" w:rsidRPr="001954AF" w:rsidTr="00D51FE8">
        <w:trPr>
          <w:jc w:val="center"/>
        </w:trPr>
        <w:tc>
          <w:tcPr>
            <w:tcW w:w="1764" w:type="pct"/>
            <w:hideMark/>
          </w:tcPr>
          <w:p w:rsidR="00B63D8D" w:rsidRPr="001954AF" w:rsidRDefault="00B63D8D" w:rsidP="00194EFE">
            <w:pPr>
              <w:pStyle w:val="Tabletext"/>
              <w:rPr>
                <w:lang w:eastAsia="en-GB"/>
              </w:rPr>
            </w:pPr>
            <w:r w:rsidRPr="001954AF">
              <w:rPr>
                <w:lang w:eastAsia="en-GB"/>
              </w:rPr>
              <w:t>Frequency range</w:t>
            </w:r>
            <w:r>
              <w:rPr>
                <w:lang w:eastAsia="en-GB"/>
              </w:rPr>
              <w:t xml:space="preserve"> (</w:t>
            </w:r>
            <w:r w:rsidRPr="001954AF">
              <w:rPr>
                <w:lang w:eastAsia="en-GB"/>
              </w:rPr>
              <w:t>GHz</w:t>
            </w:r>
            <w:r>
              <w:rPr>
                <w:lang w:eastAsia="en-GB"/>
              </w:rPr>
              <w:t>)</w:t>
            </w:r>
          </w:p>
        </w:tc>
        <w:tc>
          <w:tcPr>
            <w:tcW w:w="1105" w:type="pct"/>
            <w:hideMark/>
          </w:tcPr>
          <w:p w:rsidR="00B63D8D" w:rsidRPr="001954AF" w:rsidRDefault="00B63D8D" w:rsidP="00194EFE">
            <w:pPr>
              <w:pStyle w:val="Tabletext"/>
              <w:jc w:val="center"/>
              <w:rPr>
                <w:lang w:eastAsia="en-GB"/>
              </w:rPr>
            </w:pPr>
            <w:r w:rsidRPr="001954AF">
              <w:rPr>
                <w:lang w:eastAsia="en-GB"/>
              </w:rPr>
              <w:t>47.2-47.5 / 47.9</w:t>
            </w:r>
            <w:r w:rsidRPr="001954AF">
              <w:rPr>
                <w:lang w:eastAsia="en-GB"/>
              </w:rPr>
              <w:noBreakHyphen/>
              <w:t>48.2</w:t>
            </w:r>
          </w:p>
        </w:tc>
        <w:tc>
          <w:tcPr>
            <w:tcW w:w="1103" w:type="pct"/>
            <w:hideMark/>
          </w:tcPr>
          <w:p w:rsidR="00B63D8D" w:rsidRPr="001954AF" w:rsidRDefault="00B63D8D" w:rsidP="00194EFE">
            <w:pPr>
              <w:pStyle w:val="Tabletext"/>
              <w:jc w:val="center"/>
              <w:rPr>
                <w:lang w:eastAsia="en-GB"/>
              </w:rPr>
            </w:pPr>
            <w:r w:rsidRPr="001954AF">
              <w:rPr>
                <w:lang w:eastAsia="en-GB"/>
              </w:rPr>
              <w:t>47.2-47.5 / 47.9-48.2</w:t>
            </w:r>
          </w:p>
        </w:tc>
        <w:tc>
          <w:tcPr>
            <w:tcW w:w="1028" w:type="pct"/>
            <w:hideMark/>
          </w:tcPr>
          <w:p w:rsidR="00B63D8D" w:rsidRPr="001954AF" w:rsidRDefault="00B63D8D" w:rsidP="00194EFE">
            <w:pPr>
              <w:pStyle w:val="Tabletext"/>
              <w:jc w:val="center"/>
              <w:rPr>
                <w:lang w:eastAsia="en-GB"/>
              </w:rPr>
            </w:pPr>
            <w:r w:rsidRPr="001954AF">
              <w:rPr>
                <w:lang w:eastAsia="en-GB"/>
              </w:rPr>
              <w:t>47.2-47.5 / 47.9</w:t>
            </w:r>
            <w:r w:rsidRPr="001954AF">
              <w:rPr>
                <w:lang w:eastAsia="en-GB"/>
              </w:rPr>
              <w:noBreakHyphen/>
              <w:t>48.2</w:t>
            </w:r>
          </w:p>
        </w:tc>
      </w:tr>
      <w:tr w:rsidR="00B63D8D" w:rsidRPr="001954AF" w:rsidTr="00D51FE8">
        <w:trPr>
          <w:jc w:val="center"/>
        </w:trPr>
        <w:tc>
          <w:tcPr>
            <w:tcW w:w="1764" w:type="pct"/>
            <w:hideMark/>
          </w:tcPr>
          <w:p w:rsidR="00B63D8D" w:rsidRPr="001954AF" w:rsidRDefault="00B63D8D" w:rsidP="00194EFE">
            <w:pPr>
              <w:pStyle w:val="Tabletext"/>
              <w:rPr>
                <w:lang w:eastAsia="en-GB"/>
              </w:rPr>
            </w:pPr>
            <w:r w:rsidRPr="001954AF">
              <w:rPr>
                <w:lang w:eastAsia="en-GB"/>
              </w:rPr>
              <w:t>CARRIER</w:t>
            </w:r>
          </w:p>
        </w:tc>
        <w:tc>
          <w:tcPr>
            <w:tcW w:w="1105" w:type="pct"/>
            <w:hideMark/>
          </w:tcPr>
          <w:p w:rsidR="00B63D8D" w:rsidRPr="001954AF" w:rsidRDefault="00B63D8D" w:rsidP="00194EFE">
            <w:pPr>
              <w:pStyle w:val="Tabletext"/>
              <w:jc w:val="center"/>
              <w:rPr>
                <w:lang w:eastAsia="en-GB"/>
              </w:rPr>
            </w:pPr>
            <w:r w:rsidRPr="001954AF">
              <w:rPr>
                <w:lang w:eastAsia="en-GB"/>
              </w:rPr>
              <w:t>Carrier #15</w:t>
            </w:r>
          </w:p>
        </w:tc>
        <w:tc>
          <w:tcPr>
            <w:tcW w:w="1103" w:type="pct"/>
            <w:hideMark/>
          </w:tcPr>
          <w:p w:rsidR="00B63D8D" w:rsidRPr="001954AF" w:rsidRDefault="00B63D8D" w:rsidP="00194EFE">
            <w:pPr>
              <w:pStyle w:val="Tabletext"/>
              <w:jc w:val="center"/>
              <w:rPr>
                <w:lang w:eastAsia="en-GB"/>
              </w:rPr>
            </w:pPr>
            <w:r w:rsidRPr="001954AF">
              <w:rPr>
                <w:lang w:eastAsia="en-GB"/>
              </w:rPr>
              <w:t>Carrier #34</w:t>
            </w:r>
          </w:p>
        </w:tc>
        <w:tc>
          <w:tcPr>
            <w:tcW w:w="1028" w:type="pct"/>
            <w:hideMark/>
          </w:tcPr>
          <w:p w:rsidR="00B63D8D" w:rsidRPr="001954AF" w:rsidRDefault="00B63D8D" w:rsidP="00194EFE">
            <w:pPr>
              <w:pStyle w:val="Tabletext"/>
              <w:jc w:val="center"/>
              <w:rPr>
                <w:lang w:eastAsia="en-GB"/>
              </w:rPr>
            </w:pPr>
            <w:r w:rsidRPr="001954AF">
              <w:rPr>
                <w:lang w:eastAsia="en-GB"/>
              </w:rPr>
              <w:t>Carrier #44</w:t>
            </w:r>
          </w:p>
        </w:tc>
      </w:tr>
      <w:tr w:rsidR="00B63D8D" w:rsidRPr="001954AF" w:rsidTr="00D51FE8">
        <w:trPr>
          <w:jc w:val="center"/>
        </w:trPr>
        <w:tc>
          <w:tcPr>
            <w:tcW w:w="1764" w:type="pct"/>
            <w:hideMark/>
          </w:tcPr>
          <w:p w:rsidR="00B63D8D" w:rsidRPr="001954AF" w:rsidRDefault="00B63D8D" w:rsidP="00194EFE">
            <w:pPr>
              <w:pStyle w:val="Tabletext"/>
              <w:rPr>
                <w:lang w:eastAsia="en-GB"/>
              </w:rPr>
            </w:pPr>
            <w:r w:rsidRPr="001954AF">
              <w:rPr>
                <w:lang w:eastAsia="en-GB"/>
              </w:rPr>
              <w:t>Noise bandwidth</w:t>
            </w:r>
            <w:r>
              <w:rPr>
                <w:lang w:eastAsia="en-GB"/>
              </w:rPr>
              <w:t xml:space="preserve"> (</w:t>
            </w:r>
            <w:r w:rsidRPr="001954AF">
              <w:rPr>
                <w:lang w:eastAsia="en-GB"/>
              </w:rPr>
              <w:t>MHz</w:t>
            </w:r>
            <w:r>
              <w:rPr>
                <w:lang w:eastAsia="en-GB"/>
              </w:rPr>
              <w:t>)</w:t>
            </w:r>
          </w:p>
        </w:tc>
        <w:tc>
          <w:tcPr>
            <w:tcW w:w="1105" w:type="pct"/>
            <w:hideMark/>
          </w:tcPr>
          <w:p w:rsidR="00B63D8D" w:rsidRPr="001954AF" w:rsidRDefault="00B63D8D" w:rsidP="00194EFE">
            <w:pPr>
              <w:pStyle w:val="Tabletext"/>
              <w:jc w:val="center"/>
              <w:rPr>
                <w:lang w:eastAsia="en-GB"/>
              </w:rPr>
            </w:pPr>
            <w:r w:rsidRPr="001954AF">
              <w:rPr>
                <w:lang w:eastAsia="en-GB"/>
              </w:rPr>
              <w:t>100-600</w:t>
            </w:r>
          </w:p>
        </w:tc>
        <w:tc>
          <w:tcPr>
            <w:tcW w:w="1103" w:type="pct"/>
            <w:hideMark/>
          </w:tcPr>
          <w:p w:rsidR="00B63D8D" w:rsidRPr="001954AF" w:rsidRDefault="00B63D8D" w:rsidP="00194EFE">
            <w:pPr>
              <w:pStyle w:val="Tabletext"/>
              <w:jc w:val="center"/>
              <w:rPr>
                <w:lang w:eastAsia="en-GB"/>
              </w:rPr>
            </w:pPr>
            <w:r w:rsidRPr="001954AF">
              <w:rPr>
                <w:lang w:eastAsia="en-GB"/>
              </w:rPr>
              <w:t>115</w:t>
            </w:r>
          </w:p>
        </w:tc>
        <w:tc>
          <w:tcPr>
            <w:tcW w:w="1028" w:type="pct"/>
            <w:hideMark/>
          </w:tcPr>
          <w:p w:rsidR="00B63D8D" w:rsidRPr="001954AF" w:rsidRDefault="00B63D8D" w:rsidP="00194EFE">
            <w:pPr>
              <w:pStyle w:val="Tabletext"/>
              <w:jc w:val="center"/>
              <w:rPr>
                <w:lang w:eastAsia="en-GB"/>
              </w:rPr>
            </w:pPr>
            <w:r w:rsidRPr="001954AF">
              <w:rPr>
                <w:lang w:eastAsia="en-GB"/>
              </w:rPr>
              <w:t>50-500</w:t>
            </w:r>
          </w:p>
        </w:tc>
      </w:tr>
      <w:tr w:rsidR="00B63D8D" w:rsidRPr="001954AF" w:rsidTr="00D51FE8">
        <w:trPr>
          <w:jc w:val="center"/>
        </w:trPr>
        <w:tc>
          <w:tcPr>
            <w:tcW w:w="1764" w:type="pct"/>
            <w:hideMark/>
          </w:tcPr>
          <w:p w:rsidR="00B63D8D" w:rsidRPr="001954AF" w:rsidRDefault="00B63D8D" w:rsidP="00194EFE">
            <w:pPr>
              <w:pStyle w:val="Tabletext"/>
              <w:rPr>
                <w:lang w:eastAsia="en-GB"/>
              </w:rPr>
            </w:pPr>
            <w:r w:rsidRPr="001954AF">
              <w:rPr>
                <w:lang w:eastAsia="en-GB"/>
              </w:rPr>
              <w:t>SPACE STATION</w:t>
            </w:r>
          </w:p>
        </w:tc>
        <w:tc>
          <w:tcPr>
            <w:tcW w:w="1105" w:type="pct"/>
            <w:hideMark/>
          </w:tcPr>
          <w:p w:rsidR="00B63D8D" w:rsidRPr="001954AF" w:rsidRDefault="00B63D8D" w:rsidP="00194EFE">
            <w:pPr>
              <w:pStyle w:val="Tabletext"/>
              <w:jc w:val="center"/>
              <w:rPr>
                <w:lang w:eastAsia="en-GB"/>
              </w:rPr>
            </w:pPr>
          </w:p>
        </w:tc>
        <w:tc>
          <w:tcPr>
            <w:tcW w:w="1103" w:type="pct"/>
            <w:hideMark/>
          </w:tcPr>
          <w:p w:rsidR="00B63D8D" w:rsidRPr="001954AF" w:rsidRDefault="00B63D8D" w:rsidP="00194EFE">
            <w:pPr>
              <w:pStyle w:val="Tabletext"/>
              <w:jc w:val="center"/>
              <w:rPr>
                <w:lang w:eastAsia="en-GB"/>
              </w:rPr>
            </w:pPr>
          </w:p>
        </w:tc>
        <w:tc>
          <w:tcPr>
            <w:tcW w:w="1028" w:type="pct"/>
            <w:hideMark/>
          </w:tcPr>
          <w:p w:rsidR="00B63D8D" w:rsidRPr="001954AF" w:rsidRDefault="00B63D8D" w:rsidP="00194EFE">
            <w:pPr>
              <w:pStyle w:val="Tabletext"/>
              <w:jc w:val="center"/>
              <w:rPr>
                <w:lang w:eastAsia="en-GB"/>
              </w:rPr>
            </w:pPr>
          </w:p>
        </w:tc>
      </w:tr>
      <w:tr w:rsidR="00B63D8D" w:rsidRPr="001954AF" w:rsidTr="00D51FE8">
        <w:trPr>
          <w:jc w:val="center"/>
        </w:trPr>
        <w:tc>
          <w:tcPr>
            <w:tcW w:w="1764" w:type="pct"/>
            <w:hideMark/>
          </w:tcPr>
          <w:p w:rsidR="00B63D8D" w:rsidRPr="00752DF2" w:rsidRDefault="00B63D8D" w:rsidP="00194EFE">
            <w:pPr>
              <w:pStyle w:val="Tabletext"/>
              <w:rPr>
                <w:lang w:val="en-GB" w:eastAsia="en-GB"/>
              </w:rPr>
            </w:pPr>
            <w:r w:rsidRPr="00752DF2">
              <w:rPr>
                <w:lang w:val="en-GB" w:eastAsia="en-GB"/>
              </w:rPr>
              <w:t>Peak receive antenna gain (dBi)</w:t>
            </w:r>
          </w:p>
        </w:tc>
        <w:tc>
          <w:tcPr>
            <w:tcW w:w="1105" w:type="pct"/>
            <w:hideMark/>
          </w:tcPr>
          <w:p w:rsidR="00B63D8D" w:rsidRPr="001954AF" w:rsidRDefault="00B63D8D" w:rsidP="00194EFE">
            <w:pPr>
              <w:pStyle w:val="Tabletext"/>
              <w:jc w:val="center"/>
              <w:rPr>
                <w:lang w:eastAsia="en-GB"/>
              </w:rPr>
            </w:pPr>
            <w:r w:rsidRPr="001954AF">
              <w:rPr>
                <w:lang w:eastAsia="en-GB"/>
              </w:rPr>
              <w:t>45.7</w:t>
            </w:r>
          </w:p>
        </w:tc>
        <w:tc>
          <w:tcPr>
            <w:tcW w:w="1103" w:type="pct"/>
            <w:hideMark/>
          </w:tcPr>
          <w:p w:rsidR="00B63D8D" w:rsidRPr="001954AF" w:rsidRDefault="00B63D8D" w:rsidP="00194EFE">
            <w:pPr>
              <w:pStyle w:val="Tabletext"/>
              <w:jc w:val="center"/>
              <w:rPr>
                <w:lang w:eastAsia="en-GB"/>
              </w:rPr>
            </w:pPr>
            <w:r w:rsidRPr="001954AF">
              <w:rPr>
                <w:lang w:eastAsia="en-GB"/>
              </w:rPr>
              <w:t>41.7</w:t>
            </w:r>
          </w:p>
        </w:tc>
        <w:tc>
          <w:tcPr>
            <w:tcW w:w="1028" w:type="pct"/>
            <w:hideMark/>
          </w:tcPr>
          <w:p w:rsidR="00B63D8D" w:rsidRPr="001954AF" w:rsidRDefault="00B63D8D" w:rsidP="00194EFE">
            <w:pPr>
              <w:pStyle w:val="Tabletext"/>
              <w:jc w:val="center"/>
              <w:rPr>
                <w:lang w:eastAsia="en-GB"/>
              </w:rPr>
            </w:pPr>
            <w:r w:rsidRPr="001954AF">
              <w:rPr>
                <w:lang w:eastAsia="en-GB"/>
              </w:rPr>
              <w:t>35</w:t>
            </w:r>
          </w:p>
        </w:tc>
      </w:tr>
      <w:tr w:rsidR="00B63D8D" w:rsidRPr="007C17CE" w:rsidTr="00D51FE8">
        <w:trPr>
          <w:jc w:val="center"/>
        </w:trPr>
        <w:tc>
          <w:tcPr>
            <w:tcW w:w="1764" w:type="pct"/>
            <w:hideMark/>
          </w:tcPr>
          <w:p w:rsidR="00B63D8D" w:rsidRPr="00752DF2" w:rsidRDefault="00B63D8D" w:rsidP="00194EFE">
            <w:pPr>
              <w:pStyle w:val="Tabletext"/>
              <w:rPr>
                <w:lang w:val="en-GB" w:eastAsia="en-GB"/>
              </w:rPr>
            </w:pPr>
            <w:r w:rsidRPr="00752DF2">
              <w:rPr>
                <w:lang w:val="en-GB" w:eastAsia="en-GB"/>
              </w:rPr>
              <w:t>Antenna receive gain pattern and (3 dB) beamwidth</w:t>
            </w:r>
          </w:p>
        </w:tc>
        <w:tc>
          <w:tcPr>
            <w:tcW w:w="1105" w:type="pct"/>
            <w:hideMark/>
          </w:tcPr>
          <w:p w:rsidR="00B63D8D" w:rsidRPr="00752DF2" w:rsidRDefault="00B63D8D" w:rsidP="00752DF2">
            <w:pPr>
              <w:pStyle w:val="Tabletext"/>
              <w:jc w:val="center"/>
              <w:rPr>
                <w:lang w:val="en-GB" w:eastAsia="en-GB"/>
              </w:rPr>
            </w:pPr>
            <w:r w:rsidRPr="00752DF2">
              <w:rPr>
                <w:lang w:val="en-GB" w:eastAsia="en-GB"/>
              </w:rPr>
              <w:t>Section 1.1 of Annex</w:t>
            </w:r>
            <w:r w:rsidR="00752DF2">
              <w:rPr>
                <w:lang w:val="en-GB" w:eastAsia="en-GB"/>
              </w:rPr>
              <w:t> </w:t>
            </w:r>
            <w:r w:rsidRPr="00752DF2">
              <w:rPr>
                <w:lang w:val="en-GB" w:eastAsia="en-GB"/>
              </w:rPr>
              <w:t>1</w:t>
            </w:r>
            <w:r w:rsidRPr="00752DF2">
              <w:rPr>
                <w:lang w:val="en-GB" w:eastAsia="en-GB"/>
              </w:rPr>
              <w:br/>
              <w:t>Rec. ITU-R S.672-4</w:t>
            </w:r>
            <w:r w:rsidRPr="00752DF2">
              <w:rPr>
                <w:lang w:val="en-GB" w:eastAsia="en-GB"/>
              </w:rPr>
              <w:br/>
              <w:t>Beamwidth: 0.92</w:t>
            </w:r>
            <w:r w:rsidRPr="00752DF2">
              <w:rPr>
                <w:lang w:val="en-GB" w:eastAsia="en-GB"/>
              </w:rPr>
              <w:br/>
            </w:r>
            <w:r w:rsidRPr="00752DF2">
              <w:rPr>
                <w:i/>
                <w:iCs/>
                <w:lang w:val="en-GB"/>
              </w:rPr>
              <w:t>L</w:t>
            </w:r>
            <w:r w:rsidRPr="00752DF2">
              <w:rPr>
                <w:i/>
                <w:iCs/>
                <w:vertAlign w:val="subscript"/>
                <w:lang w:val="en-GB"/>
              </w:rPr>
              <w:t>S</w:t>
            </w:r>
            <w:r w:rsidRPr="00752DF2">
              <w:rPr>
                <w:i/>
                <w:iCs/>
                <w:vertAlign w:val="subscript"/>
                <w:lang w:val="en-GB" w:eastAsia="en-GB"/>
              </w:rPr>
              <w:t> </w:t>
            </w:r>
            <w:r w:rsidRPr="00752DF2">
              <w:rPr>
                <w:lang w:val="en-GB" w:eastAsia="en-GB"/>
              </w:rPr>
              <w:t>= –25</w:t>
            </w:r>
          </w:p>
        </w:tc>
        <w:tc>
          <w:tcPr>
            <w:tcW w:w="1103" w:type="pct"/>
            <w:hideMark/>
          </w:tcPr>
          <w:p w:rsidR="00B63D8D" w:rsidRPr="00752DF2" w:rsidRDefault="00B63D8D" w:rsidP="00194EFE">
            <w:pPr>
              <w:pStyle w:val="Tabletext"/>
              <w:keepNext/>
              <w:keepLines/>
              <w:jc w:val="center"/>
              <w:rPr>
                <w:lang w:val="en-GB" w:eastAsia="en-GB"/>
              </w:rPr>
            </w:pPr>
            <w:r w:rsidRPr="00752DF2">
              <w:rPr>
                <w:lang w:val="en-GB" w:eastAsia="en-GB"/>
              </w:rPr>
              <w:t xml:space="preserve">Section 1.1 of Annex 1 of Rec. ITU-R S.1528 </w:t>
            </w:r>
            <w:r w:rsidRPr="00752DF2">
              <w:rPr>
                <w:i/>
                <w:iCs/>
                <w:lang w:val="en-GB" w:eastAsia="en-GB"/>
              </w:rPr>
              <w:t>Ls</w:t>
            </w:r>
            <w:r w:rsidRPr="00752DF2">
              <w:rPr>
                <w:lang w:val="en-GB" w:eastAsia="en-GB"/>
              </w:rPr>
              <w:t> = </w:t>
            </w:r>
            <w:r w:rsidRPr="00752DF2">
              <w:rPr>
                <w:lang w:val="en-GB" w:eastAsia="en-GB"/>
              </w:rPr>
              <w:noBreakHyphen/>
              <w:t>25</w:t>
            </w:r>
            <w:r w:rsidRPr="00752DF2">
              <w:rPr>
                <w:lang w:val="en-GB" w:eastAsia="en-GB"/>
              </w:rPr>
              <w:br/>
              <w:t>Beamwidth: 1.5</w:t>
            </w:r>
          </w:p>
        </w:tc>
        <w:tc>
          <w:tcPr>
            <w:tcW w:w="1028" w:type="pct"/>
            <w:hideMark/>
          </w:tcPr>
          <w:p w:rsidR="00B63D8D" w:rsidRPr="0020211E" w:rsidRDefault="00B63D8D" w:rsidP="00194EFE">
            <w:pPr>
              <w:pStyle w:val="Tabletext"/>
              <w:keepNext/>
              <w:keepLines/>
              <w:jc w:val="center"/>
              <w:rPr>
                <w:lang w:val="fr-CH" w:eastAsia="en-GB"/>
              </w:rPr>
            </w:pPr>
            <w:r w:rsidRPr="0020211E">
              <w:rPr>
                <w:lang w:val="fr-CH" w:eastAsia="en-GB"/>
              </w:rPr>
              <w:t xml:space="preserve">Rec. ITU-R S.1528 </w:t>
            </w:r>
            <w:r w:rsidRPr="0020211E">
              <w:rPr>
                <w:i/>
                <w:iCs/>
                <w:lang w:val="fr-CH"/>
              </w:rPr>
              <w:t>L</w:t>
            </w:r>
            <w:r w:rsidRPr="0020211E">
              <w:rPr>
                <w:i/>
                <w:iCs/>
                <w:vertAlign w:val="subscript"/>
                <w:lang w:val="fr-CH"/>
              </w:rPr>
              <w:t>S</w:t>
            </w:r>
            <w:r w:rsidRPr="0020211E">
              <w:rPr>
                <w:lang w:val="fr-CH" w:eastAsia="en-GB"/>
              </w:rPr>
              <w:t> = </w:t>
            </w:r>
            <w:r w:rsidRPr="0020211E">
              <w:rPr>
                <w:lang w:val="fr-CH" w:eastAsia="en-GB"/>
              </w:rPr>
              <w:noBreakHyphen/>
              <w:t>25</w:t>
            </w:r>
            <w:r w:rsidRPr="0020211E">
              <w:rPr>
                <w:lang w:val="fr-CH" w:eastAsia="en-GB"/>
              </w:rPr>
              <w:br/>
              <w:t>BW = 3.15</w:t>
            </w:r>
          </w:p>
        </w:tc>
      </w:tr>
      <w:tr w:rsidR="00B63D8D" w:rsidRPr="001954AF" w:rsidTr="00D51FE8">
        <w:trPr>
          <w:jc w:val="center"/>
        </w:trPr>
        <w:tc>
          <w:tcPr>
            <w:tcW w:w="1764" w:type="pct"/>
            <w:hideMark/>
          </w:tcPr>
          <w:p w:rsidR="00B63D8D" w:rsidRPr="00752DF2" w:rsidRDefault="00B63D8D" w:rsidP="00194EFE">
            <w:pPr>
              <w:pStyle w:val="Tabletext"/>
              <w:rPr>
                <w:lang w:val="en-GB" w:eastAsia="en-GB"/>
              </w:rPr>
            </w:pPr>
            <w:r w:rsidRPr="00752DF2">
              <w:rPr>
                <w:lang w:val="en-GB" w:eastAsia="en-GB"/>
              </w:rPr>
              <w:t>System receive noise temperature (K)</w:t>
            </w:r>
          </w:p>
        </w:tc>
        <w:tc>
          <w:tcPr>
            <w:tcW w:w="1105" w:type="pct"/>
            <w:hideMark/>
          </w:tcPr>
          <w:p w:rsidR="00B63D8D" w:rsidRPr="001954AF" w:rsidRDefault="00B63D8D" w:rsidP="00194EFE">
            <w:pPr>
              <w:pStyle w:val="Tabletext"/>
              <w:jc w:val="center"/>
              <w:rPr>
                <w:lang w:eastAsia="en-GB"/>
              </w:rPr>
            </w:pPr>
            <w:r w:rsidRPr="001954AF">
              <w:rPr>
                <w:lang w:eastAsia="en-GB"/>
              </w:rPr>
              <w:t>600</w:t>
            </w:r>
          </w:p>
        </w:tc>
        <w:tc>
          <w:tcPr>
            <w:tcW w:w="1103" w:type="pct"/>
            <w:hideMark/>
          </w:tcPr>
          <w:p w:rsidR="00B63D8D" w:rsidRPr="001954AF" w:rsidRDefault="00B63D8D" w:rsidP="00194EFE">
            <w:pPr>
              <w:pStyle w:val="Tabletext"/>
              <w:jc w:val="center"/>
              <w:rPr>
                <w:lang w:eastAsia="en-GB"/>
              </w:rPr>
            </w:pPr>
            <w:r w:rsidRPr="001954AF">
              <w:rPr>
                <w:lang w:eastAsia="en-GB"/>
              </w:rPr>
              <w:t>600</w:t>
            </w:r>
          </w:p>
        </w:tc>
        <w:tc>
          <w:tcPr>
            <w:tcW w:w="1028" w:type="pct"/>
            <w:hideMark/>
          </w:tcPr>
          <w:p w:rsidR="00B63D8D" w:rsidRPr="001954AF" w:rsidRDefault="00B63D8D" w:rsidP="00194EFE">
            <w:pPr>
              <w:pStyle w:val="Tabletext"/>
              <w:jc w:val="center"/>
              <w:rPr>
                <w:lang w:eastAsia="en-GB"/>
              </w:rPr>
            </w:pPr>
            <w:r w:rsidRPr="001954AF">
              <w:rPr>
                <w:lang w:eastAsia="en-GB"/>
              </w:rPr>
              <w:t>600</w:t>
            </w:r>
          </w:p>
        </w:tc>
      </w:tr>
    </w:tbl>
    <w:p w:rsidR="00752DF2" w:rsidRDefault="00752DF2">
      <w:r>
        <w:br w:type="page"/>
      </w:r>
    </w:p>
    <w:p w:rsidR="00752DF2" w:rsidRPr="001954AF" w:rsidRDefault="00752DF2" w:rsidP="00752DF2">
      <w:pPr>
        <w:pStyle w:val="TableNo"/>
      </w:pPr>
      <w:r w:rsidRPr="001954AF">
        <w:t xml:space="preserve">TABLE </w:t>
      </w:r>
      <w:r w:rsidRPr="001954AF">
        <w:rPr>
          <w:noProof/>
        </w:rPr>
        <w:t>3</w:t>
      </w:r>
      <w:r>
        <w:rPr>
          <w:noProof/>
        </w:rPr>
        <w:t xml:space="preserve"> (</w:t>
      </w:r>
      <w:r w:rsidRPr="00752DF2">
        <w:rPr>
          <w:i/>
          <w:noProof/>
        </w:rPr>
        <w:t>end</w:t>
      </w:r>
      <w:r>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130"/>
        <w:gridCol w:w="2126"/>
        <w:gridCol w:w="1982"/>
      </w:tblGrid>
      <w:tr w:rsidR="00B63D8D" w:rsidRPr="001954AF" w:rsidTr="00D51FE8">
        <w:trPr>
          <w:jc w:val="center"/>
        </w:trPr>
        <w:tc>
          <w:tcPr>
            <w:tcW w:w="5000" w:type="pct"/>
            <w:gridSpan w:val="4"/>
            <w:noWrap/>
            <w:hideMark/>
          </w:tcPr>
          <w:p w:rsidR="00B63D8D" w:rsidRPr="001954AF" w:rsidRDefault="00B63D8D" w:rsidP="00194EFE">
            <w:pPr>
              <w:pStyle w:val="Tabletext"/>
              <w:rPr>
                <w:b/>
                <w:bCs/>
                <w:lang w:eastAsia="en-GB"/>
              </w:rPr>
            </w:pPr>
            <w:r w:rsidRPr="001954AF">
              <w:rPr>
                <w:b/>
                <w:bCs/>
                <w:lang w:eastAsia="en-GB"/>
              </w:rPr>
              <w:t>Interference protection criteria </w:t>
            </w:r>
          </w:p>
        </w:tc>
      </w:tr>
      <w:tr w:rsidR="00B63D8D" w:rsidRPr="00481A00" w:rsidTr="00D51FE8">
        <w:trPr>
          <w:jc w:val="center"/>
        </w:trPr>
        <w:tc>
          <w:tcPr>
            <w:tcW w:w="1764" w:type="pct"/>
            <w:hideMark/>
          </w:tcPr>
          <w:p w:rsidR="00B63D8D" w:rsidRPr="00752DF2" w:rsidRDefault="00B63D8D" w:rsidP="00194EFE">
            <w:pPr>
              <w:pStyle w:val="Tabletext"/>
              <w:rPr>
                <w:lang w:val="en-GB" w:eastAsia="en-GB"/>
              </w:rPr>
            </w:pPr>
            <w:r w:rsidRPr="00752DF2">
              <w:rPr>
                <w:lang w:val="en-GB" w:eastAsia="en-GB"/>
              </w:rPr>
              <w:t xml:space="preserve">Interference to noise ratio </w:t>
            </w:r>
            <w:r w:rsidRPr="00752DF2">
              <w:rPr>
                <w:i/>
                <w:lang w:val="en-GB" w:eastAsia="en-GB"/>
              </w:rPr>
              <w:t>I</w:t>
            </w:r>
            <w:r w:rsidRPr="00752DF2">
              <w:rPr>
                <w:lang w:val="en-GB" w:eastAsia="en-GB"/>
              </w:rPr>
              <w:t>/</w:t>
            </w:r>
            <w:r w:rsidRPr="00752DF2">
              <w:rPr>
                <w:i/>
                <w:lang w:val="en-GB" w:eastAsia="en-GB"/>
              </w:rPr>
              <w:t>N</w:t>
            </w:r>
            <w:r w:rsidRPr="00752DF2">
              <w:rPr>
                <w:lang w:val="en-GB" w:eastAsia="en-GB"/>
              </w:rPr>
              <w:t xml:space="preserve"> (dB)</w:t>
            </w:r>
          </w:p>
        </w:tc>
        <w:tc>
          <w:tcPr>
            <w:tcW w:w="1105" w:type="pct"/>
            <w:hideMark/>
          </w:tcPr>
          <w:p w:rsidR="00B63D8D" w:rsidRPr="00752DF2" w:rsidRDefault="00B63D8D" w:rsidP="00194EFE">
            <w:pPr>
              <w:pStyle w:val="Tabletext"/>
              <w:jc w:val="center"/>
              <w:rPr>
                <w:lang w:val="en-GB" w:eastAsia="en-GB"/>
              </w:rPr>
            </w:pPr>
            <w:r w:rsidRPr="00752DF2">
              <w:rPr>
                <w:lang w:val="en-GB" w:eastAsia="en-GB"/>
              </w:rPr>
              <w:t>–10.5 dB not to be exceeded more than 20%</w:t>
            </w:r>
          </w:p>
          <w:p w:rsidR="00B63D8D" w:rsidRPr="00752DF2" w:rsidRDefault="00B63D8D" w:rsidP="00194EFE">
            <w:pPr>
              <w:pStyle w:val="Tabletext"/>
              <w:jc w:val="center"/>
              <w:rPr>
                <w:lang w:val="en-GB" w:eastAsia="en-GB"/>
              </w:rPr>
            </w:pPr>
            <w:r w:rsidRPr="00752DF2">
              <w:rPr>
                <w:lang w:val="en-GB" w:eastAsia="en-GB"/>
              </w:rPr>
              <w:t>–6 dB not to be exceeded more than 0.6%</w:t>
            </w:r>
          </w:p>
          <w:p w:rsidR="00B63D8D" w:rsidRPr="00752DF2" w:rsidRDefault="00B63D8D" w:rsidP="00194EFE">
            <w:pPr>
              <w:pStyle w:val="Tabletext"/>
              <w:jc w:val="center"/>
              <w:rPr>
                <w:lang w:val="en-GB" w:eastAsia="en-GB"/>
              </w:rPr>
            </w:pPr>
            <w:r w:rsidRPr="00752DF2">
              <w:rPr>
                <w:lang w:val="en-GB" w:eastAsia="en-GB"/>
              </w:rPr>
              <w:t>+8 dB not to be exceeded more than 0.02%</w:t>
            </w:r>
          </w:p>
        </w:tc>
        <w:tc>
          <w:tcPr>
            <w:tcW w:w="1103" w:type="pct"/>
            <w:hideMark/>
          </w:tcPr>
          <w:p w:rsidR="00B63D8D" w:rsidRPr="00752DF2" w:rsidRDefault="00B63D8D" w:rsidP="00194EFE">
            <w:pPr>
              <w:pStyle w:val="Tabletext"/>
              <w:jc w:val="center"/>
              <w:rPr>
                <w:lang w:val="en-GB" w:eastAsia="en-GB"/>
              </w:rPr>
            </w:pPr>
            <w:r w:rsidRPr="00752DF2">
              <w:rPr>
                <w:lang w:val="en-GB" w:eastAsia="en-GB"/>
              </w:rPr>
              <w:t>–10.5 dB not to be exceeded more than 20%</w:t>
            </w:r>
          </w:p>
          <w:p w:rsidR="00B63D8D" w:rsidRPr="00752DF2" w:rsidRDefault="00B63D8D" w:rsidP="00194EFE">
            <w:pPr>
              <w:pStyle w:val="Tabletext"/>
              <w:jc w:val="center"/>
              <w:rPr>
                <w:lang w:val="en-GB" w:eastAsia="en-GB"/>
              </w:rPr>
            </w:pPr>
            <w:r w:rsidRPr="00752DF2">
              <w:rPr>
                <w:lang w:val="en-GB" w:eastAsia="en-GB"/>
              </w:rPr>
              <w:t>–6 dB not to be exceeded more than 0.6%</w:t>
            </w:r>
          </w:p>
          <w:p w:rsidR="00B63D8D" w:rsidRPr="00752DF2" w:rsidRDefault="00B63D8D" w:rsidP="00194EFE">
            <w:pPr>
              <w:pStyle w:val="Tabletext"/>
              <w:jc w:val="center"/>
              <w:rPr>
                <w:lang w:val="en-GB" w:eastAsia="en-GB"/>
              </w:rPr>
            </w:pPr>
            <w:r w:rsidRPr="00752DF2">
              <w:rPr>
                <w:lang w:val="en-GB" w:eastAsia="en-GB"/>
              </w:rPr>
              <w:t>+8 dB not to be exceeded more than 0.02%</w:t>
            </w:r>
          </w:p>
        </w:tc>
        <w:tc>
          <w:tcPr>
            <w:tcW w:w="1028" w:type="pct"/>
            <w:hideMark/>
          </w:tcPr>
          <w:p w:rsidR="00B63D8D" w:rsidRPr="00752DF2" w:rsidRDefault="00B63D8D" w:rsidP="00194EFE">
            <w:pPr>
              <w:pStyle w:val="Tabletext"/>
              <w:jc w:val="center"/>
              <w:rPr>
                <w:lang w:val="en-GB" w:eastAsia="en-GB"/>
              </w:rPr>
            </w:pPr>
            <w:r w:rsidRPr="00752DF2">
              <w:rPr>
                <w:lang w:val="en-GB" w:eastAsia="en-GB"/>
              </w:rPr>
              <w:t>–10.5 dB not to be exceeded more than 20%</w:t>
            </w:r>
          </w:p>
          <w:p w:rsidR="00B63D8D" w:rsidRPr="00752DF2" w:rsidRDefault="00B63D8D" w:rsidP="00194EFE">
            <w:pPr>
              <w:pStyle w:val="Tabletext"/>
              <w:jc w:val="center"/>
              <w:rPr>
                <w:lang w:val="en-GB" w:eastAsia="en-GB"/>
              </w:rPr>
            </w:pPr>
            <w:r w:rsidRPr="00752DF2">
              <w:rPr>
                <w:lang w:val="en-GB" w:eastAsia="en-GB"/>
              </w:rPr>
              <w:t>–6 dB not to be exceeded more than 0.6%</w:t>
            </w:r>
          </w:p>
          <w:p w:rsidR="00B63D8D" w:rsidRPr="00752DF2" w:rsidRDefault="00B63D8D" w:rsidP="00194EFE">
            <w:pPr>
              <w:pStyle w:val="Tabletext"/>
              <w:jc w:val="center"/>
              <w:rPr>
                <w:lang w:val="en-GB" w:eastAsia="en-GB"/>
              </w:rPr>
            </w:pPr>
            <w:r w:rsidRPr="00752DF2">
              <w:rPr>
                <w:lang w:val="en-GB" w:eastAsia="en-GB"/>
              </w:rPr>
              <w:t>+8 dB not to be exceeded more than 0.02%</w:t>
            </w:r>
          </w:p>
        </w:tc>
      </w:tr>
      <w:tr w:rsidR="00B63D8D" w:rsidRPr="001954AF" w:rsidTr="00D51FE8">
        <w:trPr>
          <w:jc w:val="center"/>
        </w:trPr>
        <w:tc>
          <w:tcPr>
            <w:tcW w:w="5000" w:type="pct"/>
            <w:gridSpan w:val="4"/>
            <w:hideMark/>
          </w:tcPr>
          <w:p w:rsidR="00B63D8D" w:rsidRPr="001954AF" w:rsidRDefault="00B63D8D" w:rsidP="00194EFE">
            <w:pPr>
              <w:pStyle w:val="Tabletext"/>
              <w:keepNext/>
              <w:rPr>
                <w:b/>
                <w:bCs/>
                <w:lang w:eastAsia="en-GB"/>
              </w:rPr>
            </w:pPr>
            <w:r w:rsidRPr="001954AF">
              <w:rPr>
                <w:b/>
                <w:bCs/>
                <w:lang w:eastAsia="en-GB"/>
              </w:rPr>
              <w:t>Other</w:t>
            </w:r>
          </w:p>
        </w:tc>
      </w:tr>
      <w:tr w:rsidR="00B63D8D" w:rsidRPr="00481A00" w:rsidTr="00D51FE8">
        <w:trPr>
          <w:jc w:val="center"/>
        </w:trPr>
        <w:tc>
          <w:tcPr>
            <w:tcW w:w="1764" w:type="pct"/>
            <w:hideMark/>
          </w:tcPr>
          <w:p w:rsidR="00B63D8D" w:rsidRPr="001954AF" w:rsidRDefault="00B63D8D" w:rsidP="00194EFE">
            <w:pPr>
              <w:pStyle w:val="Tabletext"/>
              <w:rPr>
                <w:lang w:eastAsia="en-GB"/>
              </w:rPr>
            </w:pPr>
            <w:r w:rsidRPr="001954AF">
              <w:rPr>
                <w:lang w:eastAsia="en-GB"/>
              </w:rPr>
              <w:t xml:space="preserve">Additional Notes </w:t>
            </w:r>
          </w:p>
        </w:tc>
        <w:tc>
          <w:tcPr>
            <w:tcW w:w="1105" w:type="pct"/>
            <w:hideMark/>
          </w:tcPr>
          <w:p w:rsidR="00B63D8D" w:rsidRPr="001954AF" w:rsidRDefault="00B63D8D" w:rsidP="00194EFE">
            <w:pPr>
              <w:pStyle w:val="Tabletext"/>
              <w:jc w:val="center"/>
              <w:rPr>
                <w:lang w:eastAsia="en-GB"/>
              </w:rPr>
            </w:pPr>
          </w:p>
        </w:tc>
        <w:tc>
          <w:tcPr>
            <w:tcW w:w="1103" w:type="pct"/>
            <w:hideMark/>
          </w:tcPr>
          <w:p w:rsidR="00B63D8D" w:rsidRPr="00752DF2" w:rsidRDefault="00B63D8D" w:rsidP="00194EFE">
            <w:pPr>
              <w:pStyle w:val="Tabletext"/>
              <w:jc w:val="center"/>
              <w:rPr>
                <w:lang w:val="en-GB" w:eastAsia="en-GB"/>
              </w:rPr>
            </w:pPr>
            <w:r w:rsidRPr="00752DF2">
              <w:rPr>
                <w:lang w:val="en-GB" w:eastAsia="en-GB"/>
              </w:rPr>
              <w:t>NGSO system with a circular orbit having an altitude of 8 062 km.</w:t>
            </w:r>
          </w:p>
        </w:tc>
        <w:tc>
          <w:tcPr>
            <w:tcW w:w="1028" w:type="pct"/>
            <w:hideMark/>
          </w:tcPr>
          <w:p w:rsidR="00B63D8D" w:rsidRPr="00752DF2" w:rsidRDefault="00B63D8D" w:rsidP="00194EFE">
            <w:pPr>
              <w:pStyle w:val="Tabletext"/>
              <w:jc w:val="center"/>
              <w:rPr>
                <w:lang w:val="en-GB" w:eastAsia="en-GB"/>
              </w:rPr>
            </w:pPr>
            <w:r w:rsidRPr="00752DF2">
              <w:rPr>
                <w:lang w:val="en-GB" w:eastAsia="en-GB"/>
              </w:rPr>
              <w:t xml:space="preserve">NGSO system with a circular, orbit having an altitude of 1 400 km. </w:t>
            </w:r>
          </w:p>
        </w:tc>
      </w:tr>
    </w:tbl>
    <w:p w:rsidR="00B63D8D" w:rsidRPr="001954AF" w:rsidRDefault="00B63D8D" w:rsidP="00B63D8D">
      <w:pPr>
        <w:pStyle w:val="TableNo"/>
      </w:pPr>
      <w:r w:rsidRPr="001954AF">
        <w:t>T</w:t>
      </w:r>
      <w:r w:rsidR="00FE44FE" w:rsidRPr="001954AF">
        <w:t>ABLE</w:t>
      </w:r>
      <w:r w:rsidRPr="001954AF">
        <w:t xml:space="preserve"> </w:t>
      </w:r>
      <w:r w:rsidRPr="001954AF">
        <w:rPr>
          <w:noProof/>
        </w:rPr>
        <w:t>4</w:t>
      </w:r>
    </w:p>
    <w:p w:rsidR="00B63D8D" w:rsidRPr="001954AF" w:rsidRDefault="00B63D8D" w:rsidP="00B63D8D">
      <w:pPr>
        <w:pStyle w:val="Tabletitle"/>
      </w:pPr>
      <w:r w:rsidRPr="001954AF">
        <w:t>FSS interferer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2578"/>
        <w:gridCol w:w="3114"/>
      </w:tblGrid>
      <w:tr w:rsidR="00B63D8D" w:rsidRPr="001954AF" w:rsidTr="00FE44FE">
        <w:trPr>
          <w:trHeight w:val="300"/>
          <w:jc w:val="center"/>
        </w:trPr>
        <w:tc>
          <w:tcPr>
            <w:tcW w:w="0" w:type="auto"/>
            <w:gridSpan w:val="3"/>
            <w:noWrap/>
            <w:hideMark/>
          </w:tcPr>
          <w:p w:rsidR="00B63D8D" w:rsidRPr="001954AF" w:rsidRDefault="00B63D8D" w:rsidP="00FE44FE">
            <w:pPr>
              <w:pStyle w:val="Tablehead"/>
              <w:keepLines/>
              <w:jc w:val="left"/>
              <w:rPr>
                <w:color w:val="FF0000"/>
                <w:u w:val="single"/>
                <w:lang w:eastAsia="en-GB"/>
              </w:rPr>
            </w:pPr>
            <w:r w:rsidRPr="001954AF">
              <w:rPr>
                <w:lang w:eastAsia="en-GB"/>
              </w:rPr>
              <w:t>FSS uplink parameters (interferer)</w:t>
            </w:r>
          </w:p>
        </w:tc>
      </w:tr>
      <w:tr w:rsidR="00B63D8D" w:rsidRPr="001954AF" w:rsidTr="00FE44FE">
        <w:trPr>
          <w:jc w:val="center"/>
        </w:trPr>
        <w:tc>
          <w:tcPr>
            <w:tcW w:w="0" w:type="auto"/>
            <w:hideMark/>
          </w:tcPr>
          <w:p w:rsidR="00B63D8D" w:rsidRPr="001954AF" w:rsidRDefault="00B63D8D" w:rsidP="00FE44FE">
            <w:pPr>
              <w:pStyle w:val="Tabletext"/>
              <w:keepNext/>
              <w:keepLines/>
              <w:rPr>
                <w:lang w:eastAsia="en-GB"/>
              </w:rPr>
            </w:pPr>
            <w:r w:rsidRPr="001954AF">
              <w:rPr>
                <w:lang w:eastAsia="en-GB"/>
              </w:rPr>
              <w:t>Frequency range (GHz)</w:t>
            </w:r>
          </w:p>
        </w:tc>
        <w:tc>
          <w:tcPr>
            <w:tcW w:w="2578" w:type="dxa"/>
            <w:hideMark/>
          </w:tcPr>
          <w:p w:rsidR="00B63D8D" w:rsidRPr="001954AF" w:rsidRDefault="00B63D8D" w:rsidP="00FE44FE">
            <w:pPr>
              <w:pStyle w:val="Tabletext"/>
              <w:keepNext/>
              <w:keepLines/>
              <w:jc w:val="center"/>
              <w:rPr>
                <w:lang w:eastAsia="en-GB"/>
              </w:rPr>
            </w:pPr>
            <w:r w:rsidRPr="001954AF">
              <w:rPr>
                <w:lang w:eastAsia="en-GB"/>
              </w:rPr>
              <w:t>47.2-47.5 and 47.9-48.2</w:t>
            </w:r>
          </w:p>
        </w:tc>
        <w:tc>
          <w:tcPr>
            <w:tcW w:w="3114" w:type="dxa"/>
            <w:hideMark/>
          </w:tcPr>
          <w:p w:rsidR="00B63D8D" w:rsidRPr="001954AF" w:rsidRDefault="00B63D8D" w:rsidP="00FE44FE">
            <w:pPr>
              <w:pStyle w:val="Tabletext"/>
              <w:keepNext/>
              <w:keepLines/>
              <w:jc w:val="center"/>
              <w:rPr>
                <w:lang w:eastAsia="en-GB"/>
              </w:rPr>
            </w:pPr>
            <w:r w:rsidRPr="001954AF">
              <w:rPr>
                <w:lang w:eastAsia="en-GB"/>
              </w:rPr>
              <w:t>47.2-47.5 and 47.9-48.2</w:t>
            </w:r>
          </w:p>
        </w:tc>
      </w:tr>
      <w:tr w:rsidR="00B63D8D" w:rsidRPr="001954AF" w:rsidTr="00FE44FE">
        <w:trPr>
          <w:jc w:val="center"/>
        </w:trPr>
        <w:tc>
          <w:tcPr>
            <w:tcW w:w="0" w:type="auto"/>
            <w:hideMark/>
          </w:tcPr>
          <w:p w:rsidR="00B63D8D" w:rsidRPr="001954AF" w:rsidRDefault="00B63D8D" w:rsidP="00FE44FE">
            <w:pPr>
              <w:pStyle w:val="Tabletext"/>
              <w:keepNext/>
              <w:keepLines/>
              <w:rPr>
                <w:lang w:eastAsia="en-GB"/>
              </w:rPr>
            </w:pPr>
            <w:r w:rsidRPr="001954AF">
              <w:rPr>
                <w:lang w:eastAsia="en-GB"/>
              </w:rPr>
              <w:t>E</w:t>
            </w:r>
            <w:r w:rsidR="00752DF2" w:rsidRPr="001954AF">
              <w:rPr>
                <w:lang w:eastAsia="en-GB"/>
              </w:rPr>
              <w:t>arth station carrier</w:t>
            </w:r>
          </w:p>
        </w:tc>
        <w:tc>
          <w:tcPr>
            <w:tcW w:w="2578" w:type="dxa"/>
            <w:hideMark/>
          </w:tcPr>
          <w:p w:rsidR="00B63D8D" w:rsidRPr="001954AF" w:rsidRDefault="00B63D8D" w:rsidP="00FE44FE">
            <w:pPr>
              <w:pStyle w:val="Tabletext"/>
              <w:keepNext/>
              <w:keepLines/>
              <w:jc w:val="center"/>
              <w:rPr>
                <w:lang w:eastAsia="en-GB"/>
              </w:rPr>
            </w:pPr>
            <w:r w:rsidRPr="001954AF">
              <w:rPr>
                <w:lang w:eastAsia="en-GB"/>
              </w:rPr>
              <w:t>Carrier #16</w:t>
            </w:r>
          </w:p>
        </w:tc>
        <w:tc>
          <w:tcPr>
            <w:tcW w:w="3114" w:type="dxa"/>
            <w:hideMark/>
          </w:tcPr>
          <w:p w:rsidR="00B63D8D" w:rsidRPr="001954AF" w:rsidRDefault="00B63D8D" w:rsidP="00FE44FE">
            <w:pPr>
              <w:pStyle w:val="Tabletext"/>
              <w:keepNext/>
              <w:keepLines/>
              <w:jc w:val="center"/>
              <w:rPr>
                <w:lang w:eastAsia="en-GB"/>
              </w:rPr>
            </w:pPr>
            <w:r w:rsidRPr="001954AF">
              <w:rPr>
                <w:lang w:eastAsia="en-GB"/>
              </w:rPr>
              <w:t>Carrier #34</w:t>
            </w:r>
          </w:p>
        </w:tc>
      </w:tr>
      <w:tr w:rsidR="00B63D8D" w:rsidRPr="001954AF" w:rsidTr="00FE44FE">
        <w:trPr>
          <w:jc w:val="center"/>
        </w:trPr>
        <w:tc>
          <w:tcPr>
            <w:tcW w:w="0" w:type="auto"/>
            <w:hideMark/>
          </w:tcPr>
          <w:p w:rsidR="00B63D8D" w:rsidRPr="001954AF" w:rsidRDefault="00B63D8D" w:rsidP="00FE44FE">
            <w:pPr>
              <w:pStyle w:val="Tabletext"/>
              <w:keepNext/>
              <w:keepLines/>
              <w:rPr>
                <w:lang w:eastAsia="en-GB"/>
              </w:rPr>
            </w:pPr>
            <w:r w:rsidRPr="001954AF">
              <w:rPr>
                <w:lang w:eastAsia="en-GB"/>
              </w:rPr>
              <w:t>Antenna diameter (m)</w:t>
            </w:r>
          </w:p>
        </w:tc>
        <w:tc>
          <w:tcPr>
            <w:tcW w:w="2578" w:type="dxa"/>
            <w:hideMark/>
          </w:tcPr>
          <w:p w:rsidR="00B63D8D" w:rsidRPr="001954AF" w:rsidRDefault="00B63D8D" w:rsidP="00FE44FE">
            <w:pPr>
              <w:pStyle w:val="Tabletext"/>
              <w:keepNext/>
              <w:keepLines/>
              <w:jc w:val="center"/>
              <w:rPr>
                <w:lang w:eastAsia="en-GB"/>
              </w:rPr>
            </w:pPr>
            <w:r w:rsidRPr="001954AF">
              <w:rPr>
                <w:lang w:eastAsia="en-GB"/>
              </w:rPr>
              <w:t>6.8</w:t>
            </w:r>
          </w:p>
        </w:tc>
        <w:tc>
          <w:tcPr>
            <w:tcW w:w="3114" w:type="dxa"/>
            <w:hideMark/>
          </w:tcPr>
          <w:p w:rsidR="00B63D8D" w:rsidRPr="001954AF" w:rsidRDefault="00B63D8D" w:rsidP="00FE44FE">
            <w:pPr>
              <w:pStyle w:val="Tabletext"/>
              <w:keepNext/>
              <w:keepLines/>
              <w:jc w:val="center"/>
              <w:rPr>
                <w:lang w:eastAsia="en-GB"/>
              </w:rPr>
            </w:pPr>
            <w:r w:rsidRPr="001954AF">
              <w:rPr>
                <w:lang w:eastAsia="en-GB"/>
              </w:rPr>
              <w:t>1.8</w:t>
            </w:r>
          </w:p>
        </w:tc>
      </w:tr>
      <w:tr w:rsidR="00B63D8D" w:rsidRPr="001954AF" w:rsidTr="00FE44FE">
        <w:trPr>
          <w:jc w:val="center"/>
        </w:trPr>
        <w:tc>
          <w:tcPr>
            <w:tcW w:w="0" w:type="auto"/>
            <w:hideMark/>
          </w:tcPr>
          <w:p w:rsidR="00B63D8D" w:rsidRPr="00752DF2" w:rsidRDefault="00B63D8D" w:rsidP="00FE44FE">
            <w:pPr>
              <w:pStyle w:val="Tabletext"/>
              <w:keepNext/>
              <w:keepLines/>
              <w:rPr>
                <w:lang w:val="en-GB" w:eastAsia="en-GB"/>
              </w:rPr>
            </w:pPr>
            <w:r w:rsidRPr="00752DF2">
              <w:rPr>
                <w:lang w:val="en-GB" w:eastAsia="en-GB"/>
              </w:rPr>
              <w:t>Peak transmit antenna gain (dBi)</w:t>
            </w:r>
          </w:p>
        </w:tc>
        <w:tc>
          <w:tcPr>
            <w:tcW w:w="2578" w:type="dxa"/>
            <w:hideMark/>
          </w:tcPr>
          <w:p w:rsidR="00B63D8D" w:rsidRPr="001954AF" w:rsidRDefault="00B63D8D" w:rsidP="00FE44FE">
            <w:pPr>
              <w:pStyle w:val="Tabletext"/>
              <w:keepNext/>
              <w:keepLines/>
              <w:jc w:val="center"/>
              <w:rPr>
                <w:lang w:eastAsia="en-GB"/>
              </w:rPr>
            </w:pPr>
            <w:r w:rsidRPr="001954AF">
              <w:rPr>
                <w:lang w:eastAsia="en-GB"/>
              </w:rPr>
              <w:t>68.6</w:t>
            </w:r>
          </w:p>
        </w:tc>
        <w:tc>
          <w:tcPr>
            <w:tcW w:w="3114" w:type="dxa"/>
            <w:hideMark/>
          </w:tcPr>
          <w:p w:rsidR="00B63D8D" w:rsidRPr="001954AF" w:rsidRDefault="00B63D8D" w:rsidP="00FE44FE">
            <w:pPr>
              <w:pStyle w:val="Tabletext"/>
              <w:keepNext/>
              <w:keepLines/>
              <w:jc w:val="center"/>
              <w:rPr>
                <w:lang w:eastAsia="en-GB"/>
              </w:rPr>
            </w:pPr>
            <w:r w:rsidRPr="001954AF">
              <w:rPr>
                <w:lang w:eastAsia="en-GB"/>
              </w:rPr>
              <w:t>56.9</w:t>
            </w:r>
          </w:p>
        </w:tc>
      </w:tr>
      <w:tr w:rsidR="00B63D8D" w:rsidRPr="001954AF" w:rsidTr="00FE44FE">
        <w:trPr>
          <w:jc w:val="center"/>
        </w:trPr>
        <w:tc>
          <w:tcPr>
            <w:tcW w:w="0" w:type="auto"/>
            <w:hideMark/>
          </w:tcPr>
          <w:p w:rsidR="00B63D8D" w:rsidRPr="00752DF2" w:rsidRDefault="00B63D8D" w:rsidP="00FE44FE">
            <w:pPr>
              <w:pStyle w:val="Tabletext"/>
              <w:keepNext/>
              <w:keepLines/>
              <w:rPr>
                <w:lang w:val="en-GB" w:eastAsia="en-GB"/>
              </w:rPr>
            </w:pPr>
            <w:r w:rsidRPr="00752DF2">
              <w:rPr>
                <w:lang w:val="en-GB" w:eastAsia="en-GB"/>
              </w:rPr>
              <w:t>Peak transmit power spectral density (clear sky) (dB(W/Hz))</w:t>
            </w:r>
          </w:p>
        </w:tc>
        <w:tc>
          <w:tcPr>
            <w:tcW w:w="2578" w:type="dxa"/>
            <w:hideMark/>
          </w:tcPr>
          <w:p w:rsidR="00B63D8D" w:rsidRPr="001954AF" w:rsidRDefault="00B63D8D" w:rsidP="00FE44FE">
            <w:pPr>
              <w:pStyle w:val="Tabletext"/>
              <w:keepNext/>
              <w:keepLines/>
              <w:jc w:val="center"/>
              <w:rPr>
                <w:lang w:eastAsia="en-GB"/>
              </w:rPr>
            </w:pPr>
            <w:r w:rsidRPr="001954AF">
              <w:rPr>
                <w:lang w:eastAsia="en-GB"/>
              </w:rPr>
              <w:t>–54</w:t>
            </w:r>
          </w:p>
        </w:tc>
        <w:tc>
          <w:tcPr>
            <w:tcW w:w="3114" w:type="dxa"/>
            <w:hideMark/>
          </w:tcPr>
          <w:p w:rsidR="00B63D8D" w:rsidRPr="001954AF" w:rsidRDefault="00B63D8D" w:rsidP="00FE44FE">
            <w:pPr>
              <w:pStyle w:val="Tabletext"/>
              <w:keepNext/>
              <w:keepLines/>
              <w:jc w:val="center"/>
              <w:rPr>
                <w:lang w:eastAsia="en-GB"/>
              </w:rPr>
            </w:pPr>
            <w:r w:rsidRPr="001954AF">
              <w:rPr>
                <w:lang w:eastAsia="en-GB"/>
              </w:rPr>
              <w:t>–73.7</w:t>
            </w:r>
          </w:p>
        </w:tc>
      </w:tr>
      <w:tr w:rsidR="00B63D8D" w:rsidRPr="001954AF" w:rsidTr="00FE44FE">
        <w:trPr>
          <w:jc w:val="center"/>
        </w:trPr>
        <w:tc>
          <w:tcPr>
            <w:tcW w:w="0" w:type="auto"/>
            <w:hideMark/>
          </w:tcPr>
          <w:p w:rsidR="00B63D8D" w:rsidRPr="001954AF" w:rsidRDefault="00B63D8D" w:rsidP="00FE44FE">
            <w:pPr>
              <w:pStyle w:val="Tabletext"/>
              <w:rPr>
                <w:lang w:eastAsia="en-GB"/>
              </w:rPr>
            </w:pPr>
            <w:r w:rsidRPr="001954AF">
              <w:rPr>
                <w:lang w:eastAsia="en-GB"/>
              </w:rPr>
              <w:t>Antenna gain pattern (ITU Recommendation)</w:t>
            </w:r>
          </w:p>
        </w:tc>
        <w:tc>
          <w:tcPr>
            <w:tcW w:w="2578" w:type="dxa"/>
            <w:hideMark/>
          </w:tcPr>
          <w:p w:rsidR="00B63D8D" w:rsidRPr="001954AF" w:rsidRDefault="00B63D8D" w:rsidP="00194EFE">
            <w:pPr>
              <w:pStyle w:val="Tabletext"/>
              <w:jc w:val="center"/>
              <w:rPr>
                <w:lang w:eastAsia="en-GB"/>
              </w:rPr>
            </w:pPr>
            <w:r w:rsidRPr="001954AF">
              <w:rPr>
                <w:lang w:eastAsia="en-GB"/>
              </w:rPr>
              <w:t>Rec. ITU-R 465-6</w:t>
            </w:r>
          </w:p>
        </w:tc>
        <w:tc>
          <w:tcPr>
            <w:tcW w:w="3114" w:type="dxa"/>
            <w:hideMark/>
          </w:tcPr>
          <w:p w:rsidR="00B63D8D" w:rsidRPr="001954AF" w:rsidRDefault="00B63D8D" w:rsidP="00194EFE">
            <w:pPr>
              <w:pStyle w:val="Tabletext"/>
              <w:jc w:val="center"/>
              <w:rPr>
                <w:lang w:eastAsia="en-GB"/>
              </w:rPr>
            </w:pPr>
            <w:r w:rsidRPr="001954AF">
              <w:rPr>
                <w:lang w:eastAsia="en-GB"/>
              </w:rPr>
              <w:t>Rec. ITU-R 465-6</w:t>
            </w:r>
          </w:p>
        </w:tc>
      </w:tr>
      <w:tr w:rsidR="00B63D8D" w:rsidRPr="001954AF" w:rsidTr="00FE44FE">
        <w:trPr>
          <w:jc w:val="center"/>
        </w:trPr>
        <w:tc>
          <w:tcPr>
            <w:tcW w:w="0" w:type="auto"/>
            <w:hideMark/>
          </w:tcPr>
          <w:p w:rsidR="00B63D8D" w:rsidRPr="00752DF2" w:rsidRDefault="00B63D8D" w:rsidP="00194EFE">
            <w:pPr>
              <w:pStyle w:val="Tabletext"/>
              <w:rPr>
                <w:lang w:val="en-GB" w:eastAsia="en-GB"/>
              </w:rPr>
            </w:pPr>
            <w:r w:rsidRPr="00752DF2">
              <w:rPr>
                <w:lang w:val="en-GB" w:eastAsia="en-GB"/>
              </w:rPr>
              <w:t>Minimum elevation angle of transmit earth station (degree)</w:t>
            </w:r>
          </w:p>
        </w:tc>
        <w:tc>
          <w:tcPr>
            <w:tcW w:w="2578" w:type="dxa"/>
            <w:hideMark/>
          </w:tcPr>
          <w:p w:rsidR="00B63D8D" w:rsidRPr="001954AF" w:rsidRDefault="00B63D8D" w:rsidP="00194EFE">
            <w:pPr>
              <w:pStyle w:val="Tabletext"/>
              <w:jc w:val="center"/>
              <w:rPr>
                <w:lang w:eastAsia="en-GB"/>
              </w:rPr>
            </w:pPr>
            <w:r w:rsidRPr="001954AF">
              <w:rPr>
                <w:lang w:eastAsia="en-GB"/>
              </w:rPr>
              <w:t>10</w:t>
            </w:r>
          </w:p>
        </w:tc>
        <w:tc>
          <w:tcPr>
            <w:tcW w:w="3114" w:type="dxa"/>
            <w:hideMark/>
          </w:tcPr>
          <w:p w:rsidR="00B63D8D" w:rsidRPr="001954AF" w:rsidRDefault="00B63D8D" w:rsidP="00194EFE">
            <w:pPr>
              <w:pStyle w:val="Tabletext"/>
              <w:jc w:val="center"/>
              <w:rPr>
                <w:lang w:eastAsia="en-GB"/>
              </w:rPr>
            </w:pPr>
            <w:r w:rsidRPr="001954AF">
              <w:rPr>
                <w:lang w:eastAsia="en-GB"/>
              </w:rPr>
              <w:t>10</w:t>
            </w:r>
          </w:p>
        </w:tc>
      </w:tr>
      <w:tr w:rsidR="00B63D8D" w:rsidRPr="001954AF" w:rsidTr="00FE44FE">
        <w:trPr>
          <w:jc w:val="center"/>
        </w:trPr>
        <w:tc>
          <w:tcPr>
            <w:tcW w:w="0" w:type="auto"/>
            <w:gridSpan w:val="3"/>
            <w:hideMark/>
          </w:tcPr>
          <w:p w:rsidR="00B63D8D" w:rsidRPr="001954AF" w:rsidRDefault="00B63D8D" w:rsidP="00194EFE">
            <w:pPr>
              <w:pStyle w:val="Tabletext"/>
              <w:rPr>
                <w:b/>
                <w:bCs/>
                <w:lang w:eastAsia="en-GB"/>
              </w:rPr>
            </w:pPr>
            <w:r w:rsidRPr="001954AF">
              <w:rPr>
                <w:b/>
                <w:bCs/>
                <w:lang w:eastAsia="en-GB"/>
              </w:rPr>
              <w:t>Other</w:t>
            </w:r>
          </w:p>
        </w:tc>
      </w:tr>
      <w:tr w:rsidR="00B63D8D" w:rsidRPr="00481A00" w:rsidTr="00FE44FE">
        <w:trPr>
          <w:jc w:val="center"/>
        </w:trPr>
        <w:tc>
          <w:tcPr>
            <w:tcW w:w="0" w:type="auto"/>
            <w:hideMark/>
          </w:tcPr>
          <w:p w:rsidR="00B63D8D" w:rsidRPr="001954AF" w:rsidRDefault="00B63D8D" w:rsidP="00194EFE">
            <w:pPr>
              <w:pStyle w:val="Tabletext"/>
              <w:rPr>
                <w:lang w:eastAsia="en-GB"/>
              </w:rPr>
            </w:pPr>
            <w:r w:rsidRPr="001954AF">
              <w:rPr>
                <w:lang w:eastAsia="en-GB"/>
              </w:rPr>
              <w:t xml:space="preserve">Additional Notes </w:t>
            </w:r>
          </w:p>
        </w:tc>
        <w:tc>
          <w:tcPr>
            <w:tcW w:w="2578" w:type="dxa"/>
            <w:hideMark/>
          </w:tcPr>
          <w:p w:rsidR="00B63D8D" w:rsidRPr="001954AF" w:rsidRDefault="00B63D8D" w:rsidP="00194EFE">
            <w:pPr>
              <w:pStyle w:val="Tabletext"/>
              <w:jc w:val="center"/>
              <w:rPr>
                <w:lang w:eastAsia="en-GB"/>
              </w:rPr>
            </w:pPr>
          </w:p>
        </w:tc>
        <w:tc>
          <w:tcPr>
            <w:tcW w:w="3114" w:type="dxa"/>
            <w:hideMark/>
          </w:tcPr>
          <w:p w:rsidR="00B63D8D" w:rsidRPr="00752DF2" w:rsidRDefault="00B63D8D" w:rsidP="00194EFE">
            <w:pPr>
              <w:pStyle w:val="Tabletext"/>
              <w:jc w:val="center"/>
              <w:rPr>
                <w:lang w:val="en-GB" w:eastAsia="en-GB"/>
              </w:rPr>
            </w:pPr>
            <w:r w:rsidRPr="00752DF2">
              <w:rPr>
                <w:lang w:val="en-GB" w:eastAsia="en-GB"/>
              </w:rPr>
              <w:t>NGSO system with a circular orbit having an altitude of 8 062</w:t>
            </w:r>
            <w:r w:rsidR="00194EFE">
              <w:rPr>
                <w:lang w:val="en-GB" w:eastAsia="en-GB"/>
              </w:rPr>
              <w:t> </w:t>
            </w:r>
            <w:r w:rsidRPr="00752DF2">
              <w:rPr>
                <w:lang w:val="en-GB" w:eastAsia="en-GB"/>
              </w:rPr>
              <w:t>km</w:t>
            </w:r>
          </w:p>
        </w:tc>
      </w:tr>
    </w:tbl>
    <w:p w:rsidR="00FE44FE" w:rsidRDefault="00FE44FE" w:rsidP="00FE44FE">
      <w:pPr>
        <w:pStyle w:val="Tablefin"/>
      </w:pPr>
      <w:bookmarkStart w:id="71" w:name="_Toc529892397"/>
      <w:bookmarkStart w:id="72" w:name="_Toc529893049"/>
      <w:bookmarkStart w:id="73" w:name="_Toc529902001"/>
      <w:bookmarkStart w:id="74" w:name="_Toc529902220"/>
      <w:bookmarkStart w:id="75" w:name="_Toc529904334"/>
      <w:bookmarkStart w:id="76" w:name="_Toc529892398"/>
      <w:bookmarkStart w:id="77" w:name="_Toc529893050"/>
      <w:bookmarkStart w:id="78" w:name="_Toc529902002"/>
      <w:bookmarkStart w:id="79" w:name="_Toc529902221"/>
      <w:bookmarkStart w:id="80" w:name="_Toc529904335"/>
      <w:bookmarkStart w:id="81" w:name="_Toc529892399"/>
      <w:bookmarkStart w:id="82" w:name="_Toc529893051"/>
      <w:bookmarkStart w:id="83" w:name="_Toc529902003"/>
      <w:bookmarkStart w:id="84" w:name="_Toc529902222"/>
      <w:bookmarkStart w:id="85" w:name="_Toc529904336"/>
      <w:bookmarkStart w:id="86" w:name="_Toc529892400"/>
      <w:bookmarkStart w:id="87" w:name="_Toc529893052"/>
      <w:bookmarkStart w:id="88" w:name="_Toc529902004"/>
      <w:bookmarkStart w:id="89" w:name="_Toc529902223"/>
      <w:bookmarkStart w:id="90" w:name="_Toc529904337"/>
      <w:bookmarkStart w:id="91" w:name="_Toc529892401"/>
      <w:bookmarkStart w:id="92" w:name="_Toc529893053"/>
      <w:bookmarkStart w:id="93" w:name="_Toc529902005"/>
      <w:bookmarkStart w:id="94" w:name="_Toc529902224"/>
      <w:bookmarkStart w:id="95" w:name="_Toc529904338"/>
      <w:bookmarkStart w:id="96" w:name="_Toc529892402"/>
      <w:bookmarkStart w:id="97" w:name="_Toc529893054"/>
      <w:bookmarkStart w:id="98" w:name="_Toc529902006"/>
      <w:bookmarkStart w:id="99" w:name="_Toc529902225"/>
      <w:bookmarkStart w:id="100" w:name="_Toc529904339"/>
      <w:bookmarkStart w:id="101" w:name="_Toc529892403"/>
      <w:bookmarkStart w:id="102" w:name="_Toc529893055"/>
      <w:bookmarkStart w:id="103" w:name="_Toc529902007"/>
      <w:bookmarkStart w:id="104" w:name="_Toc529902226"/>
      <w:bookmarkStart w:id="105" w:name="_Toc529904340"/>
      <w:bookmarkStart w:id="106" w:name="_Toc529892404"/>
      <w:bookmarkStart w:id="107" w:name="_Toc529893056"/>
      <w:bookmarkStart w:id="108" w:name="_Toc529902008"/>
      <w:bookmarkStart w:id="109" w:name="_Toc529902227"/>
      <w:bookmarkStart w:id="110" w:name="_Toc529904341"/>
      <w:bookmarkStart w:id="111" w:name="_Toc529892405"/>
      <w:bookmarkStart w:id="112" w:name="_Toc529893057"/>
      <w:bookmarkStart w:id="113" w:name="_Toc529902009"/>
      <w:bookmarkStart w:id="114" w:name="_Toc529902228"/>
      <w:bookmarkStart w:id="115" w:name="_Toc529904342"/>
      <w:bookmarkStart w:id="116" w:name="_Toc529892406"/>
      <w:bookmarkStart w:id="117" w:name="_Toc529893058"/>
      <w:bookmarkStart w:id="118" w:name="_Toc529902010"/>
      <w:bookmarkStart w:id="119" w:name="_Toc529902229"/>
      <w:bookmarkStart w:id="120" w:name="_Toc529904343"/>
      <w:bookmarkStart w:id="121" w:name="_Toc529892427"/>
      <w:bookmarkStart w:id="122" w:name="_Toc529893079"/>
      <w:bookmarkStart w:id="123" w:name="_Toc529902031"/>
      <w:bookmarkStart w:id="124" w:name="_Toc529902250"/>
      <w:bookmarkStart w:id="125" w:name="_Toc529904364"/>
      <w:bookmarkStart w:id="126" w:name="_Toc530661318"/>
      <w:bookmarkStart w:id="127" w:name="_Toc7699369"/>
      <w:bookmarkStart w:id="128" w:name="_Toc1928372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B63D8D" w:rsidRPr="00752DF2" w:rsidRDefault="00B63D8D" w:rsidP="00B63D8D">
      <w:pPr>
        <w:pStyle w:val="Heading1"/>
        <w:rPr>
          <w:lang w:val="en-GB"/>
        </w:rPr>
      </w:pPr>
      <w:bookmarkStart w:id="129" w:name="_Toc19289061"/>
      <w:r w:rsidRPr="00752DF2">
        <w:rPr>
          <w:lang w:val="en-GB"/>
        </w:rPr>
        <w:t>5</w:t>
      </w:r>
      <w:r w:rsidRPr="00752DF2">
        <w:rPr>
          <w:lang w:val="en-GB"/>
        </w:rPr>
        <w:tab/>
        <w:t>Sharing and compatibility studies</w:t>
      </w:r>
      <w:bookmarkEnd w:id="126"/>
      <w:bookmarkEnd w:id="127"/>
      <w:bookmarkEnd w:id="128"/>
      <w:bookmarkEnd w:id="129"/>
    </w:p>
    <w:p w:rsidR="00B63D8D" w:rsidRPr="00752DF2" w:rsidRDefault="00B63D8D" w:rsidP="00FE44FE">
      <w:pPr>
        <w:ind w:left="1191" w:hanging="1191"/>
        <w:rPr>
          <w:rFonts w:eastAsia="MS Mincho"/>
          <w:lang w:val="en-GB" w:eastAsia="ja-JP"/>
        </w:rPr>
      </w:pPr>
      <w:r w:rsidRPr="00752DF2">
        <w:rPr>
          <w:rFonts w:eastAsia="MS Mincho"/>
          <w:b/>
          <w:bCs/>
          <w:lang w:val="en-GB" w:eastAsia="ja-JP"/>
        </w:rPr>
        <w:t>Annex 1</w:t>
      </w:r>
      <w:r w:rsidRPr="00752DF2">
        <w:rPr>
          <w:rFonts w:eastAsia="MS Mincho"/>
          <w:lang w:val="en-GB" w:eastAsia="ja-JP"/>
        </w:rPr>
        <w:tab/>
        <w:t>Sharing and compatibility study of mobile service and HAPS systems operating in the 47.2-47.5 and 47.9-48.2 GHz frequency ranges</w:t>
      </w:r>
    </w:p>
    <w:p w:rsidR="00B63D8D" w:rsidRPr="00752DF2" w:rsidRDefault="00B63D8D" w:rsidP="00FE44FE">
      <w:pPr>
        <w:ind w:left="1191" w:hanging="1191"/>
        <w:rPr>
          <w:rFonts w:eastAsia="MS Mincho"/>
          <w:bCs/>
          <w:lang w:val="en-GB" w:eastAsia="ja-JP"/>
        </w:rPr>
      </w:pPr>
      <w:r w:rsidRPr="00752DF2">
        <w:rPr>
          <w:rFonts w:eastAsia="MS Mincho"/>
          <w:b/>
          <w:bCs/>
          <w:lang w:val="en-GB" w:eastAsia="ja-JP"/>
        </w:rPr>
        <w:t>Annex 2</w:t>
      </w:r>
      <w:r w:rsidRPr="00752DF2">
        <w:rPr>
          <w:rFonts w:eastAsia="MS Mincho"/>
          <w:b/>
          <w:bCs/>
          <w:lang w:val="en-GB" w:eastAsia="ja-JP"/>
        </w:rPr>
        <w:tab/>
      </w:r>
      <w:bookmarkStart w:id="130" w:name="_Hlk483487305"/>
      <w:r w:rsidRPr="00752DF2">
        <w:rPr>
          <w:rFonts w:eastAsia="MS Mincho"/>
          <w:bCs/>
          <w:lang w:val="en-GB" w:eastAsia="ja-JP"/>
        </w:rPr>
        <w:t>Sharing and compatibility study of fixed Satellite service and HAPS systems operating in the 47.2-47.5 and 47.9-48.2 GHz frequency ranges</w:t>
      </w:r>
    </w:p>
    <w:p w:rsidR="00B63D8D" w:rsidRPr="00752DF2" w:rsidRDefault="00B63D8D" w:rsidP="00B63D8D">
      <w:pPr>
        <w:rPr>
          <w:rFonts w:eastAsia="MS Mincho"/>
          <w:lang w:val="en-GB" w:eastAsia="ja-JP"/>
        </w:rPr>
      </w:pPr>
    </w:p>
    <w:p w:rsidR="00B63D8D" w:rsidRPr="00752DF2" w:rsidRDefault="00B63D8D" w:rsidP="00B63D8D">
      <w:pPr>
        <w:rPr>
          <w:rFonts w:eastAsia="MS Mincho"/>
          <w:lang w:val="en-GB" w:eastAsia="ja-JP"/>
        </w:rPr>
      </w:pPr>
    </w:p>
    <w:p w:rsidR="00B63D8D" w:rsidRPr="00752DF2" w:rsidRDefault="00B63D8D" w:rsidP="00FE44FE">
      <w:pPr>
        <w:pStyle w:val="AnnexNoTitle"/>
        <w:rPr>
          <w:shd w:val="clear" w:color="auto" w:fill="FFFFFF"/>
          <w:lang w:val="en-GB"/>
        </w:rPr>
      </w:pPr>
      <w:bookmarkStart w:id="131" w:name="_Toc530661320"/>
      <w:bookmarkStart w:id="132" w:name="_Toc7699371"/>
      <w:bookmarkStart w:id="133" w:name="_Toc19289062"/>
      <w:bookmarkEnd w:id="130"/>
      <w:r w:rsidRPr="00752DF2">
        <w:rPr>
          <w:rFonts w:eastAsia="MS Mincho"/>
          <w:lang w:val="en-GB"/>
        </w:rPr>
        <w:t>Annex 1</w:t>
      </w:r>
      <w:bookmarkStart w:id="134" w:name="_Toc530663746"/>
      <w:bookmarkStart w:id="135" w:name="_Toc7699372"/>
      <w:bookmarkStart w:id="136" w:name="_Toc19283729"/>
      <w:bookmarkEnd w:id="131"/>
      <w:bookmarkEnd w:id="132"/>
      <w:r w:rsidR="00FE44FE" w:rsidRPr="00752DF2">
        <w:rPr>
          <w:rFonts w:eastAsia="MS Mincho"/>
          <w:lang w:val="en-GB"/>
        </w:rPr>
        <w:br/>
      </w:r>
      <w:r w:rsidR="00FE44FE" w:rsidRPr="00752DF2">
        <w:rPr>
          <w:rFonts w:eastAsia="MS Mincho"/>
          <w:lang w:val="en-GB"/>
        </w:rPr>
        <w:br/>
      </w:r>
      <w:r w:rsidRPr="00752DF2">
        <w:rPr>
          <w:shd w:val="clear" w:color="auto" w:fill="FFFFFF"/>
          <w:lang w:val="en-GB"/>
        </w:rPr>
        <w:t xml:space="preserve">Sharing and compatibility </w:t>
      </w:r>
      <w:r w:rsidRPr="00752DF2">
        <w:rPr>
          <w:lang w:val="en-GB"/>
        </w:rPr>
        <w:t>study</w:t>
      </w:r>
      <w:r w:rsidRPr="00752DF2">
        <w:rPr>
          <w:shd w:val="clear" w:color="auto" w:fill="FFFFFF"/>
          <w:lang w:val="en-GB"/>
        </w:rPr>
        <w:t xml:space="preserve"> of mobile service and HAPS systems operating in the 47.2-47.5 and 47.9-48.2 GHz frequency ranges</w:t>
      </w:r>
      <w:bookmarkEnd w:id="134"/>
      <w:bookmarkEnd w:id="135"/>
      <w:bookmarkEnd w:id="136"/>
      <w:bookmarkEnd w:id="133"/>
    </w:p>
    <w:p w:rsidR="00B63D8D" w:rsidRPr="00752DF2" w:rsidRDefault="00B63D8D" w:rsidP="00B63D8D">
      <w:pPr>
        <w:pStyle w:val="Heading1"/>
        <w:rPr>
          <w:lang w:val="en-GB"/>
        </w:rPr>
      </w:pPr>
      <w:bookmarkStart w:id="137" w:name="_Toc530661321"/>
      <w:bookmarkStart w:id="138" w:name="_Toc7699373"/>
      <w:bookmarkStart w:id="139" w:name="_Toc19283730"/>
      <w:bookmarkStart w:id="140" w:name="_Toc19289063"/>
      <w:r w:rsidRPr="00752DF2">
        <w:rPr>
          <w:lang w:val="en-GB"/>
        </w:rPr>
        <w:t>1</w:t>
      </w:r>
      <w:r w:rsidRPr="00752DF2">
        <w:rPr>
          <w:lang w:val="en-GB"/>
        </w:rPr>
        <w:tab/>
        <w:t>Technical analysis</w:t>
      </w:r>
      <w:bookmarkEnd w:id="137"/>
      <w:bookmarkEnd w:id="138"/>
      <w:bookmarkEnd w:id="139"/>
      <w:bookmarkEnd w:id="140"/>
    </w:p>
    <w:p w:rsidR="00B63D8D" w:rsidRPr="001954AF" w:rsidRDefault="00B63D8D" w:rsidP="00B63D8D">
      <w:pPr>
        <w:pStyle w:val="Headingb"/>
        <w:rPr>
          <w:lang w:val="en-GB"/>
        </w:rPr>
      </w:pPr>
      <w:r w:rsidRPr="001954AF">
        <w:rPr>
          <w:lang w:val="en-GB"/>
        </w:rPr>
        <w:t>Summary of scenarios considered in studies A and B</w:t>
      </w:r>
    </w:p>
    <w:p w:rsidR="00B63D8D" w:rsidRPr="001954AF" w:rsidRDefault="00B63D8D" w:rsidP="00B63D8D">
      <w:pPr>
        <w:pStyle w:val="TableNo"/>
      </w:pPr>
      <w:r w:rsidRPr="001954AF">
        <w:t>T</w:t>
      </w:r>
      <w:r w:rsidR="002C46C0" w:rsidRPr="001954AF">
        <w:t>ABLE</w:t>
      </w:r>
      <w:r w:rsidRPr="001954AF">
        <w:t xml:space="preserv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1926"/>
        <w:gridCol w:w="1926"/>
      </w:tblGrid>
      <w:tr w:rsidR="00B63D8D" w:rsidRPr="001954AF" w:rsidTr="00194EFE">
        <w:trPr>
          <w:jc w:val="center"/>
        </w:trPr>
        <w:tc>
          <w:tcPr>
            <w:tcW w:w="3501" w:type="dxa"/>
          </w:tcPr>
          <w:p w:rsidR="00B63D8D" w:rsidRPr="001954AF" w:rsidRDefault="00B63D8D" w:rsidP="00194EFE">
            <w:pPr>
              <w:pStyle w:val="Tablehead"/>
            </w:pPr>
          </w:p>
        </w:tc>
        <w:tc>
          <w:tcPr>
            <w:tcW w:w="1926" w:type="dxa"/>
          </w:tcPr>
          <w:p w:rsidR="00B63D8D" w:rsidRPr="001954AF" w:rsidRDefault="00B63D8D" w:rsidP="00194EFE">
            <w:pPr>
              <w:pStyle w:val="Tablehead"/>
            </w:pPr>
            <w:r w:rsidRPr="001954AF">
              <w:t>Study A</w:t>
            </w:r>
          </w:p>
        </w:tc>
        <w:tc>
          <w:tcPr>
            <w:tcW w:w="1926" w:type="dxa"/>
          </w:tcPr>
          <w:p w:rsidR="00B63D8D" w:rsidRPr="001954AF" w:rsidRDefault="00B63D8D" w:rsidP="00194EFE">
            <w:pPr>
              <w:pStyle w:val="Tablehead"/>
            </w:pPr>
            <w:r w:rsidRPr="001954AF">
              <w:t>Study B</w:t>
            </w:r>
          </w:p>
        </w:tc>
      </w:tr>
      <w:tr w:rsidR="00B63D8D" w:rsidRPr="001954AF" w:rsidTr="00194EFE">
        <w:trPr>
          <w:jc w:val="center"/>
        </w:trPr>
        <w:tc>
          <w:tcPr>
            <w:tcW w:w="3501" w:type="dxa"/>
          </w:tcPr>
          <w:p w:rsidR="00B63D8D" w:rsidRPr="00752DF2" w:rsidRDefault="00B63D8D" w:rsidP="00194EFE">
            <w:pPr>
              <w:pStyle w:val="Tabletext"/>
              <w:rPr>
                <w:lang w:val="en-GB"/>
              </w:rPr>
            </w:pPr>
            <w:r w:rsidRPr="00752DF2">
              <w:rPr>
                <w:lang w:val="en-GB"/>
              </w:rPr>
              <w:t>HAPS ground terminal to BS</w:t>
            </w:r>
          </w:p>
        </w:tc>
        <w:tc>
          <w:tcPr>
            <w:tcW w:w="1926" w:type="dxa"/>
          </w:tcPr>
          <w:p w:rsidR="00B63D8D" w:rsidRPr="001954AF" w:rsidRDefault="00B63D8D" w:rsidP="00194EFE">
            <w:pPr>
              <w:pStyle w:val="Tabletext"/>
              <w:jc w:val="center"/>
            </w:pPr>
            <w:r w:rsidRPr="001954AF">
              <w:t>X</w:t>
            </w:r>
          </w:p>
        </w:tc>
        <w:tc>
          <w:tcPr>
            <w:tcW w:w="1926" w:type="dxa"/>
          </w:tcPr>
          <w:p w:rsidR="00B63D8D" w:rsidRPr="001954AF" w:rsidRDefault="00B63D8D" w:rsidP="00194EFE">
            <w:pPr>
              <w:pStyle w:val="Tabletext"/>
              <w:jc w:val="center"/>
            </w:pPr>
            <w:r w:rsidRPr="001954AF">
              <w:t>X</w:t>
            </w:r>
          </w:p>
        </w:tc>
      </w:tr>
      <w:tr w:rsidR="00B63D8D" w:rsidRPr="001954AF" w:rsidTr="00194EFE">
        <w:trPr>
          <w:jc w:val="center"/>
        </w:trPr>
        <w:tc>
          <w:tcPr>
            <w:tcW w:w="3501" w:type="dxa"/>
          </w:tcPr>
          <w:p w:rsidR="00B63D8D" w:rsidRPr="00752DF2" w:rsidRDefault="00B63D8D" w:rsidP="00194EFE">
            <w:pPr>
              <w:pStyle w:val="Tabletext"/>
              <w:rPr>
                <w:lang w:val="en-GB"/>
              </w:rPr>
            </w:pPr>
            <w:r w:rsidRPr="00752DF2">
              <w:rPr>
                <w:lang w:val="en-GB"/>
              </w:rPr>
              <w:t>HAPS ground terminal to UT</w:t>
            </w:r>
          </w:p>
        </w:tc>
        <w:tc>
          <w:tcPr>
            <w:tcW w:w="1926" w:type="dxa"/>
          </w:tcPr>
          <w:p w:rsidR="00B63D8D" w:rsidRPr="001954AF" w:rsidRDefault="00B63D8D" w:rsidP="00194EFE">
            <w:pPr>
              <w:pStyle w:val="Tabletext"/>
              <w:jc w:val="center"/>
            </w:pPr>
            <w:r w:rsidRPr="001954AF">
              <w:t>X</w:t>
            </w:r>
          </w:p>
        </w:tc>
        <w:tc>
          <w:tcPr>
            <w:tcW w:w="1926" w:type="dxa"/>
          </w:tcPr>
          <w:p w:rsidR="00B63D8D" w:rsidRPr="001954AF" w:rsidRDefault="00B63D8D" w:rsidP="00194EFE">
            <w:pPr>
              <w:pStyle w:val="Tabletext"/>
              <w:jc w:val="center"/>
            </w:pPr>
            <w:r w:rsidRPr="001954AF">
              <w:t>X</w:t>
            </w:r>
          </w:p>
        </w:tc>
      </w:tr>
    </w:tbl>
    <w:p w:rsidR="00B63D8D" w:rsidRPr="001954AF" w:rsidRDefault="00B63D8D" w:rsidP="00B63D8D">
      <w:pPr>
        <w:pStyle w:val="TableNo"/>
      </w:pPr>
      <w:r w:rsidRPr="001954AF">
        <w:t>T</w:t>
      </w:r>
      <w:r w:rsidR="002C46C0" w:rsidRPr="001954AF">
        <w:t>ABLE</w:t>
      </w:r>
      <w:r w:rsidR="008252AD">
        <w:t xml:space="preserve"> 6</w:t>
      </w:r>
    </w:p>
    <w:p w:rsidR="00B63D8D" w:rsidRPr="001954AF" w:rsidRDefault="00B63D8D" w:rsidP="00B63D8D">
      <w:pPr>
        <w:pStyle w:val="Tabletitle"/>
      </w:pPr>
      <w:r w:rsidRPr="001954AF">
        <w:t>Attenuation/assumption considered in studies</w:t>
      </w:r>
    </w:p>
    <w:tbl>
      <w:tblPr>
        <w:tblW w:w="9639" w:type="dxa"/>
        <w:jc w:val="center"/>
        <w:tblLayout w:type="fixed"/>
        <w:tblLook w:val="04A0" w:firstRow="1" w:lastRow="0" w:firstColumn="1" w:lastColumn="0" w:noHBand="0" w:noVBand="1"/>
      </w:tblPr>
      <w:tblGrid>
        <w:gridCol w:w="3568"/>
        <w:gridCol w:w="2154"/>
        <w:gridCol w:w="3917"/>
      </w:tblGrid>
      <w:tr w:rsidR="00B63D8D" w:rsidRPr="001954AF" w:rsidTr="00194EFE">
        <w:trPr>
          <w:cantSplit/>
          <w:tblHeader/>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rPr>
                <w:b/>
                <w:bCs/>
              </w:rPr>
            </w:pP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rPr>
                <w:b/>
                <w:bCs/>
              </w:rPr>
            </w:pPr>
            <w:r w:rsidRPr="001954AF">
              <w:rPr>
                <w:b/>
                <w:bCs/>
              </w:rPr>
              <w:t>Ground to HAPS</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rPr>
                <w:b/>
                <w:bCs/>
              </w:rPr>
            </w:pPr>
            <w:r w:rsidRPr="001954AF">
              <w:rPr>
                <w:b/>
                <w:bCs/>
              </w:rPr>
              <w:t>Comments</w:t>
            </w:r>
          </w:p>
        </w:tc>
      </w:tr>
      <w:tr w:rsidR="00B63D8D" w:rsidRPr="001954AF" w:rsidTr="00194EFE">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head"/>
              <w:jc w:val="left"/>
            </w:pPr>
            <w:r w:rsidRPr="001954AF">
              <w:t>Study A</w:t>
            </w: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Polarisation loss</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3 dB</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keepNext/>
              <w:keepLines/>
              <w:jc w:val="center"/>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Body loss (UE)</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4 dB</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Ohmic loss (UE, BS)</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0 dB</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Gaseous attenuation</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P.452</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Propagation model</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P.452</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0.01% of time for P.452</w:t>
            </w: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Clutter loss</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P.2108</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1% of location assumed</w:t>
            </w: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Apportionment</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None</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Aggregate HAPS consideration</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Single HAPS transmitter</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IMT deployment considered</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Single IMT receiver</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 xml:space="preserve">HAPS system </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System 6</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752DF2" w:rsidRDefault="00B63D8D" w:rsidP="00194EFE">
            <w:pPr>
              <w:pStyle w:val="Tabletext"/>
              <w:rPr>
                <w:lang w:val="en-GB"/>
              </w:rPr>
            </w:pPr>
            <w:r w:rsidRPr="00752DF2">
              <w:rPr>
                <w:rFonts w:cstheme="minorHAnsi"/>
                <w:lang w:val="en-GB"/>
              </w:rPr>
              <w:t>Distribution of the UE and BS pointing</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keepNext/>
              <w:keepLines/>
              <w:jc w:val="center"/>
            </w:pPr>
            <w:r w:rsidRPr="001954AF">
              <w:t>Rayleigh distribution</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keepNext/>
              <w:keepLines/>
              <w:jc w:val="center"/>
            </w:pPr>
          </w:p>
        </w:tc>
      </w:tr>
      <w:tr w:rsidR="00B63D8D" w:rsidRPr="001954AF" w:rsidTr="00194EFE">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head"/>
              <w:jc w:val="left"/>
            </w:pPr>
            <w:r w:rsidRPr="001954AF">
              <w:t>Study B</w:t>
            </w:r>
          </w:p>
        </w:tc>
      </w:tr>
      <w:tr w:rsidR="00B63D8D" w:rsidRPr="00481A00"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Polarisation loss</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3 dB</w:t>
            </w:r>
          </w:p>
        </w:tc>
        <w:tc>
          <w:tcPr>
            <w:tcW w:w="3917" w:type="dxa"/>
            <w:tcBorders>
              <w:top w:val="single" w:sz="4" w:space="0" w:color="auto"/>
              <w:left w:val="single" w:sz="4" w:space="0" w:color="auto"/>
              <w:bottom w:val="single" w:sz="4" w:space="0" w:color="auto"/>
              <w:right w:val="single" w:sz="4" w:space="0" w:color="auto"/>
            </w:tcBorders>
          </w:tcPr>
          <w:p w:rsidR="00B63D8D" w:rsidRPr="00752DF2" w:rsidRDefault="00B63D8D" w:rsidP="00194EFE">
            <w:pPr>
              <w:pStyle w:val="Tabletext"/>
              <w:rPr>
                <w:lang w:val="en-GB"/>
              </w:rPr>
            </w:pPr>
            <w:r w:rsidRPr="00752DF2">
              <w:rPr>
                <w:lang w:val="en-GB"/>
              </w:rPr>
              <w:t xml:space="preserve">Not considered in the pfd mask but only in the compliance analysis </w:t>
            </w:r>
          </w:p>
        </w:tc>
      </w:tr>
      <w:tr w:rsidR="00B63D8D" w:rsidRPr="00481A00"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Body loss (UE)</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4 dB</w:t>
            </w:r>
          </w:p>
        </w:tc>
        <w:tc>
          <w:tcPr>
            <w:tcW w:w="3917" w:type="dxa"/>
            <w:tcBorders>
              <w:top w:val="single" w:sz="4" w:space="0" w:color="auto"/>
              <w:left w:val="single" w:sz="4" w:space="0" w:color="auto"/>
              <w:bottom w:val="single" w:sz="4" w:space="0" w:color="auto"/>
              <w:right w:val="single" w:sz="4" w:space="0" w:color="auto"/>
            </w:tcBorders>
          </w:tcPr>
          <w:p w:rsidR="00B63D8D" w:rsidRPr="00752DF2" w:rsidRDefault="00B63D8D" w:rsidP="00194EFE">
            <w:pPr>
              <w:pStyle w:val="Tabletext"/>
              <w:rPr>
                <w:lang w:val="en-GB"/>
              </w:rPr>
            </w:pPr>
            <w:r w:rsidRPr="00752DF2">
              <w:rPr>
                <w:lang w:val="en-GB"/>
              </w:rPr>
              <w:t xml:space="preserve">Not considered in the pfd mask but only in the compliance analysis </w:t>
            </w:r>
          </w:p>
        </w:tc>
      </w:tr>
      <w:tr w:rsidR="00B63D8D" w:rsidRPr="00481A00"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Ohmic loss (UE, BS)</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3 dB</w:t>
            </w:r>
          </w:p>
        </w:tc>
        <w:tc>
          <w:tcPr>
            <w:tcW w:w="3917" w:type="dxa"/>
            <w:tcBorders>
              <w:top w:val="single" w:sz="4" w:space="0" w:color="auto"/>
              <w:left w:val="single" w:sz="4" w:space="0" w:color="auto"/>
              <w:bottom w:val="single" w:sz="4" w:space="0" w:color="auto"/>
              <w:right w:val="single" w:sz="4" w:space="0" w:color="auto"/>
            </w:tcBorders>
          </w:tcPr>
          <w:p w:rsidR="00B63D8D" w:rsidRPr="00752DF2" w:rsidRDefault="00B63D8D" w:rsidP="00194EFE">
            <w:pPr>
              <w:pStyle w:val="Tabletext"/>
              <w:rPr>
                <w:lang w:val="en-GB"/>
              </w:rPr>
            </w:pPr>
            <w:r w:rsidRPr="00752DF2">
              <w:rPr>
                <w:lang w:val="en-GB"/>
              </w:rPr>
              <w:t xml:space="preserve">Taken into account in the pfd mask and not in the compliance analysis </w:t>
            </w: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Gaseous attenuation</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P.452</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Propagation model</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P.452</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1% of time assumed</w:t>
            </w:r>
          </w:p>
        </w:tc>
      </w:tr>
    </w:tbl>
    <w:p w:rsidR="00194EFE" w:rsidRDefault="00194EFE">
      <w:r>
        <w:br w:type="page"/>
      </w:r>
    </w:p>
    <w:p w:rsidR="00194EFE" w:rsidRPr="00194EFE" w:rsidRDefault="00194EFE" w:rsidP="00194EFE">
      <w:pPr>
        <w:pStyle w:val="TableNo"/>
        <w:rPr>
          <w:lang w:val="en-GB"/>
        </w:rPr>
      </w:pPr>
      <w:r w:rsidRPr="00194EFE">
        <w:rPr>
          <w:lang w:val="en-GB"/>
        </w:rPr>
        <w:t>TABLE 6</w:t>
      </w:r>
      <w:r>
        <w:rPr>
          <w:lang w:val="en-GB"/>
        </w:rPr>
        <w:t xml:space="preserve"> (</w:t>
      </w:r>
      <w:r w:rsidRPr="00194EFE">
        <w:rPr>
          <w:i/>
          <w:lang w:val="en-GB"/>
        </w:rPr>
        <w:t>end</w:t>
      </w:r>
      <w:r>
        <w:rPr>
          <w:lang w:val="en-GB"/>
        </w:rPr>
        <w:t>)</w:t>
      </w:r>
    </w:p>
    <w:tbl>
      <w:tblPr>
        <w:tblW w:w="9639" w:type="dxa"/>
        <w:jc w:val="center"/>
        <w:tblLayout w:type="fixed"/>
        <w:tblLook w:val="04A0" w:firstRow="1" w:lastRow="0" w:firstColumn="1" w:lastColumn="0" w:noHBand="0" w:noVBand="1"/>
      </w:tblPr>
      <w:tblGrid>
        <w:gridCol w:w="3568"/>
        <w:gridCol w:w="2154"/>
        <w:gridCol w:w="3917"/>
      </w:tblGrid>
      <w:tr w:rsidR="00194EFE" w:rsidRPr="001954AF" w:rsidTr="00194EFE">
        <w:trPr>
          <w:cantSplit/>
          <w:tblHeader/>
          <w:jc w:val="center"/>
        </w:trPr>
        <w:tc>
          <w:tcPr>
            <w:tcW w:w="3568" w:type="dxa"/>
            <w:tcBorders>
              <w:top w:val="single" w:sz="4" w:space="0" w:color="auto"/>
              <w:left w:val="single" w:sz="4" w:space="0" w:color="auto"/>
              <w:bottom w:val="single" w:sz="4" w:space="0" w:color="auto"/>
              <w:right w:val="single" w:sz="4" w:space="0" w:color="auto"/>
            </w:tcBorders>
          </w:tcPr>
          <w:p w:rsidR="00194EFE" w:rsidRPr="00194EFE" w:rsidRDefault="00194EFE" w:rsidP="00194EFE">
            <w:pPr>
              <w:pStyle w:val="Tabletext"/>
              <w:jc w:val="center"/>
              <w:rPr>
                <w:b/>
                <w:bCs/>
                <w:lang w:val="en-GB"/>
              </w:rPr>
            </w:pPr>
          </w:p>
        </w:tc>
        <w:tc>
          <w:tcPr>
            <w:tcW w:w="2154" w:type="dxa"/>
            <w:tcBorders>
              <w:top w:val="single" w:sz="4" w:space="0" w:color="auto"/>
              <w:left w:val="single" w:sz="4" w:space="0" w:color="auto"/>
              <w:bottom w:val="single" w:sz="4" w:space="0" w:color="auto"/>
              <w:right w:val="single" w:sz="4" w:space="0" w:color="auto"/>
            </w:tcBorders>
          </w:tcPr>
          <w:p w:rsidR="00194EFE" w:rsidRPr="001954AF" w:rsidRDefault="00194EFE" w:rsidP="00194EFE">
            <w:pPr>
              <w:pStyle w:val="Tabletext"/>
              <w:jc w:val="center"/>
              <w:rPr>
                <w:b/>
                <w:bCs/>
              </w:rPr>
            </w:pPr>
            <w:r w:rsidRPr="001954AF">
              <w:rPr>
                <w:b/>
                <w:bCs/>
              </w:rPr>
              <w:t>Ground to HAPS</w:t>
            </w:r>
          </w:p>
        </w:tc>
        <w:tc>
          <w:tcPr>
            <w:tcW w:w="3917" w:type="dxa"/>
            <w:tcBorders>
              <w:top w:val="single" w:sz="4" w:space="0" w:color="auto"/>
              <w:left w:val="single" w:sz="4" w:space="0" w:color="auto"/>
              <w:bottom w:val="single" w:sz="4" w:space="0" w:color="auto"/>
              <w:right w:val="single" w:sz="4" w:space="0" w:color="auto"/>
            </w:tcBorders>
          </w:tcPr>
          <w:p w:rsidR="00194EFE" w:rsidRPr="001954AF" w:rsidRDefault="00194EFE" w:rsidP="00194EFE">
            <w:pPr>
              <w:pStyle w:val="Tabletext"/>
              <w:jc w:val="center"/>
              <w:rPr>
                <w:b/>
                <w:bCs/>
              </w:rPr>
            </w:pPr>
            <w:r w:rsidRPr="001954AF">
              <w:rPr>
                <w:b/>
                <w:bCs/>
              </w:rPr>
              <w:t>Comments</w:t>
            </w: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Clutter loss</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P.2108</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752DF2">
              <w:rPr>
                <w:lang w:val="en-GB"/>
              </w:rPr>
              <w:t xml:space="preserve">Values depends on the random samples following the distribution in the document. </w:t>
            </w:r>
            <w:r w:rsidRPr="001954AF">
              <w:t>Percentage of location between 0 and 100%</w:t>
            </w: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Apportionment</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None</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Aggregate HAPS consideration</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No (single HAPS transmitter)</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481A00"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IMT deployment considered</w:t>
            </w:r>
          </w:p>
        </w:tc>
        <w:tc>
          <w:tcPr>
            <w:tcW w:w="2154" w:type="dxa"/>
            <w:tcBorders>
              <w:top w:val="single" w:sz="4" w:space="0" w:color="auto"/>
              <w:left w:val="single" w:sz="4" w:space="0" w:color="auto"/>
              <w:bottom w:val="single" w:sz="4" w:space="0" w:color="auto"/>
              <w:right w:val="single" w:sz="4" w:space="0" w:color="auto"/>
            </w:tcBorders>
          </w:tcPr>
          <w:p w:rsidR="00B63D8D" w:rsidRPr="00752DF2" w:rsidRDefault="00B63D8D" w:rsidP="00194EFE">
            <w:pPr>
              <w:pStyle w:val="Tabletext"/>
              <w:jc w:val="center"/>
              <w:rPr>
                <w:lang w:val="en-GB"/>
              </w:rPr>
            </w:pPr>
            <w:r w:rsidRPr="00752DF2">
              <w:rPr>
                <w:lang w:val="en-GB"/>
              </w:rPr>
              <w:t>Full IMT-2020 ubiquitous deployment within the HAPS coverage</w:t>
            </w:r>
          </w:p>
        </w:tc>
        <w:tc>
          <w:tcPr>
            <w:tcW w:w="3917" w:type="dxa"/>
            <w:tcBorders>
              <w:top w:val="single" w:sz="4" w:space="0" w:color="auto"/>
              <w:left w:val="single" w:sz="4" w:space="0" w:color="auto"/>
              <w:bottom w:val="single" w:sz="4" w:space="0" w:color="auto"/>
              <w:right w:val="single" w:sz="4" w:space="0" w:color="auto"/>
            </w:tcBorders>
          </w:tcPr>
          <w:p w:rsidR="00B63D8D" w:rsidRPr="00752DF2" w:rsidRDefault="00B63D8D" w:rsidP="00194EFE">
            <w:pPr>
              <w:pStyle w:val="Tabletext"/>
              <w:rPr>
                <w:lang w:val="en-GB"/>
              </w:rPr>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r w:rsidRPr="001954AF">
              <w:t xml:space="preserve">HAPS system </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jc w:val="center"/>
            </w:pPr>
            <w:r w:rsidRPr="001954AF">
              <w:t>System 6</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pPr>
          </w:p>
        </w:tc>
      </w:tr>
      <w:tr w:rsidR="00B63D8D" w:rsidRPr="001954AF" w:rsidTr="00194EFE">
        <w:trPr>
          <w:cantSplit/>
          <w:jc w:val="center"/>
        </w:trPr>
        <w:tc>
          <w:tcPr>
            <w:tcW w:w="3568" w:type="dxa"/>
            <w:tcBorders>
              <w:top w:val="single" w:sz="4" w:space="0" w:color="auto"/>
              <w:left w:val="single" w:sz="4" w:space="0" w:color="auto"/>
              <w:bottom w:val="single" w:sz="4" w:space="0" w:color="auto"/>
              <w:right w:val="single" w:sz="4" w:space="0" w:color="auto"/>
            </w:tcBorders>
          </w:tcPr>
          <w:p w:rsidR="00B63D8D" w:rsidRPr="00752DF2" w:rsidRDefault="00B63D8D" w:rsidP="008252AD">
            <w:pPr>
              <w:pStyle w:val="Tabletext"/>
              <w:rPr>
                <w:lang w:val="en-GB"/>
              </w:rPr>
            </w:pPr>
            <w:r w:rsidRPr="00752DF2">
              <w:rPr>
                <w:rFonts w:cstheme="minorHAnsi"/>
                <w:lang w:val="en-GB"/>
              </w:rPr>
              <w:t>Distribution of the UE and BS Pointing</w:t>
            </w:r>
          </w:p>
        </w:tc>
        <w:tc>
          <w:tcPr>
            <w:tcW w:w="2154"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keepNext/>
              <w:keepLines/>
              <w:jc w:val="center"/>
            </w:pPr>
            <w:r w:rsidRPr="001954AF">
              <w:t>Rayleigh distribution</w:t>
            </w:r>
          </w:p>
        </w:tc>
        <w:tc>
          <w:tcPr>
            <w:tcW w:w="3917" w:type="dxa"/>
            <w:tcBorders>
              <w:top w:val="single" w:sz="4" w:space="0" w:color="auto"/>
              <w:left w:val="single" w:sz="4" w:space="0" w:color="auto"/>
              <w:bottom w:val="single" w:sz="4" w:space="0" w:color="auto"/>
              <w:right w:val="single" w:sz="4" w:space="0" w:color="auto"/>
            </w:tcBorders>
          </w:tcPr>
          <w:p w:rsidR="00B63D8D" w:rsidRPr="001954AF" w:rsidRDefault="00B63D8D" w:rsidP="00194EFE">
            <w:pPr>
              <w:pStyle w:val="Tabletext"/>
              <w:keepNext/>
              <w:keepLines/>
              <w:jc w:val="center"/>
            </w:pPr>
          </w:p>
        </w:tc>
      </w:tr>
    </w:tbl>
    <w:p w:rsidR="00B63D8D" w:rsidRPr="001954AF" w:rsidRDefault="00B63D8D" w:rsidP="00B63D8D">
      <w:pPr>
        <w:pStyle w:val="Tablefin"/>
      </w:pPr>
      <w:bookmarkStart w:id="141" w:name="_Toc530661322"/>
    </w:p>
    <w:p w:rsidR="00B63D8D" w:rsidRPr="001954AF" w:rsidRDefault="00B63D8D" w:rsidP="00B63D8D">
      <w:pPr>
        <w:pStyle w:val="Heading2"/>
        <w:rPr>
          <w:rFonts w:eastAsia="MS Mincho"/>
        </w:rPr>
      </w:pPr>
      <w:bookmarkStart w:id="142" w:name="_Toc7699374"/>
      <w:bookmarkStart w:id="143" w:name="_Toc19283731"/>
      <w:bookmarkStart w:id="144" w:name="_Toc19289064"/>
      <w:r w:rsidRPr="001954AF">
        <w:rPr>
          <w:rFonts w:eastAsia="MS Mincho"/>
        </w:rPr>
        <w:t>1.1</w:t>
      </w:r>
      <w:r w:rsidRPr="001954AF">
        <w:rPr>
          <w:rFonts w:eastAsia="MS Mincho"/>
        </w:rPr>
        <w:tab/>
        <w:t>Study A</w:t>
      </w:r>
      <w:bookmarkEnd w:id="141"/>
      <w:bookmarkEnd w:id="142"/>
      <w:bookmarkEnd w:id="143"/>
      <w:bookmarkEnd w:id="144"/>
      <w:r w:rsidRPr="001954AF">
        <w:rPr>
          <w:rFonts w:eastAsia="MS Mincho"/>
        </w:rPr>
        <w:t xml:space="preserve"> </w:t>
      </w:r>
    </w:p>
    <w:p w:rsidR="00B63D8D" w:rsidRPr="001954AF" w:rsidRDefault="00B63D8D" w:rsidP="00B63D8D">
      <w:pPr>
        <w:pStyle w:val="Heading3"/>
      </w:pPr>
      <w:bookmarkStart w:id="145" w:name="_Toc530661323"/>
      <w:r w:rsidRPr="001954AF">
        <w:t>1.1.1</w:t>
      </w:r>
      <w:r w:rsidRPr="001954AF">
        <w:tab/>
        <w:t>Summary</w:t>
      </w:r>
      <w:bookmarkEnd w:id="145"/>
    </w:p>
    <w:p w:rsidR="00B63D8D" w:rsidRPr="00752DF2" w:rsidRDefault="00B63D8D" w:rsidP="00B63D8D">
      <w:pPr>
        <w:rPr>
          <w:lang w:val="en-GB"/>
        </w:rPr>
      </w:pPr>
      <w:r w:rsidRPr="00752DF2">
        <w:rPr>
          <w:szCs w:val="24"/>
          <w:lang w:val="en-GB"/>
        </w:rPr>
        <w:t>This study investigates the coexistence</w:t>
      </w:r>
      <w:r w:rsidRPr="00752DF2">
        <w:rPr>
          <w:lang w:val="en-GB"/>
        </w:rPr>
        <w:t xml:space="preserve"> between HAPS System 6 and IMT-2020 in a suburban environment. This study will first present a statistical study. Then various mitigation techniques will be provided. </w:t>
      </w:r>
    </w:p>
    <w:p w:rsidR="00B63D8D" w:rsidRPr="00752DF2" w:rsidRDefault="00B63D8D" w:rsidP="00B63D8D">
      <w:pPr>
        <w:rPr>
          <w:rFonts w:eastAsia="MS Mincho"/>
          <w:lang w:val="en-GB" w:eastAsia="ja-JP"/>
        </w:rPr>
      </w:pPr>
      <w:r w:rsidRPr="00752DF2">
        <w:rPr>
          <w:rFonts w:eastAsia="MS Mincho"/>
          <w:lang w:val="en-GB" w:eastAsia="ja-JP"/>
        </w:rPr>
        <w:t>In this study, the following direction is considered for HAPS:</w:t>
      </w:r>
    </w:p>
    <w:p w:rsidR="00B63D8D" w:rsidRPr="00752DF2" w:rsidRDefault="00B63D8D" w:rsidP="00B63D8D">
      <w:pPr>
        <w:pStyle w:val="enumlev1"/>
        <w:rPr>
          <w:rFonts w:eastAsia="MS Mincho"/>
          <w:lang w:val="en-GB" w:eastAsia="ja-JP"/>
        </w:rPr>
      </w:pPr>
      <w:r w:rsidRPr="00752DF2">
        <w:rPr>
          <w:rFonts w:eastAsia="MS Mincho"/>
          <w:lang w:val="en-GB" w:eastAsia="ja-JP"/>
        </w:rPr>
        <w:t>–</w:t>
      </w:r>
      <w:r w:rsidRPr="00752DF2">
        <w:rPr>
          <w:rFonts w:eastAsia="MS Mincho"/>
          <w:lang w:val="en-GB" w:eastAsia="ja-JP"/>
        </w:rPr>
        <w:tab/>
        <w:t>HAPS gateway to HAPS (UL).</w:t>
      </w:r>
    </w:p>
    <w:p w:rsidR="00B63D8D" w:rsidRPr="00752DF2" w:rsidRDefault="00B63D8D" w:rsidP="00B63D8D">
      <w:pPr>
        <w:pStyle w:val="Heading3"/>
        <w:rPr>
          <w:lang w:val="en-GB"/>
        </w:rPr>
      </w:pPr>
      <w:bookmarkStart w:id="146" w:name="_Toc530661324"/>
      <w:r w:rsidRPr="00752DF2">
        <w:rPr>
          <w:lang w:val="en-GB"/>
        </w:rPr>
        <w:t>1.1.2</w:t>
      </w:r>
      <w:r w:rsidRPr="00752DF2">
        <w:rPr>
          <w:lang w:val="en-GB"/>
        </w:rPr>
        <w:tab/>
        <w:t>Introduction</w:t>
      </w:r>
      <w:bookmarkEnd w:id="146"/>
    </w:p>
    <w:p w:rsidR="00B63D8D" w:rsidRPr="00752DF2" w:rsidRDefault="00B63D8D" w:rsidP="00B63D8D">
      <w:pPr>
        <w:rPr>
          <w:lang w:val="en-GB" w:eastAsia="ja-JP"/>
        </w:rPr>
      </w:pPr>
      <w:r w:rsidRPr="00752DF2">
        <w:rPr>
          <w:lang w:val="en-GB" w:eastAsia="ja-JP"/>
        </w:rPr>
        <w:t xml:space="preserve">This band is a candidate band for IMT-2020 under Resolution </w:t>
      </w:r>
      <w:r w:rsidRPr="00752DF2">
        <w:rPr>
          <w:b/>
          <w:bCs/>
          <w:lang w:val="en-GB" w:eastAsia="ja-JP"/>
        </w:rPr>
        <w:t>238 (WRC-15)</w:t>
      </w:r>
      <w:r w:rsidRPr="00752DF2">
        <w:rPr>
          <w:lang w:val="en-GB" w:eastAsia="ja-JP"/>
        </w:rPr>
        <w:t xml:space="preserve">. This Report includes the sharing and compatibly study between HAPS system and IMT-2020. </w:t>
      </w:r>
    </w:p>
    <w:p w:rsidR="00B63D8D" w:rsidRPr="00752DF2" w:rsidRDefault="00B63D8D" w:rsidP="00B63D8D">
      <w:pPr>
        <w:rPr>
          <w:lang w:val="en-GB"/>
        </w:rPr>
      </w:pPr>
      <w:r w:rsidRPr="00752DF2">
        <w:rPr>
          <w:lang w:val="en-GB" w:eastAsia="ja-JP"/>
        </w:rPr>
        <w:t>The HAPS parameters (gateway link) used in this study is from System 6 from Report ITU-R F.2439</w:t>
      </w:r>
      <w:r w:rsidR="00194EFE">
        <w:rPr>
          <w:lang w:val="en-GB" w:eastAsia="ja-JP"/>
        </w:rPr>
        <w:noBreakHyphen/>
      </w:r>
      <w:r w:rsidRPr="00752DF2">
        <w:rPr>
          <w:lang w:val="en-GB" w:eastAsia="ja-JP"/>
        </w:rPr>
        <w:t>0.</w:t>
      </w:r>
      <w:r w:rsidRPr="00752DF2">
        <w:rPr>
          <w:lang w:val="en-GB"/>
        </w:rPr>
        <w:t xml:space="preserve"> For HAPS protection criteria, </w:t>
      </w:r>
      <w:r w:rsidRPr="00752DF2">
        <w:rPr>
          <w:i/>
          <w:lang w:val="en-GB"/>
        </w:rPr>
        <w:t>I</w:t>
      </w:r>
      <w:r w:rsidRPr="00752DF2">
        <w:rPr>
          <w:lang w:val="en-GB"/>
        </w:rPr>
        <w:t>/</w:t>
      </w:r>
      <w:r w:rsidRPr="00752DF2">
        <w:rPr>
          <w:i/>
          <w:lang w:val="en-GB"/>
        </w:rPr>
        <w:t>N </w:t>
      </w:r>
      <w:r w:rsidRPr="00752DF2">
        <w:rPr>
          <w:lang w:val="en-GB"/>
        </w:rPr>
        <w:t>= –6 dB (may exceed 20% of the time) is assumed for this study.</w:t>
      </w:r>
    </w:p>
    <w:p w:rsidR="00B63D8D" w:rsidRPr="001954AF" w:rsidRDefault="00B63D8D" w:rsidP="00B63D8D">
      <w:r w:rsidRPr="00752DF2">
        <w:rPr>
          <w:lang w:val="en-GB"/>
        </w:rPr>
        <w:t>The IMT-2020 parameters used in this study have been provided by the relevant group. The outdoor suburban hotspot for IMT-2020 (base station and user terminal) is considered, as HAPS System 6 will not be deployed in urban areas. The protection criteria considered for IMT</w:t>
      </w:r>
      <w:r w:rsidRPr="00752DF2">
        <w:rPr>
          <w:lang w:val="en-GB"/>
        </w:rPr>
        <w:noBreakHyphen/>
        <w:t xml:space="preserve">2020 is </w:t>
      </w:r>
      <w:r w:rsidRPr="00752DF2">
        <w:rPr>
          <w:i/>
          <w:iCs/>
          <w:lang w:val="en-GB"/>
        </w:rPr>
        <w:t>I</w:t>
      </w:r>
      <w:r w:rsidRPr="00752DF2">
        <w:rPr>
          <w:iCs/>
          <w:lang w:val="en-GB"/>
        </w:rPr>
        <w:t>/</w:t>
      </w:r>
      <w:r w:rsidRPr="00752DF2">
        <w:rPr>
          <w:i/>
          <w:iCs/>
          <w:lang w:val="en-GB"/>
        </w:rPr>
        <w:t>N</w:t>
      </w:r>
      <w:r w:rsidRPr="00752DF2">
        <w:rPr>
          <w:lang w:val="en-GB"/>
        </w:rPr>
        <w:t xml:space="preserve"> = –6 dB. </w:t>
      </w:r>
      <w:r w:rsidRPr="001954AF">
        <w:t>Table 7 provides a s</w:t>
      </w:r>
      <w:r>
        <w:t>ummary of these characteristics.</w:t>
      </w:r>
    </w:p>
    <w:p w:rsidR="00194EFE" w:rsidRDefault="00194EFE" w:rsidP="00B63D8D">
      <w:pPr>
        <w:pStyle w:val="TableNo"/>
      </w:pPr>
      <w:r>
        <w:br w:type="page"/>
      </w:r>
    </w:p>
    <w:p w:rsidR="00B63D8D" w:rsidRPr="001954AF" w:rsidRDefault="00B63D8D" w:rsidP="00B63D8D">
      <w:pPr>
        <w:pStyle w:val="TableNo"/>
      </w:pPr>
      <w:r w:rsidRPr="001954AF">
        <w:t>T</w:t>
      </w:r>
      <w:r w:rsidR="00DB6B90" w:rsidRPr="001954AF">
        <w:t>ABLE</w:t>
      </w:r>
      <w:r w:rsidRPr="001954AF">
        <w:t xml:space="preserve"> 7</w:t>
      </w:r>
    </w:p>
    <w:p w:rsidR="00B63D8D" w:rsidRPr="001954AF" w:rsidRDefault="00B63D8D" w:rsidP="00B63D8D">
      <w:pPr>
        <w:pStyle w:val="Tabletitle"/>
      </w:pPr>
      <w:r w:rsidRPr="001954AF">
        <w:t>IMT-2020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2"/>
        <w:gridCol w:w="2709"/>
        <w:gridCol w:w="2838"/>
      </w:tblGrid>
      <w:tr w:rsidR="00B63D8D" w:rsidRPr="001954AF" w:rsidTr="00DB6B90">
        <w:trPr>
          <w:cantSplit/>
          <w:tblHeader/>
          <w:jc w:val="center"/>
        </w:trPr>
        <w:tc>
          <w:tcPr>
            <w:tcW w:w="2123" w:type="pct"/>
          </w:tcPr>
          <w:p w:rsidR="00B63D8D" w:rsidRPr="001954AF" w:rsidRDefault="00B63D8D" w:rsidP="00194EFE">
            <w:pPr>
              <w:pStyle w:val="Tablehead"/>
              <w:rPr>
                <w:rFonts w:eastAsia="SimSun"/>
              </w:rPr>
            </w:pPr>
            <w:r w:rsidRPr="001954AF">
              <w:rPr>
                <w:rFonts w:eastAsia="SimSun"/>
              </w:rPr>
              <w:t>Parameter</w:t>
            </w:r>
          </w:p>
        </w:tc>
        <w:tc>
          <w:tcPr>
            <w:tcW w:w="1405" w:type="pct"/>
          </w:tcPr>
          <w:p w:rsidR="00B63D8D" w:rsidRPr="001954AF" w:rsidRDefault="00B63D8D" w:rsidP="00194EFE">
            <w:pPr>
              <w:pStyle w:val="Tablehead"/>
              <w:rPr>
                <w:rFonts w:eastAsia="SimSun"/>
              </w:rPr>
            </w:pPr>
            <w:r w:rsidRPr="001954AF">
              <w:rPr>
                <w:rFonts w:eastAsia="SimSun"/>
              </w:rPr>
              <w:t>IMT-2020 (BS)</w:t>
            </w:r>
          </w:p>
        </w:tc>
        <w:tc>
          <w:tcPr>
            <w:tcW w:w="1472" w:type="pct"/>
          </w:tcPr>
          <w:p w:rsidR="00B63D8D" w:rsidRPr="001954AF" w:rsidRDefault="00B63D8D" w:rsidP="00194EFE">
            <w:pPr>
              <w:pStyle w:val="Tablehead"/>
              <w:rPr>
                <w:rFonts w:eastAsia="SimSun"/>
              </w:rPr>
            </w:pPr>
            <w:r w:rsidRPr="001954AF">
              <w:rPr>
                <w:rFonts w:eastAsia="SimSun"/>
              </w:rPr>
              <w:t>IMT-2020 (UE)</w:t>
            </w:r>
          </w:p>
        </w:tc>
      </w:tr>
      <w:tr w:rsidR="00B63D8D" w:rsidRPr="001954AF" w:rsidTr="00DB6B90">
        <w:trPr>
          <w:cantSplit/>
          <w:jc w:val="center"/>
        </w:trPr>
        <w:tc>
          <w:tcPr>
            <w:tcW w:w="2123" w:type="pct"/>
          </w:tcPr>
          <w:p w:rsidR="00B63D8D" w:rsidRPr="001954AF" w:rsidRDefault="00B63D8D" w:rsidP="00194EFE">
            <w:pPr>
              <w:pStyle w:val="Tabletext"/>
              <w:rPr>
                <w:rFonts w:eastAsia="SimSun"/>
              </w:rPr>
            </w:pPr>
            <w:r w:rsidRPr="001954AF">
              <w:rPr>
                <w:rFonts w:eastAsia="SimSun"/>
              </w:rPr>
              <w:t>Receiver characteristics</w:t>
            </w:r>
          </w:p>
        </w:tc>
        <w:tc>
          <w:tcPr>
            <w:tcW w:w="1405" w:type="pct"/>
          </w:tcPr>
          <w:p w:rsidR="00B63D8D" w:rsidRPr="001954AF" w:rsidRDefault="00B63D8D" w:rsidP="00194EFE">
            <w:pPr>
              <w:pStyle w:val="Tabletext"/>
              <w:jc w:val="center"/>
              <w:rPr>
                <w:rFonts w:eastAsia="SimSun"/>
              </w:rPr>
            </w:pPr>
          </w:p>
        </w:tc>
        <w:tc>
          <w:tcPr>
            <w:tcW w:w="1472" w:type="pct"/>
          </w:tcPr>
          <w:p w:rsidR="00B63D8D" w:rsidRPr="001954AF" w:rsidRDefault="00B63D8D" w:rsidP="00194EFE">
            <w:pPr>
              <w:pStyle w:val="Tabletext"/>
              <w:jc w:val="center"/>
              <w:rPr>
                <w:rFonts w:eastAsia="SimSun"/>
              </w:rPr>
            </w:pPr>
          </w:p>
        </w:tc>
      </w:tr>
      <w:tr w:rsidR="00B63D8D" w:rsidRPr="001954AF" w:rsidTr="00DB6B90">
        <w:trPr>
          <w:cantSplit/>
          <w:jc w:val="center"/>
        </w:trPr>
        <w:tc>
          <w:tcPr>
            <w:tcW w:w="2123" w:type="pct"/>
          </w:tcPr>
          <w:p w:rsidR="00B63D8D" w:rsidRPr="001954AF" w:rsidRDefault="00B63D8D" w:rsidP="00194EFE">
            <w:pPr>
              <w:pStyle w:val="Tabletext"/>
              <w:rPr>
                <w:rFonts w:eastAsia="SimSun"/>
              </w:rPr>
            </w:pPr>
            <w:r w:rsidRPr="001954AF">
              <w:rPr>
                <w:rFonts w:eastAsia="SimSun"/>
              </w:rPr>
              <w:t>Noise figure (dB)</w:t>
            </w:r>
          </w:p>
        </w:tc>
        <w:tc>
          <w:tcPr>
            <w:tcW w:w="1405" w:type="pct"/>
          </w:tcPr>
          <w:p w:rsidR="00B63D8D" w:rsidRPr="001954AF" w:rsidRDefault="00B63D8D" w:rsidP="00194EFE">
            <w:pPr>
              <w:pStyle w:val="Tabletext"/>
              <w:jc w:val="center"/>
              <w:rPr>
                <w:rFonts w:eastAsia="SimSun"/>
              </w:rPr>
            </w:pPr>
            <w:r w:rsidRPr="001954AF">
              <w:rPr>
                <w:rFonts w:eastAsia="SimSun"/>
              </w:rPr>
              <w:t>12</w:t>
            </w:r>
          </w:p>
        </w:tc>
        <w:tc>
          <w:tcPr>
            <w:tcW w:w="1472" w:type="pct"/>
          </w:tcPr>
          <w:p w:rsidR="00B63D8D" w:rsidRPr="001954AF" w:rsidRDefault="00B63D8D" w:rsidP="00194EFE">
            <w:pPr>
              <w:pStyle w:val="Tabletext"/>
              <w:jc w:val="center"/>
              <w:rPr>
                <w:rFonts w:eastAsia="SimSun"/>
              </w:rPr>
            </w:pPr>
            <w:r w:rsidRPr="001954AF">
              <w:rPr>
                <w:rFonts w:eastAsia="SimSun"/>
              </w:rPr>
              <w:t>12</w:t>
            </w:r>
          </w:p>
        </w:tc>
      </w:tr>
      <w:tr w:rsidR="00B63D8D" w:rsidRPr="001954AF" w:rsidTr="00DB6B90">
        <w:trPr>
          <w:cantSplit/>
          <w:jc w:val="center"/>
        </w:trPr>
        <w:tc>
          <w:tcPr>
            <w:tcW w:w="2123" w:type="pct"/>
          </w:tcPr>
          <w:p w:rsidR="00B63D8D" w:rsidRPr="00752DF2" w:rsidRDefault="00B63D8D" w:rsidP="00194EFE">
            <w:pPr>
              <w:pStyle w:val="Tabletext"/>
              <w:rPr>
                <w:rFonts w:eastAsia="SimSun"/>
                <w:lang w:val="en-GB"/>
              </w:rPr>
            </w:pPr>
            <w:r w:rsidRPr="00752DF2">
              <w:rPr>
                <w:rFonts w:eastAsia="SimSun"/>
                <w:lang w:val="en-GB"/>
              </w:rPr>
              <w:t>Protection criteria (</w:t>
            </w:r>
            <w:r w:rsidRPr="00752DF2">
              <w:rPr>
                <w:rFonts w:eastAsia="SimSun"/>
                <w:i/>
                <w:iCs/>
                <w:lang w:val="en-GB"/>
              </w:rPr>
              <w:t>I</w:t>
            </w:r>
            <w:r w:rsidRPr="000A0826">
              <w:rPr>
                <w:rFonts w:eastAsia="SimSun"/>
                <w:iCs/>
                <w:lang w:val="en-GB"/>
              </w:rPr>
              <w:t>/</w:t>
            </w:r>
            <w:r w:rsidRPr="00752DF2">
              <w:rPr>
                <w:rFonts w:eastAsia="SimSun"/>
                <w:i/>
                <w:iCs/>
                <w:lang w:val="en-GB"/>
              </w:rPr>
              <w:t>N</w:t>
            </w:r>
            <w:r w:rsidRPr="00752DF2">
              <w:rPr>
                <w:rFonts w:eastAsia="SimSun"/>
                <w:lang w:val="en-GB"/>
              </w:rPr>
              <w:t>) (dB)</w:t>
            </w:r>
          </w:p>
        </w:tc>
        <w:tc>
          <w:tcPr>
            <w:tcW w:w="1405" w:type="pct"/>
          </w:tcPr>
          <w:p w:rsidR="00B63D8D" w:rsidRPr="001954AF" w:rsidRDefault="00B63D8D" w:rsidP="00194EFE">
            <w:pPr>
              <w:pStyle w:val="Tabletext"/>
              <w:jc w:val="center"/>
            </w:pPr>
            <w:r w:rsidRPr="001954AF">
              <w:rPr>
                <w:rFonts w:eastAsia="SimSun"/>
              </w:rPr>
              <w:t>–6</w:t>
            </w:r>
          </w:p>
        </w:tc>
        <w:tc>
          <w:tcPr>
            <w:tcW w:w="1472" w:type="pct"/>
          </w:tcPr>
          <w:p w:rsidR="00B63D8D" w:rsidRPr="001954AF" w:rsidRDefault="00B63D8D" w:rsidP="00194EFE">
            <w:pPr>
              <w:pStyle w:val="Tabletext"/>
              <w:jc w:val="center"/>
              <w:rPr>
                <w:rFonts w:eastAsia="SimSun"/>
              </w:rPr>
            </w:pPr>
            <w:r w:rsidRPr="001954AF">
              <w:rPr>
                <w:rFonts w:eastAsia="SimSun"/>
              </w:rPr>
              <w:t>–6</w:t>
            </w:r>
          </w:p>
        </w:tc>
      </w:tr>
      <w:tr w:rsidR="00B63D8D" w:rsidRPr="001954AF" w:rsidTr="00DB6B90">
        <w:trPr>
          <w:cantSplit/>
          <w:jc w:val="center"/>
        </w:trPr>
        <w:tc>
          <w:tcPr>
            <w:tcW w:w="2123" w:type="pct"/>
          </w:tcPr>
          <w:p w:rsidR="00B63D8D" w:rsidRPr="00752DF2" w:rsidRDefault="00B63D8D" w:rsidP="00194EFE">
            <w:pPr>
              <w:pStyle w:val="Tabletext"/>
              <w:rPr>
                <w:rFonts w:eastAsia="SimSun"/>
                <w:lang w:val="en-GB"/>
              </w:rPr>
            </w:pPr>
            <w:r w:rsidRPr="00752DF2">
              <w:rPr>
                <w:rFonts w:eastAsia="SimSun"/>
                <w:lang w:val="en-GB"/>
              </w:rPr>
              <w:t>Max interference in dBW (</w:t>
            </w:r>
            <w:r w:rsidRPr="00752DF2">
              <w:rPr>
                <w:lang w:val="en-GB"/>
              </w:rPr>
              <w:t>dB(W/MHz))</w:t>
            </w:r>
          </w:p>
        </w:tc>
        <w:tc>
          <w:tcPr>
            <w:tcW w:w="1405" w:type="pct"/>
          </w:tcPr>
          <w:p w:rsidR="00B63D8D" w:rsidRPr="001954AF" w:rsidRDefault="00B63D8D" w:rsidP="00194EFE">
            <w:pPr>
              <w:pStyle w:val="Tabletext"/>
              <w:jc w:val="center"/>
            </w:pPr>
            <w:r w:rsidRPr="001954AF">
              <w:t>–138</w:t>
            </w:r>
          </w:p>
        </w:tc>
        <w:tc>
          <w:tcPr>
            <w:tcW w:w="1472" w:type="pct"/>
          </w:tcPr>
          <w:p w:rsidR="00B63D8D" w:rsidRPr="001954AF" w:rsidRDefault="00B63D8D" w:rsidP="00194EFE">
            <w:pPr>
              <w:pStyle w:val="Tabletext"/>
              <w:jc w:val="center"/>
            </w:pPr>
            <w:r w:rsidRPr="001954AF">
              <w:t>–138</w:t>
            </w:r>
          </w:p>
        </w:tc>
      </w:tr>
      <w:tr w:rsidR="00B63D8D" w:rsidRPr="001954AF" w:rsidTr="00DB6B90">
        <w:trPr>
          <w:cantSplit/>
          <w:jc w:val="center"/>
        </w:trPr>
        <w:tc>
          <w:tcPr>
            <w:tcW w:w="2123" w:type="pct"/>
          </w:tcPr>
          <w:p w:rsidR="00B63D8D" w:rsidRPr="001954AF" w:rsidRDefault="00B63D8D" w:rsidP="00194EFE">
            <w:pPr>
              <w:pStyle w:val="Tabletext"/>
              <w:rPr>
                <w:rFonts w:eastAsia="SimSun"/>
              </w:rPr>
            </w:pPr>
            <w:r w:rsidRPr="001954AF">
              <w:t xml:space="preserve">Maximum composite antenna gain </w:t>
            </w:r>
            <w:r w:rsidRPr="001954AF">
              <w:rPr>
                <w:rFonts w:eastAsia="SimSun"/>
              </w:rPr>
              <w:t>(dBi)</w:t>
            </w:r>
          </w:p>
        </w:tc>
        <w:tc>
          <w:tcPr>
            <w:tcW w:w="1405" w:type="pct"/>
          </w:tcPr>
          <w:p w:rsidR="00B63D8D" w:rsidRPr="001954AF" w:rsidRDefault="00B63D8D" w:rsidP="00194EFE">
            <w:pPr>
              <w:pStyle w:val="Tabletext"/>
              <w:jc w:val="center"/>
            </w:pPr>
            <w:r w:rsidRPr="001954AF">
              <w:t>23</w:t>
            </w:r>
          </w:p>
        </w:tc>
        <w:tc>
          <w:tcPr>
            <w:tcW w:w="1472" w:type="pct"/>
          </w:tcPr>
          <w:p w:rsidR="00B63D8D" w:rsidRPr="001954AF" w:rsidRDefault="00B63D8D" w:rsidP="00194EFE">
            <w:pPr>
              <w:pStyle w:val="Tabletext"/>
              <w:jc w:val="center"/>
            </w:pPr>
            <w:r w:rsidRPr="001954AF">
              <w:t>17</w:t>
            </w:r>
          </w:p>
        </w:tc>
      </w:tr>
      <w:tr w:rsidR="00B63D8D" w:rsidRPr="001954AF" w:rsidTr="00DB6B90">
        <w:trPr>
          <w:cantSplit/>
          <w:jc w:val="center"/>
        </w:trPr>
        <w:tc>
          <w:tcPr>
            <w:tcW w:w="2123" w:type="pct"/>
          </w:tcPr>
          <w:p w:rsidR="00B63D8D" w:rsidRPr="001954AF" w:rsidRDefault="00B63D8D" w:rsidP="00194EFE">
            <w:pPr>
              <w:pStyle w:val="Tabletext"/>
            </w:pPr>
            <w:r w:rsidRPr="001954AF">
              <w:t>Mechanical downtilt (degree)</w:t>
            </w:r>
          </w:p>
        </w:tc>
        <w:tc>
          <w:tcPr>
            <w:tcW w:w="1405" w:type="pct"/>
          </w:tcPr>
          <w:p w:rsidR="00B63D8D" w:rsidRPr="001954AF" w:rsidRDefault="00B63D8D" w:rsidP="00194EFE">
            <w:pPr>
              <w:pStyle w:val="Tabletext"/>
              <w:jc w:val="center"/>
            </w:pPr>
            <w:r w:rsidRPr="001954AF">
              <w:t>10</w:t>
            </w:r>
          </w:p>
        </w:tc>
        <w:tc>
          <w:tcPr>
            <w:tcW w:w="1472" w:type="pct"/>
          </w:tcPr>
          <w:p w:rsidR="00B63D8D" w:rsidRPr="001954AF" w:rsidRDefault="00B63D8D" w:rsidP="00194EFE">
            <w:pPr>
              <w:pStyle w:val="Tabletext"/>
              <w:jc w:val="center"/>
            </w:pPr>
            <w:r w:rsidRPr="001954AF">
              <w:t>See distribution below</w:t>
            </w:r>
          </w:p>
        </w:tc>
      </w:tr>
      <w:tr w:rsidR="00B63D8D" w:rsidRPr="001954AF" w:rsidTr="00DB6B90">
        <w:trPr>
          <w:cantSplit/>
          <w:jc w:val="center"/>
        </w:trPr>
        <w:tc>
          <w:tcPr>
            <w:tcW w:w="2123" w:type="pct"/>
          </w:tcPr>
          <w:p w:rsidR="00B63D8D" w:rsidRPr="001954AF" w:rsidRDefault="00B63D8D" w:rsidP="00194EFE">
            <w:pPr>
              <w:pStyle w:val="Tabletext"/>
            </w:pPr>
            <w:r w:rsidRPr="001954AF">
              <w:t xml:space="preserve">Body loss </w:t>
            </w:r>
            <w:r w:rsidRPr="001954AF">
              <w:rPr>
                <w:rFonts w:eastAsia="SimSun"/>
              </w:rPr>
              <w:t>(dB)</w:t>
            </w:r>
          </w:p>
        </w:tc>
        <w:tc>
          <w:tcPr>
            <w:tcW w:w="1405" w:type="pct"/>
          </w:tcPr>
          <w:p w:rsidR="00B63D8D" w:rsidRPr="001954AF" w:rsidRDefault="00B63D8D" w:rsidP="00194EFE">
            <w:pPr>
              <w:pStyle w:val="Tabletext"/>
              <w:jc w:val="center"/>
            </w:pPr>
            <w:r w:rsidRPr="001954AF">
              <w:t>N/A</w:t>
            </w:r>
          </w:p>
        </w:tc>
        <w:tc>
          <w:tcPr>
            <w:tcW w:w="1472" w:type="pct"/>
          </w:tcPr>
          <w:p w:rsidR="00B63D8D" w:rsidRPr="001954AF" w:rsidRDefault="00B63D8D" w:rsidP="00194EFE">
            <w:pPr>
              <w:pStyle w:val="Tabletext"/>
              <w:jc w:val="center"/>
            </w:pPr>
            <w:r w:rsidRPr="001954AF">
              <w:t>4</w:t>
            </w:r>
          </w:p>
        </w:tc>
      </w:tr>
      <w:tr w:rsidR="00B63D8D" w:rsidRPr="00481A00" w:rsidTr="00DB6B90">
        <w:trPr>
          <w:cantSplit/>
          <w:jc w:val="center"/>
        </w:trPr>
        <w:tc>
          <w:tcPr>
            <w:tcW w:w="2123" w:type="pct"/>
          </w:tcPr>
          <w:p w:rsidR="00B63D8D" w:rsidRPr="001954AF" w:rsidRDefault="00B63D8D" w:rsidP="00194EFE">
            <w:pPr>
              <w:pStyle w:val="Tabletext"/>
              <w:tabs>
                <w:tab w:val="clear" w:pos="1134"/>
                <w:tab w:val="clear" w:pos="2268"/>
              </w:tabs>
            </w:pPr>
            <w:r w:rsidRPr="001954AF">
              <w:t>Clutter model</w:t>
            </w:r>
          </w:p>
        </w:tc>
        <w:tc>
          <w:tcPr>
            <w:tcW w:w="2877" w:type="pct"/>
            <w:gridSpan w:val="2"/>
          </w:tcPr>
          <w:p w:rsidR="00B63D8D" w:rsidRPr="00752DF2" w:rsidRDefault="00B63D8D" w:rsidP="00194EFE">
            <w:pPr>
              <w:pStyle w:val="Tabletext"/>
              <w:jc w:val="center"/>
              <w:rPr>
                <w:lang w:val="en-GB"/>
              </w:rPr>
            </w:pPr>
            <w:r w:rsidRPr="00752DF2">
              <w:rPr>
                <w:lang w:val="en-GB"/>
              </w:rPr>
              <w:t xml:space="preserve">Rec. ITU-R P.2108 with 1% of location </w:t>
            </w:r>
          </w:p>
        </w:tc>
      </w:tr>
      <w:tr w:rsidR="00B63D8D" w:rsidRPr="001954AF" w:rsidTr="00DB6B90">
        <w:trPr>
          <w:cantSplit/>
          <w:jc w:val="center"/>
        </w:trPr>
        <w:tc>
          <w:tcPr>
            <w:tcW w:w="2123" w:type="pct"/>
          </w:tcPr>
          <w:p w:rsidR="00B63D8D" w:rsidRPr="001954AF" w:rsidRDefault="00B63D8D" w:rsidP="00194EFE">
            <w:pPr>
              <w:pStyle w:val="Tabletext"/>
              <w:tabs>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680"/>
              </w:tabs>
            </w:pPr>
            <w:r w:rsidRPr="001954AF">
              <w:t xml:space="preserve">Antenna pattern </w:t>
            </w:r>
          </w:p>
        </w:tc>
        <w:tc>
          <w:tcPr>
            <w:tcW w:w="2877" w:type="pct"/>
            <w:gridSpan w:val="2"/>
          </w:tcPr>
          <w:p w:rsidR="00B63D8D" w:rsidRPr="001954AF" w:rsidRDefault="00B63D8D" w:rsidP="00194EFE">
            <w:pPr>
              <w:pStyle w:val="Tabletext"/>
              <w:jc w:val="center"/>
            </w:pPr>
            <w:r w:rsidRPr="001954AF">
              <w:t>Rec. ITU-R M.2101</w:t>
            </w:r>
          </w:p>
        </w:tc>
      </w:tr>
      <w:tr w:rsidR="00B63D8D" w:rsidRPr="001954AF" w:rsidTr="00DB6B90">
        <w:trPr>
          <w:cantSplit/>
          <w:jc w:val="center"/>
        </w:trPr>
        <w:tc>
          <w:tcPr>
            <w:tcW w:w="2123" w:type="pct"/>
          </w:tcPr>
          <w:p w:rsidR="00B63D8D" w:rsidRPr="001954AF" w:rsidRDefault="00B63D8D" w:rsidP="00194EFE">
            <w:pPr>
              <w:pStyle w:val="Tabletext"/>
            </w:pPr>
            <w:r w:rsidRPr="001954AF">
              <w:t xml:space="preserve">Deployment scenario </w:t>
            </w:r>
          </w:p>
        </w:tc>
        <w:tc>
          <w:tcPr>
            <w:tcW w:w="2877" w:type="pct"/>
            <w:gridSpan w:val="2"/>
          </w:tcPr>
          <w:p w:rsidR="00B63D8D" w:rsidRPr="001954AF" w:rsidRDefault="00B63D8D" w:rsidP="00194EFE">
            <w:pPr>
              <w:pStyle w:val="Tabletext"/>
              <w:jc w:val="center"/>
            </w:pPr>
            <w:r w:rsidRPr="001954AF">
              <w:t>Outdoor suburban hotspot</w:t>
            </w:r>
          </w:p>
        </w:tc>
      </w:tr>
    </w:tbl>
    <w:p w:rsidR="00B63D8D" w:rsidRPr="001954AF" w:rsidRDefault="00B63D8D" w:rsidP="00B63D8D">
      <w:pPr>
        <w:pStyle w:val="Tablefin"/>
      </w:pPr>
    </w:p>
    <w:p w:rsidR="00B63D8D" w:rsidRPr="00752DF2" w:rsidRDefault="00B63D8D" w:rsidP="00B63D8D">
      <w:pPr>
        <w:pStyle w:val="Heading3"/>
        <w:rPr>
          <w:lang w:val="en-GB"/>
        </w:rPr>
      </w:pPr>
      <w:bookmarkStart w:id="147" w:name="_Toc530661325"/>
      <w:r w:rsidRPr="00752DF2">
        <w:rPr>
          <w:lang w:val="en-GB"/>
        </w:rPr>
        <w:t>1.1.3</w:t>
      </w:r>
      <w:r w:rsidRPr="00752DF2">
        <w:rPr>
          <w:lang w:val="en-GB"/>
        </w:rPr>
        <w:tab/>
        <w:t>Methodology and results – HAPS Gateway to IMT-2020</w:t>
      </w:r>
      <w:bookmarkEnd w:id="147"/>
      <w:r w:rsidRPr="00752DF2">
        <w:rPr>
          <w:lang w:val="en-GB"/>
        </w:rPr>
        <w:t xml:space="preserve"> </w:t>
      </w:r>
    </w:p>
    <w:p w:rsidR="00B63D8D" w:rsidRPr="00752DF2" w:rsidRDefault="00B63D8D" w:rsidP="00B63D8D">
      <w:pPr>
        <w:shd w:val="clear" w:color="auto" w:fill="FFFFFF" w:themeFill="background1"/>
        <w:rPr>
          <w:szCs w:val="24"/>
          <w:lang w:val="en-GB"/>
        </w:rPr>
      </w:pPr>
      <w:r w:rsidRPr="00752DF2">
        <w:rPr>
          <w:iCs/>
          <w:szCs w:val="24"/>
          <w:lang w:val="en-GB"/>
        </w:rPr>
        <w:t>HAPS systems can operate as applications under the Fixed Service. The characteristics of HAPS ground stations are similar to conventional fixed stations. However, HAPS ground stations normally point at higher elevations than conventional fixed stations. The study below compares:</w:t>
      </w:r>
    </w:p>
    <w:p w:rsidR="00B63D8D" w:rsidRPr="00752DF2" w:rsidRDefault="00B63D8D" w:rsidP="00B63D8D">
      <w:pPr>
        <w:pStyle w:val="enumlev1"/>
        <w:rPr>
          <w:lang w:val="en-GB"/>
        </w:rPr>
      </w:pPr>
      <w:r w:rsidRPr="00752DF2">
        <w:rPr>
          <w:rFonts w:eastAsiaTheme="minorEastAsia"/>
          <w:lang w:val="en-GB"/>
        </w:rPr>
        <w:t>–</w:t>
      </w:r>
      <w:r w:rsidRPr="00752DF2">
        <w:rPr>
          <w:rFonts w:eastAsiaTheme="minorEastAsia"/>
          <w:lang w:val="en-GB"/>
        </w:rPr>
        <w:tab/>
        <w:t xml:space="preserve">the impact of a transmitting conventional fixed service station into a station of the Mobile Service with </w:t>
      </w:r>
    </w:p>
    <w:p w:rsidR="00B63D8D" w:rsidRPr="00752DF2" w:rsidRDefault="00B63D8D" w:rsidP="00B63D8D">
      <w:pPr>
        <w:pStyle w:val="enumlev1"/>
        <w:rPr>
          <w:lang w:val="en-GB"/>
        </w:rPr>
      </w:pPr>
      <w:r w:rsidRPr="00752DF2">
        <w:rPr>
          <w:rFonts w:eastAsiaTheme="minorEastAsia"/>
          <w:lang w:val="en-GB"/>
        </w:rPr>
        <w:t>–</w:t>
      </w:r>
      <w:r w:rsidRPr="00752DF2">
        <w:rPr>
          <w:rFonts w:eastAsiaTheme="minorEastAsia"/>
          <w:lang w:val="en-GB"/>
        </w:rPr>
        <w:tab/>
        <w:t xml:space="preserve">the impact of a transmitting HAPS ground station into the same station of the Mobile Service. </w:t>
      </w:r>
    </w:p>
    <w:p w:rsidR="00B63D8D" w:rsidRPr="00752DF2" w:rsidRDefault="00B63D8D" w:rsidP="00B63D8D">
      <w:pPr>
        <w:shd w:val="clear" w:color="auto" w:fill="FFFFFF" w:themeFill="background1"/>
        <w:rPr>
          <w:lang w:val="en-GB"/>
        </w:rPr>
      </w:pPr>
      <w:r w:rsidRPr="00752DF2">
        <w:rPr>
          <w:lang w:val="en-GB"/>
        </w:rPr>
        <w:t>The study is based on a statistical single-entry analysis. The purpose of the study is to provide an indication to administrations on whether sharing the band between a single HAPS ground station and a single mobile service station is more challenging than sharing the band between a single conventional fixed service station and a single mobile service station. However Mobile Service deployment is expected to be based on a cluster of multiple base stations.</w:t>
      </w:r>
    </w:p>
    <w:p w:rsidR="00B63D8D" w:rsidRPr="00752DF2" w:rsidRDefault="00B63D8D" w:rsidP="00B63D8D">
      <w:pPr>
        <w:pStyle w:val="Heading4"/>
        <w:rPr>
          <w:lang w:val="en-GB"/>
        </w:rPr>
      </w:pPr>
      <w:r w:rsidRPr="00752DF2">
        <w:rPr>
          <w:lang w:val="en-GB"/>
        </w:rPr>
        <w:t>1.1.3.1</w:t>
      </w:r>
      <w:r w:rsidRPr="00752DF2">
        <w:rPr>
          <w:lang w:val="en-GB"/>
        </w:rPr>
        <w:tab/>
        <w:t>Methodology – HAPS Gateway to IMT-2020</w:t>
      </w:r>
    </w:p>
    <w:p w:rsidR="00B63D8D" w:rsidRPr="00752DF2" w:rsidRDefault="00B63D8D" w:rsidP="00B63D8D">
      <w:pPr>
        <w:rPr>
          <w:lang w:val="en-GB" w:eastAsia="ja-JP"/>
        </w:rPr>
      </w:pPr>
      <w:r w:rsidRPr="00752DF2">
        <w:rPr>
          <w:lang w:val="en-GB" w:eastAsia="ja-JP"/>
        </w:rPr>
        <w:t>The following steps have been performed to derive the minimum separation distance CDF between a single HAPS ground (interferer) stations and an IMT-2020 equipment (victim).</w:t>
      </w:r>
    </w:p>
    <w:p w:rsidR="00B63D8D" w:rsidRPr="00752DF2" w:rsidRDefault="00B63D8D" w:rsidP="00B63D8D">
      <w:pPr>
        <w:rPr>
          <w:lang w:val="en-GB" w:eastAsia="ja-JP"/>
        </w:rPr>
      </w:pPr>
      <w:r w:rsidRPr="00752DF2">
        <w:rPr>
          <w:lang w:val="en-GB" w:eastAsia="ja-JP"/>
        </w:rPr>
        <w:t>Step 1: Compute the IMT-2020 antenna gain towards the HAPS GW based on the following input parameters:</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t>0° is taken for the elevation angle towards the HAPS;</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t>0° is taken for the azimuth towards the HAPS;</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r>
      <w:r w:rsidRPr="00752DF2">
        <w:rPr>
          <w:lang w:val="en-GB" w:eastAsia="zh-CN"/>
        </w:rPr>
        <w:t>IMT-2020 station antenna pointing azimuth: random variable with a uniform distribution between –180° to 180°;</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t>IMT-2020 station tilt:</w:t>
      </w:r>
    </w:p>
    <w:p w:rsidR="00B63D8D" w:rsidRPr="00752DF2" w:rsidRDefault="00B63D8D" w:rsidP="00B63D8D">
      <w:pPr>
        <w:pStyle w:val="enumlev2"/>
        <w:rPr>
          <w:lang w:val="en-GB" w:eastAsia="ja-JP"/>
        </w:rPr>
      </w:pPr>
      <w:r w:rsidRPr="00752DF2">
        <w:rPr>
          <w:lang w:val="en-GB" w:eastAsia="ja-JP"/>
        </w:rPr>
        <w:t>•</w:t>
      </w:r>
      <w:r w:rsidRPr="00752DF2">
        <w:rPr>
          <w:lang w:val="en-GB" w:eastAsia="ja-JP"/>
        </w:rPr>
        <w:tab/>
        <w:t>for the IMT-2020 base station: the mechanical downtilt is fixed to 10 degrees. Figure 1 presents the electrical tilt distribution used for the study:</w:t>
      </w:r>
    </w:p>
    <w:p w:rsidR="00B63D8D" w:rsidRPr="00752DF2" w:rsidRDefault="00B63D8D" w:rsidP="00B63D8D">
      <w:pPr>
        <w:pStyle w:val="FigureNo"/>
        <w:rPr>
          <w:lang w:val="en-GB"/>
        </w:rPr>
      </w:pPr>
      <w:r w:rsidRPr="00752DF2">
        <w:rPr>
          <w:lang w:val="en-GB"/>
        </w:rPr>
        <w:t>Figure 1</w:t>
      </w:r>
    </w:p>
    <w:p w:rsidR="00B63D8D" w:rsidRPr="00752DF2" w:rsidRDefault="00B63D8D" w:rsidP="00B63D8D">
      <w:pPr>
        <w:pStyle w:val="Figuretitle"/>
        <w:rPr>
          <w:lang w:val="en-GB" w:eastAsia="ja-JP"/>
        </w:rPr>
      </w:pPr>
      <w:r w:rsidRPr="00752DF2">
        <w:rPr>
          <w:lang w:val="en-GB"/>
        </w:rPr>
        <w:t>IMT-2020 BS electrical tilt distribution</w:t>
      </w:r>
    </w:p>
    <w:p w:rsidR="00B63D8D" w:rsidRPr="001954AF" w:rsidRDefault="00B63D8D" w:rsidP="00B63D8D">
      <w:pPr>
        <w:pStyle w:val="Figure"/>
      </w:pPr>
      <w:r w:rsidRPr="001954AF">
        <w:rPr>
          <w:noProof/>
          <w:lang w:val="en-GB" w:eastAsia="en-GB"/>
        </w:rPr>
        <w:drawing>
          <wp:inline distT="0" distB="0" distL="0" distR="0" wp14:anchorId="78E644A0" wp14:editId="34E39BF9">
            <wp:extent cx="2767054" cy="2074138"/>
            <wp:effectExtent l="0" t="0" r="0" b="2540"/>
            <wp:docPr id="591496864" name="Picture 59149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300" cy="2084067"/>
                    </a:xfrm>
                    <a:prstGeom prst="rect">
                      <a:avLst/>
                    </a:prstGeom>
                    <a:noFill/>
                    <a:ln>
                      <a:noFill/>
                    </a:ln>
                  </pic:spPr>
                </pic:pic>
              </a:graphicData>
            </a:graphic>
          </wp:inline>
        </w:drawing>
      </w:r>
    </w:p>
    <w:p w:rsidR="00B63D8D" w:rsidRPr="00752DF2" w:rsidRDefault="00B63D8D" w:rsidP="00B63D8D">
      <w:pPr>
        <w:pStyle w:val="enumlev2"/>
        <w:keepNext/>
        <w:rPr>
          <w:lang w:val="en-GB" w:eastAsia="ja-JP"/>
        </w:rPr>
      </w:pPr>
      <w:r w:rsidRPr="00752DF2">
        <w:rPr>
          <w:lang w:val="en-GB" w:eastAsia="ja-JP"/>
        </w:rPr>
        <w:t>•</w:t>
      </w:r>
      <w:r w:rsidRPr="00752DF2">
        <w:rPr>
          <w:lang w:val="en-GB" w:eastAsia="ja-JP"/>
        </w:rPr>
        <w:tab/>
        <w:t>for the IMT-2020 user equipment. Figure 2 present the mechanical and electrical tilt distributions used for the study.</w:t>
      </w:r>
    </w:p>
    <w:p w:rsidR="00B63D8D" w:rsidRPr="00752DF2" w:rsidRDefault="00B63D8D" w:rsidP="00B63D8D">
      <w:pPr>
        <w:pStyle w:val="FigureNo"/>
        <w:rPr>
          <w:lang w:val="en-GB"/>
        </w:rPr>
      </w:pPr>
      <w:r w:rsidRPr="00752DF2">
        <w:rPr>
          <w:lang w:val="en-GB"/>
        </w:rPr>
        <w:t>Figure 2</w:t>
      </w:r>
    </w:p>
    <w:p w:rsidR="00B63D8D" w:rsidRPr="00752DF2" w:rsidRDefault="00B63D8D" w:rsidP="00B63D8D">
      <w:pPr>
        <w:pStyle w:val="Figuretitle"/>
        <w:rPr>
          <w:lang w:val="en-GB"/>
        </w:rPr>
      </w:pPr>
      <w:r w:rsidRPr="00752DF2">
        <w:rPr>
          <w:lang w:val="en-GB"/>
        </w:rPr>
        <w:t>IMT-2020 UE mechanical tilt (left), and electrical tilt (right)</w:t>
      </w:r>
    </w:p>
    <w:p w:rsidR="00B63D8D" w:rsidRPr="001954AF" w:rsidRDefault="00B63D8D" w:rsidP="00B63D8D">
      <w:pPr>
        <w:pStyle w:val="Figure"/>
      </w:pPr>
      <w:r w:rsidRPr="001954AF">
        <w:rPr>
          <w:noProof/>
          <w:lang w:val="en-GB" w:eastAsia="en-GB"/>
        </w:rPr>
        <mc:AlternateContent>
          <mc:Choice Requires="wpg">
            <w:drawing>
              <wp:inline distT="0" distB="0" distL="0" distR="0" wp14:anchorId="1AE35E06" wp14:editId="1F9AD95C">
                <wp:extent cx="6120765" cy="2305596"/>
                <wp:effectExtent l="0" t="0" r="0" b="0"/>
                <wp:docPr id="591496865" name="Group 591496865"/>
                <wp:cNvGraphicFramePr/>
                <a:graphic xmlns:a="http://schemas.openxmlformats.org/drawingml/2006/main">
                  <a:graphicData uri="http://schemas.microsoft.com/office/word/2010/wordprocessingGroup">
                    <wpg:wgp>
                      <wpg:cNvGrpSpPr/>
                      <wpg:grpSpPr>
                        <a:xfrm>
                          <a:off x="0" y="0"/>
                          <a:ext cx="6120765" cy="2305596"/>
                          <a:chOff x="0" y="0"/>
                          <a:chExt cx="6503891" cy="2449830"/>
                        </a:xfrm>
                      </wpg:grpSpPr>
                      <pic:pic xmlns:pic="http://schemas.openxmlformats.org/drawingml/2006/picture">
                        <pic:nvPicPr>
                          <pic:cNvPr id="591496866" name="Picture 59149686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6181" y="0"/>
                            <a:ext cx="3267710" cy="2449830"/>
                          </a:xfrm>
                          <a:prstGeom prst="rect">
                            <a:avLst/>
                          </a:prstGeom>
                          <a:noFill/>
                          <a:ln>
                            <a:noFill/>
                          </a:ln>
                        </pic:spPr>
                      </pic:pic>
                      <pic:pic xmlns:pic="http://schemas.openxmlformats.org/drawingml/2006/picture">
                        <pic:nvPicPr>
                          <pic:cNvPr id="591496867" name="Picture 59149686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5960" cy="2425700"/>
                          </a:xfrm>
                          <a:prstGeom prst="rect">
                            <a:avLst/>
                          </a:prstGeom>
                          <a:noFill/>
                          <a:ln>
                            <a:noFill/>
                          </a:ln>
                        </pic:spPr>
                      </pic:pic>
                    </wpg:wgp>
                  </a:graphicData>
                </a:graphic>
              </wp:inline>
            </w:drawing>
          </mc:Choice>
          <mc:Fallback>
            <w:pict>
              <v:group w14:anchorId="2B1C6BEE" id="Group 591496865" o:spid="_x0000_s1026" style="width:481.95pt;height:181.55pt;mso-position-horizontal-relative:char;mso-position-vertical-relative:line" coordsize="65038,2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">
                <v:shape id="Picture 591496866" o:spid="_x0000_s1027" type="#_x0000_t75" style="position:absolute;left:32361;width:32677;height:2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">
                  <v:imagedata r:id="rId15" o:title=""/>
                  <v:path arrowok="t"/>
                </v:shape>
                <v:shape id="Picture 591496867" o:spid="_x0000_s1028" type="#_x0000_t75" style="position:absolute;width:32359;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">
                  <v:imagedata r:id="rId16" o:title=""/>
                  <v:path arrowok="t"/>
                </v:shape>
                <w10:anchorlock/>
              </v:group>
            </w:pict>
          </mc:Fallback>
        </mc:AlternateConten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t>IMT-2020 station phiscan: random variable with a distribution presented in Fig. 3.</w:t>
      </w:r>
    </w:p>
    <w:p w:rsidR="00B63D8D" w:rsidRPr="001954AF" w:rsidRDefault="00B63D8D" w:rsidP="00B63D8D">
      <w:pPr>
        <w:pStyle w:val="FigureNo"/>
      </w:pPr>
      <w:r w:rsidRPr="001954AF">
        <w:t>Figure 3</w:t>
      </w:r>
    </w:p>
    <w:p w:rsidR="00B63D8D" w:rsidRPr="001954AF" w:rsidRDefault="00B63D8D" w:rsidP="00B63D8D">
      <w:pPr>
        <w:pStyle w:val="Figuretitle"/>
        <w:rPr>
          <w:lang w:eastAsia="ja-JP"/>
        </w:rPr>
      </w:pPr>
      <w:r w:rsidRPr="001954AF">
        <w:t>IMT-2020 station phiscan</w:t>
      </w:r>
    </w:p>
    <w:p w:rsidR="00B63D8D" w:rsidRPr="001954AF" w:rsidRDefault="00B63D8D" w:rsidP="00B63D8D">
      <w:pPr>
        <w:pStyle w:val="Figure"/>
      </w:pPr>
      <w:r w:rsidRPr="001954AF">
        <w:rPr>
          <w:noProof/>
          <w:lang w:val="en-GB" w:eastAsia="en-GB"/>
        </w:rPr>
        <w:drawing>
          <wp:inline distT="0" distB="0" distL="0" distR="0" wp14:anchorId="12915559" wp14:editId="6C83F046">
            <wp:extent cx="3352012" cy="2512613"/>
            <wp:effectExtent l="0" t="0" r="1270" b="2540"/>
            <wp:docPr id="591496868" name="Picture 59149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0016" cy="2518612"/>
                    </a:xfrm>
                    <a:prstGeom prst="rect">
                      <a:avLst/>
                    </a:prstGeom>
                    <a:noFill/>
                    <a:ln>
                      <a:noFill/>
                    </a:ln>
                  </pic:spPr>
                </pic:pic>
              </a:graphicData>
            </a:graphic>
          </wp:inline>
        </w:drawing>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r>
      <w:r w:rsidRPr="00752DF2">
        <w:rPr>
          <w:lang w:val="en-GB" w:eastAsia="ja-JP"/>
        </w:rPr>
        <w:t xml:space="preserve">IMT-2020 antenna pattern: Rec. </w:t>
      </w:r>
      <w:r w:rsidRPr="00752DF2">
        <w:rPr>
          <w:lang w:val="en-GB" w:eastAsia="zh-CN"/>
        </w:rPr>
        <w:t>ITU-R</w:t>
      </w:r>
      <w:r w:rsidRPr="00752DF2">
        <w:rPr>
          <w:lang w:val="en-GB" w:eastAsia="ja-JP"/>
        </w:rPr>
        <w:t xml:space="preserve"> M.2101.</w:t>
      </w:r>
    </w:p>
    <w:p w:rsidR="00B63D8D" w:rsidRPr="00752DF2" w:rsidRDefault="00B63D8D" w:rsidP="00B63D8D">
      <w:pPr>
        <w:rPr>
          <w:lang w:val="en-GB" w:eastAsia="ja-JP"/>
        </w:rPr>
      </w:pPr>
      <w:r w:rsidRPr="00752DF2">
        <w:rPr>
          <w:lang w:val="en-GB" w:eastAsia="ja-JP"/>
        </w:rPr>
        <w:t>Step 2: Compute the HAPS GW antenna gain towards the IMT-2020 station based on the following input parameters:</w: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r>
      <w:r w:rsidRPr="00752DF2">
        <w:rPr>
          <w:lang w:val="en-GB" w:eastAsia="ja-JP"/>
        </w:rPr>
        <w:t>0° is taken for the elevation angle towards the IMT-2020 station;</w: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r>
      <w:r w:rsidRPr="00752DF2">
        <w:rPr>
          <w:lang w:val="en-GB" w:eastAsia="ja-JP"/>
        </w:rPr>
        <w:t>180° is taken for the azimuth towards the IMT-2020 station;</w: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t>HAPS GW station antenna pointing azimuth: random variable with a uniform distribution between –180° to 180°;</w: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t>HAPS GW station antenna pointing elevation: random variable with a uniform distribution between 20 and 90 degrees;</w: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t>HAPS GW station maximum antenna gain (from System 6 characteristics): 58.2 dBi (for GW).</w:t>
      </w:r>
    </w:p>
    <w:p w:rsidR="00B63D8D" w:rsidRPr="00752DF2" w:rsidRDefault="00B63D8D" w:rsidP="00B63D8D">
      <w:pPr>
        <w:rPr>
          <w:rFonts w:eastAsiaTheme="minorEastAsia"/>
          <w:lang w:val="en-GB" w:eastAsia="ja-JP"/>
        </w:rPr>
      </w:pPr>
      <w:r w:rsidRPr="00752DF2">
        <w:rPr>
          <w:rFonts w:eastAsiaTheme="minorEastAsia"/>
          <w:lang w:val="en-GB" w:eastAsia="ja-JP"/>
        </w:rPr>
        <w:t>Step 3: Compute the minimum separation distance needed to meet the FS protection criteria:</w: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r>
      <w:r w:rsidRPr="00752DF2">
        <w:rPr>
          <w:lang w:val="en-GB" w:eastAsia="ja-JP"/>
        </w:rPr>
        <w:t>HAPS System 6 station nominal e.i.r.p. density: 14.7 dB(W/MHz);</w: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r>
      <w:r w:rsidRPr="00752DF2">
        <w:rPr>
          <w:lang w:val="en-GB" w:eastAsia="ja-JP"/>
        </w:rPr>
        <w:t xml:space="preserve">propagation model used: Rec. ITU-R P.452 with a percentage of time of </w:t>
      </w:r>
      <w:r w:rsidRPr="00752DF2">
        <w:rPr>
          <w:i/>
          <w:iCs/>
          <w:lang w:val="en-GB" w:eastAsia="ja-JP"/>
        </w:rPr>
        <w:t>p</w:t>
      </w:r>
      <w:r w:rsidRPr="00752DF2">
        <w:rPr>
          <w:lang w:val="en-GB" w:eastAsia="ja-JP"/>
        </w:rPr>
        <w:t xml:space="preserve"> = 0.01%;</w:t>
      </w:r>
    </w:p>
    <w:p w:rsidR="00B63D8D" w:rsidRPr="00752DF2" w:rsidRDefault="00B63D8D" w:rsidP="00B63D8D">
      <w:pPr>
        <w:pStyle w:val="enumlev1"/>
        <w:rPr>
          <w:lang w:val="en-GB" w:eastAsia="ja-JP"/>
        </w:rPr>
      </w:pPr>
      <w:r w:rsidRPr="00752DF2">
        <w:rPr>
          <w:lang w:val="en-GB" w:eastAsia="zh-CN"/>
        </w:rPr>
        <w:t>−</w:t>
      </w:r>
      <w:r w:rsidRPr="00752DF2">
        <w:rPr>
          <w:lang w:val="en-GB" w:eastAsia="zh-CN"/>
        </w:rPr>
        <w:tab/>
      </w:r>
      <w:r w:rsidRPr="00752DF2">
        <w:rPr>
          <w:lang w:val="en-GB" w:eastAsia="ja-JP"/>
        </w:rPr>
        <w:t>statistical clutter loss model: Rec. ITU-R P.2108 with a percentage of location of 1%.</w:t>
      </w:r>
    </w:p>
    <w:p w:rsidR="00B63D8D" w:rsidRPr="00752DF2" w:rsidRDefault="00B63D8D" w:rsidP="00B63D8D">
      <w:pPr>
        <w:rPr>
          <w:lang w:val="en-GB" w:eastAsia="ja-JP"/>
        </w:rPr>
      </w:pPr>
      <w:r w:rsidRPr="00752DF2">
        <w:rPr>
          <w:lang w:val="en-GB" w:eastAsia="ja-JP"/>
        </w:rPr>
        <w:t>Step 4: Store the calculated separation distance and repeat steps 1 through 3 for 500 000 iterations.</w:t>
      </w:r>
    </w:p>
    <w:p w:rsidR="00B63D8D" w:rsidRPr="00752DF2" w:rsidRDefault="00B63D8D" w:rsidP="00B63D8D">
      <w:pPr>
        <w:rPr>
          <w:lang w:val="en-GB" w:eastAsia="ja-JP"/>
        </w:rPr>
      </w:pPr>
      <w:r w:rsidRPr="00752DF2">
        <w:rPr>
          <w:lang w:val="en-GB" w:eastAsia="ja-JP"/>
        </w:rPr>
        <w:t>The following plots present the separation distance CDF for HAPS GW into IMT-2020 BS.</w:t>
      </w:r>
    </w:p>
    <w:p w:rsidR="00B63D8D" w:rsidRPr="00752DF2" w:rsidRDefault="00B63D8D" w:rsidP="00B63D8D">
      <w:pPr>
        <w:pStyle w:val="Heading4"/>
        <w:rPr>
          <w:lang w:val="en-GB"/>
        </w:rPr>
      </w:pPr>
      <w:r w:rsidRPr="00752DF2">
        <w:rPr>
          <w:lang w:val="en-GB"/>
        </w:rPr>
        <w:t>1.1.3.2</w:t>
      </w:r>
      <w:r w:rsidRPr="00752DF2">
        <w:rPr>
          <w:lang w:val="en-GB"/>
        </w:rPr>
        <w:tab/>
        <w:t>Methodology – FS to IMT-2020</w:t>
      </w:r>
    </w:p>
    <w:p w:rsidR="00B63D8D" w:rsidRPr="00752DF2" w:rsidRDefault="00B63D8D" w:rsidP="00B63D8D">
      <w:pPr>
        <w:rPr>
          <w:lang w:val="en-GB" w:eastAsia="ja-JP"/>
        </w:rPr>
      </w:pPr>
      <w:r w:rsidRPr="00752DF2">
        <w:rPr>
          <w:lang w:val="en-GB" w:eastAsia="ja-JP"/>
        </w:rPr>
        <w:t>The following steps have been performed to derive the minimum separation distance CDF between a single FS ground (interferer) stations and an IMT-2020 equipment (victim).</w:t>
      </w:r>
    </w:p>
    <w:p w:rsidR="00B63D8D" w:rsidRPr="00752DF2" w:rsidRDefault="00B63D8D" w:rsidP="00B63D8D">
      <w:pPr>
        <w:rPr>
          <w:lang w:val="en-GB" w:eastAsia="ja-JP"/>
        </w:rPr>
      </w:pPr>
      <w:r w:rsidRPr="00752DF2">
        <w:rPr>
          <w:lang w:val="en-GB" w:eastAsia="ja-JP"/>
        </w:rPr>
        <w:t>Step 1: Compute the IMT-2020 antenna gain towards the FS: this is done following the same methodology as the one described in Step 1 of the previous section.</w:t>
      </w:r>
    </w:p>
    <w:p w:rsidR="00B63D8D" w:rsidRPr="00752DF2" w:rsidRDefault="00B63D8D" w:rsidP="00B63D8D">
      <w:pPr>
        <w:rPr>
          <w:lang w:val="en-GB" w:eastAsia="ja-JP"/>
        </w:rPr>
      </w:pPr>
      <w:r w:rsidRPr="00752DF2">
        <w:rPr>
          <w:lang w:val="en-GB" w:eastAsia="ja-JP"/>
        </w:rPr>
        <w:t>Step 2: Compute the FS antenna gain towards the IMT-2020 station based on the following input parameters:</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t>0° is taken for the elevation angle towards the IMT-2020 station;</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t>180° is taken for the azimuth towards the IMT-2020 station;</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r>
      <w:r w:rsidRPr="00752DF2">
        <w:rPr>
          <w:lang w:val="en-GB" w:eastAsia="zh-CN"/>
        </w:rPr>
        <w:t>FS station antenna pointing azimuth: random variable with a uniform distribution between -180° to 180°;</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r>
      <w:r w:rsidRPr="00752DF2">
        <w:rPr>
          <w:lang w:val="en-GB" w:eastAsia="zh-CN"/>
        </w:rPr>
        <w:t>FS station antenna pointing elevation: uniform distribution between –2.5</w:t>
      </w:r>
      <w:r w:rsidRPr="00752DF2">
        <w:rPr>
          <w:vertAlign w:val="superscript"/>
          <w:lang w:val="en-GB" w:eastAsia="zh-CN"/>
        </w:rPr>
        <w:t>o</w:t>
      </w:r>
      <w:r w:rsidRPr="00752DF2">
        <w:rPr>
          <w:lang w:val="en-GB" w:eastAsia="zh-CN"/>
        </w:rPr>
        <w:t xml:space="preserve"> and 2.5</w:t>
      </w:r>
      <w:r w:rsidRPr="00752DF2">
        <w:rPr>
          <w:vertAlign w:val="superscript"/>
          <w:lang w:val="en-GB" w:eastAsia="zh-CN"/>
        </w:rPr>
        <w:t>o</w:t>
      </w:r>
      <w:r w:rsidRPr="00752DF2">
        <w:rPr>
          <w:lang w:val="en-GB" w:eastAsia="zh-CN"/>
        </w:rPr>
        <w:t>;</w:t>
      </w:r>
    </w:p>
    <w:p w:rsidR="00B63D8D" w:rsidRPr="00752DF2" w:rsidRDefault="00B63D8D" w:rsidP="00B63D8D">
      <w:pPr>
        <w:pStyle w:val="enumlev1"/>
        <w:rPr>
          <w:lang w:val="en-GB" w:eastAsia="ja-JP"/>
        </w:rPr>
      </w:pPr>
      <w:r w:rsidRPr="00752DF2">
        <w:rPr>
          <w:szCs w:val="24"/>
          <w:lang w:val="en-GB" w:eastAsia="ja-JP"/>
        </w:rPr>
        <w:t>–</w:t>
      </w:r>
      <w:r w:rsidRPr="00752DF2">
        <w:rPr>
          <w:szCs w:val="24"/>
          <w:lang w:val="en-GB" w:eastAsia="ja-JP"/>
        </w:rPr>
        <w:tab/>
      </w:r>
      <w:r w:rsidRPr="00752DF2">
        <w:rPr>
          <w:lang w:val="en-GB" w:eastAsia="zh-CN"/>
        </w:rPr>
        <w:t>FS maximum antenna gain (extrapolated from Recommendation ITU-R F.758 40.5</w:t>
      </w:r>
      <w:r w:rsidRPr="00752DF2">
        <w:rPr>
          <w:lang w:val="en-GB" w:eastAsia="zh-CN"/>
        </w:rPr>
        <w:noBreakHyphen/>
        <w:t xml:space="preserve">43.5 GHz): uniform distribution between 38 and 44 dBi; </w:t>
      </w:r>
    </w:p>
    <w:p w:rsidR="00B63D8D" w:rsidRPr="00752DF2" w:rsidRDefault="00B63D8D" w:rsidP="00B63D8D">
      <w:pPr>
        <w:pStyle w:val="enumlev1"/>
        <w:rPr>
          <w:szCs w:val="24"/>
          <w:lang w:val="en-GB" w:eastAsia="ja-JP"/>
        </w:rPr>
      </w:pPr>
      <w:r w:rsidRPr="00752DF2">
        <w:rPr>
          <w:szCs w:val="24"/>
          <w:lang w:val="en-GB" w:eastAsia="ja-JP"/>
        </w:rPr>
        <w:t>–</w:t>
      </w:r>
      <w:r w:rsidRPr="00752DF2">
        <w:rPr>
          <w:szCs w:val="24"/>
          <w:lang w:val="en-GB" w:eastAsia="ja-JP"/>
        </w:rPr>
        <w:tab/>
        <w:t xml:space="preserve">FS antenna pattern: </w:t>
      </w:r>
      <w:r w:rsidRPr="00752DF2">
        <w:rPr>
          <w:lang w:val="en-GB" w:eastAsia="zh-CN"/>
        </w:rPr>
        <w:t>ITU-R</w:t>
      </w:r>
      <w:r w:rsidRPr="00752DF2">
        <w:rPr>
          <w:szCs w:val="24"/>
          <w:lang w:val="en-GB" w:eastAsia="ja-JP"/>
        </w:rPr>
        <w:t xml:space="preserve"> F.1245-2.</w:t>
      </w:r>
    </w:p>
    <w:p w:rsidR="00B63D8D" w:rsidRPr="00752DF2" w:rsidRDefault="00B63D8D" w:rsidP="00B63D8D">
      <w:pPr>
        <w:pStyle w:val="enumlev1"/>
        <w:rPr>
          <w:rFonts w:eastAsiaTheme="minorEastAsia"/>
          <w:lang w:val="en-GB" w:eastAsia="ja-JP"/>
        </w:rPr>
      </w:pPr>
      <w:r w:rsidRPr="00752DF2">
        <w:rPr>
          <w:rFonts w:eastAsiaTheme="minorEastAsia"/>
          <w:lang w:val="en-GB" w:eastAsia="ja-JP"/>
        </w:rPr>
        <w:t xml:space="preserve">Step 3: Compute the minimum separation distance needed to meet the </w:t>
      </w:r>
      <w:r w:rsidRPr="00752DF2">
        <w:rPr>
          <w:lang w:val="en-GB" w:eastAsia="ja-JP"/>
        </w:rPr>
        <w:t xml:space="preserve">IMT-2020 </w:t>
      </w:r>
      <w:r w:rsidRPr="00752DF2">
        <w:rPr>
          <w:rFonts w:eastAsiaTheme="minorEastAsia"/>
          <w:lang w:val="en-GB" w:eastAsia="ja-JP"/>
        </w:rPr>
        <w:t>protection criteria:</w:t>
      </w:r>
    </w:p>
    <w:p w:rsidR="00B63D8D" w:rsidRPr="00752DF2" w:rsidRDefault="00B63D8D" w:rsidP="00B63D8D">
      <w:pPr>
        <w:pStyle w:val="enumlev1"/>
        <w:rPr>
          <w:rFonts w:eastAsiaTheme="minorEastAsia"/>
          <w:lang w:val="en-GB" w:eastAsia="ja-JP"/>
        </w:rPr>
      </w:pPr>
      <w:r w:rsidRPr="00752DF2">
        <w:rPr>
          <w:lang w:val="en-GB" w:eastAsia="ja-JP"/>
        </w:rPr>
        <w:t>–</w:t>
      </w:r>
      <w:r w:rsidRPr="00752DF2">
        <w:rPr>
          <w:lang w:val="en-GB" w:eastAsia="ja-JP"/>
        </w:rPr>
        <w:tab/>
      </w:r>
      <w:r w:rsidRPr="00752DF2">
        <w:rPr>
          <w:lang w:val="en-GB"/>
        </w:rPr>
        <w:t xml:space="preserve">FS station maximum e.i.r.p. density (ITU-R F.758): </w:t>
      </w:r>
      <w:r w:rsidRPr="00752DF2">
        <w:rPr>
          <w:lang w:val="en-GB" w:eastAsia="zh-CN"/>
        </w:rPr>
        <w:t>random variable with a uniform distribution between</w:t>
      </w:r>
      <w:r w:rsidRPr="00752DF2">
        <w:rPr>
          <w:rFonts w:eastAsiaTheme="minorEastAsia"/>
          <w:lang w:val="en-GB" w:eastAsia="ja-JP"/>
        </w:rPr>
        <w:t xml:space="preserve"> </w:t>
      </w:r>
      <w:r w:rsidR="00194EFE">
        <w:rPr>
          <w:rFonts w:eastAsia="SimSun"/>
          <w:lang w:val="en-GB" w:eastAsia="ja-JP"/>
        </w:rPr>
        <w:t>−</w:t>
      </w:r>
      <w:r w:rsidRPr="00752DF2">
        <w:rPr>
          <w:rFonts w:eastAsia="SimSun"/>
          <w:lang w:val="en-GB" w:eastAsia="ja-JP"/>
        </w:rPr>
        <w:t>15.7 and 17 dB(W/MHz)</w:t>
      </w:r>
      <w:r w:rsidRPr="00752DF2">
        <w:rPr>
          <w:lang w:val="en-GB"/>
        </w:rPr>
        <w:t>;</w:t>
      </w:r>
    </w:p>
    <w:p w:rsidR="00B63D8D" w:rsidRPr="00752DF2" w:rsidRDefault="00B63D8D" w:rsidP="00B63D8D">
      <w:pPr>
        <w:pStyle w:val="enumlev1"/>
        <w:rPr>
          <w:rFonts w:eastAsiaTheme="minorEastAsia"/>
          <w:lang w:val="en-GB" w:eastAsia="ja-JP"/>
        </w:rPr>
      </w:pPr>
      <w:r w:rsidRPr="00752DF2">
        <w:rPr>
          <w:lang w:val="en-GB"/>
        </w:rPr>
        <w:t>–</w:t>
      </w:r>
      <w:r w:rsidRPr="00752DF2">
        <w:rPr>
          <w:lang w:val="en-GB"/>
        </w:rPr>
        <w:tab/>
        <w:t xml:space="preserve">Propagation model used: ITU-R P.452 with a percentage of time of </w:t>
      </w:r>
      <w:r w:rsidRPr="00752DF2">
        <w:rPr>
          <w:i/>
          <w:iCs/>
          <w:lang w:val="en-GB"/>
        </w:rPr>
        <w:t>p</w:t>
      </w:r>
      <w:r w:rsidRPr="00752DF2">
        <w:rPr>
          <w:lang w:val="en-GB"/>
        </w:rPr>
        <w:t xml:space="preserve"> = 0.01%;</w:t>
      </w:r>
    </w:p>
    <w:p w:rsidR="00B63D8D" w:rsidRPr="00752DF2" w:rsidRDefault="00B63D8D" w:rsidP="00B63D8D">
      <w:pPr>
        <w:pStyle w:val="enumlev1"/>
        <w:rPr>
          <w:rFonts w:eastAsiaTheme="minorEastAsia"/>
          <w:lang w:val="en-GB" w:eastAsia="ja-JP"/>
        </w:rPr>
      </w:pPr>
      <w:r w:rsidRPr="00752DF2">
        <w:rPr>
          <w:lang w:val="en-GB"/>
        </w:rPr>
        <w:t>–</w:t>
      </w:r>
      <w:r w:rsidRPr="00752DF2">
        <w:rPr>
          <w:lang w:val="en-GB"/>
        </w:rPr>
        <w:tab/>
        <w:t>Statistical clutter loss model: ITU-R P.2108 with a 1% percentage of location;</w:t>
      </w:r>
    </w:p>
    <w:p w:rsidR="00B63D8D" w:rsidRPr="00752DF2" w:rsidRDefault="00B63D8D" w:rsidP="00B63D8D">
      <w:pPr>
        <w:pStyle w:val="enumlev1"/>
        <w:rPr>
          <w:rFonts w:eastAsiaTheme="minorEastAsia"/>
          <w:lang w:val="en-GB" w:eastAsia="ja-JP"/>
        </w:rPr>
      </w:pPr>
      <w:r w:rsidRPr="00752DF2">
        <w:rPr>
          <w:lang w:val="en-GB"/>
        </w:rPr>
        <w:t>–</w:t>
      </w:r>
      <w:r w:rsidRPr="00752DF2">
        <w:rPr>
          <w:lang w:val="en-GB"/>
        </w:rPr>
        <w:tab/>
        <w:t>A polarisation loss of 1.5 dB was considered.</w:t>
      </w:r>
    </w:p>
    <w:p w:rsidR="00B63D8D" w:rsidRPr="00752DF2" w:rsidRDefault="00B63D8D" w:rsidP="00B63D8D">
      <w:pPr>
        <w:rPr>
          <w:szCs w:val="24"/>
          <w:lang w:val="en-GB" w:eastAsia="ja-JP"/>
        </w:rPr>
      </w:pPr>
      <w:r w:rsidRPr="00752DF2">
        <w:rPr>
          <w:szCs w:val="24"/>
          <w:lang w:val="en-GB" w:eastAsia="ja-JP"/>
        </w:rPr>
        <w:t>Step 4: Store the calculated separation distance and repeat steps 1 through 3 for 500 000 iterations.</w:t>
      </w:r>
    </w:p>
    <w:p w:rsidR="00B63D8D" w:rsidRPr="00752DF2" w:rsidRDefault="00B63D8D" w:rsidP="00B63D8D">
      <w:pPr>
        <w:pStyle w:val="Heading4"/>
        <w:rPr>
          <w:lang w:val="en-GB"/>
        </w:rPr>
      </w:pPr>
      <w:r w:rsidRPr="00752DF2">
        <w:rPr>
          <w:lang w:val="en-GB"/>
        </w:rPr>
        <w:t>1.1.3.3</w:t>
      </w:r>
      <w:r w:rsidRPr="00752DF2">
        <w:rPr>
          <w:lang w:val="en-GB"/>
        </w:rPr>
        <w:tab/>
        <w:t>Results</w:t>
      </w:r>
    </w:p>
    <w:p w:rsidR="00B63D8D" w:rsidRPr="00752DF2" w:rsidRDefault="00B63D8D" w:rsidP="00B63D8D">
      <w:pPr>
        <w:pStyle w:val="FigureNo"/>
        <w:rPr>
          <w:lang w:val="en-GB"/>
        </w:rPr>
      </w:pPr>
      <w:r w:rsidRPr="00752DF2">
        <w:rPr>
          <w:lang w:val="en-GB"/>
        </w:rPr>
        <w:t>Figure 4</w:t>
      </w:r>
    </w:p>
    <w:p w:rsidR="00B63D8D" w:rsidRPr="00752DF2" w:rsidRDefault="00B63D8D" w:rsidP="00B63D8D">
      <w:pPr>
        <w:pStyle w:val="Figuretitle"/>
        <w:rPr>
          <w:lang w:val="en-GB" w:eastAsia="ja-JP"/>
        </w:rPr>
      </w:pPr>
      <w:r w:rsidRPr="00752DF2">
        <w:rPr>
          <w:lang w:val="en-GB"/>
        </w:rPr>
        <w:t>HAPS GW to IMT-2020 BS, minimum separation distance CDF</w:t>
      </w:r>
    </w:p>
    <w:p w:rsidR="00B63D8D" w:rsidRPr="001954AF" w:rsidRDefault="00B63D8D" w:rsidP="00B63D8D">
      <w:pPr>
        <w:pStyle w:val="Figure"/>
        <w:rPr>
          <w:lang w:eastAsia="ja-JP"/>
        </w:rPr>
      </w:pPr>
      <w:r w:rsidRPr="001954AF">
        <w:rPr>
          <w:noProof/>
          <w:lang w:val="en-GB" w:eastAsia="en-GB"/>
        </w:rPr>
        <w:drawing>
          <wp:inline distT="0" distB="0" distL="0" distR="0" wp14:anchorId="1CA5AF6F" wp14:editId="1B47EE7F">
            <wp:extent cx="4321724" cy="2700000"/>
            <wp:effectExtent l="0" t="0" r="3175" b="5715"/>
            <wp:docPr id="591496869" name="Picture 59149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96866" name="SepDistCDF_Comparison of HAPS and FS into BS (0 percent time, 48 GHz).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1724" cy="2700000"/>
                    </a:xfrm>
                    <a:prstGeom prst="rect">
                      <a:avLst/>
                    </a:prstGeom>
                  </pic:spPr>
                </pic:pic>
              </a:graphicData>
            </a:graphic>
          </wp:inline>
        </w:drawing>
      </w:r>
    </w:p>
    <w:p w:rsidR="00B63D8D" w:rsidRPr="00752DF2" w:rsidRDefault="00B63D8D" w:rsidP="00B63D8D">
      <w:pPr>
        <w:rPr>
          <w:lang w:val="en-GB" w:eastAsia="ja-JP"/>
        </w:rPr>
      </w:pPr>
      <w:r w:rsidRPr="00752DF2">
        <w:rPr>
          <w:lang w:val="en-GB" w:eastAsia="ja-JP"/>
        </w:rPr>
        <w:t>The following plots present the separation distance CDF for GW into IMT-2020 UE.</w:t>
      </w:r>
    </w:p>
    <w:p w:rsidR="00B63D8D" w:rsidRPr="00752DF2" w:rsidRDefault="00B63D8D" w:rsidP="00B63D8D">
      <w:pPr>
        <w:pStyle w:val="FigureNo"/>
        <w:rPr>
          <w:lang w:val="en-GB"/>
        </w:rPr>
      </w:pPr>
      <w:r w:rsidRPr="00752DF2">
        <w:rPr>
          <w:lang w:val="en-GB"/>
        </w:rPr>
        <w:t>Figure 5</w:t>
      </w:r>
    </w:p>
    <w:p w:rsidR="00B63D8D" w:rsidRPr="00752DF2" w:rsidRDefault="00B63D8D" w:rsidP="00B63D8D">
      <w:pPr>
        <w:pStyle w:val="Figuretitle"/>
        <w:rPr>
          <w:lang w:val="en-GB" w:eastAsia="ja-JP"/>
        </w:rPr>
      </w:pPr>
      <w:r w:rsidRPr="00752DF2">
        <w:rPr>
          <w:lang w:val="en-GB"/>
        </w:rPr>
        <w:t>HAPS GW to IMT-2020 UE, minimum separation distance CDF</w:t>
      </w:r>
    </w:p>
    <w:p w:rsidR="00B63D8D" w:rsidRPr="001954AF" w:rsidRDefault="00B63D8D" w:rsidP="00B63D8D">
      <w:pPr>
        <w:pStyle w:val="Figure"/>
        <w:rPr>
          <w:lang w:eastAsia="ja-JP"/>
        </w:rPr>
      </w:pPr>
      <w:r w:rsidRPr="001954AF">
        <w:rPr>
          <w:noProof/>
          <w:lang w:val="en-GB" w:eastAsia="en-GB"/>
        </w:rPr>
        <w:drawing>
          <wp:inline distT="0" distB="0" distL="0" distR="0" wp14:anchorId="31954851" wp14:editId="47041E85">
            <wp:extent cx="4321724" cy="2700000"/>
            <wp:effectExtent l="0" t="0" r="3175" b="5715"/>
            <wp:docPr id="591496870" name="Picture 59149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96867" name="SepDistCDF_Comparison of HAPS and FS into UE (0 percent time, 48 GHz).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1724" cy="2700000"/>
                    </a:xfrm>
                    <a:prstGeom prst="rect">
                      <a:avLst/>
                    </a:prstGeom>
                  </pic:spPr>
                </pic:pic>
              </a:graphicData>
            </a:graphic>
          </wp:inline>
        </w:drawing>
      </w:r>
    </w:p>
    <w:p w:rsidR="00B63D8D" w:rsidRPr="00752DF2" w:rsidRDefault="00B63D8D" w:rsidP="00B63D8D">
      <w:pPr>
        <w:pStyle w:val="Heading4"/>
        <w:rPr>
          <w:lang w:val="en-GB"/>
        </w:rPr>
      </w:pPr>
      <w:r w:rsidRPr="00752DF2">
        <w:rPr>
          <w:lang w:val="en-GB"/>
        </w:rPr>
        <w:t>1.1.3.4</w:t>
      </w:r>
      <w:r w:rsidRPr="00752DF2">
        <w:rPr>
          <w:lang w:val="en-GB"/>
        </w:rPr>
        <w:tab/>
        <w:t>Interference mitigation techniques</w:t>
      </w:r>
    </w:p>
    <w:p w:rsidR="00B63D8D" w:rsidRPr="00752DF2" w:rsidRDefault="00B63D8D" w:rsidP="00B63D8D">
      <w:pPr>
        <w:rPr>
          <w:lang w:val="en-GB"/>
        </w:rPr>
      </w:pPr>
      <w:r w:rsidRPr="00752DF2">
        <w:rPr>
          <w:lang w:val="en-GB"/>
        </w:rPr>
        <w:t>Additional mitigation techniques can be considered to improve coordination and sharing feasibility, such as:</w:t>
      </w:r>
    </w:p>
    <w:p w:rsidR="00B63D8D" w:rsidRPr="00752DF2" w:rsidRDefault="00B63D8D" w:rsidP="00B63D8D">
      <w:pPr>
        <w:pStyle w:val="enumlev1"/>
        <w:rPr>
          <w:lang w:val="en-GB"/>
        </w:rPr>
      </w:pPr>
      <w:r w:rsidRPr="00752DF2">
        <w:rPr>
          <w:lang w:val="en-GB"/>
        </w:rPr>
        <w:t>–</w:t>
      </w:r>
      <w:r w:rsidRPr="00752DF2">
        <w:rPr>
          <w:lang w:val="en-GB"/>
        </w:rPr>
        <w:tab/>
        <w:t>The positioning of HAPS ground terminals and HAPS to increase angular separation.</w:t>
      </w:r>
    </w:p>
    <w:p w:rsidR="00B63D8D" w:rsidRPr="00752DF2" w:rsidRDefault="00B63D8D" w:rsidP="00B63D8D">
      <w:pPr>
        <w:pStyle w:val="enumlev1"/>
        <w:rPr>
          <w:rFonts w:eastAsia="MS Mincho"/>
          <w:lang w:val="en-GB"/>
        </w:rPr>
      </w:pPr>
      <w:r w:rsidRPr="00752DF2">
        <w:rPr>
          <w:lang w:val="en-GB"/>
        </w:rPr>
        <w:t>–</w:t>
      </w:r>
      <w:r w:rsidRPr="00752DF2">
        <w:rPr>
          <w:lang w:val="en-GB"/>
        </w:rPr>
        <w:tab/>
        <w:t>Site shielding applied to the HAPS GW (up to 30 dB) to reduce side lobe radiation, while maintaining system performance.</w:t>
      </w:r>
    </w:p>
    <w:p w:rsidR="00B63D8D" w:rsidRPr="00752DF2" w:rsidRDefault="00B63D8D" w:rsidP="00B63D8D">
      <w:pPr>
        <w:pStyle w:val="Heading3"/>
        <w:rPr>
          <w:lang w:val="en-GB"/>
        </w:rPr>
      </w:pPr>
      <w:bookmarkStart w:id="148" w:name="_Ref493080986"/>
      <w:bookmarkStart w:id="149" w:name="_Toc530661326"/>
      <w:bookmarkEnd w:id="148"/>
      <w:r w:rsidRPr="00752DF2">
        <w:rPr>
          <w:lang w:val="en-GB"/>
        </w:rPr>
        <w:t>1.1.4</w:t>
      </w:r>
      <w:r w:rsidRPr="00752DF2">
        <w:rPr>
          <w:lang w:val="en-GB"/>
        </w:rPr>
        <w:tab/>
        <w:t>Summary and analysis of the results of study A</w:t>
      </w:r>
      <w:bookmarkEnd w:id="149"/>
    </w:p>
    <w:p w:rsidR="00B63D8D" w:rsidRPr="00752DF2" w:rsidRDefault="00B63D8D" w:rsidP="00B63D8D">
      <w:pPr>
        <w:rPr>
          <w:lang w:val="en-GB"/>
        </w:rPr>
      </w:pPr>
      <w:r w:rsidRPr="00752DF2">
        <w:rPr>
          <w:rFonts w:eastAsia="MS Mincho"/>
          <w:lang w:val="en-GB"/>
        </w:rPr>
        <w:t xml:space="preserve">The statistical </w:t>
      </w:r>
      <w:r w:rsidRPr="00752DF2">
        <w:rPr>
          <w:lang w:val="en-GB"/>
        </w:rPr>
        <w:t xml:space="preserve">analysis shows that the separation distance between a HAPS gateway and IMT-2020 UE is 0 km for less than 1 out of 10 cases to 1 km for 1 out 100 000 cases and the separation distance between a HAPS gateway and IMT-2020 BS is 0 km for less than 1 out of 10 cases to 3 km for 1 out of 100 000 cases </w:t>
      </w:r>
      <w:r w:rsidRPr="00752DF2">
        <w:rPr>
          <w:szCs w:val="24"/>
          <w:lang w:val="en-GB" w:eastAsia="ja-JP"/>
        </w:rPr>
        <w:t xml:space="preserve">for HAPS system 6 in a suburban deployment area with </w:t>
      </w:r>
      <w:r w:rsidRPr="00752DF2">
        <w:rPr>
          <w:i/>
          <w:iCs/>
          <w:szCs w:val="24"/>
          <w:lang w:val="en-GB" w:eastAsia="ja-JP"/>
        </w:rPr>
        <w:t>p</w:t>
      </w:r>
      <w:r w:rsidRPr="00752DF2">
        <w:rPr>
          <w:szCs w:val="24"/>
          <w:lang w:val="en-GB" w:eastAsia="ja-JP"/>
        </w:rPr>
        <w:t> = 0.01% for path loss and 1% for clutter loss</w:t>
      </w:r>
      <w:r w:rsidRPr="00752DF2">
        <w:rPr>
          <w:lang w:val="en-GB"/>
        </w:rPr>
        <w:t xml:space="preserve">. </w:t>
      </w:r>
    </w:p>
    <w:p w:rsidR="00B63D8D" w:rsidRPr="00752DF2" w:rsidRDefault="00B63D8D" w:rsidP="00B63D8D">
      <w:pPr>
        <w:pStyle w:val="Heading2"/>
        <w:rPr>
          <w:rFonts w:eastAsia="MS Mincho"/>
          <w:lang w:val="en-GB"/>
        </w:rPr>
      </w:pPr>
      <w:bookmarkStart w:id="150" w:name="_Toc530661327"/>
      <w:bookmarkStart w:id="151" w:name="_Toc7699375"/>
      <w:bookmarkStart w:id="152" w:name="_Toc19283732"/>
      <w:bookmarkStart w:id="153" w:name="_Toc19289065"/>
      <w:r w:rsidRPr="00752DF2">
        <w:rPr>
          <w:rFonts w:eastAsia="MS Mincho"/>
          <w:lang w:val="en-GB"/>
        </w:rPr>
        <w:t>1.2</w:t>
      </w:r>
      <w:r w:rsidRPr="00752DF2">
        <w:rPr>
          <w:rFonts w:eastAsia="MS Mincho"/>
          <w:lang w:val="en-GB"/>
        </w:rPr>
        <w:tab/>
        <w:t>Study B</w:t>
      </w:r>
      <w:bookmarkEnd w:id="150"/>
      <w:bookmarkEnd w:id="151"/>
      <w:bookmarkEnd w:id="152"/>
      <w:bookmarkEnd w:id="153"/>
      <w:r w:rsidRPr="00752DF2">
        <w:rPr>
          <w:rFonts w:eastAsia="MS Mincho"/>
          <w:lang w:val="en-GB"/>
        </w:rPr>
        <w:t xml:space="preserve"> </w:t>
      </w:r>
    </w:p>
    <w:p w:rsidR="00B63D8D" w:rsidRPr="00752DF2" w:rsidRDefault="00B63D8D" w:rsidP="00B63D8D">
      <w:pPr>
        <w:pStyle w:val="Heading3"/>
        <w:rPr>
          <w:rFonts w:eastAsia="MS Mincho"/>
          <w:lang w:val="en-GB"/>
        </w:rPr>
      </w:pPr>
      <w:bookmarkStart w:id="154" w:name="_Toc530661328"/>
      <w:r w:rsidRPr="00752DF2">
        <w:rPr>
          <w:rFonts w:eastAsia="MS Mincho"/>
          <w:lang w:val="en-GB"/>
        </w:rPr>
        <w:t>1.2.1</w:t>
      </w:r>
      <w:r w:rsidRPr="00752DF2">
        <w:rPr>
          <w:rFonts w:eastAsia="MS Mincho"/>
          <w:lang w:val="en-GB"/>
        </w:rPr>
        <w:tab/>
        <w:t>Introduction</w:t>
      </w:r>
      <w:bookmarkEnd w:id="154"/>
    </w:p>
    <w:p w:rsidR="00B63D8D" w:rsidRPr="00752DF2" w:rsidRDefault="00B63D8D" w:rsidP="00DB6B90">
      <w:pPr>
        <w:rPr>
          <w:lang w:val="en-GB"/>
        </w:rPr>
      </w:pPr>
      <w:r w:rsidRPr="00752DF2">
        <w:rPr>
          <w:lang w:val="en-GB" w:eastAsia="ja-JP"/>
        </w:rPr>
        <w:t xml:space="preserve">This </w:t>
      </w:r>
      <w:r w:rsidRPr="00752DF2">
        <w:rPr>
          <w:rFonts w:eastAsia="MS Mincho"/>
          <w:lang w:val="en-GB" w:eastAsia="ja-JP"/>
        </w:rPr>
        <w:t xml:space="preserve">Report </w:t>
      </w:r>
      <w:r w:rsidRPr="00752DF2">
        <w:rPr>
          <w:lang w:val="en-GB" w:eastAsia="ja-JP"/>
        </w:rPr>
        <w:t xml:space="preserve">includes the sharing and compatibility studies of IMT systems </w:t>
      </w:r>
      <w:r w:rsidRPr="00752DF2">
        <w:rPr>
          <w:lang w:val="en-GB"/>
        </w:rPr>
        <w:t xml:space="preserve">in the </w:t>
      </w:r>
      <w:r w:rsidRPr="00752DF2">
        <w:rPr>
          <w:iCs/>
          <w:lang w:val="en-GB" w:eastAsia="zh-CN"/>
        </w:rPr>
        <w:t>47.9-48.2</w:t>
      </w:r>
      <w:r w:rsidRPr="00752DF2">
        <w:rPr>
          <w:lang w:val="en-GB"/>
        </w:rPr>
        <w:t xml:space="preserve"> GHz frequency range</w:t>
      </w:r>
      <w:r w:rsidRPr="00752DF2">
        <w:rPr>
          <w:lang w:val="en-GB" w:eastAsia="ja-JP"/>
        </w:rPr>
        <w:t xml:space="preserve"> with HAPS</w:t>
      </w:r>
      <w:r w:rsidRPr="00752DF2">
        <w:rPr>
          <w:lang w:val="en-GB"/>
        </w:rPr>
        <w:t>, in co-channel situation, considering some use cases and simulation scenarios.</w:t>
      </w:r>
    </w:p>
    <w:p w:rsidR="00B63D8D" w:rsidRPr="00752DF2" w:rsidRDefault="00B63D8D" w:rsidP="00B63D8D">
      <w:pPr>
        <w:pStyle w:val="Heading3"/>
        <w:rPr>
          <w:rFonts w:eastAsia="MS Mincho"/>
          <w:lang w:val="en-GB"/>
        </w:rPr>
      </w:pPr>
      <w:bookmarkStart w:id="155" w:name="_Ref512525107"/>
      <w:bookmarkStart w:id="156" w:name="_Toc530661329"/>
      <w:r w:rsidRPr="00752DF2">
        <w:rPr>
          <w:rFonts w:eastAsia="MS Mincho"/>
          <w:lang w:val="en-GB"/>
        </w:rPr>
        <w:t>1.2.2</w:t>
      </w:r>
      <w:r w:rsidRPr="00752DF2">
        <w:rPr>
          <w:rFonts w:eastAsia="MS Mincho"/>
          <w:lang w:val="en-GB"/>
        </w:rPr>
        <w:tab/>
        <w:t>Methodology</w:t>
      </w:r>
      <w:bookmarkEnd w:id="155"/>
      <w:bookmarkEnd w:id="156"/>
    </w:p>
    <w:p w:rsidR="00B63D8D" w:rsidRPr="00752DF2" w:rsidRDefault="00B63D8D" w:rsidP="00B63D8D">
      <w:pPr>
        <w:rPr>
          <w:lang w:val="en-GB" w:eastAsia="ja-JP"/>
        </w:rPr>
      </w:pPr>
      <w:r w:rsidRPr="00752DF2">
        <w:rPr>
          <w:lang w:val="en-GB" w:eastAsia="ja-JP"/>
        </w:rPr>
        <w:t>To contribute actively with ITU-R studies, the Spectrum, Orbit and Broadcasting Division of the Brazilian National Telecommunication Agency (ANATEL) has been developing, in cooperation with partners in the industry and academia, an open-source simulation tool, named SHARC, to support sharing and compatibility studies between IMT and other radio communication systems, according to the framework proposed by Recommendation ITU-R M.2101.</w:t>
      </w:r>
    </w:p>
    <w:p w:rsidR="00B63D8D" w:rsidRPr="00752DF2" w:rsidRDefault="00B63D8D" w:rsidP="00B63D8D">
      <w:pPr>
        <w:rPr>
          <w:lang w:val="en-GB" w:eastAsia="ja-JP"/>
        </w:rPr>
      </w:pPr>
      <w:r w:rsidRPr="00752DF2">
        <w:rPr>
          <w:lang w:val="en-GB" w:eastAsia="ja-JP"/>
        </w:rPr>
        <w:t xml:space="preserve">SHARC is a static system-level simulator using the Monte-Carlo method. It has the main features required for a common system-level simulator, such as antenna beamforming, IMT uplink power control, resource blocks allocation, among others. The simulator is written in Python and the source code is available at GitHub </w:t>
      </w:r>
      <w:hyperlink r:id="rId20" w:history="1">
        <w:r w:rsidRPr="00752DF2">
          <w:rPr>
            <w:color w:val="0000FF" w:themeColor="hyperlink"/>
            <w:u w:val="single"/>
            <w:lang w:val="en-GB" w:eastAsia="ja-JP"/>
          </w:rPr>
          <w:t>https://github.com/SIMULATOR-WG/SHARC</w:t>
        </w:r>
      </w:hyperlink>
      <w:r w:rsidRPr="00752DF2">
        <w:rPr>
          <w:lang w:val="en-GB" w:eastAsia="ja-JP"/>
        </w:rPr>
        <w:t>.</w:t>
      </w:r>
    </w:p>
    <w:p w:rsidR="00B63D8D" w:rsidRPr="00752DF2" w:rsidRDefault="00B63D8D" w:rsidP="00B63D8D">
      <w:pPr>
        <w:rPr>
          <w:lang w:val="en-GB" w:eastAsia="ja-JP"/>
        </w:rPr>
      </w:pPr>
      <w:r w:rsidRPr="00752DF2">
        <w:rPr>
          <w:lang w:val="en-GB" w:eastAsia="ja-JP"/>
        </w:rPr>
        <w:t xml:space="preserve">At each simulation snapshot, the hotspot base stations (BS) and user equipments (UE) are randomly generated and located within a simulation scenario. The coupling loss is calculated between the UEs and their respective serving BSs. The simulation then performs resource scheduling and power control, enabling the interference calculation among the systems. Finally, system performance indicators are collected, and this procedure is repeated for a fixed number of snapshots. </w:t>
      </w:r>
    </w:p>
    <w:p w:rsidR="00B63D8D" w:rsidRPr="00752DF2" w:rsidRDefault="00B63D8D" w:rsidP="00B63D8D">
      <w:pPr>
        <w:rPr>
          <w:lang w:val="en-GB" w:eastAsia="ja-JP"/>
        </w:rPr>
      </w:pPr>
      <w:r w:rsidRPr="00752DF2">
        <w:rPr>
          <w:lang w:val="en-GB" w:eastAsia="ja-JP"/>
        </w:rPr>
        <w:t xml:space="preserve">With SHARC, it is possible to study the coexistence between IMT 2020 and other services, such as Fixed Satellite Service (FSS), High-altitude platform system (HAPS), Fixed Service (FS), among others. </w:t>
      </w:r>
    </w:p>
    <w:p w:rsidR="00B63D8D" w:rsidRPr="00752DF2" w:rsidRDefault="00B63D8D" w:rsidP="00B63D8D">
      <w:pPr>
        <w:rPr>
          <w:szCs w:val="24"/>
          <w:lang w:val="en-GB" w:eastAsia="ja-JP"/>
        </w:rPr>
      </w:pPr>
      <w:r w:rsidRPr="00752DF2">
        <w:rPr>
          <w:szCs w:val="24"/>
          <w:lang w:val="en-GB" w:eastAsia="ja-JP"/>
        </w:rPr>
        <w:t>This Report presents a sharing study where HAPS system generates interference into IMT stations. The following subsections present the simulation scenario and the main key performance indicator presented in this study.</w:t>
      </w:r>
    </w:p>
    <w:p w:rsidR="00B63D8D" w:rsidRPr="00752DF2" w:rsidRDefault="00B63D8D" w:rsidP="00B63D8D">
      <w:pPr>
        <w:pStyle w:val="Heading3"/>
        <w:rPr>
          <w:rFonts w:eastAsia="MS Mincho"/>
          <w:lang w:val="en-GB"/>
        </w:rPr>
      </w:pPr>
      <w:bookmarkStart w:id="157" w:name="_Toc530661330"/>
      <w:r w:rsidRPr="00752DF2">
        <w:rPr>
          <w:rFonts w:eastAsia="MS Mincho"/>
          <w:lang w:val="en-GB"/>
        </w:rPr>
        <w:t>1.2.3</w:t>
      </w:r>
      <w:r w:rsidRPr="00752DF2">
        <w:rPr>
          <w:rFonts w:eastAsia="MS Mincho"/>
          <w:lang w:val="en-GB"/>
        </w:rPr>
        <w:tab/>
        <w:t>Simulation scenario: GW to HAPS (uplink) and IMT system</w:t>
      </w:r>
      <w:bookmarkEnd w:id="157"/>
    </w:p>
    <w:p w:rsidR="00B63D8D" w:rsidRPr="00752DF2" w:rsidRDefault="00B63D8D" w:rsidP="00B63D8D">
      <w:pPr>
        <w:rPr>
          <w:szCs w:val="24"/>
          <w:lang w:val="en-GB" w:eastAsia="ja-JP"/>
        </w:rPr>
      </w:pPr>
      <w:r w:rsidRPr="00752DF2">
        <w:rPr>
          <w:szCs w:val="24"/>
          <w:lang w:val="en-GB" w:eastAsia="ja-JP"/>
        </w:rPr>
        <w:t>In this scenario, the gateway transmits to the HAPS and generates interference into the IMT stations. It is considered the case of ubiquitous deployment where, at each snapshot, the gateway is randomly located inside the HAPS coverage area and its antenna is pointing to the HAPS. It is also assumed that the IMT network is geographically deployed in the same suburban HAPS coverage area. Figure</w:t>
      </w:r>
      <w:r w:rsidR="00DB6B90" w:rsidRPr="00752DF2">
        <w:rPr>
          <w:szCs w:val="24"/>
          <w:lang w:val="en-GB" w:eastAsia="ja-JP"/>
        </w:rPr>
        <w:t> </w:t>
      </w:r>
      <w:r w:rsidRPr="00752DF2">
        <w:rPr>
          <w:szCs w:val="24"/>
          <w:lang w:val="en-GB" w:eastAsia="ja-JP"/>
        </w:rPr>
        <w:t>6 illustrates this simulation scenario.</w:t>
      </w:r>
    </w:p>
    <w:p w:rsidR="00B63D8D" w:rsidRPr="00752DF2" w:rsidRDefault="00B63D8D" w:rsidP="00B63D8D">
      <w:pPr>
        <w:pStyle w:val="FigureNo"/>
        <w:rPr>
          <w:lang w:val="en-GB"/>
        </w:rPr>
      </w:pPr>
      <w:r w:rsidRPr="00752DF2">
        <w:rPr>
          <w:lang w:val="en-GB"/>
        </w:rPr>
        <w:t>Figure 6</w:t>
      </w:r>
    </w:p>
    <w:p w:rsidR="00B63D8D" w:rsidRPr="00752DF2" w:rsidRDefault="00B63D8D" w:rsidP="00B63D8D">
      <w:pPr>
        <w:pStyle w:val="Figuretitle"/>
        <w:rPr>
          <w:lang w:val="en-GB"/>
        </w:rPr>
      </w:pPr>
      <w:r w:rsidRPr="00752DF2">
        <w:rPr>
          <w:lang w:val="en-GB"/>
        </w:rPr>
        <w:t xml:space="preserve">Simulation scenario for GW </w:t>
      </w:r>
      <w:r w:rsidRPr="00752DF2">
        <w:rPr>
          <w:rFonts w:ascii="Calibri" w:hAnsi="Calibri"/>
          <w:lang w:val="en-GB"/>
        </w:rPr>
        <w:t>to</w:t>
      </w:r>
      <w:r w:rsidRPr="00752DF2">
        <w:rPr>
          <w:lang w:val="en-GB"/>
        </w:rPr>
        <w:t xml:space="preserve"> HAPS (uplink) and IMT system</w:t>
      </w:r>
    </w:p>
    <w:p w:rsidR="00B63D8D" w:rsidRPr="001954AF" w:rsidRDefault="00B63D8D" w:rsidP="00B63D8D">
      <w:pPr>
        <w:pStyle w:val="Figure"/>
        <w:rPr>
          <w:lang w:eastAsia="ja-JP"/>
        </w:rPr>
      </w:pPr>
      <w:r w:rsidRPr="001954AF">
        <w:rPr>
          <w:noProof/>
          <w:lang w:val="en-GB" w:eastAsia="en-GB"/>
        </w:rPr>
        <w:drawing>
          <wp:inline distT="0" distB="0" distL="0" distR="0" wp14:anchorId="0413BF05" wp14:editId="0493C91C">
            <wp:extent cx="3626341" cy="2258695"/>
            <wp:effectExtent l="0" t="0" r="0" b="8255"/>
            <wp:docPr id="6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4123" cy="2263542"/>
                    </a:xfrm>
                    <a:prstGeom prst="rect">
                      <a:avLst/>
                    </a:prstGeom>
                    <a:noFill/>
                  </pic:spPr>
                </pic:pic>
              </a:graphicData>
            </a:graphic>
          </wp:inline>
        </w:drawing>
      </w:r>
    </w:p>
    <w:p w:rsidR="00B63D8D" w:rsidRPr="00752DF2" w:rsidRDefault="00B63D8D" w:rsidP="00B63D8D">
      <w:pPr>
        <w:pStyle w:val="Heading3"/>
        <w:rPr>
          <w:rFonts w:eastAsia="MS Mincho"/>
          <w:lang w:val="en-GB"/>
        </w:rPr>
      </w:pPr>
      <w:bookmarkStart w:id="158" w:name="_Toc530661331"/>
      <w:r w:rsidRPr="00752DF2">
        <w:rPr>
          <w:rFonts w:eastAsia="MS Mincho"/>
          <w:lang w:val="en-GB"/>
        </w:rPr>
        <w:t>1.2.4</w:t>
      </w:r>
      <w:r w:rsidRPr="00752DF2">
        <w:rPr>
          <w:rFonts w:eastAsia="MS Mincho"/>
          <w:lang w:val="en-GB"/>
        </w:rPr>
        <w:tab/>
        <w:t>Power flux</w:t>
      </w:r>
      <w:r w:rsidR="00B05ADD">
        <w:rPr>
          <w:rFonts w:eastAsia="MS Mincho"/>
          <w:lang w:val="en-GB"/>
        </w:rPr>
        <w:t>-</w:t>
      </w:r>
      <w:r w:rsidRPr="00752DF2">
        <w:rPr>
          <w:rFonts w:eastAsia="MS Mincho"/>
          <w:lang w:val="en-GB"/>
        </w:rPr>
        <w:t>density</w:t>
      </w:r>
      <w:bookmarkEnd w:id="158"/>
    </w:p>
    <w:p w:rsidR="00B63D8D" w:rsidRPr="00752DF2" w:rsidRDefault="00B63D8D" w:rsidP="00B63D8D">
      <w:pPr>
        <w:rPr>
          <w:szCs w:val="24"/>
          <w:lang w:val="en-GB" w:eastAsia="ja-JP"/>
        </w:rPr>
      </w:pPr>
      <w:r w:rsidRPr="00752DF2">
        <w:rPr>
          <w:szCs w:val="24"/>
          <w:lang w:val="en-GB" w:eastAsia="ja-JP"/>
        </w:rPr>
        <w:t>The maximum power flux-density (pfd) level that is required at the IMT receiver antenna in order to meet the protection criteria (pfd mask) is given by equation (1).</w:t>
      </w:r>
    </w:p>
    <w:p w:rsidR="00B63D8D" w:rsidRPr="00752DF2" w:rsidRDefault="00481A00" w:rsidP="00B63D8D">
      <w:pPr>
        <w:pStyle w:val="Equation"/>
        <w:rPr>
          <w:lang w:val="en-GB" w:eastAsia="ja-JP"/>
        </w:rPr>
      </w:pPr>
      <m:oMath>
        <m:sSub>
          <m:sSubPr>
            <m:ctrlPr>
              <w:rPr>
                <w:rFonts w:ascii="Cambria Math" w:hAnsi="Cambria Math"/>
                <w:sz w:val="22"/>
                <w:szCs w:val="22"/>
                <w:lang w:eastAsia="ja-JP"/>
              </w:rPr>
            </m:ctrlPr>
          </m:sSubPr>
          <m:e>
            <m:r>
              <w:rPr>
                <w:rFonts w:ascii="Cambria Math" w:hAnsi="Cambria Math"/>
                <w:sz w:val="22"/>
                <w:szCs w:val="22"/>
                <w:lang w:eastAsia="ja-JP"/>
              </w:rPr>
              <m:t>pfd</m:t>
            </m:r>
          </m:e>
          <m:sub>
            <m:r>
              <w:rPr>
                <w:rFonts w:ascii="Cambria Math" w:hAnsi="Cambria Math"/>
                <w:sz w:val="22"/>
                <w:szCs w:val="22"/>
                <w:lang w:eastAsia="ja-JP"/>
              </w:rPr>
              <m:t>mask</m:t>
            </m:r>
            <m:r>
              <m:rPr>
                <m:sty m:val="p"/>
              </m:rPr>
              <w:rPr>
                <w:rFonts w:ascii="Cambria Math" w:hAnsi="Cambria Math"/>
                <w:sz w:val="22"/>
                <w:szCs w:val="22"/>
                <w:lang w:val="en-GB" w:eastAsia="ja-JP"/>
              </w:rPr>
              <m:t xml:space="preserve"> </m:t>
            </m:r>
          </m:sub>
        </m:sSub>
        <m:r>
          <m:rPr>
            <m:sty m:val="p"/>
          </m:rPr>
          <w:rPr>
            <w:rFonts w:ascii="Cambria Math" w:hAnsi="Cambria Math"/>
            <w:sz w:val="22"/>
            <w:szCs w:val="22"/>
            <w:lang w:val="en-GB" w:eastAsia="ja-JP"/>
          </w:rPr>
          <m:t>=</m:t>
        </m:r>
        <m:sSub>
          <m:sSubPr>
            <m:ctrlPr>
              <w:rPr>
                <w:rFonts w:ascii="Cambria Math" w:hAnsi="Cambria Math"/>
                <w:sz w:val="22"/>
                <w:szCs w:val="22"/>
                <w:lang w:eastAsia="ja-JP"/>
              </w:rPr>
            </m:ctrlPr>
          </m:sSubPr>
          <m:e>
            <m:d>
              <m:dPr>
                <m:begChr m:val=""/>
                <m:endChr m:val="|"/>
                <m:ctrlPr>
                  <w:rPr>
                    <w:rFonts w:ascii="Cambria Math" w:hAnsi="Cambria Math"/>
                    <w:sz w:val="22"/>
                    <w:szCs w:val="22"/>
                    <w:lang w:eastAsia="ja-JP"/>
                  </w:rPr>
                </m:ctrlPr>
              </m:dPr>
              <m:e>
                <m:f>
                  <m:fPr>
                    <m:ctrlPr>
                      <w:rPr>
                        <w:rFonts w:ascii="Cambria Math" w:hAnsi="Cambria Math"/>
                        <w:sz w:val="22"/>
                        <w:szCs w:val="22"/>
                        <w:lang w:eastAsia="ja-JP"/>
                      </w:rPr>
                    </m:ctrlPr>
                  </m:fPr>
                  <m:num>
                    <m:r>
                      <w:rPr>
                        <w:rFonts w:ascii="Cambria Math" w:hAnsi="Cambria Math"/>
                        <w:sz w:val="22"/>
                        <w:szCs w:val="22"/>
                        <w:lang w:eastAsia="ja-JP"/>
                      </w:rPr>
                      <m:t>I</m:t>
                    </m:r>
                  </m:num>
                  <m:den>
                    <m:r>
                      <w:rPr>
                        <w:rFonts w:ascii="Cambria Math" w:hAnsi="Cambria Math"/>
                        <w:sz w:val="22"/>
                        <w:szCs w:val="22"/>
                        <w:lang w:eastAsia="ja-JP"/>
                      </w:rPr>
                      <m:t>N</m:t>
                    </m:r>
                  </m:den>
                </m:f>
              </m:e>
            </m:d>
          </m:e>
          <m:sub>
            <m:r>
              <w:rPr>
                <w:rFonts w:ascii="Cambria Math" w:hAnsi="Cambria Math"/>
                <w:sz w:val="22"/>
                <w:szCs w:val="22"/>
                <w:lang w:eastAsia="ja-JP"/>
              </w:rPr>
              <m:t>prot</m:t>
            </m:r>
          </m:sub>
        </m:sSub>
        <m:r>
          <m:rPr>
            <m:sty m:val="p"/>
          </m:rPr>
          <w:rPr>
            <w:rFonts w:ascii="Cambria Math" w:hAnsi="Cambria Math"/>
            <w:sz w:val="22"/>
            <w:szCs w:val="22"/>
            <w:lang w:val="en-GB" w:eastAsia="ja-JP"/>
          </w:rPr>
          <m:t>+10∙</m:t>
        </m:r>
        <m:func>
          <m:funcPr>
            <m:ctrlPr>
              <w:rPr>
                <w:rFonts w:ascii="Cambria Math" w:hAnsi="Cambria Math"/>
                <w:sz w:val="22"/>
                <w:szCs w:val="22"/>
                <w:lang w:eastAsia="ja-JP"/>
              </w:rPr>
            </m:ctrlPr>
          </m:funcPr>
          <m:fName>
            <m:sSub>
              <m:sSubPr>
                <m:ctrlPr>
                  <w:rPr>
                    <w:rFonts w:ascii="Cambria Math" w:hAnsi="Cambria Math"/>
                    <w:sz w:val="22"/>
                    <w:szCs w:val="22"/>
                    <w:lang w:eastAsia="ja-JP"/>
                  </w:rPr>
                </m:ctrlPr>
              </m:sSubPr>
              <m:e>
                <m:r>
                  <m:rPr>
                    <m:sty m:val="p"/>
                  </m:rPr>
                  <w:rPr>
                    <w:rFonts w:ascii="Cambria Math" w:hAnsi="Cambria Math"/>
                    <w:sz w:val="22"/>
                    <w:szCs w:val="22"/>
                    <w:lang w:val="en-GB" w:eastAsia="ja-JP"/>
                  </w:rPr>
                  <m:t>log</m:t>
                </m:r>
              </m:e>
              <m:sub>
                <m:r>
                  <m:rPr>
                    <m:sty m:val="p"/>
                  </m:rPr>
                  <w:rPr>
                    <w:rFonts w:ascii="Cambria Math" w:hAnsi="Cambria Math"/>
                    <w:sz w:val="22"/>
                    <w:szCs w:val="22"/>
                    <w:lang w:val="en-GB" w:eastAsia="ja-JP"/>
                  </w:rPr>
                  <m:t>10</m:t>
                </m:r>
              </m:sub>
            </m:sSub>
          </m:fName>
          <m:e>
            <m:d>
              <m:dPr>
                <m:ctrlPr>
                  <w:rPr>
                    <w:rFonts w:ascii="Cambria Math" w:hAnsi="Cambria Math"/>
                    <w:sz w:val="22"/>
                    <w:szCs w:val="22"/>
                    <w:lang w:eastAsia="ja-JP"/>
                  </w:rPr>
                </m:ctrlPr>
              </m:dPr>
              <m:e>
                <m:f>
                  <m:fPr>
                    <m:ctrlPr>
                      <w:rPr>
                        <w:rFonts w:ascii="Cambria Math" w:hAnsi="Cambria Math"/>
                        <w:sz w:val="22"/>
                        <w:szCs w:val="22"/>
                        <w:lang w:eastAsia="ja-JP"/>
                      </w:rPr>
                    </m:ctrlPr>
                  </m:fPr>
                  <m:num>
                    <m:r>
                      <m:rPr>
                        <m:sty m:val="p"/>
                      </m:rPr>
                      <w:rPr>
                        <w:rFonts w:ascii="Cambria Math" w:hAnsi="Cambria Math"/>
                        <w:sz w:val="22"/>
                        <w:szCs w:val="22"/>
                        <w:lang w:val="en-GB" w:eastAsia="ja-JP"/>
                      </w:rPr>
                      <m:t>4</m:t>
                    </m:r>
                    <m:r>
                      <m:rPr>
                        <m:sty m:val="p"/>
                      </m:rPr>
                      <w:rPr>
                        <w:rFonts w:ascii="Cambria Math" w:hAnsi="Cambria Math"/>
                        <w:sz w:val="22"/>
                        <w:szCs w:val="22"/>
                        <w:lang w:eastAsia="ja-JP"/>
                      </w:rPr>
                      <m:t>π</m:t>
                    </m:r>
                  </m:num>
                  <m:den>
                    <m:sSup>
                      <m:sSupPr>
                        <m:ctrlPr>
                          <w:rPr>
                            <w:rFonts w:ascii="Cambria Math" w:hAnsi="Cambria Math"/>
                            <w:sz w:val="22"/>
                            <w:szCs w:val="22"/>
                            <w:lang w:eastAsia="ja-JP"/>
                          </w:rPr>
                        </m:ctrlPr>
                      </m:sSupPr>
                      <m:e>
                        <m:r>
                          <m:rPr>
                            <m:sty m:val="p"/>
                          </m:rPr>
                          <w:rPr>
                            <w:rFonts w:ascii="Cambria Math" w:hAnsi="Cambria Math"/>
                            <w:sz w:val="22"/>
                            <w:szCs w:val="22"/>
                            <w:lang w:eastAsia="ja-JP"/>
                          </w:rPr>
                          <m:t>λ</m:t>
                        </m:r>
                      </m:e>
                      <m:sup>
                        <m:r>
                          <m:rPr>
                            <m:sty m:val="p"/>
                          </m:rPr>
                          <w:rPr>
                            <w:rFonts w:ascii="Cambria Math" w:hAnsi="Cambria Math"/>
                            <w:sz w:val="22"/>
                            <w:szCs w:val="22"/>
                            <w:lang w:val="en-GB" w:eastAsia="ja-JP"/>
                          </w:rPr>
                          <m:t>2</m:t>
                        </m:r>
                      </m:sup>
                    </m:sSup>
                  </m:den>
                </m:f>
              </m:e>
            </m:d>
          </m:e>
        </m:func>
        <m:r>
          <m:rPr>
            <m:sty m:val="p"/>
          </m:rPr>
          <w:rPr>
            <w:rFonts w:ascii="Cambria Math" w:hAnsi="Cambria Math"/>
            <w:sz w:val="22"/>
            <w:szCs w:val="22"/>
            <w:lang w:val="en-GB" w:eastAsia="ja-JP"/>
          </w:rPr>
          <m:t>+10∙</m:t>
        </m:r>
        <m:func>
          <m:funcPr>
            <m:ctrlPr>
              <w:rPr>
                <w:rFonts w:ascii="Cambria Math" w:hAnsi="Cambria Math"/>
                <w:sz w:val="22"/>
                <w:szCs w:val="22"/>
                <w:lang w:eastAsia="ja-JP"/>
              </w:rPr>
            </m:ctrlPr>
          </m:funcPr>
          <m:fName>
            <m:sSub>
              <m:sSubPr>
                <m:ctrlPr>
                  <w:rPr>
                    <w:rFonts w:ascii="Cambria Math" w:hAnsi="Cambria Math"/>
                    <w:sz w:val="22"/>
                    <w:szCs w:val="22"/>
                    <w:lang w:eastAsia="ja-JP"/>
                  </w:rPr>
                </m:ctrlPr>
              </m:sSubPr>
              <m:e>
                <m:r>
                  <m:rPr>
                    <m:sty m:val="p"/>
                  </m:rPr>
                  <w:rPr>
                    <w:rFonts w:ascii="Cambria Math" w:hAnsi="Cambria Math"/>
                    <w:sz w:val="22"/>
                    <w:szCs w:val="22"/>
                    <w:lang w:val="en-GB" w:eastAsia="ja-JP"/>
                  </w:rPr>
                  <m:t>log</m:t>
                </m:r>
              </m:e>
              <m:sub>
                <m:r>
                  <m:rPr>
                    <m:sty m:val="p"/>
                  </m:rPr>
                  <w:rPr>
                    <w:rFonts w:ascii="Cambria Math" w:hAnsi="Cambria Math"/>
                    <w:sz w:val="22"/>
                    <w:szCs w:val="22"/>
                    <w:lang w:val="en-GB" w:eastAsia="ja-JP"/>
                  </w:rPr>
                  <m:t>10</m:t>
                </m:r>
              </m:sub>
            </m:sSub>
          </m:fName>
          <m:e>
            <m:d>
              <m:dPr>
                <m:ctrlPr>
                  <w:rPr>
                    <w:rFonts w:ascii="Cambria Math" w:hAnsi="Cambria Math"/>
                    <w:sz w:val="22"/>
                    <w:szCs w:val="22"/>
                    <w:lang w:eastAsia="ja-JP"/>
                  </w:rPr>
                </m:ctrlPr>
              </m:dPr>
              <m:e>
                <m:r>
                  <w:rPr>
                    <w:rFonts w:ascii="Cambria Math" w:hAnsi="Cambria Math"/>
                    <w:sz w:val="22"/>
                    <w:szCs w:val="22"/>
                    <w:lang w:eastAsia="ja-JP"/>
                  </w:rPr>
                  <m:t>KTB</m:t>
                </m:r>
              </m:e>
            </m:d>
          </m:e>
        </m:func>
        <m:r>
          <m:rPr>
            <m:sty m:val="p"/>
          </m:rPr>
          <w:rPr>
            <w:rFonts w:ascii="Cambria Math" w:hAnsi="Cambria Math"/>
            <w:sz w:val="22"/>
            <w:szCs w:val="22"/>
            <w:lang w:val="en-GB" w:eastAsia="ja-JP"/>
          </w:rPr>
          <m:t>-</m:t>
        </m:r>
        <m:sSub>
          <m:sSubPr>
            <m:ctrlPr>
              <w:rPr>
                <w:rFonts w:ascii="Cambria Math" w:hAnsi="Cambria Math"/>
                <w:sz w:val="22"/>
                <w:szCs w:val="22"/>
                <w:lang w:eastAsia="ja-JP"/>
              </w:rPr>
            </m:ctrlPr>
          </m:sSubPr>
          <m:e>
            <m:r>
              <w:rPr>
                <w:rFonts w:ascii="Cambria Math" w:hAnsi="Cambria Math"/>
                <w:sz w:val="22"/>
                <w:szCs w:val="22"/>
                <w:lang w:eastAsia="ja-JP"/>
              </w:rPr>
              <m:t>G</m:t>
            </m:r>
          </m:e>
          <m:sub>
            <m:r>
              <w:rPr>
                <w:rFonts w:ascii="Cambria Math" w:hAnsi="Cambria Math"/>
                <w:sz w:val="22"/>
                <w:szCs w:val="22"/>
                <w:lang w:eastAsia="ja-JP"/>
              </w:rPr>
              <m:t>IMT</m:t>
            </m:r>
          </m:sub>
        </m:sSub>
        <m:d>
          <m:dPr>
            <m:ctrlPr>
              <w:rPr>
                <w:rFonts w:ascii="Cambria Math" w:hAnsi="Cambria Math"/>
                <w:sz w:val="22"/>
                <w:szCs w:val="22"/>
                <w:lang w:eastAsia="ja-JP"/>
              </w:rPr>
            </m:ctrlPr>
          </m:dPr>
          <m:e>
            <m:r>
              <m:rPr>
                <m:sty m:val="p"/>
              </m:rPr>
              <w:rPr>
                <w:rFonts w:ascii="Cambria Math" w:hAnsi="Cambria Math"/>
                <w:sz w:val="22"/>
                <w:szCs w:val="22"/>
                <w:lang w:eastAsia="ja-JP"/>
              </w:rPr>
              <m:t>θ</m:t>
            </m:r>
            <m:r>
              <m:rPr>
                <m:sty m:val="p"/>
              </m:rPr>
              <w:rPr>
                <w:rFonts w:ascii="Cambria Math" w:hAnsi="Cambria Math"/>
                <w:sz w:val="22"/>
                <w:szCs w:val="22"/>
                <w:lang w:val="en-GB" w:eastAsia="ja-JP"/>
              </w:rPr>
              <m:t>,</m:t>
            </m:r>
            <m:r>
              <m:rPr>
                <m:sty m:val="p"/>
              </m:rPr>
              <w:rPr>
                <w:rFonts w:ascii="Cambria Math" w:hAnsi="Cambria Math"/>
                <w:sz w:val="22"/>
                <w:szCs w:val="22"/>
                <w:lang w:eastAsia="ja-JP"/>
              </w:rPr>
              <m:t>φ</m:t>
            </m:r>
          </m:e>
        </m:d>
        <m:r>
          <m:rPr>
            <m:sty m:val="p"/>
          </m:rPr>
          <w:rPr>
            <w:rFonts w:ascii="Cambria Math" w:hAnsi="Cambria Math"/>
            <w:sz w:val="22"/>
            <w:szCs w:val="22"/>
            <w:lang w:val="en-GB" w:eastAsia="ja-JP"/>
          </w:rPr>
          <m:t>+</m:t>
        </m:r>
        <m:r>
          <w:rPr>
            <w:rFonts w:ascii="Cambria Math" w:hAnsi="Cambria Math"/>
            <w:sz w:val="22"/>
            <w:szCs w:val="22"/>
            <w:lang w:eastAsia="ja-JP"/>
          </w:rPr>
          <m:t>NF</m:t>
        </m:r>
        <m:r>
          <m:rPr>
            <m:sty m:val="p"/>
          </m:rPr>
          <w:rPr>
            <w:rFonts w:ascii="Cambria Math" w:hAnsi="Cambria Math"/>
            <w:sz w:val="22"/>
            <w:szCs w:val="22"/>
            <w:lang w:val="en-GB" w:eastAsia="ja-JP"/>
          </w:rPr>
          <m:t xml:space="preserve">    (dB(W/</m:t>
        </m:r>
        <m:sSup>
          <m:sSupPr>
            <m:ctrlPr>
              <w:rPr>
                <w:rFonts w:ascii="Cambria Math" w:hAnsi="Cambria Math"/>
                <w:sz w:val="22"/>
                <w:szCs w:val="22"/>
                <w:lang w:eastAsia="ja-JP"/>
              </w:rPr>
            </m:ctrlPr>
          </m:sSupPr>
          <m:e>
            <m:r>
              <m:rPr>
                <m:sty m:val="p"/>
              </m:rPr>
              <w:rPr>
                <w:rFonts w:ascii="Cambria Math" w:hAnsi="Cambria Math"/>
                <w:sz w:val="22"/>
                <w:szCs w:val="22"/>
                <w:lang w:val="en-GB" w:eastAsia="ja-JP"/>
              </w:rPr>
              <m:t>m</m:t>
            </m:r>
          </m:e>
          <m:sup>
            <m:r>
              <m:rPr>
                <m:sty m:val="p"/>
              </m:rPr>
              <w:rPr>
                <w:rFonts w:ascii="Cambria Math" w:hAnsi="Cambria Math"/>
                <w:sz w:val="22"/>
                <w:szCs w:val="22"/>
                <w:lang w:val="en-GB" w:eastAsia="ja-JP"/>
              </w:rPr>
              <m:t>2</m:t>
            </m:r>
          </m:sup>
        </m:sSup>
        <m:r>
          <m:rPr>
            <m:sty m:val="p"/>
          </m:rPr>
          <w:rPr>
            <w:rFonts w:ascii="Cambria Math" w:hAnsi="Cambria Math"/>
            <w:sz w:val="22"/>
            <w:szCs w:val="22"/>
            <w:lang w:val="en-GB" w:eastAsia="ja-JP"/>
          </w:rPr>
          <m:t>) in 1 MHz)</m:t>
        </m:r>
      </m:oMath>
      <w:r w:rsidR="00B63D8D" w:rsidRPr="00752DF2">
        <w:rPr>
          <w:lang w:val="en-GB" w:eastAsia="ja-JP"/>
        </w:rPr>
        <w:tab/>
      </w:r>
      <w:bookmarkStart w:id="159" w:name="_Ref512528212"/>
      <w:r w:rsidR="00B63D8D" w:rsidRPr="00752DF2">
        <w:rPr>
          <w:lang w:val="en-GB"/>
        </w:rPr>
        <w:t>(1</w:t>
      </w:r>
      <w:bookmarkEnd w:id="159"/>
      <w:r w:rsidR="00B63D8D" w:rsidRPr="00752DF2">
        <w:rPr>
          <w:lang w:val="en-GB"/>
        </w:rPr>
        <w:t>)</w:t>
      </w:r>
    </w:p>
    <w:p w:rsidR="00B63D8D" w:rsidRPr="00752DF2" w:rsidRDefault="00B63D8D" w:rsidP="00B63D8D">
      <w:pPr>
        <w:keepNext/>
        <w:rPr>
          <w:szCs w:val="24"/>
          <w:lang w:val="en-GB" w:eastAsia="ja-JP"/>
        </w:rPr>
      </w:pPr>
      <w:r w:rsidRPr="00752DF2">
        <w:rPr>
          <w:szCs w:val="24"/>
          <w:lang w:val="en-GB" w:eastAsia="ja-JP"/>
        </w:rPr>
        <w:t>where:</w:t>
      </w:r>
    </w:p>
    <w:p w:rsidR="00B63D8D" w:rsidRPr="001954AF" w:rsidRDefault="00B63D8D" w:rsidP="00B63D8D">
      <w:pPr>
        <w:pStyle w:val="Equationlegend"/>
        <w:rPr>
          <w:lang w:eastAsia="ja-JP"/>
        </w:rPr>
      </w:pPr>
      <w:r w:rsidRPr="001954AF">
        <w:rPr>
          <w:lang w:eastAsia="ja-JP"/>
        </w:rPr>
        <w:tab/>
      </w:r>
      <m:oMath>
        <m:sSub>
          <m:sSubPr>
            <m:ctrlPr>
              <w:rPr>
                <w:rFonts w:ascii="Cambria Math" w:hAnsi="Cambria Math"/>
                <w:i/>
                <w:lang w:eastAsia="ja-JP"/>
              </w:rPr>
            </m:ctrlPr>
          </m:sSubPr>
          <m:e>
            <m:d>
              <m:dPr>
                <m:begChr m:val=""/>
                <m:endChr m:val="|"/>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I</m:t>
                    </m:r>
                  </m:num>
                  <m:den>
                    <m:r>
                      <w:rPr>
                        <w:rFonts w:ascii="Cambria Math" w:hAnsi="Cambria Math"/>
                        <w:lang w:eastAsia="ja-JP"/>
                      </w:rPr>
                      <m:t>N</m:t>
                    </m:r>
                  </m:den>
                </m:f>
              </m:e>
            </m:d>
          </m:e>
          <m:sub>
            <m:r>
              <w:rPr>
                <w:rFonts w:ascii="Cambria Math" w:hAnsi="Cambria Math"/>
                <w:lang w:eastAsia="ja-JP"/>
              </w:rPr>
              <m:t>prot</m:t>
            </m:r>
          </m:sub>
        </m:sSub>
      </m:oMath>
      <w:r w:rsidRPr="001954AF">
        <w:rPr>
          <w:lang w:eastAsia="ja-JP"/>
        </w:rPr>
        <w:t xml:space="preserve">: </w:t>
      </w:r>
      <w:r w:rsidRPr="001954AF">
        <w:rPr>
          <w:lang w:eastAsia="ja-JP"/>
        </w:rPr>
        <w:tab/>
        <w:t>protection criteria of IMT station, dB</w:t>
      </w:r>
    </w:p>
    <w:p w:rsidR="00B63D8D" w:rsidRPr="001954AF" w:rsidRDefault="00B63D8D" w:rsidP="00B63D8D">
      <w:pPr>
        <w:pStyle w:val="Equationlegend"/>
        <w:rPr>
          <w:lang w:eastAsia="ja-JP"/>
        </w:rPr>
      </w:pPr>
      <w:r w:rsidRPr="001954AF">
        <w:rPr>
          <w:lang w:eastAsia="ja-JP"/>
        </w:rPr>
        <w:tab/>
      </w:r>
      <m:oMath>
        <m:r>
          <m:rPr>
            <m:sty m:val="p"/>
          </m:rPr>
          <w:rPr>
            <w:rFonts w:ascii="Cambria Math" w:hAnsi="Cambria Math"/>
            <w:lang w:eastAsia="ja-JP"/>
          </w:rPr>
          <m:t>λ</m:t>
        </m:r>
      </m:oMath>
      <w:r w:rsidRPr="001954AF">
        <w:rPr>
          <w:lang w:eastAsia="ja-JP"/>
        </w:rPr>
        <w:t xml:space="preserve">: </w:t>
      </w:r>
      <w:r w:rsidRPr="001954AF">
        <w:rPr>
          <w:lang w:eastAsia="ja-JP"/>
        </w:rPr>
        <w:tab/>
        <w:t>wavelength, m</w:t>
      </w:r>
    </w:p>
    <w:p w:rsidR="00B63D8D" w:rsidRPr="001954AF" w:rsidRDefault="00B63D8D" w:rsidP="00B63D8D">
      <w:pPr>
        <w:pStyle w:val="Equationlegend"/>
        <w:rPr>
          <w:lang w:eastAsia="ja-JP"/>
        </w:rPr>
      </w:pPr>
      <w:r w:rsidRPr="001954AF">
        <w:rPr>
          <w:lang w:eastAsia="ja-JP"/>
        </w:rPr>
        <w:tab/>
      </w:r>
      <m:oMath>
        <m:r>
          <w:rPr>
            <w:rFonts w:ascii="Cambria Math" w:hAnsi="Cambria Math"/>
            <w:lang w:eastAsia="ja-JP"/>
          </w:rPr>
          <m:t>K</m:t>
        </m:r>
      </m:oMath>
      <w:r w:rsidRPr="001954AF">
        <w:rPr>
          <w:lang w:eastAsia="ja-JP"/>
        </w:rPr>
        <w:t xml:space="preserve">: </w:t>
      </w:r>
      <w:r w:rsidRPr="001954AF">
        <w:rPr>
          <w:lang w:eastAsia="ja-JP"/>
        </w:rPr>
        <w:tab/>
        <w:t>Boltzmann’s constant, Joule/K</w:t>
      </w:r>
    </w:p>
    <w:p w:rsidR="00B63D8D" w:rsidRPr="001954AF" w:rsidRDefault="00B63D8D" w:rsidP="00B63D8D">
      <w:pPr>
        <w:pStyle w:val="Equationlegend"/>
        <w:rPr>
          <w:lang w:eastAsia="ja-JP"/>
        </w:rPr>
      </w:pPr>
      <w:r w:rsidRPr="001954AF">
        <w:rPr>
          <w:lang w:eastAsia="ja-JP"/>
        </w:rPr>
        <w:tab/>
      </w:r>
      <m:oMath>
        <m:r>
          <w:rPr>
            <w:rFonts w:ascii="Cambria Math" w:hAnsi="Cambria Math"/>
            <w:lang w:eastAsia="ja-JP"/>
          </w:rPr>
          <m:t>T</m:t>
        </m:r>
      </m:oMath>
      <w:r w:rsidRPr="001954AF">
        <w:rPr>
          <w:lang w:eastAsia="ja-JP"/>
        </w:rPr>
        <w:t xml:space="preserve">: </w:t>
      </w:r>
      <w:r w:rsidRPr="001954AF">
        <w:rPr>
          <w:lang w:eastAsia="ja-JP"/>
        </w:rPr>
        <w:tab/>
        <w:t>receiver temperature, Kelvin</w:t>
      </w:r>
    </w:p>
    <w:p w:rsidR="00B63D8D" w:rsidRPr="001954AF" w:rsidRDefault="00B63D8D" w:rsidP="00B63D8D">
      <w:pPr>
        <w:pStyle w:val="Equationlegend"/>
        <w:rPr>
          <w:lang w:eastAsia="ja-JP"/>
        </w:rPr>
      </w:pPr>
      <w:r w:rsidRPr="001954AF">
        <w:rPr>
          <w:lang w:eastAsia="ja-JP"/>
        </w:rPr>
        <w:tab/>
      </w:r>
      <m:oMath>
        <m:r>
          <w:rPr>
            <w:rFonts w:ascii="Cambria Math" w:hAnsi="Cambria Math"/>
            <w:lang w:eastAsia="ja-JP"/>
          </w:rPr>
          <m:t>B</m:t>
        </m:r>
      </m:oMath>
      <w:r w:rsidRPr="001954AF">
        <w:rPr>
          <w:lang w:eastAsia="ja-JP"/>
        </w:rPr>
        <w:t xml:space="preserve">: </w:t>
      </w:r>
      <w:r w:rsidRPr="001954AF">
        <w:rPr>
          <w:lang w:eastAsia="ja-JP"/>
        </w:rPr>
        <w:tab/>
        <w:t>receiver bandwidth, MHz</w:t>
      </w:r>
    </w:p>
    <w:p w:rsidR="00B63D8D" w:rsidRPr="001954AF" w:rsidRDefault="00B63D8D" w:rsidP="00B63D8D">
      <w:pPr>
        <w:pStyle w:val="Equationlegend"/>
        <w:rPr>
          <w:lang w:eastAsia="ja-JP"/>
        </w:rPr>
      </w:pPr>
      <w:r w:rsidRPr="001954AF">
        <w:rPr>
          <w:lang w:eastAsia="ja-JP"/>
        </w:rPr>
        <w:tab/>
      </w:r>
      <m:oMath>
        <m:sSub>
          <m:sSubPr>
            <m:ctrlPr>
              <w:rPr>
                <w:rFonts w:ascii="Cambria Math" w:hAnsi="Cambria Math"/>
                <w:i/>
                <w:lang w:eastAsia="ja-JP"/>
              </w:rPr>
            </m:ctrlPr>
          </m:sSubPr>
          <m:e>
            <m:r>
              <w:rPr>
                <w:rFonts w:ascii="Cambria Math" w:hAnsi="Cambria Math"/>
                <w:lang w:eastAsia="ja-JP"/>
              </w:rPr>
              <m:t>G</m:t>
            </m:r>
          </m:e>
          <m:sub>
            <m:r>
              <w:rPr>
                <w:rFonts w:ascii="Cambria Math" w:hAnsi="Cambria Math"/>
                <w:lang w:eastAsia="ja-JP"/>
              </w:rPr>
              <m:t>IMT</m:t>
            </m:r>
          </m:sub>
        </m:sSub>
        <m:d>
          <m:dPr>
            <m:ctrlPr>
              <w:rPr>
                <w:rFonts w:ascii="Cambria Math" w:hAnsi="Cambria Math"/>
                <w:i/>
                <w:lang w:eastAsia="ja-JP"/>
              </w:rPr>
            </m:ctrlPr>
          </m:dPr>
          <m:e>
            <m:r>
              <m:rPr>
                <m:sty m:val="p"/>
              </m:rPr>
              <w:rPr>
                <w:rFonts w:ascii="Cambria Math" w:hAnsi="Cambria Math"/>
                <w:lang w:eastAsia="ja-JP"/>
              </w:rPr>
              <m:t>θ,φ</m:t>
            </m:r>
          </m:e>
        </m:d>
      </m:oMath>
      <w:r w:rsidRPr="001954AF">
        <w:rPr>
          <w:lang w:eastAsia="ja-JP"/>
        </w:rPr>
        <w:t xml:space="preserve">: </w:t>
      </w:r>
      <w:r w:rsidRPr="001954AF">
        <w:rPr>
          <w:lang w:eastAsia="ja-JP"/>
        </w:rPr>
        <w:tab/>
        <w:t>Antenna gain of the IMT station towards HAPS station, dBi</w:t>
      </w:r>
    </w:p>
    <w:p w:rsidR="00B63D8D" w:rsidRPr="001954AF" w:rsidRDefault="00B63D8D" w:rsidP="00B63D8D">
      <w:pPr>
        <w:pStyle w:val="Equationlegend"/>
        <w:rPr>
          <w:lang w:eastAsia="ja-JP"/>
        </w:rPr>
      </w:pPr>
      <w:r w:rsidRPr="001954AF">
        <w:rPr>
          <w:lang w:eastAsia="ja-JP"/>
        </w:rPr>
        <w:tab/>
      </w:r>
      <m:oMath>
        <m:r>
          <w:rPr>
            <w:rFonts w:ascii="Cambria Math" w:hAnsi="Cambria Math"/>
            <w:lang w:eastAsia="ja-JP"/>
          </w:rPr>
          <m:t>NF</m:t>
        </m:r>
      </m:oMath>
      <w:r w:rsidRPr="001954AF">
        <w:rPr>
          <w:lang w:eastAsia="ja-JP"/>
        </w:rPr>
        <w:t xml:space="preserve">: </w:t>
      </w:r>
      <w:r w:rsidRPr="001954AF">
        <w:rPr>
          <w:lang w:eastAsia="ja-JP"/>
        </w:rPr>
        <w:tab/>
        <w:t>noise figure of IMT station, dB.</w:t>
      </w:r>
    </w:p>
    <w:p w:rsidR="00B63D8D" w:rsidRPr="00752DF2" w:rsidRDefault="00B63D8D" w:rsidP="00B63D8D">
      <w:pPr>
        <w:rPr>
          <w:szCs w:val="24"/>
          <w:lang w:val="en-GB" w:eastAsia="ja-JP"/>
        </w:rPr>
      </w:pPr>
      <w:r w:rsidRPr="00752DF2">
        <w:rPr>
          <w:szCs w:val="24"/>
          <w:lang w:val="en-GB" w:eastAsia="ja-JP"/>
        </w:rPr>
        <w:t>On a given deployment, the pfd level generated by a HAPS station (compliance mask) is calculated as follows:</w:t>
      </w:r>
    </w:p>
    <w:p w:rsidR="00B63D8D" w:rsidRPr="00752DF2" w:rsidRDefault="00B63D8D" w:rsidP="00B63D8D">
      <w:pPr>
        <w:pStyle w:val="Equation"/>
        <w:rPr>
          <w:lang w:val="en-GB" w:eastAsia="ja-JP"/>
        </w:rPr>
      </w:pPr>
      <w:r w:rsidRPr="00752DF2">
        <w:rPr>
          <w:sz w:val="22"/>
          <w:szCs w:val="22"/>
          <w:lang w:val="en-GB" w:eastAsia="ja-JP"/>
        </w:rPr>
        <w:tab/>
      </w:r>
      <w:r w:rsidRPr="00752DF2">
        <w:rPr>
          <w:sz w:val="22"/>
          <w:szCs w:val="22"/>
          <w:lang w:val="en-GB" w:eastAsia="ja-JP"/>
        </w:rPr>
        <w:tab/>
      </w:r>
      <m:oMath>
        <m:r>
          <w:rPr>
            <w:rFonts w:ascii="Cambria Math" w:hAnsi="Cambria Math"/>
            <w:sz w:val="22"/>
            <w:szCs w:val="22"/>
            <w:lang w:eastAsia="ja-JP"/>
          </w:rPr>
          <m:t>pfd</m:t>
        </m:r>
        <m:r>
          <m:rPr>
            <m:sty m:val="p"/>
          </m:rPr>
          <w:rPr>
            <w:rFonts w:ascii="Cambria Math" w:hAnsi="Cambria Math"/>
            <w:sz w:val="22"/>
            <w:szCs w:val="22"/>
            <w:lang w:val="en-GB" w:eastAsia="ja-JP"/>
          </w:rPr>
          <m:t>=</m:t>
        </m:r>
        <m:r>
          <w:rPr>
            <w:rFonts w:ascii="Cambria Math" w:hAnsi="Cambria Math"/>
            <w:sz w:val="22"/>
            <w:szCs w:val="22"/>
            <w:lang w:eastAsia="ja-JP"/>
          </w:rPr>
          <m:t>EIRP</m:t>
        </m:r>
        <m:d>
          <m:dPr>
            <m:ctrlPr>
              <w:rPr>
                <w:rFonts w:ascii="Cambria Math" w:hAnsi="Cambria Math"/>
                <w:sz w:val="22"/>
                <w:szCs w:val="22"/>
                <w:lang w:eastAsia="ja-JP"/>
              </w:rPr>
            </m:ctrlPr>
          </m:dPr>
          <m:e>
            <m:r>
              <m:rPr>
                <m:sty m:val="p"/>
              </m:rPr>
              <w:rPr>
                <w:rFonts w:ascii="Cambria Math" w:hAnsi="Cambria Math"/>
                <w:sz w:val="22"/>
                <w:szCs w:val="22"/>
                <w:lang w:eastAsia="ja-JP"/>
              </w:rPr>
              <m:t>ψ</m:t>
            </m:r>
          </m:e>
        </m:d>
        <m:r>
          <m:rPr>
            <m:sty m:val="p"/>
          </m:rPr>
          <w:rPr>
            <w:rFonts w:ascii="Cambria Math" w:hAnsi="Cambria Math"/>
            <w:sz w:val="22"/>
            <w:szCs w:val="22"/>
            <w:lang w:val="en-GB" w:eastAsia="ja-JP"/>
          </w:rPr>
          <m:t>+10∙</m:t>
        </m:r>
        <m:func>
          <m:funcPr>
            <m:ctrlPr>
              <w:rPr>
                <w:rFonts w:ascii="Cambria Math" w:hAnsi="Cambria Math"/>
                <w:sz w:val="22"/>
                <w:szCs w:val="22"/>
                <w:lang w:eastAsia="ja-JP"/>
              </w:rPr>
            </m:ctrlPr>
          </m:funcPr>
          <m:fName>
            <m:sSub>
              <m:sSubPr>
                <m:ctrlPr>
                  <w:rPr>
                    <w:rFonts w:ascii="Cambria Math" w:hAnsi="Cambria Math"/>
                    <w:sz w:val="22"/>
                    <w:szCs w:val="22"/>
                    <w:lang w:eastAsia="ja-JP"/>
                  </w:rPr>
                </m:ctrlPr>
              </m:sSubPr>
              <m:e>
                <m:r>
                  <m:rPr>
                    <m:sty m:val="p"/>
                  </m:rPr>
                  <w:rPr>
                    <w:rFonts w:ascii="Cambria Math" w:hAnsi="Cambria Math"/>
                    <w:sz w:val="22"/>
                    <w:szCs w:val="22"/>
                    <w:lang w:val="en-GB" w:eastAsia="ja-JP"/>
                  </w:rPr>
                  <m:t>log</m:t>
                </m:r>
              </m:e>
              <m:sub>
                <m:r>
                  <m:rPr>
                    <m:sty m:val="p"/>
                  </m:rPr>
                  <w:rPr>
                    <w:rFonts w:ascii="Cambria Math" w:hAnsi="Cambria Math"/>
                    <w:sz w:val="22"/>
                    <w:szCs w:val="22"/>
                    <w:lang w:val="en-GB" w:eastAsia="ja-JP"/>
                  </w:rPr>
                  <m:t>10</m:t>
                </m:r>
              </m:sub>
            </m:sSub>
          </m:fName>
          <m:e>
            <m:d>
              <m:dPr>
                <m:ctrlPr>
                  <w:rPr>
                    <w:rFonts w:ascii="Cambria Math" w:hAnsi="Cambria Math"/>
                    <w:sz w:val="22"/>
                    <w:szCs w:val="22"/>
                    <w:lang w:eastAsia="ja-JP"/>
                  </w:rPr>
                </m:ctrlPr>
              </m:dPr>
              <m:e>
                <m:f>
                  <m:fPr>
                    <m:ctrlPr>
                      <w:rPr>
                        <w:rFonts w:ascii="Cambria Math" w:hAnsi="Cambria Math"/>
                        <w:sz w:val="22"/>
                        <w:szCs w:val="22"/>
                        <w:lang w:eastAsia="ja-JP"/>
                      </w:rPr>
                    </m:ctrlPr>
                  </m:fPr>
                  <m:num>
                    <m:r>
                      <m:rPr>
                        <m:sty m:val="p"/>
                      </m:rPr>
                      <w:rPr>
                        <w:rFonts w:ascii="Cambria Math" w:hAnsi="Cambria Math"/>
                        <w:sz w:val="22"/>
                        <w:szCs w:val="22"/>
                        <w:lang w:val="en-GB" w:eastAsia="ja-JP"/>
                      </w:rPr>
                      <m:t>1</m:t>
                    </m:r>
                  </m:num>
                  <m:den>
                    <m:sSup>
                      <m:sSupPr>
                        <m:ctrlPr>
                          <w:rPr>
                            <w:rFonts w:ascii="Cambria Math" w:hAnsi="Cambria Math"/>
                            <w:sz w:val="22"/>
                            <w:szCs w:val="22"/>
                            <w:lang w:eastAsia="ja-JP"/>
                          </w:rPr>
                        </m:ctrlPr>
                      </m:sSupPr>
                      <m:e>
                        <m:r>
                          <m:rPr>
                            <m:sty m:val="p"/>
                          </m:rPr>
                          <w:rPr>
                            <w:rFonts w:ascii="Cambria Math" w:hAnsi="Cambria Math"/>
                            <w:sz w:val="22"/>
                            <w:szCs w:val="22"/>
                            <w:lang w:val="en-GB" w:eastAsia="ja-JP"/>
                          </w:rPr>
                          <m:t>4</m:t>
                        </m:r>
                        <m:r>
                          <m:rPr>
                            <m:sty m:val="p"/>
                          </m:rPr>
                          <w:rPr>
                            <w:rFonts w:ascii="Cambria Math" w:hAnsi="Cambria Math"/>
                            <w:sz w:val="22"/>
                            <w:szCs w:val="22"/>
                            <w:lang w:eastAsia="ja-JP"/>
                          </w:rPr>
                          <m:t>π</m:t>
                        </m:r>
                        <m:r>
                          <w:rPr>
                            <w:rFonts w:ascii="Cambria Math" w:hAnsi="Cambria Math"/>
                            <w:sz w:val="22"/>
                            <w:szCs w:val="22"/>
                            <w:lang w:eastAsia="ja-JP"/>
                          </w:rPr>
                          <m:t>d</m:t>
                        </m:r>
                      </m:e>
                      <m:sup>
                        <m:r>
                          <m:rPr>
                            <m:sty m:val="p"/>
                          </m:rPr>
                          <w:rPr>
                            <w:rFonts w:ascii="Cambria Math" w:hAnsi="Cambria Math"/>
                            <w:sz w:val="22"/>
                            <w:szCs w:val="22"/>
                            <w:lang w:val="en-GB" w:eastAsia="ja-JP"/>
                          </w:rPr>
                          <m:t>2</m:t>
                        </m:r>
                      </m:sup>
                    </m:sSup>
                  </m:den>
                </m:f>
              </m:e>
            </m:d>
          </m:e>
        </m:func>
        <m:r>
          <m:rPr>
            <m:sty m:val="p"/>
          </m:rPr>
          <w:rPr>
            <w:rFonts w:ascii="Cambria Math" w:hAnsi="Cambria Math"/>
            <w:sz w:val="22"/>
            <w:szCs w:val="22"/>
            <w:lang w:val="en-GB" w:eastAsia="ja-JP"/>
          </w:rPr>
          <m:t>-</m:t>
        </m:r>
        <m:r>
          <w:rPr>
            <w:rFonts w:ascii="Cambria Math" w:hAnsi="Cambria Math"/>
            <w:sz w:val="22"/>
            <w:szCs w:val="22"/>
            <w:lang w:eastAsia="ja-JP"/>
          </w:rPr>
          <m:t>Att</m:t>
        </m:r>
        <m:r>
          <m:rPr>
            <m:sty m:val="p"/>
          </m:rPr>
          <w:rPr>
            <w:rFonts w:ascii="Cambria Math" w:hAnsi="Cambria Math"/>
            <w:sz w:val="22"/>
            <w:szCs w:val="22"/>
            <w:lang w:val="en-GB" w:eastAsia="ja-JP"/>
          </w:rPr>
          <m:t>-</m:t>
        </m:r>
        <m:sSub>
          <m:sSubPr>
            <m:ctrlPr>
              <w:rPr>
                <w:rFonts w:ascii="Cambria Math" w:hAnsi="Cambria Math"/>
                <w:sz w:val="22"/>
                <w:szCs w:val="22"/>
                <w:lang w:eastAsia="ja-JP"/>
              </w:rPr>
            </m:ctrlPr>
          </m:sSubPr>
          <m:e>
            <m:r>
              <w:rPr>
                <w:rFonts w:ascii="Cambria Math" w:hAnsi="Cambria Math"/>
                <w:sz w:val="22"/>
                <w:szCs w:val="22"/>
                <w:lang w:eastAsia="ja-JP"/>
              </w:rPr>
              <m:t>P</m:t>
            </m:r>
          </m:e>
          <m:sub>
            <m:r>
              <w:rPr>
                <w:rFonts w:ascii="Cambria Math" w:hAnsi="Cambria Math"/>
                <w:sz w:val="22"/>
                <w:szCs w:val="22"/>
                <w:lang w:eastAsia="ja-JP"/>
              </w:rPr>
              <m:t>loss</m:t>
            </m:r>
          </m:sub>
        </m:sSub>
        <m:r>
          <m:rPr>
            <m:sty m:val="p"/>
          </m:rPr>
          <w:rPr>
            <w:rFonts w:ascii="Cambria Math" w:hAnsi="Cambria Math"/>
            <w:sz w:val="22"/>
            <w:szCs w:val="22"/>
            <w:lang w:val="en-GB" w:eastAsia="ja-JP"/>
          </w:rPr>
          <m:t>-</m:t>
        </m:r>
        <m:sSub>
          <m:sSubPr>
            <m:ctrlPr>
              <w:rPr>
                <w:rFonts w:ascii="Cambria Math" w:hAnsi="Cambria Math"/>
                <w:sz w:val="22"/>
                <w:szCs w:val="22"/>
                <w:lang w:eastAsia="ja-JP"/>
              </w:rPr>
            </m:ctrlPr>
          </m:sSubPr>
          <m:e>
            <m:r>
              <w:rPr>
                <w:rFonts w:ascii="Cambria Math" w:hAnsi="Cambria Math"/>
                <w:sz w:val="22"/>
                <w:szCs w:val="22"/>
                <w:lang w:eastAsia="ja-JP"/>
              </w:rPr>
              <m:t>B</m:t>
            </m:r>
          </m:e>
          <m:sub>
            <m:r>
              <w:rPr>
                <w:rFonts w:ascii="Cambria Math" w:hAnsi="Cambria Math"/>
                <w:sz w:val="22"/>
                <w:szCs w:val="22"/>
                <w:lang w:eastAsia="ja-JP"/>
              </w:rPr>
              <m:t>loss</m:t>
            </m:r>
          </m:sub>
        </m:sSub>
        <m:r>
          <m:rPr>
            <m:sty m:val="p"/>
          </m:rPr>
          <w:rPr>
            <w:rFonts w:ascii="Cambria Math" w:hAnsi="Cambria Math"/>
            <w:sz w:val="22"/>
            <w:szCs w:val="22"/>
            <w:lang w:val="en-GB" w:eastAsia="ja-JP"/>
          </w:rPr>
          <m:t xml:space="preserve">   (dB(W/</m:t>
        </m:r>
        <m:sSup>
          <m:sSupPr>
            <m:ctrlPr>
              <w:rPr>
                <w:rFonts w:ascii="Cambria Math" w:hAnsi="Cambria Math"/>
                <w:iCs/>
                <w:sz w:val="22"/>
                <w:szCs w:val="22"/>
                <w:lang w:eastAsia="ja-JP"/>
              </w:rPr>
            </m:ctrlPr>
          </m:sSupPr>
          <m:e>
            <m:r>
              <m:rPr>
                <m:sty m:val="p"/>
              </m:rPr>
              <w:rPr>
                <w:rFonts w:ascii="Cambria Math" w:hAnsi="Cambria Math"/>
                <w:sz w:val="22"/>
                <w:szCs w:val="22"/>
                <w:lang w:val="en-GB" w:eastAsia="ja-JP"/>
              </w:rPr>
              <m:t>m</m:t>
            </m:r>
          </m:e>
          <m:sup>
            <m:r>
              <m:rPr>
                <m:sty m:val="p"/>
              </m:rPr>
              <w:rPr>
                <w:rFonts w:ascii="Cambria Math" w:hAnsi="Cambria Math"/>
                <w:sz w:val="22"/>
                <w:szCs w:val="22"/>
                <w:lang w:val="en-GB" w:eastAsia="ja-JP"/>
              </w:rPr>
              <m:t>2</m:t>
            </m:r>
          </m:sup>
        </m:sSup>
        <m:r>
          <m:rPr>
            <m:sty m:val="p"/>
          </m:rPr>
          <w:rPr>
            <w:rFonts w:ascii="Cambria Math" w:hAnsi="Cambria Math"/>
            <w:sz w:val="22"/>
            <w:szCs w:val="22"/>
            <w:lang w:val="en-GB" w:eastAsia="ja-JP"/>
          </w:rPr>
          <m:t xml:space="preserve">) </m:t>
        </m:r>
        <m:r>
          <w:rPr>
            <w:rFonts w:ascii="Cambria Math" w:hAnsi="Cambria Math"/>
            <w:sz w:val="22"/>
            <w:szCs w:val="22"/>
            <w:lang w:eastAsia="ja-JP"/>
          </w:rPr>
          <m:t>in</m:t>
        </m:r>
        <m:r>
          <m:rPr>
            <m:sty m:val="p"/>
          </m:rPr>
          <w:rPr>
            <w:rFonts w:ascii="Cambria Math" w:hAnsi="Cambria Math"/>
            <w:sz w:val="22"/>
            <w:szCs w:val="22"/>
            <w:lang w:val="en-GB" w:eastAsia="ja-JP"/>
          </w:rPr>
          <m:t xml:space="preserve"> 1 MHz)</m:t>
        </m:r>
      </m:oMath>
      <w:r w:rsidRPr="00752DF2">
        <w:rPr>
          <w:lang w:val="en-GB" w:eastAsia="ja-JP"/>
        </w:rPr>
        <w:t xml:space="preserve"> </w:t>
      </w:r>
      <w:r w:rsidRPr="00752DF2">
        <w:rPr>
          <w:lang w:val="en-GB" w:eastAsia="ja-JP"/>
        </w:rPr>
        <w:tab/>
      </w:r>
      <w:r w:rsidRPr="00752DF2">
        <w:rPr>
          <w:lang w:val="en-GB"/>
        </w:rPr>
        <w:t>(2)</w:t>
      </w:r>
    </w:p>
    <w:p w:rsidR="00B63D8D" w:rsidRPr="00752DF2" w:rsidRDefault="00B63D8D" w:rsidP="00B63D8D">
      <w:pPr>
        <w:rPr>
          <w:szCs w:val="24"/>
          <w:lang w:val="en-GB" w:eastAsia="ja-JP"/>
        </w:rPr>
      </w:pPr>
      <w:r w:rsidRPr="00752DF2">
        <w:rPr>
          <w:szCs w:val="24"/>
          <w:lang w:val="en-GB" w:eastAsia="ja-JP"/>
        </w:rPr>
        <w:t>where:</w:t>
      </w:r>
    </w:p>
    <w:p w:rsidR="00B63D8D" w:rsidRPr="001954AF" w:rsidRDefault="00B63D8D" w:rsidP="00B63D8D">
      <w:pPr>
        <w:pStyle w:val="Equationlegend"/>
        <w:rPr>
          <w:lang w:eastAsia="ja-JP"/>
        </w:rPr>
      </w:pPr>
      <w:r w:rsidRPr="001954AF">
        <w:rPr>
          <w:lang w:eastAsia="ja-JP"/>
        </w:rPr>
        <w:tab/>
      </w:r>
      <m:oMath>
        <m:r>
          <w:rPr>
            <w:rFonts w:ascii="Cambria Math" w:hAnsi="Cambria Math"/>
            <w:lang w:eastAsia="ja-JP"/>
          </w:rPr>
          <m:t>EIRP</m:t>
        </m:r>
        <m:d>
          <m:dPr>
            <m:ctrlPr>
              <w:rPr>
                <w:rFonts w:ascii="Cambria Math" w:hAnsi="Cambria Math"/>
                <w:i/>
                <w:lang w:eastAsia="ja-JP"/>
              </w:rPr>
            </m:ctrlPr>
          </m:dPr>
          <m:e>
            <m:r>
              <m:rPr>
                <m:sty m:val="p"/>
              </m:rPr>
              <w:rPr>
                <w:rFonts w:ascii="Cambria Math" w:hAnsi="Cambria Math"/>
                <w:lang w:eastAsia="ja-JP"/>
              </w:rPr>
              <m:t>ψ</m:t>
            </m:r>
          </m:e>
        </m:d>
      </m:oMath>
      <w:r w:rsidRPr="001954AF">
        <w:rPr>
          <w:lang w:eastAsia="ja-JP"/>
        </w:rPr>
        <w:t xml:space="preserve">: </w:t>
      </w:r>
      <w:r w:rsidRPr="001954AF">
        <w:rPr>
          <w:lang w:eastAsia="ja-JP"/>
        </w:rPr>
        <w:tab/>
        <w:t xml:space="preserve">e.i.r.p. density level of HAPS station at direction </w:t>
      </w:r>
      <m:oMath>
        <m:r>
          <m:rPr>
            <m:sty m:val="p"/>
          </m:rPr>
          <w:rPr>
            <w:rFonts w:ascii="Cambria Math" w:hAnsi="Cambria Math"/>
            <w:lang w:eastAsia="ja-JP"/>
          </w:rPr>
          <m:t>ψ</m:t>
        </m:r>
      </m:oMath>
      <w:r w:rsidRPr="001954AF">
        <w:rPr>
          <w:lang w:eastAsia="ja-JP"/>
        </w:rPr>
        <w:t xml:space="preserve"> towards IMT station, dB(W/MHz)</w:t>
      </w:r>
    </w:p>
    <w:p w:rsidR="00B63D8D" w:rsidRPr="001954AF" w:rsidRDefault="00B63D8D" w:rsidP="00B63D8D">
      <w:pPr>
        <w:pStyle w:val="Equationlegend"/>
        <w:rPr>
          <w:lang w:eastAsia="ja-JP"/>
        </w:rPr>
      </w:pPr>
      <w:r w:rsidRPr="001954AF">
        <w:rPr>
          <w:lang w:eastAsia="ja-JP"/>
        </w:rPr>
        <w:tab/>
      </w:r>
      <m:oMath>
        <m:r>
          <w:rPr>
            <w:rFonts w:ascii="Cambria Math" w:hAnsi="Cambria Math"/>
            <w:lang w:eastAsia="ja-JP"/>
          </w:rPr>
          <m:t>d</m:t>
        </m:r>
      </m:oMath>
      <w:r w:rsidRPr="001954AF">
        <w:rPr>
          <w:lang w:eastAsia="ja-JP"/>
        </w:rPr>
        <w:t xml:space="preserve">: </w:t>
      </w:r>
      <w:r w:rsidRPr="001954AF">
        <w:rPr>
          <w:lang w:eastAsia="ja-JP"/>
        </w:rPr>
        <w:tab/>
        <w:t>distance between HAPS and IMT station, m</w:t>
      </w:r>
    </w:p>
    <w:p w:rsidR="00B63D8D" w:rsidRPr="001954AF" w:rsidRDefault="00B63D8D" w:rsidP="00B63D8D">
      <w:pPr>
        <w:pStyle w:val="Equationlegend"/>
        <w:rPr>
          <w:lang w:eastAsia="ja-JP"/>
        </w:rPr>
      </w:pPr>
      <w:r w:rsidRPr="001954AF">
        <w:rPr>
          <w:rFonts w:eastAsia="MS Mincho"/>
        </w:rPr>
        <w:tab/>
      </w:r>
      <m:oMath>
        <m:r>
          <w:rPr>
            <w:rFonts w:ascii="Cambria Math" w:hAnsi="Cambria Math"/>
            <w:lang w:eastAsia="ja-JP"/>
          </w:rPr>
          <m:t>Att</m:t>
        </m:r>
      </m:oMath>
      <w:r w:rsidRPr="001954AF">
        <w:rPr>
          <w:rFonts w:eastAsia="MS Mincho"/>
          <w:lang w:eastAsia="ja-JP"/>
        </w:rPr>
        <w:t xml:space="preserve">: </w:t>
      </w:r>
      <w:r w:rsidRPr="001954AF">
        <w:rPr>
          <w:rFonts w:eastAsia="MS Mincho"/>
          <w:lang w:eastAsia="ja-JP"/>
        </w:rPr>
        <w:tab/>
        <w:t xml:space="preserve">additional </w:t>
      </w:r>
      <w:r w:rsidRPr="001954AF">
        <w:rPr>
          <w:rFonts w:eastAsia="MS Mincho"/>
        </w:rPr>
        <w:t xml:space="preserve">attenuation that </w:t>
      </w:r>
      <w:r w:rsidRPr="001954AF">
        <w:rPr>
          <w:lang w:eastAsia="ja-JP"/>
        </w:rPr>
        <w:t>corresponds</w:t>
      </w:r>
      <w:r w:rsidRPr="001954AF">
        <w:rPr>
          <w:rFonts w:eastAsia="MS Mincho"/>
        </w:rPr>
        <w:t xml:space="preserve"> to diffraction and tropospheric scattering (Rec. ITU-R P.452) with additional clutter losses (Rec. ITU-R P.2108), dB</w:t>
      </w:r>
    </w:p>
    <w:p w:rsidR="00B63D8D" w:rsidRPr="001954AF" w:rsidRDefault="00B63D8D" w:rsidP="00B63D8D">
      <w:pPr>
        <w:pStyle w:val="Equationlegend"/>
        <w:rPr>
          <w:lang w:eastAsia="ja-JP"/>
        </w:rPr>
      </w:pPr>
      <w:r w:rsidRPr="001954AF">
        <w:rPr>
          <w:lang w:eastAsia="ja-JP"/>
        </w:rPr>
        <w:tab/>
      </w:r>
      <m:oMath>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loss</m:t>
            </m:r>
          </m:sub>
        </m:sSub>
      </m:oMath>
      <w:r w:rsidRPr="001954AF">
        <w:rPr>
          <w:lang w:eastAsia="ja-JP"/>
        </w:rPr>
        <w:t xml:space="preserve">: </w:t>
      </w:r>
      <w:r w:rsidRPr="001954AF">
        <w:rPr>
          <w:lang w:eastAsia="ja-JP"/>
        </w:rPr>
        <w:tab/>
        <w:t>3 dB polarization loss, dB</w:t>
      </w:r>
    </w:p>
    <w:p w:rsidR="00B63D8D" w:rsidRPr="001954AF" w:rsidRDefault="00B63D8D" w:rsidP="00B63D8D">
      <w:pPr>
        <w:pStyle w:val="Equationlegend"/>
        <w:rPr>
          <w:lang w:eastAsia="ja-JP"/>
        </w:rPr>
      </w:pPr>
      <w:r w:rsidRPr="001954AF">
        <w:rPr>
          <w:lang w:eastAsia="ja-JP"/>
        </w:rPr>
        <w:tab/>
      </w:r>
      <m:oMath>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loss</m:t>
            </m:r>
          </m:sub>
        </m:sSub>
      </m:oMath>
      <w:r w:rsidRPr="001954AF">
        <w:rPr>
          <w:lang w:eastAsia="ja-JP"/>
        </w:rPr>
        <w:t xml:space="preserve">: </w:t>
      </w:r>
      <w:r w:rsidRPr="001954AF">
        <w:rPr>
          <w:lang w:eastAsia="ja-JP"/>
        </w:rPr>
        <w:tab/>
        <w:t>body loss, applicable only for IMT user equipments, dB.</w:t>
      </w:r>
    </w:p>
    <w:p w:rsidR="00B63D8D" w:rsidRPr="00752DF2" w:rsidRDefault="00B63D8D" w:rsidP="00B63D8D">
      <w:pPr>
        <w:rPr>
          <w:lang w:val="en-GB" w:eastAsia="ja-JP"/>
        </w:rPr>
      </w:pPr>
      <w:r w:rsidRPr="00752DF2">
        <w:rPr>
          <w:lang w:val="en-GB" w:eastAsia="ja-JP"/>
        </w:rPr>
        <w:t xml:space="preserve">Protection of the IMT station is ensured if pfd compliance mask (see </w:t>
      </w:r>
      <w:r w:rsidRPr="00752DF2">
        <w:rPr>
          <w:rFonts w:eastAsia="MS Mincho"/>
          <w:lang w:val="en-GB"/>
        </w:rPr>
        <w:t>equation (2)</w:t>
      </w:r>
      <w:r w:rsidRPr="00752DF2">
        <w:rPr>
          <w:lang w:val="en-GB" w:eastAsia="ja-JP"/>
        </w:rPr>
        <w:t xml:space="preserve">) is smaller than pfd mask (see </w:t>
      </w:r>
      <w:r w:rsidRPr="00752DF2">
        <w:rPr>
          <w:rFonts w:eastAsia="MS Mincho"/>
          <w:lang w:val="en-GB"/>
        </w:rPr>
        <w:t>equation (1)</w:t>
      </w:r>
      <w:r w:rsidRPr="00752DF2">
        <w:rPr>
          <w:lang w:val="en-GB" w:eastAsia="ja-JP"/>
        </w:rPr>
        <w:t>).</w:t>
      </w:r>
    </w:p>
    <w:p w:rsidR="00B63D8D" w:rsidRPr="00752DF2" w:rsidRDefault="00B63D8D" w:rsidP="00B63D8D">
      <w:pPr>
        <w:pStyle w:val="Heading3"/>
        <w:rPr>
          <w:rFonts w:eastAsia="MS Mincho"/>
          <w:lang w:val="en-GB"/>
        </w:rPr>
      </w:pPr>
      <w:bookmarkStart w:id="160" w:name="_Toc530661332"/>
      <w:r w:rsidRPr="00752DF2">
        <w:rPr>
          <w:rFonts w:eastAsia="MS Mincho"/>
          <w:lang w:val="en-GB"/>
        </w:rPr>
        <w:t>1.2.5</w:t>
      </w:r>
      <w:r w:rsidRPr="00752DF2">
        <w:rPr>
          <w:rFonts w:eastAsia="MS Mincho"/>
          <w:lang w:val="en-GB"/>
        </w:rPr>
        <w:tab/>
        <w:t>Technical characteristics</w:t>
      </w:r>
      <w:bookmarkEnd w:id="160"/>
    </w:p>
    <w:p w:rsidR="00B63D8D" w:rsidRPr="00752DF2" w:rsidRDefault="00B63D8D" w:rsidP="00B63D8D">
      <w:pPr>
        <w:rPr>
          <w:lang w:val="en-GB" w:eastAsia="ja-JP"/>
        </w:rPr>
      </w:pPr>
      <w:r w:rsidRPr="00752DF2">
        <w:rPr>
          <w:lang w:val="en-GB" w:eastAsia="ja-JP"/>
        </w:rPr>
        <w:t>This section provides the specific parameters used in the sharing study.</w:t>
      </w:r>
    </w:p>
    <w:p w:rsidR="00B63D8D" w:rsidRPr="00752DF2" w:rsidRDefault="00B63D8D" w:rsidP="00B63D8D">
      <w:pPr>
        <w:pStyle w:val="Heading4"/>
        <w:rPr>
          <w:rFonts w:eastAsia="MS Mincho"/>
          <w:lang w:val="en-GB"/>
        </w:rPr>
      </w:pPr>
      <w:bookmarkStart w:id="161" w:name="_Toc530661333"/>
      <w:r w:rsidRPr="00752DF2">
        <w:rPr>
          <w:rFonts w:eastAsia="MS Mincho"/>
          <w:lang w:val="en-GB"/>
        </w:rPr>
        <w:t>1.2.5.1</w:t>
      </w:r>
      <w:r w:rsidRPr="00752DF2">
        <w:rPr>
          <w:rFonts w:eastAsia="MS Mincho"/>
          <w:lang w:val="en-GB"/>
        </w:rPr>
        <w:tab/>
        <w:t>Technical and operational characteristics of HAPS systems operating in the 47.9</w:t>
      </w:r>
      <w:r w:rsidRPr="00752DF2">
        <w:rPr>
          <w:rFonts w:eastAsia="MS Mincho"/>
          <w:lang w:val="en-GB"/>
        </w:rPr>
        <w:noBreakHyphen/>
        <w:t>48.2 GHz frequency range</w:t>
      </w:r>
      <w:bookmarkEnd w:id="161"/>
    </w:p>
    <w:p w:rsidR="00B63D8D" w:rsidRPr="00752DF2" w:rsidRDefault="00B63D8D" w:rsidP="00B63D8D">
      <w:pPr>
        <w:rPr>
          <w:lang w:val="en-GB"/>
        </w:rPr>
      </w:pPr>
      <w:r w:rsidRPr="00752DF2">
        <w:rPr>
          <w:lang w:val="en-GB"/>
        </w:rPr>
        <w:t>This section presents the HAPS parameters that were used in the studies.</w:t>
      </w:r>
    </w:p>
    <w:p w:rsidR="00B63D8D" w:rsidRPr="00752DF2" w:rsidRDefault="00B63D8D" w:rsidP="00B63D8D">
      <w:pPr>
        <w:pStyle w:val="TableNo"/>
        <w:rPr>
          <w:lang w:val="en-GB"/>
        </w:rPr>
      </w:pPr>
      <w:r w:rsidRPr="00752DF2">
        <w:rPr>
          <w:lang w:val="en-GB"/>
        </w:rPr>
        <w:t>T</w:t>
      </w:r>
      <w:r w:rsidR="00DB6B90" w:rsidRPr="00752DF2">
        <w:rPr>
          <w:lang w:val="en-GB"/>
        </w:rPr>
        <w:t>ABLE</w:t>
      </w:r>
      <w:r w:rsidRPr="00752DF2">
        <w:rPr>
          <w:lang w:val="en-GB"/>
        </w:rPr>
        <w:t xml:space="preserve"> 8</w:t>
      </w:r>
    </w:p>
    <w:p w:rsidR="00B63D8D" w:rsidRPr="00752DF2" w:rsidRDefault="00B63D8D" w:rsidP="00B63D8D">
      <w:pPr>
        <w:pStyle w:val="Tabletitle"/>
        <w:rPr>
          <w:lang w:val="en-GB"/>
        </w:rPr>
      </w:pPr>
      <w:r w:rsidRPr="00752DF2">
        <w:rPr>
          <w:lang w:val="en-GB"/>
        </w:rPr>
        <w:t>GW to HAPS (uplink) parameters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0"/>
        <w:gridCol w:w="4375"/>
      </w:tblGrid>
      <w:tr w:rsidR="00B63D8D" w:rsidRPr="001954AF" w:rsidTr="00DB6B90">
        <w:trPr>
          <w:cantSplit/>
          <w:trHeight w:val="20"/>
          <w:tblHeader/>
          <w:jc w:val="center"/>
        </w:trPr>
        <w:tc>
          <w:tcPr>
            <w:tcW w:w="2428" w:type="pct"/>
          </w:tcPr>
          <w:p w:rsidR="00B63D8D" w:rsidRPr="001954AF" w:rsidRDefault="00B63D8D" w:rsidP="00194EFE">
            <w:pPr>
              <w:pStyle w:val="Tablehead"/>
              <w:rPr>
                <w:rFonts w:eastAsia="SimSun"/>
              </w:rPr>
            </w:pPr>
            <w:r w:rsidRPr="001954AF">
              <w:rPr>
                <w:rFonts w:eastAsia="SimSun"/>
              </w:rPr>
              <w:t>Parameter</w:t>
            </w:r>
          </w:p>
        </w:tc>
        <w:tc>
          <w:tcPr>
            <w:tcW w:w="2572" w:type="pct"/>
          </w:tcPr>
          <w:p w:rsidR="00B63D8D" w:rsidRPr="001954AF" w:rsidRDefault="00B63D8D" w:rsidP="00194EFE">
            <w:pPr>
              <w:pStyle w:val="Tablehead"/>
              <w:rPr>
                <w:rFonts w:eastAsia="SimSun"/>
              </w:rPr>
            </w:pPr>
            <w:r w:rsidRPr="001954AF">
              <w:rPr>
                <w:rFonts w:eastAsia="SimSun"/>
              </w:rPr>
              <w:t>Value</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bCs/>
              </w:rPr>
            </w:pPr>
            <w:r w:rsidRPr="001954AF">
              <w:rPr>
                <w:rFonts w:eastAsia="SimSun"/>
                <w:bCs/>
              </w:rPr>
              <w:t>Frequency band (GHz)</w:t>
            </w:r>
          </w:p>
        </w:tc>
        <w:tc>
          <w:tcPr>
            <w:tcW w:w="2572" w:type="pct"/>
            <w:vAlign w:val="center"/>
          </w:tcPr>
          <w:p w:rsidR="00B63D8D" w:rsidRPr="001954AF" w:rsidRDefault="00B63D8D" w:rsidP="00194EFE">
            <w:pPr>
              <w:pStyle w:val="Tabletext"/>
              <w:jc w:val="center"/>
              <w:rPr>
                <w:rFonts w:eastAsia="SimSun"/>
                <w:bCs/>
              </w:rPr>
            </w:pPr>
            <w:r w:rsidRPr="001954AF">
              <w:rPr>
                <w:rFonts w:eastAsia="SimSun"/>
                <w:bCs/>
              </w:rPr>
              <w:t>47.9-48.2</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bCs/>
              </w:rPr>
            </w:pPr>
            <w:r w:rsidRPr="001954AF">
              <w:rPr>
                <w:rFonts w:eastAsia="SimSun"/>
                <w:bCs/>
              </w:rPr>
              <w:t>Occupied bandwidth (MHz)</w:t>
            </w:r>
          </w:p>
        </w:tc>
        <w:tc>
          <w:tcPr>
            <w:tcW w:w="2572" w:type="pct"/>
            <w:vAlign w:val="center"/>
          </w:tcPr>
          <w:p w:rsidR="00B63D8D" w:rsidRPr="001954AF" w:rsidRDefault="00B63D8D" w:rsidP="00194EFE">
            <w:pPr>
              <w:pStyle w:val="Tabletext"/>
              <w:jc w:val="center"/>
              <w:rPr>
                <w:rFonts w:eastAsia="SimSun"/>
                <w:bCs/>
              </w:rPr>
            </w:pPr>
            <w:r w:rsidRPr="001954AF">
              <w:rPr>
                <w:rFonts w:eastAsia="SimSun"/>
                <w:bCs/>
              </w:rPr>
              <w:t>285.7</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bCs/>
              </w:rPr>
            </w:pPr>
            <w:r w:rsidRPr="001954AF">
              <w:rPr>
                <w:rFonts w:eastAsia="SimSun"/>
                <w:bCs/>
              </w:rPr>
              <w:t>Deployment environment</w:t>
            </w:r>
          </w:p>
        </w:tc>
        <w:tc>
          <w:tcPr>
            <w:tcW w:w="2572" w:type="pct"/>
            <w:vAlign w:val="center"/>
          </w:tcPr>
          <w:p w:rsidR="00B63D8D" w:rsidRPr="001954AF" w:rsidRDefault="00B63D8D" w:rsidP="00194EFE">
            <w:pPr>
              <w:pStyle w:val="Tabletext"/>
              <w:jc w:val="center"/>
              <w:rPr>
                <w:rFonts w:eastAsia="SimSun"/>
                <w:bCs/>
              </w:rPr>
            </w:pPr>
            <w:r w:rsidRPr="001954AF">
              <w:rPr>
                <w:rFonts w:eastAsia="SimSun"/>
                <w:bCs/>
              </w:rPr>
              <w:t>Suburban</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bCs/>
              </w:rPr>
            </w:pPr>
            <w:r w:rsidRPr="001954AF">
              <w:rPr>
                <w:rFonts w:eastAsia="SimSun"/>
                <w:bCs/>
              </w:rPr>
              <w:t>Platform service radius (km)</w:t>
            </w:r>
          </w:p>
        </w:tc>
        <w:tc>
          <w:tcPr>
            <w:tcW w:w="2572" w:type="pct"/>
            <w:vAlign w:val="center"/>
          </w:tcPr>
          <w:p w:rsidR="00B63D8D" w:rsidRPr="001954AF" w:rsidRDefault="00B63D8D" w:rsidP="00194EFE">
            <w:pPr>
              <w:pStyle w:val="Tabletext"/>
              <w:jc w:val="center"/>
              <w:rPr>
                <w:rFonts w:eastAsia="SimSun"/>
                <w:bCs/>
              </w:rPr>
            </w:pPr>
            <w:r w:rsidRPr="001954AF">
              <w:rPr>
                <w:rFonts w:eastAsia="SimSun"/>
                <w:bCs/>
              </w:rPr>
              <w:t xml:space="preserve">50 </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rPr>
            </w:pPr>
            <w:r w:rsidRPr="001954AF">
              <w:rPr>
                <w:rFonts w:eastAsia="SimSun"/>
              </w:rPr>
              <w:t>Platform altitude (k)</w:t>
            </w:r>
          </w:p>
        </w:tc>
        <w:tc>
          <w:tcPr>
            <w:tcW w:w="2572" w:type="pct"/>
            <w:vAlign w:val="center"/>
          </w:tcPr>
          <w:p w:rsidR="00B63D8D" w:rsidRPr="001954AF" w:rsidRDefault="00B63D8D" w:rsidP="00194EFE">
            <w:pPr>
              <w:pStyle w:val="Tabletext"/>
              <w:jc w:val="center"/>
            </w:pPr>
            <w:r w:rsidRPr="001954AF">
              <w:t xml:space="preserve">20 </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rPr>
            </w:pPr>
            <w:r w:rsidRPr="001954AF">
              <w:rPr>
                <w:rFonts w:eastAsia="SimSun"/>
              </w:rPr>
              <w:t>Num. of beams</w:t>
            </w:r>
          </w:p>
        </w:tc>
        <w:tc>
          <w:tcPr>
            <w:tcW w:w="2572" w:type="pct"/>
            <w:vAlign w:val="center"/>
          </w:tcPr>
          <w:p w:rsidR="00B63D8D" w:rsidRPr="001954AF" w:rsidRDefault="00B63D8D" w:rsidP="00194EFE">
            <w:pPr>
              <w:pStyle w:val="Tabletext"/>
              <w:jc w:val="center"/>
            </w:pPr>
            <w:r w:rsidRPr="001954AF">
              <w:t>1</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rPr>
            </w:pPr>
            <w:r w:rsidRPr="001954AF">
              <w:rPr>
                <w:rFonts w:eastAsia="SimSun"/>
              </w:rPr>
              <w:t>Num. co-frequency beams</w:t>
            </w:r>
          </w:p>
        </w:tc>
        <w:tc>
          <w:tcPr>
            <w:tcW w:w="2572" w:type="pct"/>
            <w:vAlign w:val="center"/>
          </w:tcPr>
          <w:p w:rsidR="00B63D8D" w:rsidRPr="001954AF" w:rsidRDefault="00B63D8D" w:rsidP="00194EFE">
            <w:pPr>
              <w:pStyle w:val="Tabletext"/>
              <w:jc w:val="center"/>
            </w:pPr>
            <w:r w:rsidRPr="001954AF">
              <w:t>1</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rPr>
            </w:pPr>
            <w:r w:rsidRPr="001954AF">
              <w:rPr>
                <w:rFonts w:eastAsia="SimSun"/>
              </w:rPr>
              <w:t>GW antenna height (m)</w:t>
            </w:r>
          </w:p>
        </w:tc>
        <w:tc>
          <w:tcPr>
            <w:tcW w:w="2572" w:type="pct"/>
            <w:vAlign w:val="center"/>
          </w:tcPr>
          <w:p w:rsidR="00B63D8D" w:rsidRPr="001954AF" w:rsidRDefault="00B63D8D" w:rsidP="00194EFE">
            <w:pPr>
              <w:pStyle w:val="Tabletext"/>
              <w:jc w:val="center"/>
            </w:pPr>
            <w:r w:rsidRPr="001954AF">
              <w:t>10</w:t>
            </w:r>
          </w:p>
        </w:tc>
      </w:tr>
      <w:tr w:rsidR="00B63D8D" w:rsidRPr="00481A00" w:rsidTr="00DB6B90">
        <w:trPr>
          <w:cantSplit/>
          <w:trHeight w:val="20"/>
          <w:jc w:val="center"/>
        </w:trPr>
        <w:tc>
          <w:tcPr>
            <w:tcW w:w="2428" w:type="pct"/>
            <w:vAlign w:val="center"/>
          </w:tcPr>
          <w:p w:rsidR="00B63D8D" w:rsidRPr="001954AF" w:rsidRDefault="00B63D8D" w:rsidP="00194EFE">
            <w:pPr>
              <w:pStyle w:val="Tabletext"/>
              <w:rPr>
                <w:rFonts w:eastAsia="SimSun"/>
              </w:rPr>
            </w:pPr>
            <w:r w:rsidRPr="001954AF">
              <w:rPr>
                <w:rFonts w:eastAsia="SimSun"/>
              </w:rPr>
              <w:t>GW antenna pattern</w:t>
            </w:r>
          </w:p>
        </w:tc>
        <w:tc>
          <w:tcPr>
            <w:tcW w:w="2572" w:type="pct"/>
            <w:vAlign w:val="center"/>
          </w:tcPr>
          <w:p w:rsidR="00B63D8D" w:rsidRPr="00752DF2" w:rsidRDefault="00B63D8D" w:rsidP="00194EFE">
            <w:pPr>
              <w:pStyle w:val="Tabletext"/>
              <w:jc w:val="center"/>
              <w:rPr>
                <w:lang w:val="en-GB"/>
              </w:rPr>
            </w:pPr>
            <w:r w:rsidRPr="00752DF2">
              <w:rPr>
                <w:i/>
                <w:lang w:val="en-GB"/>
              </w:rPr>
              <w:t xml:space="preserve">Resolves </w:t>
            </w:r>
            <w:r w:rsidRPr="00752DF2">
              <w:rPr>
                <w:iCs/>
                <w:lang w:val="en-GB"/>
              </w:rPr>
              <w:t>3</w:t>
            </w:r>
            <w:r w:rsidRPr="00752DF2">
              <w:rPr>
                <w:lang w:val="en-GB"/>
              </w:rPr>
              <w:t xml:space="preserve"> in Resolution </w:t>
            </w:r>
            <w:r w:rsidRPr="00752DF2">
              <w:rPr>
                <w:b/>
                <w:bCs/>
                <w:lang w:val="en-GB"/>
              </w:rPr>
              <w:t>122 (Rev.WRC-07)</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rPr>
            </w:pPr>
            <w:r w:rsidRPr="001954AF">
              <w:rPr>
                <w:rFonts w:eastAsia="SimSun"/>
              </w:rPr>
              <w:t>GW antenna gain (dBi)</w:t>
            </w:r>
          </w:p>
        </w:tc>
        <w:tc>
          <w:tcPr>
            <w:tcW w:w="2572" w:type="pct"/>
            <w:vAlign w:val="center"/>
          </w:tcPr>
          <w:p w:rsidR="00B63D8D" w:rsidRPr="001954AF" w:rsidRDefault="00B63D8D" w:rsidP="00194EFE">
            <w:pPr>
              <w:pStyle w:val="Tabletext"/>
              <w:jc w:val="center"/>
            </w:pPr>
            <w:r w:rsidRPr="001954AF">
              <w:t>58.2</w:t>
            </w:r>
          </w:p>
        </w:tc>
      </w:tr>
      <w:tr w:rsidR="00B63D8D" w:rsidRPr="001954AF" w:rsidTr="00DB6B90">
        <w:trPr>
          <w:cantSplit/>
          <w:trHeight w:val="20"/>
          <w:jc w:val="center"/>
        </w:trPr>
        <w:tc>
          <w:tcPr>
            <w:tcW w:w="2428" w:type="pct"/>
            <w:vAlign w:val="center"/>
          </w:tcPr>
          <w:p w:rsidR="00B63D8D" w:rsidRPr="001954AF" w:rsidRDefault="00B63D8D" w:rsidP="00194EFE">
            <w:pPr>
              <w:pStyle w:val="Tabletext"/>
              <w:rPr>
                <w:rFonts w:eastAsia="SimSun"/>
              </w:rPr>
            </w:pPr>
            <w:r w:rsidRPr="001954AF">
              <w:rPr>
                <w:rFonts w:eastAsia="SimSun"/>
                <w:bCs/>
              </w:rPr>
              <w:t xml:space="preserve">GW </w:t>
            </w:r>
            <w:r w:rsidRPr="001954AF">
              <w:rPr>
                <w:lang w:eastAsia="ja-JP"/>
              </w:rPr>
              <w:t>e.i.r.p. (</w:t>
            </w:r>
            <w:r w:rsidRPr="001954AF">
              <w:t>dBW)</w:t>
            </w:r>
          </w:p>
        </w:tc>
        <w:tc>
          <w:tcPr>
            <w:tcW w:w="2572" w:type="pct"/>
            <w:vAlign w:val="center"/>
          </w:tcPr>
          <w:p w:rsidR="00B63D8D" w:rsidRPr="001954AF" w:rsidRDefault="00B63D8D" w:rsidP="00194EFE">
            <w:pPr>
              <w:pStyle w:val="Tabletext"/>
              <w:jc w:val="center"/>
            </w:pPr>
            <w:r w:rsidRPr="001954AF">
              <w:t xml:space="preserve">68.2 </w:t>
            </w:r>
          </w:p>
        </w:tc>
      </w:tr>
      <w:tr w:rsidR="00B63D8D" w:rsidRPr="001954AF" w:rsidTr="00DB6B90">
        <w:trPr>
          <w:cantSplit/>
          <w:trHeight w:val="20"/>
          <w:jc w:val="center"/>
        </w:trPr>
        <w:tc>
          <w:tcPr>
            <w:tcW w:w="2428" w:type="pct"/>
            <w:vAlign w:val="center"/>
          </w:tcPr>
          <w:p w:rsidR="00B63D8D" w:rsidRPr="00752DF2" w:rsidRDefault="00B63D8D" w:rsidP="00194EFE">
            <w:pPr>
              <w:pStyle w:val="Tabletext"/>
              <w:rPr>
                <w:rFonts w:eastAsia="SimSun"/>
                <w:bCs/>
                <w:lang w:val="en-GB"/>
              </w:rPr>
            </w:pPr>
            <w:r w:rsidRPr="00752DF2">
              <w:rPr>
                <w:rFonts w:eastAsia="SimSun"/>
                <w:bCs/>
                <w:lang w:val="en-GB"/>
              </w:rPr>
              <w:t xml:space="preserve">GW </w:t>
            </w:r>
            <w:r w:rsidRPr="00752DF2">
              <w:rPr>
                <w:lang w:val="en-GB" w:eastAsia="ja-JP"/>
              </w:rPr>
              <w:t xml:space="preserve">e.i.r.p. </w:t>
            </w:r>
            <w:r w:rsidRPr="00752DF2">
              <w:rPr>
                <w:rFonts w:eastAsia="SimSun"/>
                <w:bCs/>
                <w:lang w:val="en-GB"/>
              </w:rPr>
              <w:t>spectral density (dB(W/MHz))</w:t>
            </w:r>
          </w:p>
        </w:tc>
        <w:tc>
          <w:tcPr>
            <w:tcW w:w="2572" w:type="pct"/>
            <w:vAlign w:val="center"/>
          </w:tcPr>
          <w:p w:rsidR="00B63D8D" w:rsidRPr="001954AF" w:rsidRDefault="00B63D8D" w:rsidP="00194EFE">
            <w:pPr>
              <w:pStyle w:val="Tabletext"/>
              <w:jc w:val="center"/>
              <w:rPr>
                <w:rFonts w:eastAsia="SimSun"/>
                <w:bCs/>
              </w:rPr>
            </w:pPr>
            <w:r w:rsidRPr="001954AF">
              <w:rPr>
                <w:rFonts w:eastAsia="SimSun"/>
                <w:bCs/>
              </w:rPr>
              <w:t xml:space="preserve">39.2 </w:t>
            </w:r>
          </w:p>
        </w:tc>
      </w:tr>
    </w:tbl>
    <w:p w:rsidR="00B63D8D" w:rsidRPr="001954AF" w:rsidRDefault="00B63D8D" w:rsidP="00B63D8D">
      <w:pPr>
        <w:pStyle w:val="Tablefin"/>
      </w:pPr>
    </w:p>
    <w:p w:rsidR="00B63D8D" w:rsidRPr="00752DF2" w:rsidRDefault="00B63D8D" w:rsidP="00B63D8D">
      <w:pPr>
        <w:rPr>
          <w:szCs w:val="24"/>
          <w:lang w:val="en-GB"/>
        </w:rPr>
      </w:pPr>
      <w:r w:rsidRPr="00752DF2">
        <w:rPr>
          <w:lang w:val="en-GB"/>
        </w:rPr>
        <w:t xml:space="preserve">The antenna pattern used in the HAPS gateway is described in </w:t>
      </w:r>
      <w:r w:rsidRPr="00752DF2">
        <w:rPr>
          <w:i/>
          <w:lang w:val="en-GB"/>
        </w:rPr>
        <w:t xml:space="preserve">resolves </w:t>
      </w:r>
      <w:r w:rsidRPr="00752DF2">
        <w:rPr>
          <w:iCs/>
          <w:lang w:val="en-GB"/>
        </w:rPr>
        <w:t>3</w:t>
      </w:r>
      <w:r w:rsidRPr="00752DF2">
        <w:rPr>
          <w:lang w:val="en-GB"/>
        </w:rPr>
        <w:t xml:space="preserve"> of Resolution </w:t>
      </w:r>
      <w:r w:rsidRPr="00752DF2">
        <w:rPr>
          <w:b/>
          <w:lang w:val="en-GB"/>
        </w:rPr>
        <w:t>122 (Rev.WRC-07)</w:t>
      </w:r>
      <w:r w:rsidRPr="00752DF2">
        <w:rPr>
          <w:lang w:val="en-GB"/>
        </w:rPr>
        <w:t xml:space="preserve"> and it is illustrated in Fig. 7</w:t>
      </w:r>
      <w:r w:rsidRPr="00752DF2">
        <w:rPr>
          <w:szCs w:val="24"/>
          <w:lang w:val="en-GB"/>
        </w:rPr>
        <w:t>.</w:t>
      </w:r>
    </w:p>
    <w:p w:rsidR="00B63D8D" w:rsidRPr="00752DF2" w:rsidRDefault="00B63D8D" w:rsidP="00B63D8D">
      <w:pPr>
        <w:pStyle w:val="FigureNo"/>
        <w:rPr>
          <w:lang w:val="en-GB"/>
        </w:rPr>
      </w:pPr>
      <w:r w:rsidRPr="00752DF2">
        <w:rPr>
          <w:lang w:val="en-GB"/>
        </w:rPr>
        <w:t>Figure 7</w:t>
      </w:r>
    </w:p>
    <w:p w:rsidR="00B63D8D" w:rsidRPr="00752DF2" w:rsidRDefault="00B63D8D" w:rsidP="00B63D8D">
      <w:pPr>
        <w:pStyle w:val="Figuretitle"/>
        <w:rPr>
          <w:lang w:val="en-GB"/>
        </w:rPr>
      </w:pPr>
      <w:r w:rsidRPr="00752DF2">
        <w:rPr>
          <w:lang w:val="en-GB"/>
        </w:rPr>
        <w:t>Antenna pattern as described in Resolution 122 (Rev.WRC-07)</w:t>
      </w:r>
    </w:p>
    <w:p w:rsidR="00B63D8D" w:rsidRPr="001954AF" w:rsidRDefault="00B63D8D" w:rsidP="00B63D8D">
      <w:pPr>
        <w:pStyle w:val="Figure"/>
      </w:pPr>
      <w:r w:rsidRPr="001954AF">
        <w:rPr>
          <w:noProof/>
          <w:lang w:val="en-GB" w:eastAsia="en-GB"/>
        </w:rPr>
        <w:drawing>
          <wp:inline distT="0" distB="0" distL="0" distR="0" wp14:anchorId="3496E3AE" wp14:editId="1BA96002">
            <wp:extent cx="4127500" cy="3315658"/>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S GW antenna pattern.png"/>
                    <pic:cNvPicPr/>
                  </pic:nvPicPr>
                  <pic:blipFill rotWithShape="1">
                    <a:blip r:embed="rId22">
                      <a:extLst>
                        <a:ext uri="{28A0092B-C50C-407E-A947-70E740481C1C}">
                          <a14:useLocalDpi xmlns:a14="http://schemas.microsoft.com/office/drawing/2010/main" val="0"/>
                        </a:ext>
                      </a:extLst>
                    </a:blip>
                    <a:srcRect t="9579" r="7512"/>
                    <a:stretch/>
                  </pic:blipFill>
                  <pic:spPr bwMode="auto">
                    <a:xfrm>
                      <a:off x="0" y="0"/>
                      <a:ext cx="4145067" cy="3329769"/>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B63D8D">
      <w:pPr>
        <w:pStyle w:val="Heading4"/>
        <w:rPr>
          <w:rFonts w:eastAsia="MS Mincho"/>
          <w:lang w:val="en-GB"/>
        </w:rPr>
      </w:pPr>
      <w:bookmarkStart w:id="162" w:name="_Ref513514417"/>
      <w:bookmarkStart w:id="163" w:name="_Toc530661334"/>
      <w:r w:rsidRPr="00752DF2">
        <w:rPr>
          <w:rFonts w:eastAsia="MS Mincho"/>
          <w:lang w:val="en-GB"/>
        </w:rPr>
        <w:t>1.2.5.2</w:t>
      </w:r>
      <w:r w:rsidRPr="00752DF2">
        <w:rPr>
          <w:rFonts w:eastAsia="MS Mincho"/>
          <w:lang w:val="en-GB"/>
        </w:rPr>
        <w:tab/>
        <w:t>Technical and operational characteristics of IMT-2020 systems operating in the 47.9</w:t>
      </w:r>
      <w:r w:rsidR="00AF0B77">
        <w:rPr>
          <w:rFonts w:eastAsia="MS Mincho"/>
          <w:lang w:val="en-GB"/>
        </w:rPr>
        <w:noBreakHyphen/>
      </w:r>
      <w:r w:rsidRPr="00752DF2">
        <w:rPr>
          <w:rFonts w:eastAsia="MS Mincho"/>
          <w:lang w:val="en-GB"/>
        </w:rPr>
        <w:t>48.2 GHz frequency range</w:t>
      </w:r>
      <w:bookmarkEnd w:id="162"/>
      <w:bookmarkEnd w:id="163"/>
    </w:p>
    <w:p w:rsidR="00B63D8D" w:rsidRPr="00752DF2" w:rsidRDefault="00B63D8D" w:rsidP="00B63D8D">
      <w:pPr>
        <w:rPr>
          <w:lang w:val="en-GB" w:eastAsia="ja-JP"/>
        </w:rPr>
      </w:pPr>
      <w:r w:rsidRPr="00752DF2">
        <w:rPr>
          <w:lang w:val="en-GB" w:eastAsia="ja-JP"/>
        </w:rPr>
        <w:t xml:space="preserve">These studies focus on an outdoor suburban hotspot scenario, with parameters provided by the relevant group. </w:t>
      </w:r>
    </w:p>
    <w:p w:rsidR="00B63D8D" w:rsidRPr="00752DF2" w:rsidRDefault="00B63D8D" w:rsidP="00B63D8D">
      <w:pPr>
        <w:rPr>
          <w:szCs w:val="24"/>
          <w:lang w:val="en-GB" w:eastAsia="ja-JP"/>
        </w:rPr>
      </w:pPr>
      <w:r w:rsidRPr="00752DF2">
        <w:rPr>
          <w:lang w:val="en-GB" w:eastAsia="ja-JP"/>
        </w:rPr>
        <w:t>The considered deployment scenario is a heterogeneous network with randomly distributed hotspots within a macro-cell network. The study models an IMT-2020 system as a cluster with 57 sectors, deployed over a very large area, with two outdoor hotspot base stations (BS) located randomly within each sector. Because macro-cells typically operate in lower frequencies, they are not considered in the simulations. The IMT network topology is illustrated in Fig. 8</w:t>
      </w:r>
      <w:r w:rsidRPr="00752DF2">
        <w:rPr>
          <w:szCs w:val="24"/>
          <w:lang w:val="en-GB" w:eastAsia="ja-JP"/>
        </w:rPr>
        <w:t>.</w:t>
      </w:r>
    </w:p>
    <w:p w:rsidR="00B63D8D" w:rsidRPr="00752DF2" w:rsidRDefault="00B63D8D" w:rsidP="00B63D8D">
      <w:pPr>
        <w:pStyle w:val="FigureNo"/>
        <w:rPr>
          <w:lang w:val="en-GB"/>
        </w:rPr>
      </w:pPr>
      <w:bookmarkStart w:id="164" w:name="_Ref529902816"/>
      <w:r w:rsidRPr="00752DF2">
        <w:rPr>
          <w:lang w:val="en-GB"/>
        </w:rPr>
        <w:t>Figure 8</w:t>
      </w:r>
      <w:bookmarkEnd w:id="164"/>
    </w:p>
    <w:p w:rsidR="00B63D8D" w:rsidRPr="00752DF2" w:rsidRDefault="00B63D8D" w:rsidP="00B63D8D">
      <w:pPr>
        <w:pStyle w:val="Figuretitle"/>
        <w:rPr>
          <w:lang w:val="en-GB"/>
        </w:rPr>
      </w:pPr>
      <w:r w:rsidRPr="00752DF2">
        <w:rPr>
          <w:lang w:val="en-GB"/>
        </w:rPr>
        <w:t>IMT network topology</w:t>
      </w:r>
    </w:p>
    <w:p w:rsidR="00B63D8D" w:rsidRPr="001954AF" w:rsidRDefault="00B63D8D" w:rsidP="00B63D8D">
      <w:pPr>
        <w:pStyle w:val="Figure"/>
        <w:rPr>
          <w:lang w:eastAsia="ja-JP"/>
        </w:rPr>
      </w:pPr>
      <w:r w:rsidRPr="001954AF">
        <w:rPr>
          <w:noProof/>
          <w:lang w:val="en-GB" w:eastAsia="en-GB"/>
        </w:rPr>
        <w:drawing>
          <wp:inline distT="0" distB="0" distL="0" distR="0" wp14:anchorId="4BD4DF61" wp14:editId="408A5DFC">
            <wp:extent cx="3511296" cy="3123702"/>
            <wp:effectExtent l="0" t="0" r="0" b="635"/>
            <wp:docPr id="7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scenario.png"/>
                    <pic:cNvPicPr/>
                  </pic:nvPicPr>
                  <pic:blipFill>
                    <a:blip r:embed="rId23">
                      <a:extLst>
                        <a:ext uri="{28A0092B-C50C-407E-A947-70E740481C1C}">
                          <a14:useLocalDpi xmlns:a14="http://schemas.microsoft.com/office/drawing/2010/main" val="0"/>
                        </a:ext>
                      </a:extLst>
                    </a:blip>
                    <a:stretch>
                      <a:fillRect/>
                    </a:stretch>
                  </pic:blipFill>
                  <pic:spPr>
                    <a:xfrm>
                      <a:off x="0" y="0"/>
                      <a:ext cx="3511296" cy="3123702"/>
                    </a:xfrm>
                    <a:prstGeom prst="rect">
                      <a:avLst/>
                    </a:prstGeom>
                  </pic:spPr>
                </pic:pic>
              </a:graphicData>
            </a:graphic>
          </wp:inline>
        </w:drawing>
      </w:r>
    </w:p>
    <w:p w:rsidR="00B63D8D" w:rsidRPr="00752DF2" w:rsidRDefault="00B63D8D" w:rsidP="00B63D8D">
      <w:pPr>
        <w:rPr>
          <w:rFonts w:eastAsia="MS Mincho"/>
          <w:lang w:val="en-GB"/>
        </w:rPr>
      </w:pPr>
      <w:r w:rsidRPr="00752DF2">
        <w:rPr>
          <w:rFonts w:eastAsia="MS Mincho"/>
          <w:lang w:val="en-GB"/>
        </w:rPr>
        <w:t xml:space="preserve">The IMT user equipment (UE) are distributed within the hotspot coverage area, with a Rayleigh distribution with scale parameter </w:t>
      </w:r>
      <m:oMath>
        <m:sSub>
          <m:sSubPr>
            <m:ctrlPr>
              <w:rPr>
                <w:rFonts w:ascii="Cambria Math" w:hAnsi="Cambria Math"/>
                <w:i/>
                <w:sz w:val="22"/>
                <w:szCs w:val="22"/>
              </w:rPr>
            </m:ctrlPr>
          </m:sSubPr>
          <m:e>
            <m:r>
              <m:rPr>
                <m:sty m:val="p"/>
              </m:rPr>
              <w:rPr>
                <w:rFonts w:ascii="Cambria Math" w:hAnsi="Cambria Math"/>
                <w:sz w:val="22"/>
                <w:szCs w:val="22"/>
              </w:rPr>
              <m:t>σ</m:t>
            </m:r>
          </m:e>
          <m:sub>
            <m:r>
              <w:rPr>
                <w:rFonts w:ascii="Cambria Math" w:hAnsi="Cambria Math"/>
                <w:sz w:val="22"/>
                <w:szCs w:val="22"/>
              </w:rPr>
              <m:t>d</m:t>
            </m:r>
          </m:sub>
        </m:sSub>
        <m:r>
          <w:rPr>
            <w:rFonts w:ascii="Cambria Math" w:hAnsi="Cambria Math"/>
            <w:sz w:val="22"/>
            <w:szCs w:val="22"/>
            <w:lang w:val="en-GB"/>
          </w:rPr>
          <m:t xml:space="preserve"> = 32</m:t>
        </m:r>
      </m:oMath>
      <w:r w:rsidRPr="00752DF2">
        <w:rPr>
          <w:rFonts w:eastAsia="MS Mincho"/>
          <w:lang w:val="en-GB"/>
        </w:rPr>
        <w:t xml:space="preserve"> m for the distance between UE and BS hotspot, and a normal distribution for the azimuth between them, truncated at the ±60° range, with mean </w:t>
      </w:r>
      <m:oMath>
        <m:sSub>
          <m:sSubPr>
            <m:ctrlPr>
              <w:rPr>
                <w:rFonts w:ascii="Cambria Math" w:hAnsi="Cambria Math"/>
                <w:i/>
                <w:sz w:val="22"/>
                <w:szCs w:val="22"/>
              </w:rPr>
            </m:ctrlPr>
          </m:sSubPr>
          <m:e>
            <m:r>
              <m:rPr>
                <m:sty m:val="p"/>
              </m:rPr>
              <w:rPr>
                <w:rFonts w:ascii="Cambria Math" w:hAnsi="Cambria Math"/>
                <w:sz w:val="22"/>
                <w:szCs w:val="22"/>
              </w:rPr>
              <m:t>μ</m:t>
            </m:r>
          </m:e>
          <m:sub>
            <m:r>
              <w:rPr>
                <w:rFonts w:ascii="Cambria Math" w:hAnsi="Cambria Math"/>
                <w:sz w:val="22"/>
                <w:szCs w:val="22"/>
              </w:rPr>
              <m:t>a</m:t>
            </m:r>
          </m:sub>
        </m:sSub>
        <m:r>
          <w:rPr>
            <w:rFonts w:ascii="Cambria Math" w:hAnsi="Cambria Math"/>
            <w:sz w:val="22"/>
            <w:szCs w:val="22"/>
            <w:lang w:val="en-GB"/>
          </w:rPr>
          <m:t xml:space="preserve"> = 0°</m:t>
        </m:r>
      </m:oMath>
      <w:r w:rsidRPr="00752DF2">
        <w:rPr>
          <w:rFonts w:eastAsia="MS Mincho"/>
          <w:lang w:val="en-GB"/>
        </w:rPr>
        <w:t xml:space="preserve"> and standard deviation </w:t>
      </w:r>
      <m:oMath>
        <m:sSub>
          <m:sSubPr>
            <m:ctrlPr>
              <w:rPr>
                <w:rFonts w:ascii="Cambria Math" w:hAnsi="Cambria Math"/>
                <w:i/>
                <w:sz w:val="22"/>
                <w:szCs w:val="22"/>
              </w:rPr>
            </m:ctrlPr>
          </m:sSubPr>
          <m:e>
            <m:r>
              <m:rPr>
                <m:sty m:val="p"/>
              </m:rPr>
              <w:rPr>
                <w:rFonts w:ascii="Cambria Math" w:hAnsi="Cambria Math"/>
                <w:sz w:val="22"/>
                <w:szCs w:val="22"/>
              </w:rPr>
              <m:t>σ</m:t>
            </m:r>
          </m:e>
          <m:sub>
            <m:r>
              <w:rPr>
                <w:rFonts w:ascii="Cambria Math" w:hAnsi="Cambria Math"/>
                <w:sz w:val="22"/>
                <w:szCs w:val="22"/>
              </w:rPr>
              <m:t>a</m:t>
            </m:r>
          </m:sub>
        </m:sSub>
        <m:r>
          <w:rPr>
            <w:rFonts w:ascii="Cambria Math" w:hAnsi="Cambria Math"/>
            <w:sz w:val="22"/>
            <w:szCs w:val="22"/>
            <w:lang w:val="en-GB"/>
          </w:rPr>
          <m:t xml:space="preserve"> = 30°</m:t>
        </m:r>
      </m:oMath>
      <w:r w:rsidRPr="00752DF2">
        <w:rPr>
          <w:rFonts w:eastAsia="MS Mincho"/>
          <w:lang w:val="en-GB"/>
        </w:rPr>
        <w:t>.</w:t>
      </w:r>
    </w:p>
    <w:p w:rsidR="00B63D8D" w:rsidRPr="00752DF2" w:rsidRDefault="00B63D8D" w:rsidP="00B63D8D">
      <w:pPr>
        <w:rPr>
          <w:rFonts w:eastAsia="MS Mincho"/>
          <w:lang w:val="en-GB"/>
        </w:rPr>
      </w:pPr>
      <w:r w:rsidRPr="00752DF2">
        <w:rPr>
          <w:rFonts w:eastAsia="MS Mincho"/>
          <w:lang w:val="en-GB"/>
        </w:rPr>
        <w:t>Hotspot base stations and their respective served UEs are simulated over the whole study area, resulting in different elevation angles for each link; for each one, the IMT antenna gain towards the HAPS is calculated. Therefore, all possible deployment scenarios with respect to elevation angles are being considered. The directions of BS antenna beams towards UEs, and vice-versa, are calculated with full compliance with the input documents from relevant groups.</w:t>
      </w:r>
    </w:p>
    <w:p w:rsidR="00B63D8D" w:rsidRPr="00752DF2" w:rsidRDefault="00B63D8D" w:rsidP="00B63D8D">
      <w:pPr>
        <w:rPr>
          <w:rFonts w:eastAsia="MS Mincho"/>
          <w:lang w:val="en-GB"/>
        </w:rPr>
      </w:pPr>
      <w:r w:rsidRPr="00752DF2">
        <w:rPr>
          <w:rFonts w:eastAsia="MS Mincho"/>
          <w:lang w:val="en-GB"/>
        </w:rPr>
        <w:t>The following subsections present the main IMT system and deployment-related parameters that were used in the studies.</w:t>
      </w:r>
    </w:p>
    <w:p w:rsidR="00B63D8D" w:rsidRPr="00752DF2" w:rsidRDefault="00B63D8D" w:rsidP="00B63D8D">
      <w:pPr>
        <w:pStyle w:val="Heading5"/>
        <w:rPr>
          <w:rFonts w:eastAsia="MS Mincho"/>
          <w:lang w:val="en-GB"/>
        </w:rPr>
      </w:pPr>
      <w:bookmarkStart w:id="165" w:name="_Ref513386653"/>
      <w:bookmarkStart w:id="166" w:name="_Toc530661335"/>
      <w:r w:rsidRPr="00752DF2">
        <w:rPr>
          <w:rFonts w:eastAsia="MS Mincho"/>
          <w:lang w:val="en-GB"/>
        </w:rPr>
        <w:t>1.2.5.2.1</w:t>
      </w:r>
      <w:r w:rsidRPr="00752DF2">
        <w:rPr>
          <w:rFonts w:eastAsia="MS Mincho"/>
          <w:lang w:val="en-GB"/>
        </w:rPr>
        <w:tab/>
        <w:t>System-related parameters</w:t>
      </w:r>
      <w:bookmarkEnd w:id="165"/>
      <w:bookmarkEnd w:id="166"/>
    </w:p>
    <w:p w:rsidR="00B63D8D" w:rsidRPr="00752DF2" w:rsidRDefault="00B63D8D" w:rsidP="00B63D8D">
      <w:pPr>
        <w:pStyle w:val="TableNo"/>
        <w:rPr>
          <w:lang w:val="en-GB"/>
        </w:rPr>
      </w:pPr>
      <w:r w:rsidRPr="00752DF2">
        <w:rPr>
          <w:lang w:val="en-GB"/>
        </w:rPr>
        <w:t>T</w:t>
      </w:r>
      <w:r w:rsidR="00875B79" w:rsidRPr="00752DF2">
        <w:rPr>
          <w:lang w:val="en-GB"/>
        </w:rPr>
        <w:t>ABLE</w:t>
      </w:r>
      <w:r w:rsidRPr="00752DF2">
        <w:rPr>
          <w:lang w:val="en-GB"/>
        </w:rPr>
        <w:t xml:space="preserve"> 9</w:t>
      </w:r>
    </w:p>
    <w:p w:rsidR="00B63D8D" w:rsidRPr="00752DF2" w:rsidRDefault="00B63D8D" w:rsidP="00B63D8D">
      <w:pPr>
        <w:pStyle w:val="Tabletitle"/>
        <w:rPr>
          <w:lang w:val="en-GB"/>
        </w:rPr>
      </w:pPr>
      <w:r w:rsidRPr="00752DF2">
        <w:rPr>
          <w:lang w:val="en-GB"/>
        </w:rPr>
        <w:t>IMT-2020 system-related parameters</w:t>
      </w:r>
    </w:p>
    <w:tbl>
      <w:tblPr>
        <w:tblW w:w="3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0"/>
        <w:gridCol w:w="4377"/>
      </w:tblGrid>
      <w:tr w:rsidR="00B63D8D" w:rsidRPr="001954AF" w:rsidTr="00194EFE">
        <w:trPr>
          <w:cantSplit/>
          <w:trHeight w:val="20"/>
          <w:tblHeader/>
          <w:jc w:val="center"/>
        </w:trPr>
        <w:tc>
          <w:tcPr>
            <w:tcW w:w="2065" w:type="pct"/>
          </w:tcPr>
          <w:p w:rsidR="00B63D8D" w:rsidRPr="001954AF" w:rsidRDefault="00B63D8D" w:rsidP="00194EFE">
            <w:pPr>
              <w:pStyle w:val="Tablehead"/>
              <w:rPr>
                <w:rFonts w:eastAsia="SimSun"/>
              </w:rPr>
            </w:pPr>
            <w:r w:rsidRPr="001954AF">
              <w:rPr>
                <w:rFonts w:eastAsia="SimSun"/>
              </w:rPr>
              <w:t>Parameter</w:t>
            </w:r>
          </w:p>
        </w:tc>
        <w:tc>
          <w:tcPr>
            <w:tcW w:w="2935" w:type="pct"/>
          </w:tcPr>
          <w:p w:rsidR="00B63D8D" w:rsidRPr="001954AF" w:rsidRDefault="00B63D8D" w:rsidP="00194EFE">
            <w:pPr>
              <w:pStyle w:val="Tablehead"/>
              <w:rPr>
                <w:rFonts w:eastAsia="SimSun"/>
              </w:rPr>
            </w:pPr>
            <w:r w:rsidRPr="001954AF">
              <w:rPr>
                <w:rFonts w:eastAsia="SimSun"/>
              </w:rPr>
              <w:t>Value</w:t>
            </w:r>
          </w:p>
        </w:tc>
      </w:tr>
      <w:tr w:rsidR="00B63D8D" w:rsidRPr="001954AF" w:rsidTr="00194EFE">
        <w:trPr>
          <w:cantSplit/>
          <w:trHeight w:val="20"/>
          <w:jc w:val="center"/>
        </w:trPr>
        <w:tc>
          <w:tcPr>
            <w:tcW w:w="2065" w:type="pct"/>
          </w:tcPr>
          <w:p w:rsidR="00B63D8D" w:rsidRPr="001954AF" w:rsidRDefault="00B63D8D" w:rsidP="00194EFE">
            <w:pPr>
              <w:pStyle w:val="Tabletext"/>
              <w:rPr>
                <w:rFonts w:eastAsia="SimSun"/>
                <w:bCs/>
              </w:rPr>
            </w:pPr>
            <w:r w:rsidRPr="001954AF">
              <w:rPr>
                <w:rFonts w:eastAsia="SimSun"/>
                <w:bCs/>
              </w:rPr>
              <w:t>Frequency band (GHz)</w:t>
            </w:r>
          </w:p>
        </w:tc>
        <w:tc>
          <w:tcPr>
            <w:tcW w:w="2935" w:type="pct"/>
          </w:tcPr>
          <w:p w:rsidR="00B63D8D" w:rsidRPr="001954AF" w:rsidRDefault="00B63D8D" w:rsidP="00194EFE">
            <w:pPr>
              <w:pStyle w:val="Tabletext"/>
              <w:jc w:val="center"/>
              <w:rPr>
                <w:rFonts w:eastAsia="SimSun"/>
                <w:bCs/>
              </w:rPr>
            </w:pPr>
            <w:r w:rsidRPr="001954AF">
              <w:rPr>
                <w:rFonts w:eastAsia="SimSun"/>
                <w:bCs/>
              </w:rPr>
              <w:t>47.9-48.2</w:t>
            </w:r>
          </w:p>
        </w:tc>
      </w:tr>
      <w:tr w:rsidR="00B63D8D" w:rsidRPr="001954AF" w:rsidTr="00194EFE">
        <w:trPr>
          <w:cantSplit/>
          <w:trHeight w:val="20"/>
          <w:jc w:val="center"/>
        </w:trPr>
        <w:tc>
          <w:tcPr>
            <w:tcW w:w="5000" w:type="pct"/>
            <w:gridSpan w:val="2"/>
          </w:tcPr>
          <w:p w:rsidR="00B63D8D" w:rsidRPr="001954AF" w:rsidRDefault="00B63D8D" w:rsidP="00194EFE">
            <w:pPr>
              <w:pStyle w:val="Tabletext"/>
              <w:rPr>
                <w:rFonts w:eastAsia="SimSun"/>
                <w:b/>
              </w:rPr>
            </w:pPr>
            <w:r w:rsidRPr="001954AF">
              <w:rPr>
                <w:rFonts w:eastAsia="SimSun"/>
                <w:b/>
              </w:rPr>
              <w:t>Transmitter characteristics</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Duplex method</w:t>
            </w:r>
          </w:p>
        </w:tc>
        <w:tc>
          <w:tcPr>
            <w:tcW w:w="2935" w:type="pct"/>
          </w:tcPr>
          <w:p w:rsidR="00B63D8D" w:rsidRPr="001954AF" w:rsidRDefault="00B63D8D" w:rsidP="00194EFE">
            <w:pPr>
              <w:pStyle w:val="Tabletext"/>
              <w:jc w:val="center"/>
            </w:pPr>
            <w:r w:rsidRPr="001954AF">
              <w:t>TDD</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Channel bandwidth (MHz)</w:t>
            </w:r>
          </w:p>
        </w:tc>
        <w:tc>
          <w:tcPr>
            <w:tcW w:w="2935" w:type="pct"/>
          </w:tcPr>
          <w:p w:rsidR="00B63D8D" w:rsidRPr="001954AF" w:rsidRDefault="00B63D8D" w:rsidP="00194EFE">
            <w:pPr>
              <w:pStyle w:val="Tabletext"/>
              <w:jc w:val="center"/>
            </w:pPr>
            <w:r w:rsidRPr="001954AF">
              <w:t>200</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Signal bandwidth</w:t>
            </w:r>
          </w:p>
        </w:tc>
        <w:tc>
          <w:tcPr>
            <w:tcW w:w="2935" w:type="pct"/>
          </w:tcPr>
          <w:p w:rsidR="00B63D8D" w:rsidRPr="001954AF" w:rsidRDefault="00B63D8D" w:rsidP="00194EFE">
            <w:pPr>
              <w:pStyle w:val="Tabletext"/>
              <w:jc w:val="center"/>
            </w:pPr>
            <w:r w:rsidRPr="001954AF">
              <w:t>&gt;90% of channel bandwidth</w:t>
            </w:r>
          </w:p>
        </w:tc>
      </w:tr>
      <w:tr w:rsidR="00B63D8D" w:rsidRPr="00481A00"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Antenna pattern</w:t>
            </w:r>
          </w:p>
        </w:tc>
        <w:tc>
          <w:tcPr>
            <w:tcW w:w="2935" w:type="pct"/>
          </w:tcPr>
          <w:p w:rsidR="00B63D8D" w:rsidRPr="00752DF2" w:rsidRDefault="00B63D8D" w:rsidP="00194EFE">
            <w:pPr>
              <w:pStyle w:val="Tabletext"/>
              <w:jc w:val="center"/>
              <w:rPr>
                <w:lang w:val="en-GB"/>
              </w:rPr>
            </w:pPr>
            <w:r w:rsidRPr="00752DF2">
              <w:rPr>
                <w:lang w:val="en-GB"/>
              </w:rPr>
              <w:t>Rec. ITU-R M.2101, with normalization factor</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Antenna array</w:t>
            </w:r>
          </w:p>
        </w:tc>
        <w:tc>
          <w:tcPr>
            <w:tcW w:w="2935" w:type="pct"/>
          </w:tcPr>
          <w:p w:rsidR="00B63D8D" w:rsidRPr="001954AF" w:rsidRDefault="00B63D8D" w:rsidP="00194EFE">
            <w:pPr>
              <w:pStyle w:val="Tabletext"/>
              <w:jc w:val="center"/>
            </w:pPr>
            <w:r w:rsidRPr="001954AF">
              <w:t>BS: 8 × 16 elements</w:t>
            </w:r>
          </w:p>
          <w:p w:rsidR="00B63D8D" w:rsidRPr="001954AF" w:rsidRDefault="00B63D8D" w:rsidP="00194EFE">
            <w:pPr>
              <w:pStyle w:val="Tabletext"/>
              <w:jc w:val="center"/>
            </w:pPr>
            <w:r w:rsidRPr="001954AF">
              <w:t>UE: 4 × 4 elements</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Element gain</w:t>
            </w:r>
            <w:r>
              <w:rPr>
                <w:rFonts w:eastAsia="SimSun"/>
              </w:rPr>
              <w:t xml:space="preserve"> </w:t>
            </w:r>
          </w:p>
        </w:tc>
        <w:tc>
          <w:tcPr>
            <w:tcW w:w="2935" w:type="pct"/>
          </w:tcPr>
          <w:p w:rsidR="00B63D8D" w:rsidRPr="001954AF" w:rsidRDefault="00B63D8D" w:rsidP="00194EFE">
            <w:pPr>
              <w:pStyle w:val="Tabletext"/>
              <w:jc w:val="center"/>
            </w:pPr>
            <w:r w:rsidRPr="001954AF">
              <w:t>5 dBi</w:t>
            </w:r>
          </w:p>
        </w:tc>
      </w:tr>
    </w:tbl>
    <w:p w:rsidR="00875B79" w:rsidRPr="001954AF" w:rsidRDefault="00875B79" w:rsidP="00875B79">
      <w:pPr>
        <w:pStyle w:val="TableNo"/>
      </w:pPr>
      <w:r w:rsidRPr="001954AF">
        <w:t>TABLE 9</w:t>
      </w:r>
      <w:r>
        <w:t xml:space="preserve"> (</w:t>
      </w:r>
      <w:r w:rsidRPr="00875B79">
        <w:rPr>
          <w:i/>
        </w:rPr>
        <w:t>end</w:t>
      </w:r>
      <w:r>
        <w:t>)</w:t>
      </w:r>
    </w:p>
    <w:tbl>
      <w:tblPr>
        <w:tblW w:w="3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0"/>
        <w:gridCol w:w="4377"/>
      </w:tblGrid>
      <w:tr w:rsidR="00875B79" w:rsidRPr="001954AF" w:rsidTr="00194EFE">
        <w:trPr>
          <w:cantSplit/>
          <w:trHeight w:val="20"/>
          <w:tblHeader/>
          <w:jc w:val="center"/>
        </w:trPr>
        <w:tc>
          <w:tcPr>
            <w:tcW w:w="2065" w:type="pct"/>
          </w:tcPr>
          <w:p w:rsidR="00875B79" w:rsidRPr="001954AF" w:rsidRDefault="00875B79" w:rsidP="00194EFE">
            <w:pPr>
              <w:pStyle w:val="Tablehead"/>
              <w:rPr>
                <w:rFonts w:eastAsia="SimSun"/>
              </w:rPr>
            </w:pPr>
            <w:r w:rsidRPr="001954AF">
              <w:rPr>
                <w:rFonts w:eastAsia="SimSun"/>
              </w:rPr>
              <w:t>Parameter</w:t>
            </w:r>
          </w:p>
        </w:tc>
        <w:tc>
          <w:tcPr>
            <w:tcW w:w="2935" w:type="pct"/>
          </w:tcPr>
          <w:p w:rsidR="00875B79" w:rsidRPr="001954AF" w:rsidRDefault="00875B79" w:rsidP="00194EFE">
            <w:pPr>
              <w:pStyle w:val="Tablehead"/>
              <w:rPr>
                <w:rFonts w:eastAsia="SimSun"/>
              </w:rPr>
            </w:pPr>
            <w:r w:rsidRPr="001954AF">
              <w:rPr>
                <w:rFonts w:eastAsia="SimSun"/>
              </w:rPr>
              <w:t>Value</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Ohmic loss</w:t>
            </w:r>
          </w:p>
        </w:tc>
        <w:tc>
          <w:tcPr>
            <w:tcW w:w="2935" w:type="pct"/>
          </w:tcPr>
          <w:p w:rsidR="00B63D8D" w:rsidRPr="001954AF" w:rsidRDefault="00B63D8D" w:rsidP="00194EFE">
            <w:pPr>
              <w:pStyle w:val="Tabletext"/>
              <w:jc w:val="center"/>
            </w:pPr>
            <w:r w:rsidRPr="001954AF">
              <w:rPr>
                <w:rFonts w:eastAsia="SimSun"/>
              </w:rPr>
              <w:t>3 dB (BS and UE)</w:t>
            </w:r>
          </w:p>
        </w:tc>
      </w:tr>
      <w:tr w:rsidR="00B63D8D" w:rsidRPr="00481A00" w:rsidTr="00194EFE">
        <w:trPr>
          <w:cantSplit/>
          <w:trHeight w:val="20"/>
          <w:jc w:val="center"/>
        </w:trPr>
        <w:tc>
          <w:tcPr>
            <w:tcW w:w="2065" w:type="pct"/>
            <w:vAlign w:val="center"/>
          </w:tcPr>
          <w:p w:rsidR="00B63D8D" w:rsidRPr="00752DF2" w:rsidRDefault="00B63D8D" w:rsidP="00194EFE">
            <w:pPr>
              <w:pStyle w:val="Tabletext"/>
              <w:rPr>
                <w:rFonts w:eastAsia="SimSun"/>
                <w:lang w:val="en-GB"/>
              </w:rPr>
            </w:pPr>
            <w:r w:rsidRPr="00752DF2">
              <w:rPr>
                <w:rFonts w:eastAsia="SimSun"/>
                <w:lang w:val="en-GB"/>
              </w:rPr>
              <w:t xml:space="preserve">Conducted power per antenna element </w:t>
            </w:r>
          </w:p>
        </w:tc>
        <w:tc>
          <w:tcPr>
            <w:tcW w:w="2935" w:type="pct"/>
          </w:tcPr>
          <w:p w:rsidR="00B63D8D" w:rsidRPr="00752DF2" w:rsidRDefault="00B63D8D" w:rsidP="00194EFE">
            <w:pPr>
              <w:pStyle w:val="Tabletext"/>
              <w:jc w:val="center"/>
              <w:rPr>
                <w:rFonts w:eastAsia="SimSun"/>
                <w:lang w:val="en-GB"/>
              </w:rPr>
            </w:pPr>
            <w:r w:rsidRPr="00752DF2">
              <w:rPr>
                <w:lang w:val="en-GB"/>
              </w:rPr>
              <w:t xml:space="preserve">BS: 8 </w:t>
            </w:r>
            <w:r w:rsidRPr="00752DF2">
              <w:rPr>
                <w:rFonts w:eastAsia="SimSun"/>
                <w:lang w:val="en-GB"/>
              </w:rPr>
              <w:t>dBm/200 MHz</w:t>
            </w:r>
          </w:p>
          <w:p w:rsidR="00B63D8D" w:rsidRPr="00752DF2" w:rsidRDefault="00B63D8D" w:rsidP="00194EFE">
            <w:pPr>
              <w:pStyle w:val="Tabletext"/>
              <w:jc w:val="center"/>
              <w:rPr>
                <w:lang w:val="en-GB"/>
              </w:rPr>
            </w:pPr>
            <w:r w:rsidRPr="00752DF2">
              <w:rPr>
                <w:rFonts w:eastAsia="SimSun"/>
                <w:lang w:val="en-GB"/>
              </w:rPr>
              <w:t xml:space="preserve">UE: </w:t>
            </w:r>
            <w:r w:rsidRPr="00752DF2">
              <w:rPr>
                <w:lang w:val="en-GB"/>
              </w:rPr>
              <w:t xml:space="preserve">10 </w:t>
            </w:r>
            <w:r w:rsidRPr="00752DF2">
              <w:rPr>
                <w:rFonts w:eastAsia="SimSun"/>
                <w:lang w:val="en-GB"/>
              </w:rPr>
              <w:t>dBm/200 MHz (subject to power control)</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Maximum UE output power</w:t>
            </w:r>
          </w:p>
        </w:tc>
        <w:tc>
          <w:tcPr>
            <w:tcW w:w="2935" w:type="pct"/>
          </w:tcPr>
          <w:p w:rsidR="00B63D8D" w:rsidRPr="001954AF" w:rsidRDefault="00B63D8D" w:rsidP="00194EFE">
            <w:pPr>
              <w:pStyle w:val="Tabletext"/>
              <w:jc w:val="center"/>
            </w:pPr>
            <w:r w:rsidRPr="001954AF">
              <w:t>22 dBm</w:t>
            </w:r>
          </w:p>
        </w:tc>
      </w:tr>
      <w:tr w:rsidR="00B63D8D" w:rsidRPr="001954AF" w:rsidTr="00194EFE">
        <w:trPr>
          <w:cantSplit/>
          <w:trHeight w:val="20"/>
          <w:jc w:val="center"/>
        </w:trPr>
        <w:tc>
          <w:tcPr>
            <w:tcW w:w="5000" w:type="pct"/>
            <w:gridSpan w:val="2"/>
          </w:tcPr>
          <w:p w:rsidR="00B63D8D" w:rsidRPr="001954AF" w:rsidRDefault="00B63D8D" w:rsidP="00194EFE">
            <w:pPr>
              <w:pStyle w:val="Tabletext"/>
              <w:rPr>
                <w:rFonts w:eastAsia="SimSun"/>
                <w:b/>
              </w:rPr>
            </w:pPr>
            <w:r w:rsidRPr="001954AF">
              <w:rPr>
                <w:rFonts w:eastAsia="SimSun"/>
                <w:b/>
              </w:rPr>
              <w:t>Receiver characteristics</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Noise figure</w:t>
            </w:r>
          </w:p>
        </w:tc>
        <w:tc>
          <w:tcPr>
            <w:tcW w:w="2935" w:type="pct"/>
          </w:tcPr>
          <w:p w:rsidR="00B63D8D" w:rsidRPr="001954AF" w:rsidRDefault="00B63D8D" w:rsidP="00194EFE">
            <w:pPr>
              <w:pStyle w:val="Tabletext"/>
              <w:jc w:val="center"/>
              <w:rPr>
                <w:rFonts w:eastAsia="SimSun"/>
              </w:rPr>
            </w:pPr>
            <w:r w:rsidRPr="001954AF">
              <w:rPr>
                <w:rFonts w:eastAsia="SimSun"/>
              </w:rPr>
              <w:t>12 dB (BS and UE)</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Body loss</w:t>
            </w:r>
          </w:p>
        </w:tc>
        <w:tc>
          <w:tcPr>
            <w:tcW w:w="2935" w:type="pct"/>
          </w:tcPr>
          <w:p w:rsidR="00B63D8D" w:rsidRPr="001954AF" w:rsidRDefault="00B63D8D" w:rsidP="00194EFE">
            <w:pPr>
              <w:pStyle w:val="Tabletext"/>
              <w:jc w:val="center"/>
              <w:rPr>
                <w:rFonts w:eastAsia="SimSun"/>
              </w:rPr>
            </w:pPr>
            <w:r w:rsidRPr="001954AF">
              <w:rPr>
                <w:rFonts w:eastAsia="SimSun"/>
              </w:rPr>
              <w:t>BS: 0 dB</w:t>
            </w:r>
          </w:p>
          <w:p w:rsidR="00B63D8D" w:rsidRPr="001954AF" w:rsidRDefault="00B63D8D" w:rsidP="00194EFE">
            <w:pPr>
              <w:pStyle w:val="Tabletext"/>
              <w:jc w:val="center"/>
              <w:rPr>
                <w:rFonts w:eastAsia="SimSun"/>
              </w:rPr>
            </w:pPr>
            <w:r w:rsidRPr="001954AF">
              <w:rPr>
                <w:rFonts w:eastAsia="SimSun"/>
              </w:rPr>
              <w:t>UE: 4 dB</w:t>
            </w:r>
          </w:p>
        </w:tc>
      </w:tr>
      <w:tr w:rsidR="00B63D8D" w:rsidRPr="001954AF" w:rsidTr="00194EFE">
        <w:trPr>
          <w:cantSplit/>
          <w:trHeight w:val="20"/>
          <w:jc w:val="center"/>
        </w:trPr>
        <w:tc>
          <w:tcPr>
            <w:tcW w:w="2065" w:type="pct"/>
            <w:vAlign w:val="center"/>
          </w:tcPr>
          <w:p w:rsidR="00B63D8D" w:rsidRPr="001954AF" w:rsidRDefault="00B63D8D" w:rsidP="00194EFE">
            <w:pPr>
              <w:pStyle w:val="Tabletext"/>
              <w:rPr>
                <w:rFonts w:eastAsia="SimSun"/>
              </w:rPr>
            </w:pPr>
            <w:r w:rsidRPr="001954AF">
              <w:rPr>
                <w:rFonts w:eastAsia="SimSun"/>
              </w:rPr>
              <w:t>Protection criteria</w:t>
            </w:r>
          </w:p>
        </w:tc>
        <w:tc>
          <w:tcPr>
            <w:tcW w:w="2935" w:type="pct"/>
          </w:tcPr>
          <w:p w:rsidR="00B63D8D" w:rsidRPr="001954AF" w:rsidRDefault="00B63D8D" w:rsidP="00194EFE">
            <w:pPr>
              <w:pStyle w:val="Tabletext"/>
              <w:jc w:val="center"/>
              <w:rPr>
                <w:rFonts w:eastAsia="SimSun"/>
              </w:rPr>
            </w:pPr>
            <w:r w:rsidRPr="001954AF">
              <w:rPr>
                <w:rFonts w:eastAsia="SimSun"/>
              </w:rPr>
              <w:t>–6 dB</w:t>
            </w:r>
          </w:p>
        </w:tc>
      </w:tr>
    </w:tbl>
    <w:p w:rsidR="00B63D8D" w:rsidRPr="001954AF" w:rsidRDefault="00B63D8D" w:rsidP="00B63D8D">
      <w:pPr>
        <w:pStyle w:val="Tablefin"/>
      </w:pPr>
    </w:p>
    <w:p w:rsidR="00B63D8D" w:rsidRPr="00752DF2" w:rsidRDefault="00B63D8D" w:rsidP="00B63D8D">
      <w:pPr>
        <w:rPr>
          <w:rFonts w:eastAsia="MS Mincho"/>
          <w:lang w:val="en-GB"/>
        </w:rPr>
      </w:pPr>
      <w:r w:rsidRPr="00752DF2">
        <w:rPr>
          <w:rFonts w:eastAsia="MS Mincho"/>
          <w:lang w:val="en-GB"/>
        </w:rPr>
        <w:t xml:space="preserve">Regarding the antenna pattern, Recommendation </w:t>
      </w:r>
      <w:r w:rsidRPr="00752DF2">
        <w:rPr>
          <w:rStyle w:val="Hyperlink"/>
          <w:rFonts w:eastAsia="MS Mincho"/>
          <w:lang w:val="en-GB"/>
        </w:rPr>
        <w:t xml:space="preserve">ITU-R </w:t>
      </w:r>
      <w:hyperlink r:id="rId24" w:history="1">
        <w:r w:rsidRPr="00752DF2">
          <w:rPr>
            <w:rStyle w:val="Hyperlink"/>
            <w:rFonts w:eastAsia="MS Mincho"/>
            <w:lang w:val="en-GB"/>
          </w:rPr>
          <w:t>M.2101</w:t>
        </w:r>
      </w:hyperlink>
      <w:r w:rsidRPr="00752DF2">
        <w:rPr>
          <w:rFonts w:eastAsia="MS Mincho"/>
          <w:lang w:val="en-GB"/>
        </w:rPr>
        <w:t xml:space="preserve"> presents a beamforming array model that is assumed to be used by the majority of IMT-2020 systems at this frequency. This model consists of several identical radiating elements in the yz-plane, having the same individual radiation pattern and with a certain separation distance. The beam direction is calculated by a weighting function. All the description and equations of this model can be found in Recommendation ITU-R M.2101.</w:t>
      </w:r>
    </w:p>
    <w:p w:rsidR="00B63D8D" w:rsidRPr="00752DF2" w:rsidRDefault="00B63D8D" w:rsidP="00B63D8D">
      <w:pPr>
        <w:rPr>
          <w:rFonts w:eastAsia="MS Mincho"/>
          <w:lang w:val="en-GB"/>
        </w:rPr>
      </w:pPr>
      <w:r w:rsidRPr="00752DF2">
        <w:rPr>
          <w:rFonts w:eastAsia="MS Mincho"/>
          <w:lang w:val="en-GB"/>
        </w:rPr>
        <w:t>According to information provided by the relevant group, “the AAS antenna model as contained in Recommendation ITU-R M.2101, presents a pattern model, similar to many other pattern models used in ITU-R for the purpose of sharing and compatibility studies (…). These antenna pattern models are simplified approximations of typical real antennas used by the services. As such, total integrated gain equalling to unity is not always a necessary condition for these models.” Hence, this study presents simulation results considering the original AAS antenna model and the normalized model, obtained by the application of the correction factor provided by the relevant group.</w:t>
      </w:r>
    </w:p>
    <w:p w:rsidR="00B63D8D" w:rsidRPr="00752DF2" w:rsidRDefault="00B63D8D" w:rsidP="007543EE">
      <w:pPr>
        <w:rPr>
          <w:rFonts w:eastAsia="MS Mincho"/>
          <w:u w:val="single"/>
          <w:lang w:val="en-GB"/>
        </w:rPr>
      </w:pPr>
      <w:r w:rsidRPr="00752DF2">
        <w:rPr>
          <w:rFonts w:eastAsia="MS Mincho"/>
          <w:szCs w:val="24"/>
          <w:lang w:val="en-GB"/>
        </w:rPr>
        <w:t>Figure 9 shows</w:t>
      </w:r>
      <w:r w:rsidRPr="00752DF2">
        <w:rPr>
          <w:rFonts w:eastAsia="MS Mincho"/>
          <w:lang w:val="en-GB"/>
        </w:rPr>
        <w:t xml:space="preserve"> horizontal and vertical antenna patterns for IMT base stations (8 × 16 elements) and user equipments (4 × 4 elements). Original and normalized patterns are showed.</w:t>
      </w:r>
    </w:p>
    <w:p w:rsidR="00B63D8D" w:rsidRPr="00752DF2" w:rsidRDefault="00B63D8D" w:rsidP="00B63D8D">
      <w:pPr>
        <w:pStyle w:val="FigureNo"/>
        <w:rPr>
          <w:lang w:val="en-GB"/>
        </w:rPr>
      </w:pPr>
      <w:r w:rsidRPr="00752DF2">
        <w:rPr>
          <w:lang w:val="en-GB"/>
        </w:rPr>
        <w:t>Figure 9</w:t>
      </w:r>
    </w:p>
    <w:p w:rsidR="00B63D8D" w:rsidRPr="00752DF2" w:rsidRDefault="00B63D8D" w:rsidP="00B63D8D">
      <w:pPr>
        <w:pStyle w:val="Figuretitle"/>
        <w:rPr>
          <w:rFonts w:eastAsia="MS Mincho"/>
          <w:lang w:val="en-GB"/>
        </w:rPr>
      </w:pPr>
      <w:r w:rsidRPr="00752DF2">
        <w:rPr>
          <w:lang w:val="en-GB"/>
        </w:rPr>
        <w:t>IMT base station and user equipment antenna patterns</w:t>
      </w:r>
    </w:p>
    <w:p w:rsidR="00B63D8D" w:rsidRPr="001954AF" w:rsidRDefault="00B63D8D" w:rsidP="00B63D8D">
      <w:pPr>
        <w:pStyle w:val="Figure"/>
        <w:rPr>
          <w:rFonts w:eastAsia="MS Mincho"/>
        </w:rPr>
      </w:pPr>
      <w:r w:rsidRPr="001954AF">
        <w:rPr>
          <w:rFonts w:eastAsia="MS Mincho"/>
          <w:noProof/>
          <w:lang w:val="en-GB" w:eastAsia="en-GB"/>
        </w:rPr>
        <w:drawing>
          <wp:inline distT="0" distB="0" distL="0" distR="0" wp14:anchorId="17446CE8" wp14:editId="3712CA63">
            <wp:extent cx="6120765" cy="22866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T BS antenna patterns.png"/>
                    <pic:cNvPicPr/>
                  </pic:nvPicPr>
                  <pic:blipFill>
                    <a:blip r:embed="rId25">
                      <a:extLst>
                        <a:ext uri="{28A0092B-C50C-407E-A947-70E740481C1C}">
                          <a14:useLocalDpi xmlns:a14="http://schemas.microsoft.com/office/drawing/2010/main" val="0"/>
                        </a:ext>
                      </a:extLst>
                    </a:blip>
                    <a:stretch>
                      <a:fillRect/>
                    </a:stretch>
                  </pic:blipFill>
                  <pic:spPr>
                    <a:xfrm>
                      <a:off x="0" y="0"/>
                      <a:ext cx="6120765" cy="2286635"/>
                    </a:xfrm>
                    <a:prstGeom prst="rect">
                      <a:avLst/>
                    </a:prstGeom>
                  </pic:spPr>
                </pic:pic>
              </a:graphicData>
            </a:graphic>
          </wp:inline>
        </w:drawing>
      </w:r>
    </w:p>
    <w:p w:rsidR="00B63D8D" w:rsidRPr="001954AF" w:rsidRDefault="00B63D8D" w:rsidP="00B63D8D">
      <w:pPr>
        <w:pStyle w:val="Figure"/>
        <w:rPr>
          <w:rFonts w:eastAsia="MS Mincho"/>
        </w:rPr>
      </w:pPr>
      <w:r w:rsidRPr="001954AF">
        <w:rPr>
          <w:rFonts w:eastAsia="MS Mincho"/>
          <w:noProof/>
          <w:lang w:val="en-GB" w:eastAsia="en-GB"/>
        </w:rPr>
        <w:drawing>
          <wp:inline distT="0" distB="0" distL="0" distR="0" wp14:anchorId="66EB0417" wp14:editId="6108D52C">
            <wp:extent cx="6120765" cy="2286635"/>
            <wp:effectExtent l="0" t="0" r="0" b="0"/>
            <wp:docPr id="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T UE antenna patterns.png"/>
                    <pic:cNvPicPr/>
                  </pic:nvPicPr>
                  <pic:blipFill>
                    <a:blip r:embed="rId26">
                      <a:extLst>
                        <a:ext uri="{28A0092B-C50C-407E-A947-70E740481C1C}">
                          <a14:useLocalDpi xmlns:a14="http://schemas.microsoft.com/office/drawing/2010/main" val="0"/>
                        </a:ext>
                      </a:extLst>
                    </a:blip>
                    <a:stretch>
                      <a:fillRect/>
                    </a:stretch>
                  </pic:blipFill>
                  <pic:spPr>
                    <a:xfrm>
                      <a:off x="0" y="0"/>
                      <a:ext cx="6120765" cy="2286635"/>
                    </a:xfrm>
                    <a:prstGeom prst="rect">
                      <a:avLst/>
                    </a:prstGeom>
                  </pic:spPr>
                </pic:pic>
              </a:graphicData>
            </a:graphic>
          </wp:inline>
        </w:drawing>
      </w:r>
    </w:p>
    <w:p w:rsidR="00B63D8D" w:rsidRPr="00752DF2" w:rsidRDefault="00B63D8D" w:rsidP="00B63D8D">
      <w:pPr>
        <w:pStyle w:val="Heading5"/>
        <w:rPr>
          <w:rFonts w:eastAsia="MS Mincho"/>
          <w:lang w:val="en-GB"/>
        </w:rPr>
      </w:pPr>
      <w:bookmarkStart w:id="167" w:name="_Toc530661336"/>
      <w:r w:rsidRPr="00752DF2">
        <w:rPr>
          <w:rFonts w:eastAsia="MS Mincho"/>
          <w:lang w:val="en-GB"/>
        </w:rPr>
        <w:t>1.2.5.2.2</w:t>
      </w:r>
      <w:r w:rsidRPr="00752DF2">
        <w:rPr>
          <w:rFonts w:eastAsia="MS Mincho"/>
          <w:lang w:val="en-GB"/>
        </w:rPr>
        <w:tab/>
        <w:t>Deployment-related parameters</w:t>
      </w:r>
      <w:bookmarkEnd w:id="167"/>
    </w:p>
    <w:p w:rsidR="00B63D8D" w:rsidRPr="00752DF2" w:rsidRDefault="00B63D8D" w:rsidP="00B63D8D">
      <w:pPr>
        <w:pStyle w:val="TableNo"/>
        <w:rPr>
          <w:lang w:val="en-GB"/>
        </w:rPr>
      </w:pPr>
      <w:r w:rsidRPr="00752DF2">
        <w:rPr>
          <w:lang w:val="en-GB"/>
        </w:rPr>
        <w:t>T</w:t>
      </w:r>
      <w:r w:rsidR="007543EE" w:rsidRPr="00752DF2">
        <w:rPr>
          <w:lang w:val="en-GB"/>
        </w:rPr>
        <w:t>ABLE</w:t>
      </w:r>
      <w:r w:rsidRPr="00752DF2">
        <w:rPr>
          <w:lang w:val="en-GB"/>
        </w:rPr>
        <w:t xml:space="preserve"> 10</w:t>
      </w:r>
    </w:p>
    <w:p w:rsidR="00B63D8D" w:rsidRPr="00752DF2" w:rsidRDefault="00B63D8D" w:rsidP="00B63D8D">
      <w:pPr>
        <w:pStyle w:val="Tabletitle"/>
        <w:rPr>
          <w:lang w:val="en-GB"/>
        </w:rPr>
      </w:pPr>
      <w:r w:rsidRPr="00752DF2">
        <w:rPr>
          <w:lang w:val="en-GB"/>
        </w:rPr>
        <w:t>IMT-2020 Base station characteristics/Cell structure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3407"/>
      </w:tblGrid>
      <w:tr w:rsidR="00B63D8D" w:rsidRPr="001954AF" w:rsidTr="00D66AA0">
        <w:trPr>
          <w:cantSplit/>
          <w:trHeight w:val="20"/>
          <w:tblHeader/>
          <w:jc w:val="center"/>
        </w:trPr>
        <w:tc>
          <w:tcPr>
            <w:tcW w:w="2997" w:type="pct"/>
          </w:tcPr>
          <w:p w:rsidR="00B63D8D" w:rsidRPr="001954AF" w:rsidRDefault="00B63D8D" w:rsidP="00D66AA0">
            <w:pPr>
              <w:pStyle w:val="Tablehead"/>
              <w:rPr>
                <w:rFonts w:eastAsia="SimSun"/>
              </w:rPr>
            </w:pPr>
            <w:r w:rsidRPr="001954AF">
              <w:rPr>
                <w:rFonts w:eastAsia="SimSun"/>
              </w:rPr>
              <w:t>Parameter</w:t>
            </w:r>
          </w:p>
        </w:tc>
        <w:tc>
          <w:tcPr>
            <w:tcW w:w="2003" w:type="pct"/>
          </w:tcPr>
          <w:p w:rsidR="00B63D8D" w:rsidRPr="001954AF" w:rsidRDefault="00B63D8D" w:rsidP="00D66AA0">
            <w:pPr>
              <w:pStyle w:val="Tablehead"/>
              <w:rPr>
                <w:rFonts w:eastAsia="SimSun"/>
              </w:rPr>
            </w:pPr>
            <w:r w:rsidRPr="001954AF">
              <w:rPr>
                <w:rFonts w:eastAsia="SimSun"/>
              </w:rPr>
              <w:t>Value</w:t>
            </w:r>
          </w:p>
        </w:tc>
      </w:tr>
      <w:tr w:rsidR="00B63D8D" w:rsidRPr="00D66AA0" w:rsidTr="007543EE">
        <w:trPr>
          <w:cantSplit/>
          <w:trHeight w:val="20"/>
          <w:jc w:val="center"/>
        </w:trPr>
        <w:tc>
          <w:tcPr>
            <w:tcW w:w="5000" w:type="pct"/>
            <w:gridSpan w:val="2"/>
          </w:tcPr>
          <w:p w:rsidR="00B63D8D" w:rsidRPr="00D66AA0" w:rsidRDefault="00B63D8D" w:rsidP="00D66AA0">
            <w:pPr>
              <w:pStyle w:val="Tabletext"/>
              <w:rPr>
                <w:rFonts w:eastAsia="SimSun"/>
                <w:b/>
              </w:rPr>
            </w:pPr>
            <w:r w:rsidRPr="00D66AA0">
              <w:rPr>
                <w:rFonts w:eastAsia="SimSun"/>
                <w:b/>
              </w:rPr>
              <w:t>Outdoor Suburban hotspot</w:t>
            </w:r>
          </w:p>
        </w:tc>
      </w:tr>
      <w:tr w:rsidR="00B63D8D" w:rsidRPr="001954AF" w:rsidTr="00D66AA0">
        <w:trPr>
          <w:cantSplit/>
          <w:trHeight w:val="20"/>
          <w:jc w:val="center"/>
        </w:trPr>
        <w:tc>
          <w:tcPr>
            <w:tcW w:w="2997" w:type="pct"/>
          </w:tcPr>
          <w:p w:rsidR="00B63D8D" w:rsidRPr="001954AF" w:rsidRDefault="00B63D8D" w:rsidP="00D66AA0">
            <w:pPr>
              <w:pStyle w:val="Tabletext"/>
              <w:rPr>
                <w:rFonts w:eastAsia="SimSun"/>
              </w:rPr>
            </w:pPr>
            <w:r w:rsidRPr="001954AF">
              <w:t>Network topology and characteristics</w:t>
            </w:r>
          </w:p>
        </w:tc>
        <w:tc>
          <w:tcPr>
            <w:tcW w:w="2003" w:type="pct"/>
            <w:vAlign w:val="center"/>
          </w:tcPr>
          <w:p w:rsidR="00B63D8D" w:rsidRPr="001954AF" w:rsidRDefault="00B63D8D" w:rsidP="00D66AA0">
            <w:pPr>
              <w:pStyle w:val="Tabletext"/>
              <w:jc w:val="center"/>
              <w:rPr>
                <w:rFonts w:eastAsia="MS Mincho"/>
                <w:lang w:eastAsia="ja-JP"/>
              </w:rPr>
            </w:pPr>
            <w:r w:rsidRPr="001954AF">
              <w:rPr>
                <w:lang w:eastAsia="ja-JP"/>
              </w:rPr>
              <w:t>10 BSs/km</w:t>
            </w:r>
            <w:r w:rsidRPr="001954AF">
              <w:rPr>
                <w:vertAlign w:val="superscript"/>
                <w:lang w:eastAsia="ja-JP"/>
              </w:rPr>
              <w:t>2</w:t>
            </w:r>
          </w:p>
        </w:tc>
      </w:tr>
      <w:tr w:rsidR="00B63D8D" w:rsidRPr="001954AF" w:rsidTr="00D66AA0">
        <w:trPr>
          <w:cantSplit/>
          <w:trHeight w:val="20"/>
          <w:jc w:val="center"/>
        </w:trPr>
        <w:tc>
          <w:tcPr>
            <w:tcW w:w="2997" w:type="pct"/>
          </w:tcPr>
          <w:p w:rsidR="00B63D8D" w:rsidRPr="001954AF" w:rsidRDefault="00B63D8D" w:rsidP="00D66AA0">
            <w:pPr>
              <w:pStyle w:val="Tabletext"/>
              <w:rPr>
                <w:rFonts w:eastAsia="SimSun"/>
              </w:rPr>
            </w:pPr>
            <w:r w:rsidRPr="001954AF">
              <w:t>Frequency reuse</w:t>
            </w:r>
          </w:p>
        </w:tc>
        <w:tc>
          <w:tcPr>
            <w:tcW w:w="2003" w:type="pct"/>
            <w:vAlign w:val="center"/>
          </w:tcPr>
          <w:p w:rsidR="00B63D8D" w:rsidRPr="001954AF" w:rsidRDefault="00B63D8D" w:rsidP="00D66AA0">
            <w:pPr>
              <w:pStyle w:val="Tabletext"/>
              <w:jc w:val="center"/>
            </w:pPr>
            <w:r w:rsidRPr="001954AF">
              <w:t>1</w:t>
            </w:r>
          </w:p>
        </w:tc>
      </w:tr>
      <w:tr w:rsidR="00B63D8D" w:rsidRPr="001954AF" w:rsidTr="00D66AA0">
        <w:trPr>
          <w:cantSplit/>
          <w:trHeight w:val="20"/>
          <w:jc w:val="center"/>
        </w:trPr>
        <w:tc>
          <w:tcPr>
            <w:tcW w:w="2997" w:type="pct"/>
          </w:tcPr>
          <w:p w:rsidR="00B63D8D" w:rsidRPr="001954AF" w:rsidRDefault="00B63D8D" w:rsidP="00D66AA0">
            <w:pPr>
              <w:pStyle w:val="Tabletext"/>
              <w:rPr>
                <w:rFonts w:eastAsia="SimSun"/>
              </w:rPr>
            </w:pPr>
            <w:r w:rsidRPr="001954AF">
              <w:t xml:space="preserve">Antenna height </w:t>
            </w:r>
          </w:p>
        </w:tc>
        <w:tc>
          <w:tcPr>
            <w:tcW w:w="2003" w:type="pct"/>
            <w:vAlign w:val="center"/>
          </w:tcPr>
          <w:p w:rsidR="00B63D8D" w:rsidRPr="001954AF" w:rsidRDefault="00B63D8D" w:rsidP="00D66AA0">
            <w:pPr>
              <w:pStyle w:val="Tabletext"/>
              <w:jc w:val="center"/>
            </w:pPr>
            <w:r w:rsidRPr="001954AF">
              <w:t xml:space="preserve">6 m </w:t>
            </w:r>
            <w:r w:rsidRPr="001954AF">
              <w:rPr>
                <w:lang w:eastAsia="ja-JP"/>
              </w:rPr>
              <w:t>(</w:t>
            </w:r>
            <w:r w:rsidRPr="001954AF">
              <w:t>above ground level)</w:t>
            </w:r>
          </w:p>
        </w:tc>
      </w:tr>
      <w:tr w:rsidR="00B63D8D" w:rsidRPr="001954AF" w:rsidTr="00D66AA0">
        <w:trPr>
          <w:cantSplit/>
          <w:trHeight w:val="20"/>
          <w:jc w:val="center"/>
        </w:trPr>
        <w:tc>
          <w:tcPr>
            <w:tcW w:w="2997" w:type="pct"/>
          </w:tcPr>
          <w:p w:rsidR="00B63D8D" w:rsidRPr="001954AF" w:rsidRDefault="00B63D8D" w:rsidP="00D66AA0">
            <w:pPr>
              <w:pStyle w:val="Tabletext"/>
              <w:rPr>
                <w:rFonts w:eastAsia="SimSun"/>
              </w:rPr>
            </w:pPr>
            <w:r w:rsidRPr="001954AF">
              <w:t>Sectorization</w:t>
            </w:r>
          </w:p>
        </w:tc>
        <w:tc>
          <w:tcPr>
            <w:tcW w:w="2003" w:type="pct"/>
            <w:vAlign w:val="center"/>
          </w:tcPr>
          <w:p w:rsidR="00B63D8D" w:rsidRPr="001954AF" w:rsidRDefault="00B63D8D" w:rsidP="00D66AA0">
            <w:pPr>
              <w:pStyle w:val="Tabletext"/>
              <w:jc w:val="center"/>
            </w:pPr>
            <w:r w:rsidRPr="001954AF">
              <w:rPr>
                <w:lang w:eastAsia="ja-JP"/>
              </w:rPr>
              <w:t>Single sector</w:t>
            </w:r>
          </w:p>
        </w:tc>
      </w:tr>
      <w:tr w:rsidR="00B63D8D" w:rsidRPr="001954AF" w:rsidTr="00D66AA0">
        <w:trPr>
          <w:cantSplit/>
          <w:trHeight w:val="20"/>
          <w:jc w:val="center"/>
        </w:trPr>
        <w:tc>
          <w:tcPr>
            <w:tcW w:w="2997" w:type="pct"/>
          </w:tcPr>
          <w:p w:rsidR="00B63D8D" w:rsidRPr="001954AF" w:rsidRDefault="00B63D8D" w:rsidP="00D66AA0">
            <w:pPr>
              <w:pStyle w:val="Tabletext"/>
              <w:rPr>
                <w:rFonts w:eastAsia="SimSun"/>
              </w:rPr>
            </w:pPr>
            <w:r w:rsidRPr="001954AF">
              <w:t>Antenna deployment</w:t>
            </w:r>
          </w:p>
        </w:tc>
        <w:tc>
          <w:tcPr>
            <w:tcW w:w="2003" w:type="pct"/>
            <w:vAlign w:val="center"/>
          </w:tcPr>
          <w:p w:rsidR="00B63D8D" w:rsidRPr="001954AF" w:rsidRDefault="00B63D8D" w:rsidP="00D66AA0">
            <w:pPr>
              <w:pStyle w:val="Tabletext"/>
              <w:jc w:val="center"/>
            </w:pPr>
            <w:r w:rsidRPr="001954AF">
              <w:rPr>
                <w:lang w:eastAsia="ja-JP"/>
              </w:rPr>
              <w:t>Below roof top</w:t>
            </w:r>
          </w:p>
        </w:tc>
      </w:tr>
      <w:tr w:rsidR="00B63D8D" w:rsidRPr="001954AF" w:rsidTr="00D66AA0">
        <w:trPr>
          <w:cantSplit/>
          <w:trHeight w:val="20"/>
          <w:jc w:val="center"/>
        </w:trPr>
        <w:tc>
          <w:tcPr>
            <w:tcW w:w="2997" w:type="pct"/>
          </w:tcPr>
          <w:p w:rsidR="00B63D8D" w:rsidRPr="00752DF2" w:rsidRDefault="00B63D8D" w:rsidP="00D66AA0">
            <w:pPr>
              <w:pStyle w:val="Tabletext"/>
              <w:rPr>
                <w:rFonts w:eastAsia="SimSun"/>
                <w:lang w:val="en-GB"/>
              </w:rPr>
            </w:pPr>
            <w:r w:rsidRPr="00752DF2">
              <w:rPr>
                <w:lang w:val="en-GB"/>
              </w:rPr>
              <w:t xml:space="preserve">Network loading factor </w:t>
            </w:r>
            <w:r w:rsidRPr="00752DF2">
              <w:rPr>
                <w:lang w:val="en-GB" w:eastAsia="zh-CN"/>
              </w:rPr>
              <w:t>(average base station activity)</w:t>
            </w:r>
          </w:p>
        </w:tc>
        <w:tc>
          <w:tcPr>
            <w:tcW w:w="2003" w:type="pct"/>
            <w:vAlign w:val="center"/>
          </w:tcPr>
          <w:p w:rsidR="00B63D8D" w:rsidRPr="001954AF" w:rsidRDefault="00B63D8D" w:rsidP="00D66AA0">
            <w:pPr>
              <w:pStyle w:val="Tabletext"/>
              <w:jc w:val="center"/>
            </w:pPr>
            <w:r w:rsidRPr="001954AF">
              <w:rPr>
                <w:lang w:eastAsia="ja-JP"/>
              </w:rPr>
              <w:t>50%</w:t>
            </w:r>
          </w:p>
        </w:tc>
      </w:tr>
      <w:tr w:rsidR="00B63D8D" w:rsidRPr="001954AF" w:rsidTr="00D66AA0">
        <w:trPr>
          <w:cantSplit/>
          <w:trHeight w:val="20"/>
          <w:jc w:val="center"/>
        </w:trPr>
        <w:tc>
          <w:tcPr>
            <w:tcW w:w="2997" w:type="pct"/>
          </w:tcPr>
          <w:p w:rsidR="00B63D8D" w:rsidRPr="001954AF" w:rsidRDefault="00B63D8D" w:rsidP="00D66AA0">
            <w:pPr>
              <w:pStyle w:val="Tabletext"/>
            </w:pPr>
            <w:r w:rsidRPr="001954AF">
              <w:t>UEs/cell</w:t>
            </w:r>
          </w:p>
        </w:tc>
        <w:tc>
          <w:tcPr>
            <w:tcW w:w="2003" w:type="pct"/>
            <w:vAlign w:val="center"/>
          </w:tcPr>
          <w:p w:rsidR="00B63D8D" w:rsidRPr="001954AF" w:rsidRDefault="00B63D8D" w:rsidP="00D66AA0">
            <w:pPr>
              <w:pStyle w:val="Tabletext"/>
              <w:jc w:val="center"/>
              <w:rPr>
                <w:lang w:eastAsia="ja-JP"/>
              </w:rPr>
            </w:pPr>
            <w:r w:rsidRPr="001954AF">
              <w:rPr>
                <w:lang w:eastAsia="ja-JP"/>
              </w:rPr>
              <w:t>3</w:t>
            </w:r>
          </w:p>
        </w:tc>
      </w:tr>
    </w:tbl>
    <w:p w:rsidR="00945841" w:rsidRDefault="00945841" w:rsidP="00945841">
      <w:pPr>
        <w:pStyle w:val="Tablefin"/>
      </w:pPr>
    </w:p>
    <w:p w:rsidR="00B63D8D" w:rsidRPr="001954AF" w:rsidRDefault="00B63D8D" w:rsidP="00B63D8D">
      <w:pPr>
        <w:pStyle w:val="TableNo"/>
      </w:pPr>
      <w:r w:rsidRPr="001954AF">
        <w:t>T</w:t>
      </w:r>
      <w:r w:rsidR="009C2350" w:rsidRPr="001954AF">
        <w:t>ABLE</w:t>
      </w:r>
      <w:r w:rsidRPr="001954AF">
        <w:t xml:space="preserve"> 11</w:t>
      </w:r>
    </w:p>
    <w:p w:rsidR="00B63D8D" w:rsidRPr="001954AF" w:rsidRDefault="00B63D8D" w:rsidP="00B63D8D">
      <w:pPr>
        <w:pStyle w:val="Tabletitle"/>
      </w:pPr>
      <w:r w:rsidRPr="001954AF">
        <w:t>IMT-2020 User equipment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9"/>
        <w:gridCol w:w="2840"/>
      </w:tblGrid>
      <w:tr w:rsidR="00B63D8D" w:rsidRPr="001954AF" w:rsidTr="007A7248">
        <w:trPr>
          <w:cantSplit/>
          <w:trHeight w:val="20"/>
          <w:tblHeader/>
          <w:jc w:val="center"/>
        </w:trPr>
        <w:tc>
          <w:tcPr>
            <w:tcW w:w="3527" w:type="pct"/>
          </w:tcPr>
          <w:p w:rsidR="00B63D8D" w:rsidRPr="001954AF" w:rsidRDefault="00B63D8D" w:rsidP="00D95E00">
            <w:pPr>
              <w:pStyle w:val="Tablehead"/>
              <w:rPr>
                <w:rFonts w:eastAsia="SimSun"/>
              </w:rPr>
            </w:pPr>
            <w:r w:rsidRPr="001954AF">
              <w:rPr>
                <w:rFonts w:eastAsia="SimSun"/>
              </w:rPr>
              <w:t>Parameter</w:t>
            </w:r>
          </w:p>
        </w:tc>
        <w:tc>
          <w:tcPr>
            <w:tcW w:w="1473" w:type="pct"/>
          </w:tcPr>
          <w:p w:rsidR="00B63D8D" w:rsidRPr="001954AF" w:rsidRDefault="00B63D8D" w:rsidP="00D95E00">
            <w:pPr>
              <w:pStyle w:val="Tablehead"/>
              <w:rPr>
                <w:rFonts w:eastAsia="SimSun"/>
              </w:rPr>
            </w:pPr>
            <w:r w:rsidRPr="001954AF">
              <w:rPr>
                <w:rFonts w:eastAsia="SimSun"/>
              </w:rPr>
              <w:t>Value</w:t>
            </w:r>
          </w:p>
        </w:tc>
      </w:tr>
      <w:tr w:rsidR="00B63D8D" w:rsidRPr="00D95E00" w:rsidTr="00AA1D87">
        <w:trPr>
          <w:cantSplit/>
          <w:trHeight w:val="20"/>
          <w:jc w:val="center"/>
        </w:trPr>
        <w:tc>
          <w:tcPr>
            <w:tcW w:w="5000" w:type="pct"/>
            <w:gridSpan w:val="2"/>
          </w:tcPr>
          <w:p w:rsidR="00B63D8D" w:rsidRPr="00D95E00" w:rsidRDefault="00B63D8D" w:rsidP="00D95E00">
            <w:pPr>
              <w:pStyle w:val="Tabletext"/>
              <w:rPr>
                <w:rFonts w:eastAsia="SimSun"/>
                <w:b/>
              </w:rPr>
            </w:pPr>
            <w:r w:rsidRPr="00D95E00">
              <w:rPr>
                <w:rFonts w:eastAsia="SimSun"/>
                <w:b/>
              </w:rPr>
              <w:t>Outdoor Suburban hotspot</w:t>
            </w:r>
          </w:p>
        </w:tc>
      </w:tr>
      <w:tr w:rsidR="00B63D8D" w:rsidRPr="001954AF" w:rsidTr="007A7248">
        <w:trPr>
          <w:cantSplit/>
          <w:trHeight w:val="20"/>
          <w:jc w:val="center"/>
        </w:trPr>
        <w:tc>
          <w:tcPr>
            <w:tcW w:w="3527" w:type="pct"/>
            <w:vAlign w:val="center"/>
          </w:tcPr>
          <w:p w:rsidR="00B63D8D" w:rsidRPr="001954AF" w:rsidRDefault="00B63D8D" w:rsidP="00D95E00">
            <w:pPr>
              <w:pStyle w:val="Tabletext"/>
              <w:rPr>
                <w:rFonts w:eastAsia="SimSun"/>
              </w:rPr>
            </w:pPr>
            <w:r w:rsidRPr="001954AF">
              <w:t>Indoor user terminal usage</w:t>
            </w:r>
          </w:p>
        </w:tc>
        <w:tc>
          <w:tcPr>
            <w:tcW w:w="1473" w:type="pct"/>
            <w:vAlign w:val="center"/>
          </w:tcPr>
          <w:p w:rsidR="00B63D8D" w:rsidRPr="001954AF" w:rsidRDefault="00B63D8D" w:rsidP="00D95E00">
            <w:pPr>
              <w:pStyle w:val="Tabletext"/>
              <w:jc w:val="center"/>
              <w:rPr>
                <w:rFonts w:eastAsia="MS Mincho"/>
                <w:lang w:eastAsia="ja-JP"/>
              </w:rPr>
            </w:pPr>
            <w:r w:rsidRPr="001954AF">
              <w:rPr>
                <w:lang w:eastAsia="ja-JP"/>
              </w:rPr>
              <w:t>0%</w:t>
            </w:r>
          </w:p>
        </w:tc>
      </w:tr>
      <w:tr w:rsidR="00B63D8D" w:rsidRPr="001954AF" w:rsidTr="007A7248">
        <w:trPr>
          <w:cantSplit/>
          <w:trHeight w:val="20"/>
          <w:jc w:val="center"/>
        </w:trPr>
        <w:tc>
          <w:tcPr>
            <w:tcW w:w="3527" w:type="pct"/>
          </w:tcPr>
          <w:p w:rsidR="00B63D8D" w:rsidRPr="001954AF" w:rsidRDefault="00B63D8D" w:rsidP="00D95E00">
            <w:pPr>
              <w:pStyle w:val="Tabletext"/>
            </w:pPr>
            <w:r w:rsidRPr="001954AF">
              <w:t xml:space="preserve">Antenna height </w:t>
            </w:r>
          </w:p>
        </w:tc>
        <w:tc>
          <w:tcPr>
            <w:tcW w:w="1473" w:type="pct"/>
            <w:vAlign w:val="center"/>
          </w:tcPr>
          <w:p w:rsidR="00B63D8D" w:rsidRPr="001954AF" w:rsidRDefault="00B63D8D" w:rsidP="00D95E00">
            <w:pPr>
              <w:pStyle w:val="Tabletext"/>
              <w:jc w:val="center"/>
              <w:rPr>
                <w:lang w:eastAsia="ja-JP"/>
              </w:rPr>
            </w:pPr>
            <w:r w:rsidRPr="001954AF">
              <w:t xml:space="preserve">1.5 m </w:t>
            </w:r>
            <w:r w:rsidRPr="001954AF">
              <w:rPr>
                <w:lang w:eastAsia="ja-JP"/>
              </w:rPr>
              <w:t>(</w:t>
            </w:r>
            <w:r w:rsidRPr="001954AF">
              <w:t>above ground level)</w:t>
            </w:r>
          </w:p>
        </w:tc>
      </w:tr>
      <w:tr w:rsidR="00B63D8D" w:rsidRPr="001954AF" w:rsidTr="007A7248">
        <w:trPr>
          <w:cantSplit/>
          <w:trHeight w:val="20"/>
          <w:jc w:val="center"/>
        </w:trPr>
        <w:tc>
          <w:tcPr>
            <w:tcW w:w="3527" w:type="pct"/>
            <w:vAlign w:val="center"/>
          </w:tcPr>
          <w:p w:rsidR="00B63D8D" w:rsidRPr="00752DF2" w:rsidRDefault="00B63D8D" w:rsidP="00D95E00">
            <w:pPr>
              <w:pStyle w:val="Tabletext"/>
              <w:rPr>
                <w:rFonts w:eastAsia="SimSun"/>
                <w:lang w:val="en-GB"/>
              </w:rPr>
            </w:pPr>
            <w:r w:rsidRPr="00752DF2">
              <w:rPr>
                <w:lang w:val="en-GB"/>
              </w:rPr>
              <w:t>User Equipment density for terminals that are transmitting simultaneously</w:t>
            </w:r>
          </w:p>
        </w:tc>
        <w:tc>
          <w:tcPr>
            <w:tcW w:w="1473" w:type="pct"/>
            <w:vAlign w:val="center"/>
          </w:tcPr>
          <w:p w:rsidR="00B63D8D" w:rsidRPr="001954AF" w:rsidRDefault="00B63D8D" w:rsidP="00D95E00">
            <w:pPr>
              <w:pStyle w:val="Tabletext"/>
              <w:jc w:val="center"/>
            </w:pPr>
            <w:r w:rsidRPr="001954AF">
              <w:rPr>
                <w:lang w:eastAsia="ja-JP"/>
              </w:rPr>
              <w:t>3 * BS density</w:t>
            </w:r>
          </w:p>
        </w:tc>
      </w:tr>
      <w:tr w:rsidR="00B63D8D" w:rsidRPr="00481A00" w:rsidTr="007A7248">
        <w:trPr>
          <w:cantSplit/>
          <w:trHeight w:val="20"/>
          <w:jc w:val="center"/>
        </w:trPr>
        <w:tc>
          <w:tcPr>
            <w:tcW w:w="3527" w:type="pct"/>
            <w:vAlign w:val="center"/>
          </w:tcPr>
          <w:p w:rsidR="00B63D8D" w:rsidRPr="001954AF" w:rsidRDefault="00B63D8D" w:rsidP="00D95E00">
            <w:pPr>
              <w:pStyle w:val="Tabletext"/>
              <w:rPr>
                <w:rFonts w:eastAsia="SimSun"/>
              </w:rPr>
            </w:pPr>
            <w:r w:rsidRPr="001954AF">
              <w:rPr>
                <w:lang w:eastAsia="ko-KR"/>
              </w:rPr>
              <w:t>Power control model</w:t>
            </w:r>
          </w:p>
        </w:tc>
        <w:tc>
          <w:tcPr>
            <w:tcW w:w="1473" w:type="pct"/>
            <w:vAlign w:val="center"/>
          </w:tcPr>
          <w:p w:rsidR="00B63D8D" w:rsidRPr="00752DF2" w:rsidRDefault="00B63D8D" w:rsidP="00D95E00">
            <w:pPr>
              <w:pStyle w:val="Tabletext"/>
              <w:jc w:val="center"/>
              <w:rPr>
                <w:lang w:val="en-GB"/>
              </w:rPr>
            </w:pPr>
            <w:r w:rsidRPr="00752DF2">
              <w:rPr>
                <w:lang w:val="en-GB"/>
              </w:rPr>
              <w:t>Refer to Rec. ITU-R M.2101</w:t>
            </w:r>
          </w:p>
        </w:tc>
      </w:tr>
      <w:tr w:rsidR="00B63D8D" w:rsidRPr="001954AF" w:rsidTr="007A7248">
        <w:trPr>
          <w:cantSplit/>
          <w:trHeight w:val="20"/>
          <w:jc w:val="center"/>
        </w:trPr>
        <w:tc>
          <w:tcPr>
            <w:tcW w:w="3527" w:type="pct"/>
            <w:vAlign w:val="center"/>
          </w:tcPr>
          <w:p w:rsidR="00B63D8D" w:rsidRPr="00752DF2" w:rsidRDefault="00B63D8D" w:rsidP="00D95E00">
            <w:pPr>
              <w:pStyle w:val="Tabletext"/>
              <w:rPr>
                <w:rFonts w:eastAsia="SimSun"/>
                <w:lang w:val="en-GB"/>
              </w:rPr>
            </w:pPr>
            <w:r w:rsidRPr="00752DF2">
              <w:rPr>
                <w:lang w:val="en-GB" w:eastAsia="ko-KR"/>
              </w:rPr>
              <w:t xml:space="preserve">Maximum user terminal output power </w:t>
            </w:r>
            <w:r w:rsidRPr="00752DF2">
              <w:rPr>
                <w:i/>
                <w:lang w:val="en-GB"/>
              </w:rPr>
              <w:t>P</w:t>
            </w:r>
            <w:r w:rsidRPr="00752DF2">
              <w:rPr>
                <w:vertAlign w:val="subscript"/>
                <w:lang w:val="en-GB"/>
              </w:rPr>
              <w:t>CMAX</w:t>
            </w:r>
          </w:p>
        </w:tc>
        <w:tc>
          <w:tcPr>
            <w:tcW w:w="1473" w:type="pct"/>
            <w:vAlign w:val="center"/>
          </w:tcPr>
          <w:p w:rsidR="00B63D8D" w:rsidRPr="001954AF" w:rsidRDefault="00B63D8D" w:rsidP="00D95E00">
            <w:pPr>
              <w:pStyle w:val="Tabletext"/>
              <w:jc w:val="center"/>
            </w:pPr>
            <w:r w:rsidRPr="001954AF">
              <w:rPr>
                <w:rFonts w:eastAsiaTheme="minorEastAsia"/>
              </w:rPr>
              <w:t>22 dBm</w:t>
            </w:r>
          </w:p>
        </w:tc>
      </w:tr>
      <w:tr w:rsidR="00B63D8D" w:rsidRPr="001954AF" w:rsidTr="007A7248">
        <w:trPr>
          <w:cantSplit/>
          <w:trHeight w:val="20"/>
          <w:jc w:val="center"/>
        </w:trPr>
        <w:tc>
          <w:tcPr>
            <w:tcW w:w="3527" w:type="pct"/>
            <w:vAlign w:val="center"/>
          </w:tcPr>
          <w:p w:rsidR="00B63D8D" w:rsidRPr="00752DF2" w:rsidRDefault="00B63D8D" w:rsidP="00D95E00">
            <w:pPr>
              <w:pStyle w:val="Tabletext"/>
              <w:rPr>
                <w:rFonts w:eastAsia="SimSun"/>
                <w:lang w:val="en-GB"/>
              </w:rPr>
            </w:pPr>
            <w:r w:rsidRPr="00752DF2">
              <w:rPr>
                <w:lang w:val="en-GB"/>
              </w:rPr>
              <w:t xml:space="preserve">Transmit power target value per </w:t>
            </w:r>
            <w:r w:rsidRPr="00752DF2">
              <w:rPr>
                <w:rFonts w:eastAsiaTheme="minorEastAsia"/>
                <w:lang w:val="en-GB" w:eastAsia="zh-CN"/>
              </w:rPr>
              <w:t>180 kHz</w:t>
            </w:r>
            <w:r w:rsidRPr="00752DF2">
              <w:rPr>
                <w:lang w:val="en-GB"/>
              </w:rPr>
              <w:t xml:space="preserve">, </w:t>
            </w:r>
            <w:r w:rsidRPr="00752DF2">
              <w:rPr>
                <w:i/>
                <w:lang w:val="en-GB"/>
              </w:rPr>
              <w:t>P</w:t>
            </w:r>
            <w:r w:rsidRPr="00752DF2">
              <w:rPr>
                <w:vertAlign w:val="subscript"/>
                <w:lang w:val="en-GB"/>
              </w:rPr>
              <w:t>0_PUSCH</w:t>
            </w:r>
          </w:p>
        </w:tc>
        <w:tc>
          <w:tcPr>
            <w:tcW w:w="1473" w:type="pct"/>
            <w:vAlign w:val="center"/>
          </w:tcPr>
          <w:p w:rsidR="00B63D8D" w:rsidRPr="001954AF" w:rsidRDefault="00B63D8D" w:rsidP="00D95E00">
            <w:pPr>
              <w:pStyle w:val="Tabletext"/>
              <w:jc w:val="center"/>
            </w:pPr>
            <w:r w:rsidRPr="001954AF">
              <w:rPr>
                <w:lang w:eastAsia="ja-JP"/>
              </w:rPr>
              <w:t>–95 dBm</w:t>
            </w:r>
          </w:p>
        </w:tc>
      </w:tr>
      <w:tr w:rsidR="00B63D8D" w:rsidRPr="001954AF" w:rsidTr="007A7248">
        <w:trPr>
          <w:cantSplit/>
          <w:trHeight w:val="20"/>
          <w:jc w:val="center"/>
        </w:trPr>
        <w:tc>
          <w:tcPr>
            <w:tcW w:w="3527" w:type="pct"/>
            <w:vAlign w:val="center"/>
          </w:tcPr>
          <w:p w:rsidR="00B63D8D" w:rsidRPr="00752DF2" w:rsidRDefault="00B63D8D" w:rsidP="00D95E00">
            <w:pPr>
              <w:pStyle w:val="Tabletext"/>
              <w:rPr>
                <w:rFonts w:eastAsia="SimSun"/>
                <w:lang w:val="en-GB"/>
              </w:rPr>
            </w:pPr>
            <w:r w:rsidRPr="00752DF2">
              <w:rPr>
                <w:lang w:val="en-GB"/>
              </w:rPr>
              <w:t xml:space="preserve">Path loss compensation factor, </w:t>
            </w:r>
            <m:oMath>
              <m:r>
                <w:rPr>
                  <w:rFonts w:ascii="Cambria Math" w:hAnsi="Cambria Math"/>
                </w:rPr>
                <m:t>α</m:t>
              </m:r>
            </m:oMath>
          </w:p>
        </w:tc>
        <w:tc>
          <w:tcPr>
            <w:tcW w:w="1473" w:type="pct"/>
            <w:vAlign w:val="center"/>
          </w:tcPr>
          <w:p w:rsidR="00B63D8D" w:rsidRPr="001954AF" w:rsidRDefault="00B63D8D" w:rsidP="00D95E00">
            <w:pPr>
              <w:pStyle w:val="Tabletext"/>
              <w:jc w:val="center"/>
            </w:pPr>
            <w:r w:rsidRPr="001954AF">
              <w:rPr>
                <w:lang w:eastAsia="ja-JP"/>
              </w:rPr>
              <w:t>1</w:t>
            </w:r>
          </w:p>
        </w:tc>
      </w:tr>
    </w:tbl>
    <w:p w:rsidR="00B63D8D" w:rsidRPr="001954AF" w:rsidRDefault="00B63D8D" w:rsidP="00B63D8D">
      <w:pPr>
        <w:pStyle w:val="Tablefin"/>
      </w:pPr>
    </w:p>
    <w:p w:rsidR="00B63D8D" w:rsidRPr="00752DF2" w:rsidRDefault="00B63D8D" w:rsidP="00B63D8D">
      <w:pPr>
        <w:pStyle w:val="Heading3"/>
        <w:rPr>
          <w:rFonts w:eastAsia="MS Mincho"/>
          <w:lang w:val="en-GB"/>
        </w:rPr>
      </w:pPr>
      <w:bookmarkStart w:id="168" w:name="_Toc530661337"/>
      <w:r w:rsidRPr="00752DF2">
        <w:rPr>
          <w:rFonts w:eastAsia="MS Mincho"/>
          <w:lang w:val="en-GB"/>
        </w:rPr>
        <w:t>1.2.6</w:t>
      </w:r>
      <w:r w:rsidRPr="00752DF2">
        <w:rPr>
          <w:rFonts w:eastAsia="MS Mincho"/>
          <w:lang w:val="en-GB"/>
        </w:rPr>
        <w:tab/>
        <w:t>Propagation models for sharing and compatibility studies in the 47.9-48.2 GHz frequency range</w:t>
      </w:r>
      <w:bookmarkEnd w:id="168"/>
    </w:p>
    <w:p w:rsidR="00B63D8D" w:rsidRPr="00752DF2" w:rsidRDefault="00B63D8D" w:rsidP="00B63D8D">
      <w:pPr>
        <w:rPr>
          <w:rFonts w:eastAsia="MS Mincho"/>
          <w:lang w:val="en-GB"/>
        </w:rPr>
      </w:pPr>
      <w:r w:rsidRPr="00752DF2">
        <w:rPr>
          <w:rFonts w:eastAsia="MS Mincho"/>
          <w:lang w:val="en-GB"/>
        </w:rPr>
        <w:t>Different propagation models were used for each transmission link, as follows:</w:t>
      </w:r>
    </w:p>
    <w:p w:rsidR="00B63D8D" w:rsidRPr="00752DF2" w:rsidRDefault="00B63D8D" w:rsidP="00B63D8D">
      <w:pPr>
        <w:pStyle w:val="enumlev1"/>
        <w:rPr>
          <w:rFonts w:eastAsia="MS Mincho"/>
          <w:lang w:val="en-GB"/>
        </w:rPr>
      </w:pPr>
      <w:r w:rsidRPr="00752DF2">
        <w:rPr>
          <w:rFonts w:eastAsia="MS Mincho"/>
          <w:lang w:val="en-GB"/>
        </w:rPr>
        <w:t>–</w:t>
      </w:r>
      <w:r w:rsidRPr="00752DF2">
        <w:rPr>
          <w:rFonts w:eastAsia="MS Mincho"/>
          <w:lang w:val="en-GB"/>
        </w:rPr>
        <w:tab/>
        <w:t>for the propagation within the IMT system, i.e. links between hotspots and user equipments, the 3GPP Urban Micro (UMi) channel model was applied;</w:t>
      </w:r>
    </w:p>
    <w:p w:rsidR="00B63D8D" w:rsidRPr="00752DF2" w:rsidRDefault="00B63D8D" w:rsidP="00B63D8D">
      <w:pPr>
        <w:pStyle w:val="enumlev1"/>
        <w:rPr>
          <w:rFonts w:eastAsia="MS Mincho"/>
          <w:lang w:val="en-GB"/>
        </w:rPr>
      </w:pPr>
      <w:r w:rsidRPr="00752DF2">
        <w:rPr>
          <w:rFonts w:eastAsia="MS Mincho"/>
          <w:lang w:val="en-GB"/>
        </w:rPr>
        <w:t>–</w:t>
      </w:r>
      <w:r w:rsidRPr="00752DF2">
        <w:rPr>
          <w:rFonts w:eastAsia="MS Mincho"/>
          <w:lang w:val="en-GB"/>
        </w:rPr>
        <w:tab/>
        <w:t xml:space="preserve">for the links between HAPS gateway and IMT stations, path loss is given by the model described in Recommendation </w:t>
      </w:r>
      <w:r w:rsidRPr="00752DF2">
        <w:rPr>
          <w:rStyle w:val="Hyperlink"/>
          <w:rFonts w:eastAsia="MS Mincho"/>
          <w:lang w:val="en-GB"/>
        </w:rPr>
        <w:t xml:space="preserve">ITU-R </w:t>
      </w:r>
      <w:hyperlink r:id="rId27" w:history="1">
        <w:r w:rsidRPr="00752DF2">
          <w:rPr>
            <w:rStyle w:val="Hyperlink"/>
            <w:rFonts w:eastAsia="MS Mincho"/>
            <w:lang w:val="en-GB"/>
          </w:rPr>
          <w:t>P.452</w:t>
        </w:r>
      </w:hyperlink>
      <w:r w:rsidRPr="00752DF2">
        <w:rPr>
          <w:rFonts w:eastAsia="MS Mincho"/>
          <w:color w:val="0000FF" w:themeColor="hyperlink"/>
          <w:u w:val="single"/>
          <w:lang w:val="en-GB"/>
        </w:rPr>
        <w:t xml:space="preserve"> </w:t>
      </w:r>
      <w:r w:rsidRPr="00752DF2">
        <w:rPr>
          <w:rFonts w:eastAsia="MS Mincho"/>
          <w:lang w:val="en-GB"/>
        </w:rPr>
        <w:t xml:space="preserve">with additional clutter loss according to Recommendation </w:t>
      </w:r>
      <w:r w:rsidRPr="00752DF2">
        <w:rPr>
          <w:rStyle w:val="Hyperlink"/>
          <w:rFonts w:eastAsia="MS Mincho"/>
          <w:lang w:val="en-GB"/>
        </w:rPr>
        <w:t>ITU-R</w:t>
      </w:r>
      <w:r w:rsidRPr="00752DF2">
        <w:rPr>
          <w:rFonts w:eastAsia="MS Mincho"/>
          <w:lang w:val="en-GB"/>
        </w:rPr>
        <w:t xml:space="preserve"> </w:t>
      </w:r>
      <w:hyperlink r:id="rId28" w:history="1">
        <w:r w:rsidRPr="00752DF2">
          <w:rPr>
            <w:rFonts w:eastAsia="MS Mincho"/>
            <w:lang w:val="en-GB"/>
          </w:rPr>
          <w:t>P.2108</w:t>
        </w:r>
      </w:hyperlink>
      <w:r w:rsidRPr="00752DF2">
        <w:rPr>
          <w:rFonts w:eastAsia="MS Mincho"/>
          <w:lang w:val="en-GB"/>
        </w:rPr>
        <w:t>.</w:t>
      </w:r>
    </w:p>
    <w:p w:rsidR="00B63D8D" w:rsidRPr="00752DF2" w:rsidRDefault="00B63D8D" w:rsidP="00B63D8D">
      <w:pPr>
        <w:tabs>
          <w:tab w:val="left" w:pos="2608"/>
          <w:tab w:val="left" w:pos="3345"/>
        </w:tabs>
        <w:spacing w:before="80"/>
        <w:rPr>
          <w:rFonts w:eastAsia="MS Mincho"/>
          <w:lang w:val="en-GB"/>
        </w:rPr>
      </w:pPr>
      <w:r w:rsidRPr="00752DF2">
        <w:rPr>
          <w:rFonts w:eastAsia="MS Mincho"/>
          <w:lang w:val="en-GB"/>
        </w:rPr>
        <w:t>Regarding the implementation of the clutter loss model described in Recommendation ITU-R P.2108, for every link it is calculated the p-parameter, with uniform distribution between 0 and 1, in order to calculate the clutter loss. For each location in the study area, given the input parameters, the clutter loss value is calculated according to the probability density functions provided in Recommendation ITU-R P.2108.</w:t>
      </w:r>
    </w:p>
    <w:p w:rsidR="00B63D8D" w:rsidRPr="00752DF2" w:rsidRDefault="00B63D8D" w:rsidP="00B63D8D">
      <w:pPr>
        <w:tabs>
          <w:tab w:val="left" w:pos="2608"/>
          <w:tab w:val="left" w:pos="3345"/>
        </w:tabs>
        <w:spacing w:before="80"/>
        <w:rPr>
          <w:rFonts w:eastAsia="MS Mincho"/>
          <w:lang w:val="en-GB"/>
        </w:rPr>
      </w:pPr>
      <w:r w:rsidRPr="00752DF2">
        <w:rPr>
          <w:rFonts w:eastAsia="MS Mincho"/>
          <w:lang w:val="en-GB"/>
        </w:rPr>
        <w:t xml:space="preserve">Regarding the implementation of the path loss model described in Recommendation ITU-R P.452, it was considered </w:t>
      </w:r>
      <w:r w:rsidRPr="00752DF2">
        <w:rPr>
          <w:rFonts w:eastAsia="MS Mincho"/>
          <w:i/>
          <w:iCs/>
          <w:lang w:val="en-GB"/>
        </w:rPr>
        <w:t>p</w:t>
      </w:r>
      <w:r w:rsidRPr="00752DF2">
        <w:rPr>
          <w:rFonts w:eastAsia="MS Mincho"/>
          <w:lang w:val="en-GB"/>
        </w:rPr>
        <w:t xml:space="preserve"> = 1%, which means that the transmission loss will not exceed the calculated value in 1% of time. </w:t>
      </w:r>
    </w:p>
    <w:p w:rsidR="00B63D8D" w:rsidRPr="00752DF2" w:rsidRDefault="00B63D8D" w:rsidP="00B63D8D">
      <w:pPr>
        <w:pStyle w:val="Heading3"/>
        <w:rPr>
          <w:rFonts w:eastAsia="MS Mincho"/>
          <w:lang w:val="en-GB"/>
        </w:rPr>
      </w:pPr>
      <w:bookmarkStart w:id="169" w:name="_Toc530661338"/>
      <w:r w:rsidRPr="00752DF2">
        <w:rPr>
          <w:rFonts w:eastAsia="MS Mincho"/>
          <w:lang w:val="en-GB"/>
        </w:rPr>
        <w:t>1.2.7</w:t>
      </w:r>
      <w:r w:rsidRPr="00752DF2">
        <w:rPr>
          <w:rFonts w:eastAsia="MS Mincho"/>
          <w:lang w:val="en-GB"/>
        </w:rPr>
        <w:tab/>
        <w:t>Derivation of pfd masks of IMT stations</w:t>
      </w:r>
      <w:bookmarkEnd w:id="169"/>
    </w:p>
    <w:p w:rsidR="00B63D8D" w:rsidRPr="00752DF2" w:rsidRDefault="00B63D8D" w:rsidP="00B63D8D">
      <w:pPr>
        <w:rPr>
          <w:szCs w:val="24"/>
          <w:lang w:val="en-GB" w:eastAsia="ja-JP"/>
        </w:rPr>
      </w:pPr>
      <w:r w:rsidRPr="00752DF2">
        <w:rPr>
          <w:szCs w:val="24"/>
          <w:lang w:val="en-GB" w:eastAsia="ja-JP"/>
        </w:rPr>
        <w:t xml:space="preserve">This subsection describes the procedure for deriving the pfd masks as a function of the elevation angle with respect to HAPS ground stations. The geometry of the scenario is characterized by some parameters, including </w:t>
      </w:r>
      <m:oMath>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tilt</m:t>
            </m:r>
          </m:sub>
        </m:sSub>
      </m:oMath>
      <w:r w:rsidRPr="00752DF2">
        <w:rPr>
          <w:szCs w:val="24"/>
          <w:lang w:val="en-GB" w:eastAsia="ja-JP"/>
        </w:rPr>
        <w:t xml:space="preserve">, which is the angle between the IMT antenna beam and the line of horizon, </w:t>
      </w:r>
      <m:oMath>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elev</m:t>
            </m:r>
          </m:sub>
        </m:sSub>
      </m:oMath>
      <w:r w:rsidRPr="00752DF2">
        <w:rPr>
          <w:szCs w:val="24"/>
          <w:lang w:val="en-GB" w:eastAsia="ja-JP"/>
        </w:rPr>
        <w:t xml:space="preserve">, which is the elevation angle of the IMT antenna beam and the HAPS ground station, and </w:t>
      </w:r>
      <m:oMath>
        <m:r>
          <w:rPr>
            <w:rFonts w:ascii="Cambria Math" w:hAnsi="Cambria Math"/>
            <w:szCs w:val="24"/>
            <w:lang w:eastAsia="ja-JP"/>
          </w:rPr>
          <m:t>d</m:t>
        </m:r>
      </m:oMath>
      <w:r w:rsidRPr="00752DF2">
        <w:rPr>
          <w:szCs w:val="24"/>
          <w:lang w:val="en-GB" w:eastAsia="ja-JP"/>
        </w:rPr>
        <w:t>, which is the distance between base station and user equipment.</w:t>
      </w:r>
    </w:p>
    <w:p w:rsidR="00B63D8D" w:rsidRPr="00752DF2" w:rsidRDefault="00B63D8D" w:rsidP="00B63D8D">
      <w:pPr>
        <w:rPr>
          <w:szCs w:val="24"/>
          <w:lang w:val="en-GB" w:eastAsia="ja-JP"/>
        </w:rPr>
      </w:pPr>
      <w:r w:rsidRPr="00752DF2">
        <w:rPr>
          <w:szCs w:val="24"/>
          <w:lang w:val="en-GB" w:eastAsia="ja-JP"/>
        </w:rPr>
        <w:t xml:space="preserve">All IMT parameters that are used in the pfd mask derivation procedure are described in </w:t>
      </w:r>
      <w:r w:rsidR="00EB0687">
        <w:rPr>
          <w:szCs w:val="24"/>
          <w:lang w:val="en-GB" w:eastAsia="ja-JP"/>
        </w:rPr>
        <w:t>§</w:t>
      </w:r>
      <w:r w:rsidRPr="00752DF2">
        <w:rPr>
          <w:szCs w:val="24"/>
          <w:lang w:val="en-GB" w:eastAsia="ja-JP"/>
        </w:rPr>
        <w:t xml:space="preserve"> 1.2.5.2 and they are the same as the ones used in the Monte Carlo simulations included below in this Report. As explained in the referred section, distance between a BS and its served UE’s follows a Rayleigh distribution with scale parameter </w:t>
      </w:r>
      <m:oMath>
        <m:sSub>
          <m:sSubPr>
            <m:ctrlPr>
              <w:rPr>
                <w:rFonts w:ascii="Cambria Math" w:hAnsi="Cambria Math"/>
                <w:i/>
                <w:szCs w:val="24"/>
                <w:lang w:eastAsia="ja-JP"/>
              </w:rPr>
            </m:ctrlPr>
          </m:sSubPr>
          <m:e>
            <m:r>
              <m:rPr>
                <m:sty m:val="p"/>
              </m:rPr>
              <w:rPr>
                <w:rFonts w:ascii="Cambria Math" w:hAnsi="Cambria Math"/>
                <w:szCs w:val="24"/>
                <w:lang w:eastAsia="ja-JP"/>
              </w:rPr>
              <m:t>σ</m:t>
            </m:r>
          </m:e>
          <m:sub>
            <m:r>
              <w:rPr>
                <w:rFonts w:ascii="Cambria Math" w:hAnsi="Cambria Math"/>
                <w:szCs w:val="24"/>
                <w:lang w:eastAsia="ja-JP"/>
              </w:rPr>
              <m:t>d</m:t>
            </m:r>
          </m:sub>
        </m:sSub>
        <m:r>
          <w:rPr>
            <w:rFonts w:ascii="Cambria Math" w:hAnsi="Cambria Math"/>
            <w:szCs w:val="24"/>
            <w:lang w:val="en-GB" w:eastAsia="ja-JP"/>
          </w:rPr>
          <m:t xml:space="preserve">=32 </m:t>
        </m:r>
        <m:r>
          <w:rPr>
            <w:rFonts w:ascii="Cambria Math" w:hAnsi="Cambria Math"/>
            <w:szCs w:val="24"/>
            <w:lang w:eastAsia="ja-JP"/>
          </w:rPr>
          <m:t>m</m:t>
        </m:r>
      </m:oMath>
      <w:r w:rsidRPr="00752DF2">
        <w:rPr>
          <w:szCs w:val="24"/>
          <w:lang w:val="en-GB" w:eastAsia="ja-JP"/>
        </w:rPr>
        <w:t xml:space="preserve">. The mask derivation procedure considers that </w:t>
      </w:r>
      <m:oMath>
        <m:r>
          <w:rPr>
            <w:rFonts w:ascii="Cambria Math" w:hAnsi="Cambria Math"/>
            <w:szCs w:val="24"/>
            <w:lang w:eastAsia="ja-JP"/>
          </w:rPr>
          <m:t>d</m:t>
        </m:r>
      </m:oMath>
      <w:r w:rsidRPr="00752DF2">
        <w:rPr>
          <w:szCs w:val="24"/>
          <w:lang w:val="en-GB" w:eastAsia="ja-JP"/>
        </w:rPr>
        <w:t xml:space="preserve"> is in the range 5 to 100 metres, which encompasses 98% of the UE’s (from 0.01 to 0.99 of the CDF). Considering the antenna heights </w:t>
      </w:r>
      <m:oMath>
        <m:sSub>
          <m:sSubPr>
            <m:ctrlPr>
              <w:rPr>
                <w:rFonts w:ascii="Cambria Math" w:hAnsi="Cambria Math"/>
                <w:i/>
                <w:szCs w:val="24"/>
                <w:lang w:eastAsia="ja-JP"/>
              </w:rPr>
            </m:ctrlPr>
          </m:sSubPr>
          <m:e>
            <m:r>
              <w:rPr>
                <w:rFonts w:ascii="Cambria Math" w:hAnsi="Cambria Math"/>
                <w:szCs w:val="24"/>
                <w:lang w:val="en-GB" w:eastAsia="ja-JP"/>
              </w:rPr>
              <m:t>h</m:t>
            </m:r>
          </m:e>
          <m:sub>
            <m:r>
              <w:rPr>
                <w:rFonts w:ascii="Cambria Math" w:hAnsi="Cambria Math"/>
                <w:szCs w:val="24"/>
                <w:lang w:eastAsia="ja-JP"/>
              </w:rPr>
              <m:t>BS</m:t>
            </m:r>
          </m:sub>
        </m:sSub>
        <m:r>
          <w:rPr>
            <w:rFonts w:ascii="Cambria Math" w:hAnsi="Cambria Math"/>
            <w:szCs w:val="24"/>
            <w:lang w:val="en-GB" w:eastAsia="ja-JP"/>
          </w:rPr>
          <m:t xml:space="preserve">=6 </m:t>
        </m:r>
        <m:r>
          <w:rPr>
            <w:rFonts w:ascii="Cambria Math" w:hAnsi="Cambria Math"/>
            <w:szCs w:val="24"/>
            <w:lang w:eastAsia="ja-JP"/>
          </w:rPr>
          <m:t>m</m:t>
        </m:r>
      </m:oMath>
      <w:r w:rsidRPr="00752DF2">
        <w:rPr>
          <w:szCs w:val="24"/>
          <w:lang w:val="en-GB" w:eastAsia="ja-JP"/>
        </w:rPr>
        <w:t xml:space="preserve">, </w:t>
      </w:r>
      <m:oMath>
        <m:sSub>
          <m:sSubPr>
            <m:ctrlPr>
              <w:rPr>
                <w:rFonts w:ascii="Cambria Math" w:hAnsi="Cambria Math"/>
                <w:i/>
                <w:szCs w:val="24"/>
                <w:lang w:eastAsia="ja-JP"/>
              </w:rPr>
            </m:ctrlPr>
          </m:sSubPr>
          <m:e>
            <m:r>
              <w:rPr>
                <w:rFonts w:ascii="Cambria Math" w:hAnsi="Cambria Math"/>
                <w:szCs w:val="24"/>
                <w:lang w:val="en-GB" w:eastAsia="ja-JP"/>
              </w:rPr>
              <m:t>h</m:t>
            </m:r>
          </m:e>
          <m:sub>
            <m:r>
              <w:rPr>
                <w:rFonts w:ascii="Cambria Math" w:hAnsi="Cambria Math"/>
                <w:szCs w:val="24"/>
                <w:lang w:eastAsia="ja-JP"/>
              </w:rPr>
              <m:t>UE</m:t>
            </m:r>
          </m:sub>
        </m:sSub>
        <m:r>
          <w:rPr>
            <w:rFonts w:ascii="Cambria Math" w:hAnsi="Cambria Math"/>
            <w:szCs w:val="24"/>
            <w:lang w:val="en-GB" w:eastAsia="ja-JP"/>
          </w:rPr>
          <m:t xml:space="preserve">=1.5 </m:t>
        </m:r>
        <m:r>
          <w:rPr>
            <w:rFonts w:ascii="Cambria Math" w:hAnsi="Cambria Math"/>
            <w:szCs w:val="24"/>
            <w:lang w:eastAsia="ja-JP"/>
          </w:rPr>
          <m:t>m</m:t>
        </m:r>
      </m:oMath>
      <w:r w:rsidRPr="00752DF2">
        <w:rPr>
          <w:szCs w:val="24"/>
          <w:lang w:val="en-GB" w:eastAsia="ja-JP"/>
        </w:rPr>
        <w:t xml:space="preserve"> and </w:t>
      </w:r>
      <m:oMath>
        <m:sSub>
          <m:sSubPr>
            <m:ctrlPr>
              <w:rPr>
                <w:rFonts w:ascii="Cambria Math" w:hAnsi="Cambria Math"/>
                <w:i/>
                <w:szCs w:val="24"/>
                <w:lang w:eastAsia="ja-JP"/>
              </w:rPr>
            </m:ctrlPr>
          </m:sSubPr>
          <m:e>
            <m:r>
              <w:rPr>
                <w:rFonts w:ascii="Cambria Math" w:hAnsi="Cambria Math"/>
                <w:szCs w:val="24"/>
                <w:lang w:val="en-GB" w:eastAsia="ja-JP"/>
              </w:rPr>
              <m:t>h</m:t>
            </m:r>
          </m:e>
          <m:sub>
            <m:r>
              <w:rPr>
                <w:rFonts w:ascii="Cambria Math" w:hAnsi="Cambria Math"/>
                <w:szCs w:val="24"/>
                <w:lang w:eastAsia="ja-JP"/>
              </w:rPr>
              <m:t>GW</m:t>
            </m:r>
          </m:sub>
        </m:sSub>
        <m:r>
          <w:rPr>
            <w:rFonts w:ascii="Cambria Math" w:hAnsi="Cambria Math"/>
            <w:szCs w:val="24"/>
            <w:lang w:val="en-GB" w:eastAsia="ja-JP"/>
          </w:rPr>
          <m:t>=</m:t>
        </m:r>
        <m:sSub>
          <m:sSubPr>
            <m:ctrlPr>
              <w:rPr>
                <w:rFonts w:ascii="Cambria Math" w:hAnsi="Cambria Math"/>
                <w:i/>
                <w:szCs w:val="24"/>
                <w:lang w:eastAsia="ja-JP"/>
              </w:rPr>
            </m:ctrlPr>
          </m:sSubPr>
          <m:e>
            <m:r>
              <w:rPr>
                <w:rFonts w:ascii="Cambria Math" w:hAnsi="Cambria Math"/>
                <w:szCs w:val="24"/>
                <w:lang w:val="en-GB" w:eastAsia="ja-JP"/>
              </w:rPr>
              <m:t>h</m:t>
            </m:r>
          </m:e>
          <m:sub>
            <m:r>
              <w:rPr>
                <w:rFonts w:ascii="Cambria Math" w:hAnsi="Cambria Math"/>
                <w:szCs w:val="24"/>
                <w:lang w:eastAsia="ja-JP"/>
              </w:rPr>
              <m:t>CPE</m:t>
            </m:r>
          </m:sub>
        </m:sSub>
        <m:r>
          <w:rPr>
            <w:rFonts w:ascii="Cambria Math" w:hAnsi="Cambria Math"/>
            <w:szCs w:val="24"/>
            <w:lang w:val="en-GB" w:eastAsia="ja-JP"/>
          </w:rPr>
          <m:t xml:space="preserve">=10 </m:t>
        </m:r>
        <m:r>
          <w:rPr>
            <w:rFonts w:ascii="Cambria Math" w:hAnsi="Cambria Math"/>
            <w:szCs w:val="24"/>
            <w:lang w:eastAsia="ja-JP"/>
          </w:rPr>
          <m:t>m</m:t>
        </m:r>
      </m:oMath>
      <w:r w:rsidRPr="00752DF2">
        <w:rPr>
          <w:szCs w:val="24"/>
          <w:lang w:val="en-GB" w:eastAsia="ja-JP"/>
        </w:rPr>
        <w:t xml:space="preserve">, it can be shown that </w:t>
      </w:r>
      <m:oMath>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tilt</m:t>
            </m:r>
          </m:sub>
        </m:sSub>
      </m:oMath>
      <w:r w:rsidRPr="00752DF2">
        <w:rPr>
          <w:szCs w:val="24"/>
          <w:lang w:val="en-GB" w:eastAsia="ja-JP"/>
        </w:rPr>
        <w:t xml:space="preserve"> is in range 2.57 to 42 degrees. The mechanical downtilt of the BS antenna is 10 degrees.</w:t>
      </w:r>
    </w:p>
    <w:p w:rsidR="00B63D8D" w:rsidRPr="00752DF2" w:rsidRDefault="00B63D8D" w:rsidP="00B63D8D">
      <w:pPr>
        <w:rPr>
          <w:szCs w:val="24"/>
          <w:lang w:val="en-GB" w:eastAsia="ja-JP"/>
        </w:rPr>
      </w:pPr>
      <w:r w:rsidRPr="00752DF2">
        <w:rPr>
          <w:szCs w:val="24"/>
          <w:lang w:val="en-GB" w:eastAsia="ja-JP"/>
        </w:rPr>
        <w:t>The pfd masks are evaluated only for the IMT stations which are inside the HAPS coverage area. It implies that:</w:t>
      </w:r>
    </w:p>
    <w:p w:rsidR="00B63D8D" w:rsidRPr="00752DF2" w:rsidRDefault="00B63D8D" w:rsidP="00B63D8D">
      <w:pPr>
        <w:pStyle w:val="enumlev1"/>
        <w:rPr>
          <w:rFonts w:eastAsiaTheme="minorEastAsia"/>
          <w:lang w:val="en-GB" w:eastAsia="ja-JP"/>
        </w:rPr>
      </w:pPr>
      <w:r w:rsidRPr="00752DF2">
        <w:rPr>
          <w:rFonts w:eastAsiaTheme="minorEastAsia"/>
          <w:lang w:val="en-GB" w:eastAsia="ja-JP"/>
        </w:rPr>
        <w:t>–</w:t>
      </w:r>
      <w:r w:rsidRPr="00752DF2">
        <w:rPr>
          <w:rFonts w:eastAsiaTheme="minorEastAsia"/>
          <w:lang w:val="en-GB" w:eastAsia="ja-JP"/>
        </w:rPr>
        <w:tab/>
        <w:t xml:space="preserve">The elevation angle </w:t>
      </w:r>
      <m:oMath>
        <m:sSub>
          <m:sSubPr>
            <m:ctrlPr>
              <w:rPr>
                <w:rFonts w:ascii="Cambria Math" w:eastAsiaTheme="minorEastAsia" w:hAnsi="Cambria Math"/>
                <w:i/>
                <w:lang w:eastAsia="ja-JP"/>
              </w:rPr>
            </m:ctrlPr>
          </m:sSubPr>
          <m:e>
            <m:r>
              <m:rPr>
                <m:sty m:val="p"/>
              </m:rPr>
              <w:rPr>
                <w:rFonts w:ascii="Cambria Math" w:eastAsiaTheme="minorEastAsia" w:hAnsi="Cambria Math"/>
                <w:lang w:eastAsia="ja-JP"/>
              </w:rPr>
              <m:t>θ</m:t>
            </m:r>
          </m:e>
          <m:sub>
            <m:r>
              <w:rPr>
                <w:rFonts w:ascii="Cambria Math" w:eastAsiaTheme="minorEastAsia" w:hAnsi="Cambria Math"/>
                <w:lang w:eastAsia="ja-JP"/>
              </w:rPr>
              <m:t>elev</m:t>
            </m:r>
            <m:r>
              <w:rPr>
                <w:rFonts w:ascii="Cambria Math" w:eastAsiaTheme="minorEastAsia" w:hAnsi="Cambria Math"/>
                <w:lang w:val="en-GB" w:eastAsia="ja-JP"/>
              </w:rPr>
              <m:t>.</m:t>
            </m:r>
            <m:r>
              <w:rPr>
                <w:rFonts w:ascii="Cambria Math" w:eastAsiaTheme="minorEastAsia" w:hAnsi="Cambria Math"/>
                <w:lang w:eastAsia="ja-JP"/>
              </w:rPr>
              <m:t>BS</m:t>
            </m:r>
          </m:sub>
        </m:sSub>
      </m:oMath>
      <w:r w:rsidRPr="00752DF2">
        <w:rPr>
          <w:rFonts w:eastAsiaTheme="minorEastAsia"/>
          <w:lang w:val="en-GB" w:eastAsia="ja-JP"/>
        </w:rPr>
        <w:t xml:space="preserve"> of the IMT base stations with respect to the HAPS ground station is in the range 0 to 40 degrees, and;</w:t>
      </w:r>
    </w:p>
    <w:p w:rsidR="00B63D8D" w:rsidRPr="00752DF2" w:rsidRDefault="00B63D8D" w:rsidP="00B63D8D">
      <w:pPr>
        <w:pStyle w:val="enumlev1"/>
        <w:rPr>
          <w:rFonts w:eastAsiaTheme="minorEastAsia"/>
          <w:lang w:val="en-GB" w:eastAsia="ja-JP"/>
        </w:rPr>
      </w:pPr>
      <w:r w:rsidRPr="00752DF2">
        <w:rPr>
          <w:rFonts w:eastAsiaTheme="minorEastAsia"/>
          <w:lang w:val="en-GB" w:eastAsia="ja-JP"/>
        </w:rPr>
        <w:t>–</w:t>
      </w:r>
      <w:r w:rsidRPr="00752DF2">
        <w:rPr>
          <w:rFonts w:eastAsiaTheme="minorEastAsia"/>
          <w:lang w:val="en-GB" w:eastAsia="ja-JP"/>
        </w:rPr>
        <w:tab/>
        <w:t xml:space="preserve">The elevation angle </w:t>
      </w:r>
      <m:oMath>
        <m:sSub>
          <m:sSubPr>
            <m:ctrlPr>
              <w:rPr>
                <w:rFonts w:ascii="Cambria Math" w:eastAsiaTheme="minorEastAsia" w:hAnsi="Cambria Math"/>
                <w:i/>
                <w:lang w:eastAsia="ja-JP"/>
              </w:rPr>
            </m:ctrlPr>
          </m:sSubPr>
          <m:e>
            <m:r>
              <m:rPr>
                <m:sty m:val="p"/>
              </m:rPr>
              <w:rPr>
                <w:rFonts w:ascii="Cambria Math" w:eastAsiaTheme="minorEastAsia" w:hAnsi="Cambria Math"/>
                <w:lang w:eastAsia="ja-JP"/>
              </w:rPr>
              <m:t>θ</m:t>
            </m:r>
          </m:e>
          <m:sub>
            <m:r>
              <w:rPr>
                <w:rFonts w:ascii="Cambria Math" w:eastAsiaTheme="minorEastAsia" w:hAnsi="Cambria Math"/>
                <w:lang w:eastAsia="ja-JP"/>
              </w:rPr>
              <m:t>elev</m:t>
            </m:r>
            <m:r>
              <w:rPr>
                <w:rFonts w:ascii="Cambria Math" w:eastAsiaTheme="minorEastAsia" w:hAnsi="Cambria Math"/>
                <w:lang w:val="en-GB" w:eastAsia="ja-JP"/>
              </w:rPr>
              <m:t>.</m:t>
            </m:r>
            <m:r>
              <w:rPr>
                <w:rFonts w:ascii="Cambria Math" w:eastAsiaTheme="minorEastAsia" w:hAnsi="Cambria Math"/>
                <w:lang w:eastAsia="ja-JP"/>
              </w:rPr>
              <m:t>UE</m:t>
            </m:r>
          </m:sub>
        </m:sSub>
      </m:oMath>
      <w:r w:rsidRPr="00752DF2">
        <w:rPr>
          <w:rFonts w:eastAsiaTheme="minorEastAsia"/>
          <w:lang w:val="en-GB" w:eastAsia="ja-JP"/>
        </w:rPr>
        <w:t xml:space="preserve"> of the IMT user equipments with respect to the HAPS ground station is in the range 0 to 60 degrees.</w:t>
      </w:r>
    </w:p>
    <w:p w:rsidR="00B63D8D" w:rsidRPr="00752DF2" w:rsidRDefault="00B63D8D" w:rsidP="00B63D8D">
      <w:pPr>
        <w:rPr>
          <w:szCs w:val="24"/>
          <w:lang w:val="en-GB" w:eastAsia="ja-JP"/>
        </w:rPr>
      </w:pPr>
      <w:r w:rsidRPr="00752DF2">
        <w:rPr>
          <w:szCs w:val="24"/>
          <w:lang w:val="en-GB" w:eastAsia="ja-JP"/>
        </w:rPr>
        <w:t xml:space="preserve">The procedure for deriving the pfd masks consists of calculating the IMT antenna gain in direction </w:t>
      </w:r>
      <m:oMath>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elev</m:t>
            </m:r>
          </m:sub>
        </m:sSub>
      </m:oMath>
      <w:r w:rsidRPr="00752DF2">
        <w:rPr>
          <w:szCs w:val="24"/>
          <w:lang w:val="en-GB" w:eastAsia="ja-JP"/>
        </w:rPr>
        <w:t xml:space="preserve"> for a given </w:t>
      </w:r>
      <m:oMath>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tilt</m:t>
            </m:r>
          </m:sub>
        </m:sSub>
      </m:oMath>
      <w:r w:rsidRPr="00752DF2">
        <w:rPr>
          <w:szCs w:val="24"/>
          <w:lang w:val="en-GB" w:eastAsia="ja-JP"/>
        </w:rPr>
        <w:t xml:space="preserve"> and, then, calculate the pfd value according to equation (1). The IMT antenna model proposed by the relevant group assumes that the antenna gain is equal to its directivity and the ohmic loss is considered separately. Considering that the protection criteria evaluates the level of interfering signal with respect to system noise level, it is necessary to consider the characteristics of the receive chain, which includes ohmic loss. Then, an additional 3dB loss is included in the calculation of the IMT station</w:t>
      </w:r>
      <w:r w:rsidRPr="00752DF2">
        <w:rPr>
          <w:lang w:val="en-GB" w:eastAsia="ja-JP"/>
        </w:rPr>
        <w:t xml:space="preserve"> ‘net’ </w:t>
      </w:r>
      <w:r w:rsidRPr="00752DF2">
        <w:rPr>
          <w:szCs w:val="24"/>
          <w:lang w:val="en-GB" w:eastAsia="ja-JP"/>
        </w:rPr>
        <w:t>a</w:t>
      </w:r>
      <w:r w:rsidRPr="00752DF2">
        <w:rPr>
          <w:lang w:val="en-GB" w:eastAsia="ja-JP"/>
        </w:rPr>
        <w:t>ntenna gain in the direction of the HAPS, in order to calculate the received interfering power.</w:t>
      </w:r>
    </w:p>
    <w:p w:rsidR="00B63D8D" w:rsidRPr="00752DF2" w:rsidRDefault="00B63D8D" w:rsidP="00B63D8D">
      <w:pPr>
        <w:tabs>
          <w:tab w:val="left" w:pos="1701"/>
          <w:tab w:val="right" w:pos="2127"/>
        </w:tabs>
        <w:spacing w:before="80"/>
        <w:rPr>
          <w:szCs w:val="24"/>
          <w:lang w:val="en-GB" w:eastAsia="ja-JP"/>
        </w:rPr>
      </w:pPr>
      <w:r w:rsidRPr="00752DF2">
        <w:rPr>
          <w:szCs w:val="24"/>
          <w:lang w:val="en-GB" w:eastAsia="ja-JP"/>
        </w:rPr>
        <w:t>The procedure for deriving the UE pfd masks is similar, taking into account the premise that vertical orientation of the device varies uniformly in the range –180 to 180 degrees. Figure 10 shows the pfd masks calculated for IMT base station and user equipment.</w:t>
      </w:r>
    </w:p>
    <w:p w:rsidR="00B63D8D" w:rsidRPr="00752DF2" w:rsidRDefault="00B63D8D" w:rsidP="00B63D8D">
      <w:pPr>
        <w:pStyle w:val="FigureNo"/>
        <w:rPr>
          <w:lang w:val="en-GB"/>
        </w:rPr>
      </w:pPr>
      <w:r w:rsidRPr="00752DF2">
        <w:rPr>
          <w:lang w:val="en-GB"/>
        </w:rPr>
        <w:t>Figure 10</w:t>
      </w:r>
    </w:p>
    <w:p w:rsidR="00B63D8D" w:rsidRPr="00752DF2" w:rsidRDefault="00B63D8D" w:rsidP="00B63D8D">
      <w:pPr>
        <w:pStyle w:val="Figuretitle"/>
        <w:rPr>
          <w:szCs w:val="24"/>
          <w:lang w:val="en-GB" w:eastAsia="ja-JP"/>
        </w:rPr>
      </w:pPr>
      <w:r w:rsidRPr="00752DF2">
        <w:rPr>
          <w:lang w:val="en-GB"/>
        </w:rPr>
        <w:t>pfd masks to protect IMT base stations and user equipments</w:t>
      </w:r>
    </w:p>
    <w:p w:rsidR="00B63D8D" w:rsidRPr="001954AF" w:rsidRDefault="00B63D8D" w:rsidP="00B63D8D">
      <w:pPr>
        <w:pStyle w:val="Figure"/>
        <w:rPr>
          <w:lang w:eastAsia="ja-JP"/>
        </w:rPr>
      </w:pPr>
      <w:r w:rsidRPr="001954AF">
        <w:rPr>
          <w:noProof/>
          <w:lang w:val="en-GB" w:eastAsia="en-GB"/>
        </w:rPr>
        <w:drawing>
          <wp:inline distT="0" distB="0" distL="0" distR="0" wp14:anchorId="2AE6EBA0" wp14:editId="77EA2F84">
            <wp:extent cx="5771589" cy="210185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ed PFD masks.png"/>
                    <pic:cNvPicPr/>
                  </pic:nvPicPr>
                  <pic:blipFill rotWithShape="1">
                    <a:blip r:embed="rId29">
                      <a:extLst>
                        <a:ext uri="{28A0092B-C50C-407E-A947-70E740481C1C}">
                          <a14:useLocalDpi xmlns:a14="http://schemas.microsoft.com/office/drawing/2010/main" val="0"/>
                        </a:ext>
                      </a:extLst>
                    </a:blip>
                    <a:srcRect l="6847" t="6313" r="8601"/>
                    <a:stretch/>
                  </pic:blipFill>
                  <pic:spPr bwMode="auto">
                    <a:xfrm>
                      <a:off x="0" y="0"/>
                      <a:ext cx="5777712" cy="2104080"/>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945841">
      <w:pPr>
        <w:rPr>
          <w:lang w:val="en-GB" w:eastAsia="ja-JP"/>
        </w:rPr>
      </w:pPr>
      <w:r w:rsidRPr="00752DF2">
        <w:rPr>
          <w:lang w:val="en-GB" w:eastAsia="ja-JP"/>
        </w:rPr>
        <w:t>Table 12 summarizes the pfd masks that are proposed as a function of elevation angles in order to protect the IMT stations.</w:t>
      </w:r>
    </w:p>
    <w:p w:rsidR="00B63D8D" w:rsidRPr="00752DF2" w:rsidRDefault="00B63D8D" w:rsidP="00B63D8D">
      <w:pPr>
        <w:pStyle w:val="TableNo"/>
        <w:rPr>
          <w:lang w:val="en-GB"/>
        </w:rPr>
      </w:pPr>
      <w:r w:rsidRPr="00752DF2">
        <w:rPr>
          <w:lang w:val="en-GB"/>
        </w:rPr>
        <w:t>T</w:t>
      </w:r>
      <w:r w:rsidR="00945841" w:rsidRPr="00752DF2">
        <w:rPr>
          <w:lang w:val="en-GB"/>
        </w:rPr>
        <w:t>ABLE</w:t>
      </w:r>
      <w:r w:rsidRPr="00752DF2">
        <w:rPr>
          <w:lang w:val="en-GB"/>
        </w:rPr>
        <w:t xml:space="preserve"> 12</w:t>
      </w:r>
    </w:p>
    <w:p w:rsidR="00B63D8D" w:rsidRPr="00752DF2" w:rsidRDefault="00B63D8D" w:rsidP="00B63D8D">
      <w:pPr>
        <w:pStyle w:val="Tabletitle"/>
        <w:rPr>
          <w:szCs w:val="24"/>
          <w:lang w:val="en-GB" w:eastAsia="ja-JP"/>
        </w:rPr>
      </w:pPr>
      <w:r w:rsidRPr="00752DF2">
        <w:rPr>
          <w:lang w:val="en-GB"/>
        </w:rPr>
        <w:t>Proposed pfd masks for IMT base stations and user equipments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6462"/>
      </w:tblGrid>
      <w:tr w:rsidR="00B63D8D" w:rsidRPr="00481A00" w:rsidTr="00194EFE">
        <w:trPr>
          <w:jc w:val="center"/>
        </w:trPr>
        <w:tc>
          <w:tcPr>
            <w:tcW w:w="1755" w:type="dxa"/>
            <w:shd w:val="clear" w:color="auto" w:fill="auto"/>
            <w:vAlign w:val="center"/>
          </w:tcPr>
          <w:p w:rsidR="00B63D8D" w:rsidRPr="001954AF" w:rsidRDefault="00B63D8D" w:rsidP="00194EFE">
            <w:pPr>
              <w:pStyle w:val="Tablehead"/>
              <w:rPr>
                <w:lang w:eastAsia="ja-JP"/>
              </w:rPr>
            </w:pPr>
            <w:r w:rsidRPr="001954AF">
              <w:rPr>
                <w:lang w:eastAsia="ja-JP"/>
              </w:rPr>
              <w:t>IMT station</w:t>
            </w:r>
          </w:p>
        </w:tc>
        <w:tc>
          <w:tcPr>
            <w:tcW w:w="6462" w:type="dxa"/>
            <w:shd w:val="clear" w:color="auto" w:fill="auto"/>
            <w:vAlign w:val="center"/>
          </w:tcPr>
          <w:p w:rsidR="00B63D8D" w:rsidRPr="00752DF2" w:rsidRDefault="00B63D8D" w:rsidP="00194EFE">
            <w:pPr>
              <w:pStyle w:val="Tablehead"/>
              <w:rPr>
                <w:lang w:val="en-GB" w:eastAsia="ja-JP"/>
              </w:rPr>
            </w:pPr>
            <w:r w:rsidRPr="00752DF2">
              <w:rPr>
                <w:lang w:val="en-GB" w:eastAsia="ja-JP"/>
              </w:rPr>
              <w:t xml:space="preserve">Proposed pfd masks, </w:t>
            </w:r>
            <m:oMath>
              <m:r>
                <m:rPr>
                  <m:sty m:val="b"/>
                </m:rPr>
                <w:rPr>
                  <w:rFonts w:ascii="Cambria Math" w:hAnsi="Cambria Math"/>
                  <w:lang w:eastAsia="ja-JP"/>
                </w:rPr>
                <m:t>dB</m:t>
              </m:r>
              <m:d>
                <m:dPr>
                  <m:ctrlPr>
                    <w:rPr>
                      <w:rFonts w:ascii="Cambria Math" w:hAnsi="Cambria Math"/>
                      <w:lang w:eastAsia="ja-JP"/>
                    </w:rPr>
                  </m:ctrlPr>
                </m:dPr>
                <m:e>
                  <m:r>
                    <m:rPr>
                      <m:sty m:val="b"/>
                    </m:rPr>
                    <w:rPr>
                      <w:rFonts w:ascii="Cambria Math" w:hAnsi="Cambria Math"/>
                      <w:lang w:eastAsia="ja-JP"/>
                    </w:rPr>
                    <m:t>W</m:t>
                  </m:r>
                  <m:sSup>
                    <m:sSupPr>
                      <m:ctrlPr>
                        <w:rPr>
                          <w:rFonts w:ascii="Cambria Math" w:hAnsi="Cambria Math"/>
                          <w:lang w:eastAsia="ja-JP"/>
                        </w:rPr>
                      </m:ctrlPr>
                    </m:sSupPr>
                    <m:e>
                      <m:r>
                        <m:rPr>
                          <m:sty m:val="b"/>
                        </m:rPr>
                        <w:rPr>
                          <w:rFonts w:ascii="Cambria Math" w:hAnsi="Cambria Math"/>
                          <w:lang w:val="en-GB" w:eastAsia="ja-JP"/>
                        </w:rPr>
                        <m:t>/</m:t>
                      </m:r>
                      <m:r>
                        <m:rPr>
                          <m:sty m:val="b"/>
                        </m:rPr>
                        <w:rPr>
                          <w:rFonts w:ascii="Cambria Math" w:hAnsi="Cambria Math"/>
                          <w:lang w:eastAsia="ja-JP"/>
                        </w:rPr>
                        <m:t>m</m:t>
                      </m:r>
                    </m:e>
                    <m:sup>
                      <m:r>
                        <m:rPr>
                          <m:sty m:val="b"/>
                        </m:rPr>
                        <w:rPr>
                          <w:rFonts w:ascii="Cambria Math" w:hAnsi="Cambria Math"/>
                          <w:lang w:eastAsia="ja-JP"/>
                        </w:rPr>
                        <m:t>2</m:t>
                      </m:r>
                    </m:sup>
                  </m:sSup>
                </m:e>
              </m:d>
              <m:r>
                <m:rPr>
                  <m:sty m:val="b"/>
                </m:rPr>
                <w:rPr>
                  <w:rFonts w:ascii="Cambria Math" w:hAnsi="Cambria Math"/>
                  <w:lang w:val="en-GB" w:eastAsia="ja-JP"/>
                </w:rPr>
                <m:t xml:space="preserve"> </m:t>
              </m:r>
              <m:r>
                <m:rPr>
                  <m:sty m:val="b"/>
                </m:rPr>
                <w:rPr>
                  <w:rFonts w:ascii="Cambria Math" w:hAnsi="Cambria Math"/>
                  <w:lang w:eastAsia="ja-JP"/>
                </w:rPr>
                <m:t>in</m:t>
              </m:r>
              <m:r>
                <m:rPr>
                  <m:sty m:val="b"/>
                </m:rPr>
                <w:rPr>
                  <w:rFonts w:ascii="Cambria Math" w:hAnsi="Cambria Math"/>
                  <w:lang w:val="en-GB" w:eastAsia="ja-JP"/>
                </w:rPr>
                <m:t xml:space="preserve"> </m:t>
              </m:r>
              <m:r>
                <m:rPr>
                  <m:sty m:val="b"/>
                </m:rPr>
                <w:rPr>
                  <w:rFonts w:ascii="Cambria Math" w:hAnsi="Cambria Math"/>
                  <w:lang w:eastAsia="ja-JP"/>
                </w:rPr>
                <m:t>1</m:t>
              </m:r>
              <m:r>
                <m:rPr>
                  <m:sty m:val="b"/>
                </m:rPr>
                <w:rPr>
                  <w:rFonts w:ascii="Cambria Math" w:hAnsi="Cambria Math"/>
                  <w:lang w:val="en-GB" w:eastAsia="ja-JP"/>
                </w:rPr>
                <m:t xml:space="preserve"> </m:t>
              </m:r>
              <m:r>
                <m:rPr>
                  <m:sty m:val="b"/>
                </m:rPr>
                <w:rPr>
                  <w:rFonts w:ascii="Cambria Math" w:hAnsi="Cambria Math"/>
                  <w:lang w:eastAsia="ja-JP"/>
                </w:rPr>
                <m:t>MHz</m:t>
              </m:r>
            </m:oMath>
          </w:p>
        </w:tc>
      </w:tr>
      <w:tr w:rsidR="00B63D8D" w:rsidRPr="001954AF" w:rsidTr="00194EFE">
        <w:trPr>
          <w:trHeight w:val="736"/>
          <w:jc w:val="center"/>
        </w:trPr>
        <w:tc>
          <w:tcPr>
            <w:tcW w:w="1755" w:type="dxa"/>
            <w:shd w:val="clear" w:color="auto" w:fill="auto"/>
            <w:vAlign w:val="center"/>
          </w:tcPr>
          <w:p w:rsidR="00B63D8D" w:rsidRPr="001954AF" w:rsidRDefault="00B63D8D" w:rsidP="00194EFE">
            <w:pPr>
              <w:pStyle w:val="Tabletext"/>
              <w:jc w:val="center"/>
              <w:rPr>
                <w:lang w:eastAsia="ja-JP"/>
              </w:rPr>
            </w:pPr>
            <w:r w:rsidRPr="001954AF">
              <w:rPr>
                <w:lang w:eastAsia="ja-JP"/>
              </w:rPr>
              <w:t>BS</w:t>
            </w:r>
          </w:p>
        </w:tc>
        <w:tc>
          <w:tcPr>
            <w:tcW w:w="6462" w:type="dxa"/>
            <w:shd w:val="clear" w:color="auto" w:fill="auto"/>
            <w:vAlign w:val="center"/>
          </w:tcPr>
          <w:p w:rsidR="00B63D8D" w:rsidRPr="001954AF" w:rsidRDefault="00B63D8D" w:rsidP="00194EFE">
            <w:pPr>
              <w:pStyle w:val="Tabletext"/>
              <w:rPr>
                <w:szCs w:val="24"/>
                <w:lang w:eastAsia="ja-JP"/>
              </w:rPr>
            </w:pPr>
            <m:oMathPara>
              <m:oMath>
                <m:r>
                  <w:rPr>
                    <w:rFonts w:ascii="Cambria Math" w:hAnsi="Cambria Math"/>
                    <w:szCs w:val="24"/>
                    <w:lang w:eastAsia="ja-JP"/>
                  </w:rPr>
                  <m:t>pfd</m:t>
                </m:r>
                <m:d>
                  <m:dPr>
                    <m:ctrlPr>
                      <w:rPr>
                        <w:rFonts w:ascii="Cambria Math" w:hAnsi="Cambria Math"/>
                        <w:i/>
                        <w:szCs w:val="24"/>
                        <w:lang w:eastAsia="ja-JP"/>
                      </w:rPr>
                    </m:ctrlPr>
                  </m:dPr>
                  <m:e>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elev</m:t>
                        </m:r>
                      </m:sub>
                    </m:sSub>
                  </m:e>
                </m:d>
                <m:r>
                  <w:rPr>
                    <w:rFonts w:ascii="Cambria Math" w:hAnsi="Cambria Math"/>
                    <w:szCs w:val="24"/>
                    <w:lang w:eastAsia="ja-JP"/>
                  </w:rPr>
                  <m:t>=</m:t>
                </m:r>
                <m:d>
                  <m:dPr>
                    <m:begChr m:val="{"/>
                    <m:endChr m:val=""/>
                    <m:ctrlPr>
                      <w:rPr>
                        <w:rFonts w:ascii="Cambria Math" w:hAnsi="Cambria Math"/>
                        <w:i/>
                        <w:szCs w:val="24"/>
                        <w:lang w:eastAsia="ja-JP"/>
                      </w:rPr>
                    </m:ctrlPr>
                  </m:dPr>
                  <m:e>
                    <m:m>
                      <m:mPr>
                        <m:mcs>
                          <m:mc>
                            <m:mcPr>
                              <m:count m:val="1"/>
                              <m:mcJc m:val="center"/>
                            </m:mcPr>
                          </m:mc>
                        </m:mcs>
                        <m:ctrlPr>
                          <w:rPr>
                            <w:rFonts w:ascii="Cambria Math" w:hAnsi="Cambria Math"/>
                            <w:i/>
                            <w:szCs w:val="24"/>
                            <w:lang w:eastAsia="ja-JP"/>
                          </w:rPr>
                        </m:ctrlPr>
                      </m:mPr>
                      <m:mr>
                        <m:e>
                          <m:r>
                            <w:rPr>
                              <w:rFonts w:ascii="Cambria Math" w:hAnsi="Cambria Math"/>
                              <w:szCs w:val="24"/>
                              <w:lang w:eastAsia="ja-JP"/>
                            </w:rPr>
                            <m:t>1.14∙</m:t>
                          </m:r>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elev</m:t>
                              </m:r>
                            </m:sub>
                          </m:sSub>
                          <m:r>
                            <w:rPr>
                              <w:rFonts w:ascii="Cambria Math" w:hAnsi="Cambria Math"/>
                              <w:szCs w:val="24"/>
                              <w:lang w:eastAsia="ja-JP"/>
                            </w:rPr>
                            <m:t>-107.4,    0°&lt;</m:t>
                          </m:r>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elev</m:t>
                              </m:r>
                            </m:sub>
                          </m:sSub>
                          <m:r>
                            <w:rPr>
                              <w:rFonts w:ascii="Cambria Math" w:hAnsi="Cambria Math"/>
                              <w:szCs w:val="24"/>
                              <w:lang w:eastAsia="ja-JP"/>
                            </w:rPr>
                            <m:t>&lt;12°</m:t>
                          </m:r>
                        </m:e>
                      </m:mr>
                      <m:mr>
                        <m:e>
                          <m:r>
                            <w:rPr>
                              <w:rFonts w:ascii="Cambria Math" w:hAnsi="Cambria Math"/>
                              <w:szCs w:val="24"/>
                              <w:lang w:eastAsia="ja-JP"/>
                            </w:rPr>
                            <m:t>-93.7,                             12°≤</m:t>
                          </m:r>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elev</m:t>
                              </m:r>
                            </m:sub>
                          </m:sSub>
                          <m:r>
                            <w:rPr>
                              <w:rFonts w:ascii="Cambria Math" w:hAnsi="Cambria Math"/>
                              <w:szCs w:val="24"/>
                              <w:lang w:eastAsia="ja-JP"/>
                            </w:rPr>
                            <m:t>&lt;40°</m:t>
                          </m:r>
                        </m:e>
                      </m:mr>
                    </m:m>
                  </m:e>
                </m:d>
                <m:r>
                  <w:rPr>
                    <w:rFonts w:ascii="Cambria Math" w:hAnsi="Cambria Math"/>
                    <w:szCs w:val="24"/>
                    <w:lang w:eastAsia="ja-JP"/>
                  </w:rPr>
                  <m:t xml:space="preserve"> </m:t>
                </m:r>
              </m:oMath>
            </m:oMathPara>
          </w:p>
        </w:tc>
      </w:tr>
      <w:tr w:rsidR="00B63D8D" w:rsidRPr="001954AF" w:rsidTr="00194EFE">
        <w:trPr>
          <w:trHeight w:val="736"/>
          <w:jc w:val="center"/>
        </w:trPr>
        <w:tc>
          <w:tcPr>
            <w:tcW w:w="1755" w:type="dxa"/>
            <w:shd w:val="clear" w:color="auto" w:fill="auto"/>
            <w:vAlign w:val="center"/>
          </w:tcPr>
          <w:p w:rsidR="00B63D8D" w:rsidRPr="001954AF" w:rsidRDefault="00B63D8D" w:rsidP="00194EFE">
            <w:pPr>
              <w:pStyle w:val="Tabletext"/>
              <w:jc w:val="center"/>
              <w:rPr>
                <w:lang w:eastAsia="ja-JP"/>
              </w:rPr>
            </w:pPr>
            <w:r w:rsidRPr="001954AF">
              <w:rPr>
                <w:lang w:eastAsia="ja-JP"/>
              </w:rPr>
              <w:t>UE</w:t>
            </w:r>
          </w:p>
        </w:tc>
        <w:tc>
          <w:tcPr>
            <w:tcW w:w="6462" w:type="dxa"/>
            <w:shd w:val="clear" w:color="auto" w:fill="auto"/>
            <w:vAlign w:val="center"/>
          </w:tcPr>
          <w:p w:rsidR="00B63D8D" w:rsidRPr="001954AF" w:rsidRDefault="00B63D8D" w:rsidP="00194EFE">
            <w:pPr>
              <w:pStyle w:val="Tabletext"/>
              <w:rPr>
                <w:szCs w:val="24"/>
                <w:lang w:eastAsia="ja-JP"/>
              </w:rPr>
            </w:pPr>
            <m:oMathPara>
              <m:oMath>
                <m:r>
                  <w:rPr>
                    <w:rFonts w:ascii="Cambria Math" w:hAnsi="Cambria Math"/>
                    <w:szCs w:val="24"/>
                    <w:lang w:eastAsia="ja-JP"/>
                  </w:rPr>
                  <m:t>pfd</m:t>
                </m:r>
                <m:d>
                  <m:dPr>
                    <m:ctrlPr>
                      <w:rPr>
                        <w:rFonts w:ascii="Cambria Math" w:hAnsi="Cambria Math"/>
                        <w:i/>
                        <w:szCs w:val="24"/>
                        <w:lang w:eastAsia="ja-JP"/>
                      </w:rPr>
                    </m:ctrlPr>
                  </m:dPr>
                  <m:e>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elev</m:t>
                        </m:r>
                      </m:sub>
                    </m:sSub>
                  </m:e>
                </m:d>
                <m:r>
                  <w:rPr>
                    <w:rFonts w:ascii="Cambria Math" w:hAnsi="Cambria Math"/>
                    <w:szCs w:val="24"/>
                    <w:lang w:eastAsia="ja-JP"/>
                  </w:rPr>
                  <m:t>=-96.9,     0°&lt;</m:t>
                </m:r>
                <m:sSub>
                  <m:sSubPr>
                    <m:ctrlPr>
                      <w:rPr>
                        <w:rFonts w:ascii="Cambria Math" w:hAnsi="Cambria Math"/>
                        <w:i/>
                        <w:szCs w:val="24"/>
                        <w:lang w:eastAsia="ja-JP"/>
                      </w:rPr>
                    </m:ctrlPr>
                  </m:sSubPr>
                  <m:e>
                    <m:r>
                      <m:rPr>
                        <m:sty m:val="p"/>
                      </m:rPr>
                      <w:rPr>
                        <w:rFonts w:ascii="Cambria Math" w:hAnsi="Cambria Math"/>
                        <w:szCs w:val="24"/>
                        <w:lang w:eastAsia="ja-JP"/>
                      </w:rPr>
                      <m:t>θ</m:t>
                    </m:r>
                  </m:e>
                  <m:sub>
                    <m:r>
                      <w:rPr>
                        <w:rFonts w:ascii="Cambria Math" w:hAnsi="Cambria Math"/>
                        <w:szCs w:val="24"/>
                        <w:lang w:eastAsia="ja-JP"/>
                      </w:rPr>
                      <m:t>elev</m:t>
                    </m:r>
                  </m:sub>
                </m:sSub>
                <m:r>
                  <w:rPr>
                    <w:rFonts w:ascii="Cambria Math" w:hAnsi="Cambria Math"/>
                    <w:szCs w:val="24"/>
                    <w:lang w:eastAsia="ja-JP"/>
                  </w:rPr>
                  <m:t>&lt;60°</m:t>
                </m:r>
              </m:oMath>
            </m:oMathPara>
          </w:p>
        </w:tc>
      </w:tr>
    </w:tbl>
    <w:p w:rsidR="00B63D8D" w:rsidRPr="001954AF" w:rsidRDefault="00B63D8D" w:rsidP="00B63D8D">
      <w:pPr>
        <w:pStyle w:val="Tablefin"/>
        <w:rPr>
          <w:lang w:eastAsia="ja-JP"/>
        </w:rPr>
      </w:pPr>
    </w:p>
    <w:p w:rsidR="00B63D8D" w:rsidRPr="00752DF2" w:rsidRDefault="00B63D8D" w:rsidP="00B63D8D">
      <w:pPr>
        <w:rPr>
          <w:lang w:val="en-GB"/>
        </w:rPr>
      </w:pPr>
      <w:r w:rsidRPr="00752DF2">
        <w:rPr>
          <w:lang w:val="en-GB" w:eastAsia="ja-JP"/>
        </w:rPr>
        <w:t xml:space="preserve">It is noteworthy to mention that, in real deployments, it is necessary to evaluate the overall performance of protection measures (e.g. pfd masks, separation distances, etc.) that are jointly applied in order to mitigate harmful interference between services. For sharing analysis between IMT stations and far away HAPS ground station it is mostly expected that a pfd mask values at elevation angles approximately 0 degree would be used. </w:t>
      </w:r>
    </w:p>
    <w:p w:rsidR="00B63D8D" w:rsidRPr="00752DF2" w:rsidRDefault="00B63D8D" w:rsidP="00B63D8D">
      <w:pPr>
        <w:pStyle w:val="Heading3"/>
        <w:rPr>
          <w:rFonts w:eastAsia="MS Mincho"/>
          <w:lang w:val="en-GB"/>
        </w:rPr>
      </w:pPr>
      <w:bookmarkStart w:id="170" w:name="_Toc530661339"/>
      <w:r w:rsidRPr="00752DF2">
        <w:rPr>
          <w:rFonts w:eastAsia="MS Mincho"/>
          <w:lang w:val="en-GB"/>
        </w:rPr>
        <w:t>1.2.8</w:t>
      </w:r>
      <w:r w:rsidRPr="00752DF2">
        <w:rPr>
          <w:rFonts w:eastAsia="MS Mincho"/>
          <w:lang w:val="en-GB"/>
        </w:rPr>
        <w:tab/>
        <w:t>Monte Carlo simulation results: sharing and compatibility of IMT-2020 and HAPS gateways operating in the 47.9</w:t>
      </w:r>
      <w:r w:rsidRPr="00752DF2">
        <w:rPr>
          <w:rFonts w:eastAsia="MS Mincho"/>
          <w:lang w:val="en-GB"/>
        </w:rPr>
        <w:noBreakHyphen/>
        <w:t>48.2 GHz frequency range</w:t>
      </w:r>
      <w:bookmarkEnd w:id="170"/>
    </w:p>
    <w:p w:rsidR="00B63D8D" w:rsidRPr="00752DF2" w:rsidRDefault="00B63D8D" w:rsidP="00B63D8D">
      <w:pPr>
        <w:rPr>
          <w:rFonts w:eastAsia="MS Mincho"/>
          <w:lang w:val="en-GB"/>
        </w:rPr>
      </w:pPr>
      <w:r w:rsidRPr="00752DF2">
        <w:rPr>
          <w:rFonts w:eastAsia="MS Mincho"/>
          <w:szCs w:val="24"/>
          <w:lang w:val="en-GB"/>
        </w:rPr>
        <w:t xml:space="preserve">This section presents the Monte Carlo simulations for cases of HAPS gateways generating interference into IMT-2020 stations. </w:t>
      </w:r>
      <w:r w:rsidRPr="00752DF2">
        <w:rPr>
          <w:rFonts w:eastAsia="MS Mincho"/>
          <w:lang w:val="en-GB"/>
        </w:rPr>
        <w:t>Each simulation snapshot corresponds to a certain network deployment that is configured according to the guidelines defined by the ITU relevant groups. The pfd values are calculated for all active IMT stations using the Monte Carlo-based approach, described in § 2. The simulation results show the cases of normalized and non-normalized IMT antenna patterns.</w:t>
      </w:r>
    </w:p>
    <w:p w:rsidR="00B63D8D" w:rsidRPr="00752DF2" w:rsidRDefault="00B63D8D" w:rsidP="00B63D8D">
      <w:pPr>
        <w:rPr>
          <w:rFonts w:eastAsia="MS Mincho"/>
          <w:lang w:val="en-GB"/>
        </w:rPr>
      </w:pPr>
      <w:r w:rsidRPr="00752DF2">
        <w:rPr>
          <w:rFonts w:eastAsia="MS Mincho"/>
          <w:lang w:val="en-GB"/>
        </w:rPr>
        <w:t>The interference from a HAPS gateway, assuming the maximum e.i.r.p. spectral density, into IMT stations in the 47.9-48.2 GHz frequency range is analysed in this subsection. Since there is only one GW generating interference to IMT stations, this is considered a statistical single-entry simulation case. The output of the simulation tool contains the interference generated by a single-beam gateway into IMT base stations (and their respective served user equipments) being ubiquitously deployed on the study area. Simulation results are collected after 15 000 snapshots and they show the cases of normalized and non-normalized IMT antenna patterns.</w:t>
      </w:r>
    </w:p>
    <w:p w:rsidR="00B63D8D" w:rsidRPr="00752DF2" w:rsidRDefault="00B63D8D" w:rsidP="00B63D8D">
      <w:pPr>
        <w:rPr>
          <w:rFonts w:eastAsia="MS Mincho"/>
          <w:lang w:val="en-GB"/>
        </w:rPr>
      </w:pPr>
      <w:r w:rsidRPr="00752DF2">
        <w:rPr>
          <w:rFonts w:eastAsia="MS Mincho"/>
          <w:lang w:val="en-GB"/>
        </w:rPr>
        <w:t xml:space="preserve">Figure 11 shows the IMT antenna gains towards HAPS gateway. As expected, the normalized antenna patterns provide higher gains than the non-normalized ones. It can be seen that BS antenna gains achieve higher values with greater probability than UE antenna gains. This is observed in the figure when </w:t>
      </w:r>
      <w:r w:rsidRPr="00752DF2">
        <w:rPr>
          <w:rFonts w:eastAsia="MS Mincho"/>
          <w:i/>
          <w:lang w:val="en-GB"/>
        </w:rPr>
        <w:t>x</w:t>
      </w:r>
      <w:r w:rsidRPr="00752DF2">
        <w:rPr>
          <w:rFonts w:eastAsia="MS Mincho"/>
          <w:lang w:val="en-GB"/>
        </w:rPr>
        <w:t xml:space="preserve">-axis &gt; ~14 dBi. This result comes from the fact that the HAPS gateway is randomly placed in the simulation scenario and that there is a non-negligible probability that it can be placed in the middle of a BS </w:t>
      </w:r>
      <w:r w:rsidRPr="00752DF2">
        <w:rPr>
          <w:rFonts w:ascii="Calibri" w:eastAsia="MS Mincho" w:hAnsi="Calibri"/>
          <w:lang w:val="en-GB"/>
        </w:rPr>
        <w:t>↔</w:t>
      </w:r>
      <w:r w:rsidRPr="00752DF2">
        <w:rPr>
          <w:rFonts w:eastAsia="MS Mincho"/>
          <w:lang w:val="en-GB"/>
        </w:rPr>
        <w:t xml:space="preserve"> UE link. This is the situation when IMT antenna gains towards gateway are higher.</w:t>
      </w:r>
    </w:p>
    <w:p w:rsidR="00B63D8D" w:rsidRPr="00752DF2" w:rsidRDefault="00B63D8D" w:rsidP="00B63D8D">
      <w:pPr>
        <w:pStyle w:val="FigureNo"/>
        <w:rPr>
          <w:lang w:val="en-GB"/>
        </w:rPr>
      </w:pPr>
      <w:r w:rsidRPr="00752DF2">
        <w:rPr>
          <w:lang w:val="en-GB"/>
        </w:rPr>
        <w:t>Figure 11</w:t>
      </w:r>
    </w:p>
    <w:p w:rsidR="00B63D8D" w:rsidRPr="00752DF2" w:rsidRDefault="00B63D8D" w:rsidP="00B63D8D">
      <w:pPr>
        <w:pStyle w:val="Figuretitle"/>
        <w:rPr>
          <w:rFonts w:eastAsia="MS Mincho"/>
          <w:lang w:val="en-GB"/>
        </w:rPr>
      </w:pPr>
      <w:r w:rsidRPr="00752DF2">
        <w:rPr>
          <w:lang w:val="en-GB"/>
        </w:rPr>
        <w:t>Antenna gains of IMT stations towards HAPS gateway</w:t>
      </w:r>
    </w:p>
    <w:p w:rsidR="00B63D8D" w:rsidRPr="001954AF" w:rsidRDefault="00B63D8D" w:rsidP="00B63D8D">
      <w:pPr>
        <w:pStyle w:val="Figure"/>
        <w:rPr>
          <w:rFonts w:eastAsia="MS Mincho"/>
        </w:rPr>
      </w:pPr>
      <w:r w:rsidRPr="001954AF">
        <w:rPr>
          <w:rFonts w:eastAsia="MS Mincho"/>
          <w:noProof/>
          <w:lang w:val="en-GB" w:eastAsia="en-GB"/>
        </w:rPr>
        <w:drawing>
          <wp:inline distT="0" distB="0" distL="0" distR="0" wp14:anchorId="6E2DC559" wp14:editId="6CF8E4D6">
            <wp:extent cx="5151600" cy="2890800"/>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T antenna gains towards GW.png"/>
                    <pic:cNvPicPr/>
                  </pic:nvPicPr>
                  <pic:blipFill rotWithShape="1">
                    <a:blip r:embed="rId30">
                      <a:extLst>
                        <a:ext uri="{28A0092B-C50C-407E-A947-70E740481C1C}">
                          <a14:useLocalDpi xmlns:a14="http://schemas.microsoft.com/office/drawing/2010/main" val="0"/>
                        </a:ext>
                      </a:extLst>
                    </a:blip>
                    <a:srcRect l="5602" t="9302" r="33085"/>
                    <a:stretch/>
                  </pic:blipFill>
                  <pic:spPr bwMode="auto">
                    <a:xfrm>
                      <a:off x="0" y="0"/>
                      <a:ext cx="5151600" cy="2890800"/>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B63D8D">
      <w:pPr>
        <w:rPr>
          <w:rFonts w:eastAsia="MS Mincho"/>
          <w:szCs w:val="24"/>
          <w:lang w:val="en-GB"/>
        </w:rPr>
      </w:pPr>
      <w:r w:rsidRPr="00752DF2">
        <w:rPr>
          <w:rFonts w:eastAsia="MS Mincho"/>
          <w:lang w:val="en-GB"/>
        </w:rPr>
        <w:t xml:space="preserve">The pfd masks are presented in </w:t>
      </w:r>
      <w:r w:rsidRPr="00752DF2">
        <w:rPr>
          <w:rFonts w:eastAsia="MS Mincho"/>
          <w:szCs w:val="24"/>
          <w:lang w:val="en-GB"/>
        </w:rPr>
        <w:t>Fig. 12. The compliance masks are indicated by the leftmost (and thicker) curves and they are calculated on each simulation snapshot, based on equation (2). The pfd masks that would meet the protection criteria of BS and UE, calculated according to equation (1), are also shown. It is assumed that the HAPS gateway transmits at the maximum e.i.r.p. spectral density of 33 dB(W/MHz). These curves show that there is a very low probability (less than 0.01%) of the BS compliance masks being greater than –116.8 dB(W/m²) in 1 MHz. Protection of BS’s with normalized antenna patterns is guaranteed with a minimum margin of 10.9 dB because the pfd mask of the BS’s is –105.9 dB(W/m²) in 1 MHz. All results are summarized in Table 13. Negative margins indicate that compliance masks are smaller than the pfd mask and, hence, IMT protection criteria is met.</w:t>
      </w:r>
    </w:p>
    <w:p w:rsidR="00B63D8D" w:rsidRPr="00752DF2" w:rsidRDefault="00B63D8D" w:rsidP="00B63D8D">
      <w:pPr>
        <w:rPr>
          <w:rFonts w:eastAsia="MS Mincho"/>
          <w:szCs w:val="24"/>
          <w:lang w:val="en-GB"/>
        </w:rPr>
      </w:pPr>
      <w:r w:rsidRPr="00752DF2">
        <w:rPr>
          <w:rFonts w:eastAsia="MS Mincho"/>
          <w:szCs w:val="24"/>
          <w:lang w:val="en-GB"/>
        </w:rPr>
        <w:t>In this case, the pfd compliance masks are not always less than the pfd masks. This could be analysed from two perspectives:</w:t>
      </w:r>
    </w:p>
    <w:p w:rsidR="00B63D8D" w:rsidRPr="00752DF2" w:rsidRDefault="00B63D8D" w:rsidP="00B63D8D">
      <w:pPr>
        <w:pStyle w:val="enumlev1"/>
        <w:rPr>
          <w:rFonts w:eastAsia="MS Mincho"/>
          <w:sz w:val="22"/>
          <w:lang w:val="en-GB"/>
        </w:rPr>
      </w:pPr>
      <w:r w:rsidRPr="00752DF2">
        <w:rPr>
          <w:rFonts w:eastAsia="MS Mincho"/>
          <w:lang w:val="en-GB"/>
        </w:rPr>
        <w:t>1</w:t>
      </w:r>
      <w:r w:rsidRPr="00752DF2">
        <w:rPr>
          <w:rFonts w:eastAsia="MS Mincho"/>
          <w:lang w:val="en-GB"/>
        </w:rPr>
        <w:tab/>
        <w:t xml:space="preserve">Figure 12 indicates a probability of the compliance mask being greater than a certain value. For example, the probability of the BS compliance mask being greater than </w:t>
      </w:r>
      <w:r w:rsidR="00945841" w:rsidRPr="00752DF2">
        <w:rPr>
          <w:rFonts w:eastAsia="MS Mincho"/>
          <w:lang w:val="en-GB"/>
        </w:rPr>
        <w:t>–</w:t>
      </w:r>
      <w:r w:rsidRPr="00752DF2">
        <w:rPr>
          <w:rFonts w:eastAsia="MS Mincho"/>
          <w:lang w:val="en-GB"/>
        </w:rPr>
        <w:t>116.8 dB(W/m²) is 0.01%. The figure also shows that the pfd mask which is required to protect all BS’s is equal to –105.9 dB(W/m²). Hence, in 99.99% of the cases, the protection margin will be at least 10.9 dB. For the other 0.01% of the cases, there are two possibilities: 1) the protection margin will be less than 10.9 dB or 2) the BS protection criteria will be exceeded;</w:t>
      </w:r>
    </w:p>
    <w:p w:rsidR="00B63D8D" w:rsidRPr="00752DF2" w:rsidRDefault="00B63D8D" w:rsidP="00B63D8D">
      <w:pPr>
        <w:pStyle w:val="enumlev1"/>
        <w:rPr>
          <w:rFonts w:eastAsia="MS Mincho"/>
          <w:sz w:val="22"/>
          <w:lang w:val="en-GB"/>
        </w:rPr>
      </w:pPr>
      <w:r w:rsidRPr="00752DF2">
        <w:rPr>
          <w:rFonts w:eastAsia="MS Mincho"/>
          <w:lang w:val="en-GB"/>
        </w:rPr>
        <w:t>2</w:t>
      </w:r>
      <w:r w:rsidRPr="00752DF2">
        <w:rPr>
          <w:rFonts w:eastAsia="MS Mincho"/>
          <w:lang w:val="en-GB"/>
        </w:rPr>
        <w:tab/>
        <w:t>IMT stations that require more stringent pfd masks are the ones whose antenna beams are pointing to the interferer HAPS ground station. Figure 12 indicates that 0.001% of the BS stations require pfd masks less than –105.8 dB(W/m²). On the other hand, the probability of the BS compliance mask being greater than –105.8 dB(W/m²) is less than 0.005%. Both conditions must apply for the BS protection criteria being exceeded. Hence, in this example, the IMT BS protection criteria is exceeded in 5 out of 10 billion cases.</w:t>
      </w:r>
    </w:p>
    <w:p w:rsidR="00B63D8D" w:rsidRPr="00752DF2" w:rsidRDefault="00B63D8D" w:rsidP="00B63D8D">
      <w:pPr>
        <w:pStyle w:val="FigureNo"/>
        <w:rPr>
          <w:lang w:val="en-GB"/>
        </w:rPr>
      </w:pPr>
      <w:r w:rsidRPr="00752DF2">
        <w:rPr>
          <w:lang w:val="en-GB"/>
        </w:rPr>
        <w:t>Figure 12</w:t>
      </w:r>
    </w:p>
    <w:p w:rsidR="00B63D8D" w:rsidRPr="00752DF2" w:rsidRDefault="00B63D8D" w:rsidP="00B63D8D">
      <w:pPr>
        <w:pStyle w:val="Figuretitle"/>
        <w:rPr>
          <w:lang w:val="en-GB"/>
        </w:rPr>
      </w:pPr>
      <w:r w:rsidRPr="00752DF2">
        <w:rPr>
          <w:lang w:val="en-GB"/>
        </w:rPr>
        <w:t>pfd masks of IMT stations</w:t>
      </w:r>
    </w:p>
    <w:p w:rsidR="00B63D8D" w:rsidRPr="001954AF" w:rsidRDefault="00B63D8D" w:rsidP="00B63D8D">
      <w:pPr>
        <w:pStyle w:val="Figure"/>
      </w:pPr>
      <w:r w:rsidRPr="001954AF">
        <w:rPr>
          <w:noProof/>
          <w:lang w:val="en-GB" w:eastAsia="en-GB"/>
        </w:rPr>
        <w:drawing>
          <wp:inline distT="0" distB="0" distL="0" distR="0" wp14:anchorId="236FC92D" wp14:editId="12857853">
            <wp:extent cx="5500800" cy="2880000"/>
            <wp:effectExtent l="0" t="0" r="508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D masks.png"/>
                    <pic:cNvPicPr/>
                  </pic:nvPicPr>
                  <pic:blipFill rotWithShape="1">
                    <a:blip r:embed="rId31">
                      <a:extLst>
                        <a:ext uri="{28A0092B-C50C-407E-A947-70E740481C1C}">
                          <a14:useLocalDpi xmlns:a14="http://schemas.microsoft.com/office/drawing/2010/main" val="0"/>
                        </a:ext>
                      </a:extLst>
                    </a:blip>
                    <a:srcRect l="5395" t="9576" r="29142"/>
                    <a:stretch/>
                  </pic:blipFill>
                  <pic:spPr bwMode="auto">
                    <a:xfrm>
                      <a:off x="0" y="0"/>
                      <a:ext cx="5500800" cy="2880000"/>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1954AF" w:rsidRDefault="00B63D8D" w:rsidP="00B63D8D">
      <w:pPr>
        <w:pStyle w:val="TableNo"/>
      </w:pPr>
      <w:r w:rsidRPr="001954AF">
        <w:t>T</w:t>
      </w:r>
      <w:r w:rsidR="00945841" w:rsidRPr="001954AF">
        <w:t>ABLE</w:t>
      </w:r>
      <w:r w:rsidRPr="001954AF">
        <w:t xml:space="preserve"> 13</w:t>
      </w:r>
    </w:p>
    <w:p w:rsidR="00B63D8D" w:rsidRPr="001954AF" w:rsidRDefault="00B63D8D" w:rsidP="00B63D8D">
      <w:pPr>
        <w:pStyle w:val="Tabletitle"/>
      </w:pPr>
      <w:r w:rsidRPr="001954AF">
        <w:t>Summary of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850"/>
        <w:gridCol w:w="1724"/>
        <w:gridCol w:w="2859"/>
        <w:gridCol w:w="1224"/>
      </w:tblGrid>
      <w:tr w:rsidR="00B63D8D" w:rsidRPr="001954AF" w:rsidTr="00945841">
        <w:trPr>
          <w:trHeight w:val="340"/>
          <w:jc w:val="center"/>
        </w:trPr>
        <w:tc>
          <w:tcPr>
            <w:tcW w:w="509" w:type="pct"/>
            <w:vAlign w:val="center"/>
          </w:tcPr>
          <w:p w:rsidR="00B63D8D" w:rsidRPr="001954AF" w:rsidRDefault="00B63D8D" w:rsidP="00194EFE">
            <w:pPr>
              <w:pStyle w:val="Tablehead"/>
              <w:rPr>
                <w:rFonts w:eastAsia="MS Mincho"/>
              </w:rPr>
            </w:pPr>
            <w:r w:rsidRPr="001954AF">
              <w:rPr>
                <w:rFonts w:eastAsia="MS Mincho"/>
              </w:rPr>
              <w:t>IMT station</w:t>
            </w:r>
          </w:p>
        </w:tc>
        <w:tc>
          <w:tcPr>
            <w:tcW w:w="1478" w:type="pct"/>
            <w:vAlign w:val="center"/>
          </w:tcPr>
          <w:p w:rsidR="00B63D8D" w:rsidRPr="00752DF2" w:rsidRDefault="00B63D8D" w:rsidP="00194EFE">
            <w:pPr>
              <w:pStyle w:val="Tablehead"/>
              <w:rPr>
                <w:rFonts w:eastAsia="MS Mincho"/>
                <w:lang w:val="en-GB"/>
              </w:rPr>
            </w:pPr>
            <w:r w:rsidRPr="00752DF2">
              <w:rPr>
                <w:rFonts w:eastAsia="MS Mincho"/>
                <w:lang w:val="en-GB"/>
              </w:rPr>
              <w:t>pfd compliance mask</w:t>
            </w:r>
            <w:r w:rsidRPr="00752DF2">
              <w:rPr>
                <w:rFonts w:eastAsia="MS Mincho"/>
                <w:lang w:val="en-GB"/>
              </w:rPr>
              <w:br/>
              <w:t>(99.99% of IMT stations)</w:t>
            </w:r>
          </w:p>
        </w:tc>
        <w:tc>
          <w:tcPr>
            <w:tcW w:w="894" w:type="pct"/>
            <w:vAlign w:val="center"/>
          </w:tcPr>
          <w:p w:rsidR="00B63D8D" w:rsidRPr="001954AF" w:rsidRDefault="00B63D8D" w:rsidP="00194EFE">
            <w:pPr>
              <w:pStyle w:val="Tablehead"/>
              <w:rPr>
                <w:rFonts w:eastAsia="MS Mincho"/>
              </w:rPr>
            </w:pPr>
            <w:r w:rsidRPr="001954AF">
              <w:rPr>
                <w:rFonts w:eastAsia="MS Mincho"/>
              </w:rPr>
              <w:t>Normalized antenna pattern</w:t>
            </w:r>
          </w:p>
        </w:tc>
        <w:tc>
          <w:tcPr>
            <w:tcW w:w="1483" w:type="pct"/>
            <w:vAlign w:val="center"/>
          </w:tcPr>
          <w:p w:rsidR="00B63D8D" w:rsidRPr="001954AF" w:rsidRDefault="00B63D8D" w:rsidP="00194EFE">
            <w:pPr>
              <w:pStyle w:val="Tablehead"/>
              <w:rPr>
                <w:rFonts w:eastAsia="MS Mincho"/>
              </w:rPr>
            </w:pPr>
            <w:r w:rsidRPr="001954AF">
              <w:rPr>
                <w:rFonts w:eastAsia="MS Mincho"/>
              </w:rPr>
              <w:t>pfd mask</w:t>
            </w:r>
          </w:p>
        </w:tc>
        <w:tc>
          <w:tcPr>
            <w:tcW w:w="635" w:type="pct"/>
            <w:vAlign w:val="center"/>
          </w:tcPr>
          <w:p w:rsidR="00B63D8D" w:rsidRPr="001954AF" w:rsidRDefault="00B63D8D" w:rsidP="00194EFE">
            <w:pPr>
              <w:pStyle w:val="Tablehead"/>
              <w:rPr>
                <w:rFonts w:eastAsia="MS Mincho"/>
              </w:rPr>
            </w:pPr>
            <w:r w:rsidRPr="001954AF">
              <w:rPr>
                <w:rFonts w:eastAsia="MS Mincho"/>
              </w:rPr>
              <w:t>Margin</w:t>
            </w:r>
          </w:p>
        </w:tc>
      </w:tr>
      <w:tr w:rsidR="00B63D8D" w:rsidRPr="001954AF" w:rsidTr="00945841">
        <w:trPr>
          <w:trHeight w:val="340"/>
          <w:jc w:val="center"/>
        </w:trPr>
        <w:tc>
          <w:tcPr>
            <w:tcW w:w="509" w:type="pct"/>
            <w:vMerge w:val="restart"/>
            <w:vAlign w:val="center"/>
          </w:tcPr>
          <w:p w:rsidR="00B63D8D" w:rsidRPr="001954AF" w:rsidRDefault="00B63D8D" w:rsidP="00194EFE">
            <w:pPr>
              <w:pStyle w:val="Tabletext"/>
              <w:jc w:val="center"/>
              <w:rPr>
                <w:rFonts w:eastAsia="MS Mincho"/>
              </w:rPr>
            </w:pPr>
            <w:r w:rsidRPr="001954AF">
              <w:rPr>
                <w:rFonts w:eastAsia="MS Mincho"/>
              </w:rPr>
              <w:t>BS</w:t>
            </w:r>
          </w:p>
        </w:tc>
        <w:tc>
          <w:tcPr>
            <w:tcW w:w="1478" w:type="pct"/>
            <w:vMerge w:val="restart"/>
            <w:vAlign w:val="center"/>
          </w:tcPr>
          <w:p w:rsidR="00B63D8D" w:rsidRPr="001954AF" w:rsidRDefault="00B63D8D" w:rsidP="00194EFE">
            <w:pPr>
              <w:pStyle w:val="Tabletext"/>
              <w:jc w:val="center"/>
              <w:rPr>
                <w:rFonts w:eastAsia="MS Mincho"/>
              </w:rPr>
            </w:pPr>
            <w:r w:rsidRPr="001954AF">
              <w:rPr>
                <w:rFonts w:eastAsia="MS Mincho"/>
              </w:rPr>
              <w:t>–116.8 dB(W/m²) in 1 MHz</w:t>
            </w:r>
          </w:p>
        </w:tc>
        <w:tc>
          <w:tcPr>
            <w:tcW w:w="894" w:type="pct"/>
            <w:vAlign w:val="center"/>
          </w:tcPr>
          <w:p w:rsidR="00B63D8D" w:rsidRPr="001954AF" w:rsidRDefault="00B63D8D" w:rsidP="00194EFE">
            <w:pPr>
              <w:pStyle w:val="Tabletext"/>
              <w:jc w:val="center"/>
              <w:rPr>
                <w:rFonts w:eastAsia="MS Mincho"/>
              </w:rPr>
            </w:pPr>
            <w:r w:rsidRPr="001954AF">
              <w:rPr>
                <w:rFonts w:eastAsia="MS Mincho"/>
              </w:rPr>
              <w:t>Yes</w:t>
            </w:r>
          </w:p>
        </w:tc>
        <w:tc>
          <w:tcPr>
            <w:tcW w:w="1483" w:type="pct"/>
            <w:vAlign w:val="center"/>
          </w:tcPr>
          <w:p w:rsidR="00B63D8D" w:rsidRPr="001954AF" w:rsidRDefault="00B63D8D" w:rsidP="00194EFE">
            <w:pPr>
              <w:pStyle w:val="Tabletext"/>
              <w:jc w:val="center"/>
              <w:rPr>
                <w:rFonts w:eastAsia="MS Mincho"/>
              </w:rPr>
            </w:pPr>
            <w:r w:rsidRPr="001954AF">
              <w:rPr>
                <w:rFonts w:eastAsia="MS Mincho"/>
              </w:rPr>
              <w:t>–105.9 dB(W/m²) in 1 MHz</w:t>
            </w:r>
          </w:p>
        </w:tc>
        <w:tc>
          <w:tcPr>
            <w:tcW w:w="635" w:type="pct"/>
            <w:vAlign w:val="center"/>
          </w:tcPr>
          <w:p w:rsidR="00B63D8D" w:rsidRPr="001954AF" w:rsidRDefault="00B63D8D" w:rsidP="00194EFE">
            <w:pPr>
              <w:pStyle w:val="Tabletext"/>
              <w:jc w:val="center"/>
              <w:rPr>
                <w:rFonts w:eastAsia="MS Mincho"/>
              </w:rPr>
            </w:pPr>
            <w:r w:rsidRPr="001954AF">
              <w:rPr>
                <w:rFonts w:eastAsia="MS Mincho"/>
              </w:rPr>
              <w:t>–10.9 dB</w:t>
            </w:r>
          </w:p>
        </w:tc>
      </w:tr>
      <w:tr w:rsidR="00B63D8D" w:rsidRPr="001954AF" w:rsidTr="00945841">
        <w:trPr>
          <w:trHeight w:val="340"/>
          <w:jc w:val="center"/>
        </w:trPr>
        <w:tc>
          <w:tcPr>
            <w:tcW w:w="509" w:type="pct"/>
            <w:vMerge/>
            <w:vAlign w:val="center"/>
          </w:tcPr>
          <w:p w:rsidR="00B63D8D" w:rsidRPr="001954AF" w:rsidRDefault="00B63D8D" w:rsidP="00194EFE">
            <w:pPr>
              <w:pStyle w:val="Tabletext"/>
              <w:jc w:val="center"/>
              <w:rPr>
                <w:rFonts w:eastAsia="MS Mincho"/>
              </w:rPr>
            </w:pPr>
          </w:p>
        </w:tc>
        <w:tc>
          <w:tcPr>
            <w:tcW w:w="1478" w:type="pct"/>
            <w:vMerge/>
            <w:vAlign w:val="center"/>
          </w:tcPr>
          <w:p w:rsidR="00B63D8D" w:rsidRPr="001954AF" w:rsidRDefault="00B63D8D" w:rsidP="00194EFE">
            <w:pPr>
              <w:pStyle w:val="Tabletext"/>
              <w:jc w:val="center"/>
              <w:rPr>
                <w:rFonts w:eastAsia="MS Mincho"/>
              </w:rPr>
            </w:pPr>
          </w:p>
        </w:tc>
        <w:tc>
          <w:tcPr>
            <w:tcW w:w="894" w:type="pct"/>
            <w:vAlign w:val="center"/>
          </w:tcPr>
          <w:p w:rsidR="00B63D8D" w:rsidRPr="001954AF" w:rsidRDefault="00B63D8D" w:rsidP="00194EFE">
            <w:pPr>
              <w:pStyle w:val="Tabletext"/>
              <w:jc w:val="center"/>
              <w:rPr>
                <w:rFonts w:eastAsia="MS Mincho"/>
              </w:rPr>
            </w:pPr>
            <w:r w:rsidRPr="001954AF">
              <w:rPr>
                <w:rFonts w:eastAsia="MS Mincho"/>
              </w:rPr>
              <w:t>No</w:t>
            </w:r>
          </w:p>
        </w:tc>
        <w:tc>
          <w:tcPr>
            <w:tcW w:w="1483" w:type="pct"/>
            <w:vAlign w:val="center"/>
          </w:tcPr>
          <w:p w:rsidR="00B63D8D" w:rsidRPr="001954AF" w:rsidRDefault="00B63D8D" w:rsidP="00194EFE">
            <w:pPr>
              <w:pStyle w:val="Tabletext"/>
              <w:jc w:val="center"/>
              <w:rPr>
                <w:rFonts w:eastAsia="MS Mincho"/>
              </w:rPr>
            </w:pPr>
            <w:r w:rsidRPr="001954AF">
              <w:rPr>
                <w:rFonts w:eastAsia="MS Mincho"/>
              </w:rPr>
              <w:t>–105.4 dB(W/m²) in 1 MHz</w:t>
            </w:r>
          </w:p>
        </w:tc>
        <w:tc>
          <w:tcPr>
            <w:tcW w:w="635" w:type="pct"/>
            <w:vAlign w:val="center"/>
          </w:tcPr>
          <w:p w:rsidR="00B63D8D" w:rsidRPr="001954AF" w:rsidRDefault="00B63D8D" w:rsidP="00194EFE">
            <w:pPr>
              <w:pStyle w:val="Tabletext"/>
              <w:jc w:val="center"/>
              <w:rPr>
                <w:rFonts w:eastAsia="MS Mincho"/>
              </w:rPr>
            </w:pPr>
            <w:r w:rsidRPr="001954AF">
              <w:rPr>
                <w:rFonts w:eastAsia="MS Mincho"/>
              </w:rPr>
              <w:t>–11.4 dB</w:t>
            </w:r>
          </w:p>
        </w:tc>
      </w:tr>
      <w:tr w:rsidR="00B63D8D" w:rsidRPr="001954AF" w:rsidTr="00945841">
        <w:trPr>
          <w:trHeight w:val="340"/>
          <w:jc w:val="center"/>
        </w:trPr>
        <w:tc>
          <w:tcPr>
            <w:tcW w:w="509" w:type="pct"/>
            <w:vMerge w:val="restart"/>
            <w:vAlign w:val="center"/>
          </w:tcPr>
          <w:p w:rsidR="00B63D8D" w:rsidRPr="001954AF" w:rsidRDefault="00B63D8D" w:rsidP="00194EFE">
            <w:pPr>
              <w:pStyle w:val="Tabletext"/>
              <w:jc w:val="center"/>
              <w:rPr>
                <w:rFonts w:eastAsia="MS Mincho"/>
              </w:rPr>
            </w:pPr>
            <w:r w:rsidRPr="001954AF">
              <w:rPr>
                <w:rFonts w:eastAsia="MS Mincho"/>
              </w:rPr>
              <w:t>UE</w:t>
            </w:r>
          </w:p>
        </w:tc>
        <w:tc>
          <w:tcPr>
            <w:tcW w:w="1478" w:type="pct"/>
            <w:vMerge w:val="restart"/>
            <w:vAlign w:val="center"/>
          </w:tcPr>
          <w:p w:rsidR="00B63D8D" w:rsidRPr="001954AF" w:rsidRDefault="00B63D8D" w:rsidP="00194EFE">
            <w:pPr>
              <w:pStyle w:val="Tabletext"/>
              <w:jc w:val="center"/>
              <w:rPr>
                <w:rFonts w:eastAsia="MS Mincho"/>
              </w:rPr>
            </w:pPr>
            <w:r w:rsidRPr="001954AF">
              <w:rPr>
                <w:rFonts w:eastAsia="MS Mincho"/>
              </w:rPr>
              <w:t>–113.9 dB(W/m²) in 1 MHz</w:t>
            </w:r>
          </w:p>
        </w:tc>
        <w:tc>
          <w:tcPr>
            <w:tcW w:w="894" w:type="pct"/>
            <w:vAlign w:val="center"/>
          </w:tcPr>
          <w:p w:rsidR="00B63D8D" w:rsidRPr="001954AF" w:rsidRDefault="00B63D8D" w:rsidP="00194EFE">
            <w:pPr>
              <w:pStyle w:val="Tabletext"/>
              <w:jc w:val="center"/>
              <w:rPr>
                <w:rFonts w:eastAsia="MS Mincho"/>
              </w:rPr>
            </w:pPr>
            <w:r w:rsidRPr="001954AF">
              <w:rPr>
                <w:rFonts w:eastAsia="MS Mincho"/>
              </w:rPr>
              <w:t>Yes</w:t>
            </w:r>
          </w:p>
        </w:tc>
        <w:tc>
          <w:tcPr>
            <w:tcW w:w="1483" w:type="pct"/>
            <w:vAlign w:val="center"/>
          </w:tcPr>
          <w:p w:rsidR="00B63D8D" w:rsidRPr="001954AF" w:rsidRDefault="00B63D8D" w:rsidP="00194EFE">
            <w:pPr>
              <w:pStyle w:val="Tabletext"/>
              <w:jc w:val="center"/>
              <w:rPr>
                <w:rFonts w:eastAsia="MS Mincho"/>
              </w:rPr>
            </w:pPr>
            <w:r w:rsidRPr="001954AF">
              <w:rPr>
                <w:rFonts w:eastAsia="MS Mincho"/>
              </w:rPr>
              <w:t>–97.4 dB(W/m²) in 1 MHz</w:t>
            </w:r>
          </w:p>
        </w:tc>
        <w:tc>
          <w:tcPr>
            <w:tcW w:w="635" w:type="pct"/>
            <w:vAlign w:val="center"/>
          </w:tcPr>
          <w:p w:rsidR="00B63D8D" w:rsidRPr="001954AF" w:rsidRDefault="00B63D8D" w:rsidP="00194EFE">
            <w:pPr>
              <w:pStyle w:val="Tabletext"/>
              <w:jc w:val="center"/>
              <w:rPr>
                <w:rFonts w:eastAsia="MS Mincho"/>
              </w:rPr>
            </w:pPr>
            <w:r w:rsidRPr="001954AF">
              <w:rPr>
                <w:rFonts w:eastAsia="MS Mincho"/>
              </w:rPr>
              <w:t>–16.5 dB</w:t>
            </w:r>
          </w:p>
        </w:tc>
      </w:tr>
      <w:tr w:rsidR="00B63D8D" w:rsidRPr="001954AF" w:rsidTr="00945841">
        <w:trPr>
          <w:trHeight w:val="340"/>
          <w:jc w:val="center"/>
        </w:trPr>
        <w:tc>
          <w:tcPr>
            <w:tcW w:w="509" w:type="pct"/>
            <w:vMerge/>
            <w:vAlign w:val="center"/>
          </w:tcPr>
          <w:p w:rsidR="00B63D8D" w:rsidRPr="001954AF" w:rsidRDefault="00B63D8D" w:rsidP="00194EFE">
            <w:pPr>
              <w:pStyle w:val="Tabletext"/>
              <w:jc w:val="center"/>
              <w:rPr>
                <w:rFonts w:eastAsia="MS Mincho"/>
              </w:rPr>
            </w:pPr>
          </w:p>
        </w:tc>
        <w:tc>
          <w:tcPr>
            <w:tcW w:w="1478" w:type="pct"/>
            <w:vMerge/>
            <w:vAlign w:val="center"/>
          </w:tcPr>
          <w:p w:rsidR="00B63D8D" w:rsidRPr="001954AF" w:rsidRDefault="00B63D8D" w:rsidP="00194EFE">
            <w:pPr>
              <w:pStyle w:val="Tabletext"/>
              <w:jc w:val="center"/>
              <w:rPr>
                <w:rFonts w:eastAsia="MS Mincho"/>
              </w:rPr>
            </w:pPr>
          </w:p>
        </w:tc>
        <w:tc>
          <w:tcPr>
            <w:tcW w:w="894" w:type="pct"/>
            <w:vAlign w:val="center"/>
          </w:tcPr>
          <w:p w:rsidR="00B63D8D" w:rsidRPr="001954AF" w:rsidRDefault="00B63D8D" w:rsidP="00194EFE">
            <w:pPr>
              <w:pStyle w:val="Tabletext"/>
              <w:jc w:val="center"/>
              <w:rPr>
                <w:rFonts w:eastAsia="MS Mincho"/>
              </w:rPr>
            </w:pPr>
            <w:r w:rsidRPr="001954AF">
              <w:rPr>
                <w:rFonts w:eastAsia="MS Mincho"/>
              </w:rPr>
              <w:t>No</w:t>
            </w:r>
          </w:p>
        </w:tc>
        <w:tc>
          <w:tcPr>
            <w:tcW w:w="1483" w:type="pct"/>
            <w:vAlign w:val="center"/>
          </w:tcPr>
          <w:p w:rsidR="00B63D8D" w:rsidRPr="001954AF" w:rsidRDefault="00B63D8D" w:rsidP="00194EFE">
            <w:pPr>
              <w:pStyle w:val="Tabletext"/>
              <w:jc w:val="center"/>
              <w:rPr>
                <w:rFonts w:eastAsia="MS Mincho"/>
              </w:rPr>
            </w:pPr>
            <w:r w:rsidRPr="001954AF">
              <w:rPr>
                <w:rFonts w:eastAsia="MS Mincho"/>
              </w:rPr>
              <w:t>–96.9 dB(W/m²) in 1 MHz</w:t>
            </w:r>
          </w:p>
        </w:tc>
        <w:tc>
          <w:tcPr>
            <w:tcW w:w="635" w:type="pct"/>
            <w:vAlign w:val="center"/>
          </w:tcPr>
          <w:p w:rsidR="00B63D8D" w:rsidRPr="001954AF" w:rsidRDefault="00B63D8D" w:rsidP="00194EFE">
            <w:pPr>
              <w:pStyle w:val="Tabletext"/>
              <w:jc w:val="center"/>
              <w:rPr>
                <w:rFonts w:eastAsia="MS Mincho"/>
              </w:rPr>
            </w:pPr>
            <w:r w:rsidRPr="001954AF">
              <w:rPr>
                <w:rFonts w:eastAsia="MS Mincho"/>
              </w:rPr>
              <w:t>–17.0 dB</w:t>
            </w:r>
          </w:p>
        </w:tc>
      </w:tr>
    </w:tbl>
    <w:p w:rsidR="00B63D8D" w:rsidRPr="001954AF" w:rsidRDefault="00B63D8D" w:rsidP="00B63D8D">
      <w:pPr>
        <w:pStyle w:val="Tablefin"/>
      </w:pPr>
    </w:p>
    <w:p w:rsidR="00B63D8D" w:rsidRPr="00752DF2" w:rsidRDefault="00B63D8D" w:rsidP="00B63D8D">
      <w:pPr>
        <w:pStyle w:val="Heading3"/>
        <w:rPr>
          <w:rFonts w:eastAsia="MS Mincho"/>
          <w:lang w:val="en-GB"/>
        </w:rPr>
      </w:pPr>
      <w:bookmarkStart w:id="171" w:name="_Toc530661340"/>
      <w:r w:rsidRPr="00752DF2">
        <w:rPr>
          <w:rFonts w:eastAsia="MS Mincho"/>
          <w:lang w:val="en-GB"/>
        </w:rPr>
        <w:t>1.2.9</w:t>
      </w:r>
      <w:r w:rsidRPr="00752DF2">
        <w:rPr>
          <w:rFonts w:eastAsia="MS Mincho"/>
          <w:lang w:val="en-GB"/>
        </w:rPr>
        <w:tab/>
        <w:t>Summary and analysis of the results of study B</w:t>
      </w:r>
      <w:bookmarkEnd w:id="171"/>
    </w:p>
    <w:p w:rsidR="00B63D8D" w:rsidRPr="00752DF2" w:rsidRDefault="00B63D8D" w:rsidP="00B63D8D">
      <w:pPr>
        <w:rPr>
          <w:lang w:val="en-GB" w:eastAsia="ja-JP"/>
        </w:rPr>
      </w:pPr>
      <w:r w:rsidRPr="00752DF2">
        <w:rPr>
          <w:spacing w:val="-3"/>
          <w:lang w:val="en-GB" w:eastAsia="ja-JP"/>
        </w:rPr>
        <w:t>In this study, a sharing study between an IMT and HAPS ground stations operating in the 47.9</w:t>
      </w:r>
      <w:r w:rsidRPr="00752DF2">
        <w:rPr>
          <w:spacing w:val="-3"/>
          <w:lang w:val="en-GB" w:eastAsia="ja-JP"/>
        </w:rPr>
        <w:noBreakHyphen/>
        <w:t>48.2 GHz frequency range is performed. Simulation results indicate that sharing is feasible under the assumptions and parameters that are described in this study. A summary of the most stringent margins is provided below.</w:t>
      </w:r>
    </w:p>
    <w:p w:rsidR="00B63D8D" w:rsidRPr="00752DF2" w:rsidRDefault="00B63D8D" w:rsidP="00B63D8D">
      <w:pPr>
        <w:rPr>
          <w:rFonts w:asciiTheme="majorBidi" w:hAnsiTheme="majorBidi" w:cstheme="majorBidi"/>
          <w:lang w:val="en-GB" w:eastAsia="ja-JP"/>
        </w:rPr>
      </w:pPr>
      <w:r w:rsidRPr="00752DF2">
        <w:rPr>
          <w:rFonts w:asciiTheme="majorBidi" w:hAnsiTheme="majorBidi" w:cstheme="majorBidi"/>
          <w:lang w:val="en-GB" w:eastAsia="ja-JP"/>
        </w:rPr>
        <w:t>The GW to HAPS (uplink) case indicates that the pfd mask (–116.8 dB(W/(m</w:t>
      </w:r>
      <w:r w:rsidRPr="00752DF2">
        <w:rPr>
          <w:rFonts w:asciiTheme="majorBidi" w:hAnsiTheme="majorBidi" w:cstheme="majorBidi"/>
          <w:vertAlign w:val="superscript"/>
          <w:lang w:val="en-GB" w:eastAsia="ja-JP"/>
        </w:rPr>
        <w:t>2</w:t>
      </w:r>
      <w:r w:rsidRPr="00752DF2">
        <w:rPr>
          <w:rFonts w:asciiTheme="majorBidi" w:hAnsiTheme="majorBidi" w:cstheme="majorBidi"/>
          <w:lang w:val="en-GB" w:eastAsia="ja-JP"/>
        </w:rPr>
        <w:t xml:space="preserve"> · MHz))) can be met for 99.99% of IMT base stations with a margin of at least 10.9 dB. This case represents a scenario that considers ubiquitous deployment of IMT networks and 1 HAPS gateway on the same geographical area.</w:t>
      </w:r>
      <w:bookmarkStart w:id="172" w:name="_Toc529879789"/>
      <w:bookmarkStart w:id="173" w:name="_Toc529880050"/>
      <w:bookmarkStart w:id="174" w:name="_Toc529886562"/>
      <w:bookmarkStart w:id="175" w:name="_Toc529892130"/>
      <w:bookmarkStart w:id="176" w:name="_Toc529892454"/>
      <w:bookmarkStart w:id="177" w:name="_Toc529893105"/>
      <w:bookmarkStart w:id="178" w:name="_Toc529902057"/>
      <w:bookmarkStart w:id="179" w:name="_Toc529902275"/>
      <w:bookmarkStart w:id="180" w:name="_Toc529904389"/>
      <w:bookmarkEnd w:id="172"/>
      <w:bookmarkEnd w:id="173"/>
      <w:bookmarkEnd w:id="174"/>
      <w:bookmarkEnd w:id="175"/>
      <w:bookmarkEnd w:id="176"/>
      <w:bookmarkEnd w:id="177"/>
      <w:bookmarkEnd w:id="178"/>
      <w:bookmarkEnd w:id="179"/>
      <w:bookmarkEnd w:id="180"/>
    </w:p>
    <w:p w:rsidR="00B63D8D" w:rsidRPr="00752DF2" w:rsidRDefault="00B63D8D" w:rsidP="00752DF2">
      <w:pPr>
        <w:pStyle w:val="Heading1"/>
        <w:rPr>
          <w:rFonts w:eastAsia="MS Mincho"/>
          <w:lang w:val="en-GB"/>
        </w:rPr>
      </w:pPr>
      <w:bookmarkStart w:id="181" w:name="_Toc530661341"/>
      <w:bookmarkStart w:id="182" w:name="_Toc7699376"/>
      <w:bookmarkStart w:id="183" w:name="_Toc19283733"/>
      <w:bookmarkStart w:id="184" w:name="_Toc19289066"/>
      <w:r w:rsidRPr="00752DF2">
        <w:rPr>
          <w:rFonts w:eastAsia="MS Mincho"/>
          <w:lang w:val="en-GB"/>
        </w:rPr>
        <w:t>2</w:t>
      </w:r>
      <w:r w:rsidRPr="00752DF2">
        <w:rPr>
          <w:rFonts w:eastAsia="MS Mincho"/>
          <w:lang w:val="en-GB"/>
        </w:rPr>
        <w:tab/>
        <w:t>Summary and analysis of the results of studies</w:t>
      </w:r>
      <w:bookmarkEnd w:id="181"/>
      <w:bookmarkEnd w:id="182"/>
      <w:bookmarkEnd w:id="183"/>
      <w:bookmarkEnd w:id="184"/>
      <w:r w:rsidRPr="00752DF2">
        <w:rPr>
          <w:rFonts w:eastAsia="MS Mincho"/>
          <w:lang w:val="en-GB"/>
        </w:rPr>
        <w:t xml:space="preserve"> </w:t>
      </w:r>
    </w:p>
    <w:p w:rsidR="00B63D8D" w:rsidRPr="001954AF" w:rsidRDefault="00B63D8D" w:rsidP="00B63D8D">
      <w:pPr>
        <w:pStyle w:val="Headingb"/>
        <w:rPr>
          <w:lang w:val="en-GB"/>
        </w:rPr>
      </w:pPr>
      <w:r w:rsidRPr="001954AF">
        <w:rPr>
          <w:lang w:val="en-GB"/>
        </w:rPr>
        <w:t>Study A</w:t>
      </w:r>
    </w:p>
    <w:p w:rsidR="00B63D8D" w:rsidRPr="00752DF2" w:rsidRDefault="00B63D8D" w:rsidP="00B63D8D">
      <w:pPr>
        <w:rPr>
          <w:lang w:val="en-GB"/>
        </w:rPr>
      </w:pPr>
      <w:r w:rsidRPr="00752DF2">
        <w:rPr>
          <w:rFonts w:eastAsia="MS Mincho"/>
          <w:lang w:val="en-GB"/>
        </w:rPr>
        <w:t xml:space="preserve">The statistical </w:t>
      </w:r>
      <w:r w:rsidRPr="00752DF2">
        <w:rPr>
          <w:lang w:val="en-GB"/>
        </w:rPr>
        <w:t xml:space="preserve">analysis shows that the separation distance between a HAPS gateway and IMT-2020 UE is 0 km for less than 1 out of 10 cases to 1 km for 1 out 100 000 cases and the separation distance between a HAPS gateway and IMT-2020 BS is 0 km for less than 1 out of 10 cases to 3 km for 1 out of 100 000 cases </w:t>
      </w:r>
      <w:r w:rsidRPr="00752DF2">
        <w:rPr>
          <w:szCs w:val="24"/>
          <w:lang w:val="en-GB" w:eastAsia="ja-JP"/>
        </w:rPr>
        <w:t xml:space="preserve">for HAPS system 6 in a suburban deployment area with </w:t>
      </w:r>
      <w:r w:rsidRPr="00752DF2">
        <w:rPr>
          <w:i/>
          <w:iCs/>
          <w:szCs w:val="24"/>
          <w:lang w:val="en-GB" w:eastAsia="ja-JP"/>
        </w:rPr>
        <w:t>p</w:t>
      </w:r>
      <w:r w:rsidRPr="00752DF2">
        <w:rPr>
          <w:szCs w:val="24"/>
          <w:lang w:val="en-GB" w:eastAsia="ja-JP"/>
        </w:rPr>
        <w:t> = 0.01 for path loss and 1% for clutter loss</w:t>
      </w:r>
      <w:r w:rsidRPr="00752DF2">
        <w:rPr>
          <w:lang w:val="en-GB"/>
        </w:rPr>
        <w:t>.</w:t>
      </w:r>
    </w:p>
    <w:p w:rsidR="00B63D8D" w:rsidRPr="001954AF" w:rsidRDefault="00B63D8D" w:rsidP="00B63D8D">
      <w:pPr>
        <w:pStyle w:val="Headingb"/>
        <w:rPr>
          <w:lang w:val="en-GB"/>
        </w:rPr>
      </w:pPr>
      <w:r w:rsidRPr="001954AF">
        <w:rPr>
          <w:lang w:val="en-GB"/>
        </w:rPr>
        <w:t>Study B</w:t>
      </w:r>
    </w:p>
    <w:p w:rsidR="00B63D8D" w:rsidRPr="00752DF2" w:rsidRDefault="00B63D8D" w:rsidP="00B63D8D">
      <w:pPr>
        <w:rPr>
          <w:lang w:val="en-GB" w:eastAsia="ja-JP"/>
        </w:rPr>
      </w:pPr>
      <w:r w:rsidRPr="00752DF2">
        <w:rPr>
          <w:spacing w:val="-3"/>
          <w:lang w:val="en-GB" w:eastAsia="ja-JP"/>
        </w:rPr>
        <w:t>In this study, a sharing study between an IMT and HAPS ground stations operating in the 47.9</w:t>
      </w:r>
      <w:r w:rsidRPr="00752DF2">
        <w:rPr>
          <w:spacing w:val="-3"/>
          <w:lang w:val="en-GB" w:eastAsia="ja-JP"/>
        </w:rPr>
        <w:noBreakHyphen/>
        <w:t>48.2 GHz frequency range is performed. Simulation results indicate that sharing is feasible under the assumptions and parameters that are described in this study. A summary of the most stringent margins is provided below.</w:t>
      </w:r>
    </w:p>
    <w:p w:rsidR="00B63D8D" w:rsidRPr="00752DF2" w:rsidRDefault="00B63D8D" w:rsidP="00B63D8D">
      <w:pPr>
        <w:rPr>
          <w:lang w:val="en-GB" w:eastAsia="ja-JP"/>
        </w:rPr>
      </w:pPr>
      <w:r w:rsidRPr="00752DF2">
        <w:rPr>
          <w:lang w:val="en-GB" w:eastAsia="ja-JP"/>
        </w:rPr>
        <w:t xml:space="preserve">The GW </w:t>
      </w:r>
      <w:r w:rsidRPr="00752DF2">
        <w:rPr>
          <w:rFonts w:ascii="Calibri" w:hAnsi="Calibri"/>
          <w:lang w:val="en-GB" w:eastAsia="ja-JP"/>
        </w:rPr>
        <w:t>to</w:t>
      </w:r>
      <w:r w:rsidRPr="00752DF2">
        <w:rPr>
          <w:lang w:val="en-GB" w:eastAsia="ja-JP"/>
        </w:rPr>
        <w:t xml:space="preserve"> HAPS (uplink) case indicates that the pfd mask (–116.8 dB(W/(m</w:t>
      </w:r>
      <w:r w:rsidRPr="00752DF2">
        <w:rPr>
          <w:vertAlign w:val="superscript"/>
          <w:lang w:val="en-GB" w:eastAsia="ja-JP"/>
        </w:rPr>
        <w:t>2</w:t>
      </w:r>
      <w:r w:rsidRPr="00752DF2">
        <w:rPr>
          <w:lang w:val="en-GB" w:eastAsia="ja-JP"/>
        </w:rPr>
        <w:t xml:space="preserve"> · MHz))) can be met for 99.99% of IMT base stations with a margin of at least 10.9 dB. This case represents a scenario that considers ubiquitous deployment of IMT networks and 1 HAPS gateway on the same geographical area.</w:t>
      </w:r>
    </w:p>
    <w:p w:rsidR="00B63D8D" w:rsidRPr="00752DF2" w:rsidRDefault="00B63D8D" w:rsidP="00B63D8D">
      <w:pPr>
        <w:rPr>
          <w:rFonts w:eastAsia="MS Mincho"/>
          <w:shd w:val="clear" w:color="auto" w:fill="FFFFFF"/>
          <w:lang w:val="en-GB" w:eastAsia="ja-JP"/>
        </w:rPr>
      </w:pPr>
    </w:p>
    <w:p w:rsidR="00B63D8D" w:rsidRPr="00752DF2" w:rsidRDefault="00B63D8D" w:rsidP="00B63D8D">
      <w:pPr>
        <w:rPr>
          <w:rFonts w:eastAsia="MS Mincho"/>
          <w:shd w:val="clear" w:color="auto" w:fill="FFFFFF"/>
          <w:lang w:val="en-GB" w:eastAsia="ja-JP"/>
        </w:rPr>
      </w:pPr>
    </w:p>
    <w:p w:rsidR="00B63D8D" w:rsidRPr="00752DF2" w:rsidRDefault="00B63D8D" w:rsidP="00945841">
      <w:pPr>
        <w:pStyle w:val="AnnexNoTitle"/>
        <w:rPr>
          <w:shd w:val="clear" w:color="auto" w:fill="FFFFFF"/>
          <w:lang w:val="en-GB"/>
        </w:rPr>
      </w:pPr>
      <w:bookmarkStart w:id="185" w:name="_Toc530661342"/>
      <w:bookmarkStart w:id="186" w:name="_Toc7699377"/>
      <w:bookmarkStart w:id="187" w:name="_Toc19289067"/>
      <w:r w:rsidRPr="00752DF2">
        <w:rPr>
          <w:rFonts w:eastAsia="MS Mincho"/>
          <w:lang w:val="en-GB"/>
        </w:rPr>
        <w:t xml:space="preserve">Annex 2 </w:t>
      </w:r>
      <w:bookmarkStart w:id="188" w:name="_Toc530663752"/>
      <w:bookmarkStart w:id="189" w:name="_Toc7699378"/>
      <w:bookmarkStart w:id="190" w:name="_Toc19283734"/>
      <w:bookmarkEnd w:id="185"/>
      <w:bookmarkEnd w:id="186"/>
      <w:r w:rsidR="00945841" w:rsidRPr="00752DF2">
        <w:rPr>
          <w:rFonts w:eastAsia="MS Mincho"/>
          <w:lang w:val="en-GB"/>
        </w:rPr>
        <w:br/>
      </w:r>
      <w:r w:rsidR="00945841" w:rsidRPr="00752DF2">
        <w:rPr>
          <w:rFonts w:eastAsia="MS Mincho"/>
          <w:lang w:val="en-GB"/>
        </w:rPr>
        <w:br/>
      </w:r>
      <w:r w:rsidRPr="00752DF2">
        <w:rPr>
          <w:shd w:val="clear" w:color="auto" w:fill="FFFFFF"/>
          <w:lang w:val="en-GB"/>
        </w:rPr>
        <w:t>Sharing and compatibility study of fixed satellite service and HAPS systems operating in the 47.2-47.5 and 47.9-48.2 GHz frequency ranges</w:t>
      </w:r>
      <w:bookmarkEnd w:id="188"/>
      <w:bookmarkEnd w:id="189"/>
      <w:bookmarkEnd w:id="190"/>
      <w:bookmarkEnd w:id="187"/>
      <w:r w:rsidRPr="00752DF2">
        <w:rPr>
          <w:shd w:val="clear" w:color="auto" w:fill="FFFFFF"/>
          <w:lang w:val="en-GB"/>
        </w:rPr>
        <w:t xml:space="preserve"> </w:t>
      </w:r>
    </w:p>
    <w:p w:rsidR="00B63D8D" w:rsidRPr="00752DF2" w:rsidRDefault="00B63D8D" w:rsidP="00B63D8D">
      <w:pPr>
        <w:pStyle w:val="Heading1"/>
        <w:rPr>
          <w:rFonts w:eastAsia="MS Mincho"/>
          <w:lang w:val="en-GB"/>
        </w:rPr>
      </w:pPr>
      <w:bookmarkStart w:id="191" w:name="_Toc530661343"/>
      <w:bookmarkStart w:id="192" w:name="_Toc7699379"/>
      <w:bookmarkStart w:id="193" w:name="_Toc19283735"/>
      <w:bookmarkStart w:id="194" w:name="_Toc19289068"/>
      <w:r w:rsidRPr="00752DF2">
        <w:rPr>
          <w:lang w:val="en-GB"/>
        </w:rPr>
        <w:t>1</w:t>
      </w:r>
      <w:r w:rsidRPr="00752DF2">
        <w:rPr>
          <w:lang w:val="en-GB"/>
        </w:rPr>
        <w:tab/>
        <w:t>Summary of scenarios considered</w:t>
      </w:r>
      <w:bookmarkEnd w:id="191"/>
      <w:bookmarkEnd w:id="192"/>
      <w:bookmarkEnd w:id="193"/>
      <w:bookmarkEnd w:id="194"/>
    </w:p>
    <w:p w:rsidR="00B63D8D" w:rsidRPr="00752DF2" w:rsidRDefault="00B63D8D" w:rsidP="00B63D8D">
      <w:pPr>
        <w:pStyle w:val="TableNo"/>
        <w:rPr>
          <w:lang w:val="en-GB"/>
        </w:rPr>
      </w:pPr>
      <w:r w:rsidRPr="00752DF2">
        <w:rPr>
          <w:lang w:val="en-GB"/>
        </w:rPr>
        <w:t>T</w:t>
      </w:r>
      <w:r w:rsidR="00013042" w:rsidRPr="00752DF2">
        <w:rPr>
          <w:lang w:val="en-GB"/>
        </w:rPr>
        <w:t>ABLE</w:t>
      </w:r>
      <w:r w:rsidRPr="00752DF2">
        <w:rPr>
          <w:lang w:val="en-GB"/>
        </w:rPr>
        <w:t xml:space="preserve"> 14</w:t>
      </w:r>
    </w:p>
    <w:tbl>
      <w:tblPr>
        <w:tblW w:w="6804" w:type="dxa"/>
        <w:jc w:val="center"/>
        <w:tblLook w:val="04A0" w:firstRow="1" w:lastRow="0" w:firstColumn="1" w:lastColumn="0" w:noHBand="0" w:noVBand="1"/>
      </w:tblPr>
      <w:tblGrid>
        <w:gridCol w:w="4387"/>
        <w:gridCol w:w="2417"/>
      </w:tblGrid>
      <w:tr w:rsidR="00B63D8D" w:rsidRPr="001954AF" w:rsidTr="00013042">
        <w:trPr>
          <w:jc w:val="center"/>
        </w:trPr>
        <w:tc>
          <w:tcPr>
            <w:tcW w:w="3495" w:type="dxa"/>
            <w:tcBorders>
              <w:top w:val="single" w:sz="4" w:space="0" w:color="auto"/>
              <w:left w:val="single" w:sz="4" w:space="0" w:color="auto"/>
              <w:bottom w:val="single" w:sz="4" w:space="0" w:color="auto"/>
              <w:right w:val="single" w:sz="4" w:space="0" w:color="auto"/>
            </w:tcBorders>
            <w:hideMark/>
          </w:tcPr>
          <w:p w:rsidR="00B63D8D" w:rsidRPr="00752DF2" w:rsidRDefault="00B63D8D" w:rsidP="00194EFE">
            <w:pPr>
              <w:pStyle w:val="Tabletext"/>
              <w:rPr>
                <w:lang w:val="en-GB"/>
              </w:rPr>
            </w:pPr>
            <w:r w:rsidRPr="00752DF2">
              <w:rPr>
                <w:lang w:val="en-GB"/>
              </w:rPr>
              <w:t>HAPS Ground stations to FSS Satellite</w:t>
            </w:r>
          </w:p>
        </w:tc>
        <w:tc>
          <w:tcPr>
            <w:tcW w:w="1926" w:type="dxa"/>
            <w:tcBorders>
              <w:top w:val="single" w:sz="4" w:space="0" w:color="auto"/>
              <w:left w:val="single" w:sz="4" w:space="0" w:color="auto"/>
              <w:bottom w:val="single" w:sz="4" w:space="0" w:color="auto"/>
              <w:right w:val="single" w:sz="4" w:space="0" w:color="auto"/>
            </w:tcBorders>
            <w:hideMark/>
          </w:tcPr>
          <w:p w:rsidR="00B63D8D" w:rsidRPr="001954AF" w:rsidRDefault="00B63D8D" w:rsidP="00194EFE">
            <w:pPr>
              <w:pStyle w:val="Tabletext"/>
              <w:jc w:val="center"/>
            </w:pPr>
            <w:r w:rsidRPr="001954AF">
              <w:t>X</w:t>
            </w:r>
          </w:p>
        </w:tc>
      </w:tr>
    </w:tbl>
    <w:p w:rsidR="00013042" w:rsidRDefault="00013042" w:rsidP="00013042">
      <w:pPr>
        <w:pStyle w:val="Tablefin"/>
        <w:rPr>
          <w:rFonts w:eastAsia="MS Mincho"/>
        </w:rPr>
      </w:pPr>
      <w:bookmarkStart w:id="195" w:name="_Toc530661344"/>
      <w:bookmarkStart w:id="196" w:name="_Toc7699380"/>
      <w:bookmarkStart w:id="197" w:name="_Toc19283736"/>
    </w:p>
    <w:p w:rsidR="00B63D8D" w:rsidRPr="001954AF" w:rsidRDefault="00B63D8D" w:rsidP="00B63D8D">
      <w:pPr>
        <w:pStyle w:val="Heading1"/>
        <w:rPr>
          <w:rFonts w:eastAsia="MS Mincho"/>
        </w:rPr>
      </w:pPr>
      <w:bookmarkStart w:id="198" w:name="_Toc19289069"/>
      <w:r w:rsidRPr="001954AF">
        <w:rPr>
          <w:rFonts w:eastAsia="MS Mincho"/>
        </w:rPr>
        <w:t>2</w:t>
      </w:r>
      <w:r w:rsidRPr="001954AF">
        <w:rPr>
          <w:rFonts w:eastAsia="MS Mincho"/>
        </w:rPr>
        <w:tab/>
        <w:t>Technical analysis</w:t>
      </w:r>
      <w:bookmarkEnd w:id="195"/>
      <w:bookmarkEnd w:id="196"/>
      <w:bookmarkEnd w:id="197"/>
      <w:bookmarkEnd w:id="198"/>
    </w:p>
    <w:p w:rsidR="00B63D8D" w:rsidRPr="001954AF" w:rsidRDefault="00B63D8D" w:rsidP="00BE2087">
      <w:pPr>
        <w:pStyle w:val="Heading2"/>
        <w:keepNext w:val="0"/>
        <w:keepLines w:val="0"/>
      </w:pPr>
      <w:bookmarkStart w:id="199" w:name="_Toc529892155"/>
      <w:bookmarkStart w:id="200" w:name="_Toc530659547"/>
      <w:bookmarkStart w:id="201" w:name="_Toc529902062"/>
      <w:bookmarkStart w:id="202" w:name="_Toc529902280"/>
      <w:bookmarkStart w:id="203" w:name="_Toc529904394"/>
      <w:bookmarkStart w:id="204" w:name="_Toc529879794"/>
      <w:bookmarkStart w:id="205" w:name="_Toc529880055"/>
      <w:bookmarkStart w:id="206" w:name="_Toc529886567"/>
      <w:bookmarkStart w:id="207" w:name="_Toc529892459"/>
      <w:bookmarkStart w:id="208" w:name="_Toc529893110"/>
      <w:bookmarkStart w:id="209" w:name="_Toc529902063"/>
      <w:bookmarkStart w:id="210" w:name="_Toc529902281"/>
      <w:bookmarkStart w:id="211" w:name="_Toc529904395"/>
      <w:bookmarkStart w:id="212" w:name="_Toc530661345"/>
      <w:bookmarkStart w:id="213" w:name="_Toc7699381"/>
      <w:bookmarkStart w:id="214" w:name="_Toc19283737"/>
      <w:bookmarkStart w:id="215" w:name="_Toc19289070"/>
      <w:bookmarkEnd w:id="199"/>
      <w:bookmarkEnd w:id="200"/>
      <w:bookmarkEnd w:id="201"/>
      <w:bookmarkEnd w:id="202"/>
      <w:bookmarkEnd w:id="203"/>
      <w:bookmarkEnd w:id="204"/>
      <w:bookmarkEnd w:id="205"/>
      <w:bookmarkEnd w:id="206"/>
      <w:bookmarkEnd w:id="207"/>
      <w:bookmarkEnd w:id="208"/>
      <w:bookmarkEnd w:id="209"/>
      <w:bookmarkEnd w:id="210"/>
      <w:bookmarkEnd w:id="211"/>
      <w:r w:rsidRPr="001954AF">
        <w:rPr>
          <w:rFonts w:eastAsia="MS Mincho"/>
        </w:rPr>
        <w:t>2.1</w:t>
      </w:r>
      <w:r w:rsidRPr="001954AF">
        <w:rPr>
          <w:rFonts w:eastAsia="MS Mincho"/>
        </w:rPr>
        <w:tab/>
        <w:t>Technical characteristics of HAPS</w:t>
      </w:r>
      <w:bookmarkEnd w:id="212"/>
      <w:bookmarkEnd w:id="213"/>
      <w:bookmarkEnd w:id="214"/>
      <w:bookmarkEnd w:id="215"/>
    </w:p>
    <w:p w:rsidR="00B63D8D" w:rsidRPr="001954AF" w:rsidRDefault="00B63D8D" w:rsidP="00B63D8D">
      <w:pPr>
        <w:pStyle w:val="TableNo"/>
      </w:pPr>
      <w:r w:rsidRPr="001954AF">
        <w:t>T</w:t>
      </w:r>
      <w:r w:rsidR="00013042" w:rsidRPr="001954AF">
        <w:t>ABLE</w:t>
      </w:r>
      <w:r w:rsidRPr="001954AF">
        <w:t xml:space="preserve"> 15</w:t>
      </w:r>
    </w:p>
    <w:p w:rsidR="00B63D8D" w:rsidRPr="001954AF" w:rsidRDefault="00BE2087" w:rsidP="00B63D8D">
      <w:pPr>
        <w:pStyle w:val="Tabletitle"/>
      </w:pPr>
      <w:r>
        <w:t>HAPS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07"/>
        <w:gridCol w:w="3832"/>
      </w:tblGrid>
      <w:tr w:rsidR="00B63D8D" w:rsidRPr="001954AF" w:rsidTr="00BE2087">
        <w:trPr>
          <w:cantSplit/>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Mar>
              <w:top w:w="15" w:type="dxa"/>
              <w:left w:w="57" w:type="dxa"/>
              <w:bottom w:w="15" w:type="dxa"/>
              <w:right w:w="57" w:type="dxa"/>
            </w:tcMar>
            <w:hideMark/>
          </w:tcPr>
          <w:p w:rsidR="00B63D8D" w:rsidRPr="001954AF" w:rsidRDefault="00B63D8D" w:rsidP="00BE2087">
            <w:pPr>
              <w:pStyle w:val="Tablehead"/>
              <w:keepLines/>
              <w:spacing w:before="20" w:after="20"/>
              <w:rPr>
                <w:lang w:eastAsia="en-GB"/>
              </w:rPr>
            </w:pPr>
          </w:p>
        </w:tc>
        <w:tc>
          <w:tcPr>
            <w:tcW w:w="3832" w:type="dxa"/>
            <w:tcBorders>
              <w:top w:val="single" w:sz="4" w:space="0" w:color="auto"/>
              <w:left w:val="single" w:sz="4" w:space="0" w:color="auto"/>
              <w:bottom w:val="single" w:sz="4" w:space="0" w:color="auto"/>
              <w:right w:val="single" w:sz="4" w:space="0" w:color="auto"/>
            </w:tcBorders>
            <w:shd w:val="clear" w:color="auto" w:fill="auto"/>
            <w:noWrap/>
            <w:tcMar>
              <w:top w:w="15" w:type="dxa"/>
              <w:left w:w="57" w:type="dxa"/>
              <w:bottom w:w="15" w:type="dxa"/>
              <w:right w:w="57" w:type="dxa"/>
            </w:tcMar>
            <w:hideMark/>
          </w:tcPr>
          <w:p w:rsidR="00B63D8D" w:rsidRPr="001954AF" w:rsidRDefault="00B63D8D" w:rsidP="00BE2087">
            <w:pPr>
              <w:pStyle w:val="Tablehead"/>
              <w:keepLines/>
              <w:spacing w:before="20" w:after="20"/>
              <w:rPr>
                <w:lang w:eastAsia="en-GB"/>
              </w:rPr>
            </w:pPr>
            <w:r w:rsidRPr="001954AF">
              <w:t>Value</w:t>
            </w:r>
          </w:p>
        </w:tc>
      </w:tr>
      <w:tr w:rsidR="00B63D8D" w:rsidRPr="001954AF" w:rsidTr="00BE2087">
        <w:trPr>
          <w:cantSplit/>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Mar>
              <w:top w:w="15" w:type="dxa"/>
              <w:left w:w="57" w:type="dxa"/>
              <w:bottom w:w="15" w:type="dxa"/>
              <w:right w:w="57" w:type="dxa"/>
            </w:tcMar>
            <w:vAlign w:val="center"/>
            <w:hideMark/>
          </w:tcPr>
          <w:p w:rsidR="00B63D8D" w:rsidRPr="001954AF" w:rsidRDefault="00B63D8D" w:rsidP="00BE2087">
            <w:pPr>
              <w:pStyle w:val="Tabletext"/>
              <w:keepNext/>
              <w:keepLines/>
              <w:rPr>
                <w:lang w:eastAsia="en-GB"/>
              </w:rPr>
            </w:pPr>
            <w:r w:rsidRPr="001954AF">
              <w:t>Altitude</w:t>
            </w:r>
            <w:r>
              <w:t xml:space="preserve"> (km)</w:t>
            </w:r>
          </w:p>
        </w:tc>
        <w:tc>
          <w:tcPr>
            <w:tcW w:w="3832" w:type="dxa"/>
            <w:tcBorders>
              <w:top w:val="single" w:sz="4" w:space="0" w:color="auto"/>
              <w:left w:val="single" w:sz="4" w:space="0" w:color="auto"/>
              <w:bottom w:val="single" w:sz="4" w:space="0" w:color="auto"/>
              <w:right w:val="single" w:sz="4" w:space="0" w:color="auto"/>
            </w:tcBorders>
            <w:shd w:val="clear" w:color="auto" w:fill="auto"/>
            <w:noWrap/>
            <w:tcMar>
              <w:top w:w="15" w:type="dxa"/>
              <w:left w:w="57" w:type="dxa"/>
              <w:bottom w:w="15" w:type="dxa"/>
              <w:right w:w="57" w:type="dxa"/>
            </w:tcMar>
            <w:vAlign w:val="center"/>
            <w:hideMark/>
          </w:tcPr>
          <w:p w:rsidR="00B63D8D" w:rsidRPr="001954AF" w:rsidRDefault="00B63D8D" w:rsidP="00BE2087">
            <w:pPr>
              <w:pStyle w:val="Tabletext"/>
              <w:keepNext/>
              <w:keepLines/>
              <w:jc w:val="center"/>
              <w:rPr>
                <w:lang w:eastAsia="en-GB"/>
              </w:rPr>
            </w:pPr>
            <w:r w:rsidRPr="001954AF">
              <w:t>20</w:t>
            </w:r>
          </w:p>
        </w:tc>
      </w:tr>
      <w:tr w:rsidR="00B63D8D" w:rsidRPr="001954AF" w:rsidTr="00BE2087">
        <w:trPr>
          <w:cantSplit/>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Mar>
              <w:top w:w="15" w:type="dxa"/>
              <w:left w:w="57" w:type="dxa"/>
              <w:bottom w:w="15" w:type="dxa"/>
              <w:right w:w="57" w:type="dxa"/>
            </w:tcMar>
            <w:vAlign w:val="center"/>
            <w:hideMark/>
          </w:tcPr>
          <w:p w:rsidR="00B63D8D" w:rsidRPr="00752DF2" w:rsidRDefault="00B63D8D" w:rsidP="00BE2087">
            <w:pPr>
              <w:pStyle w:val="Tabletext"/>
              <w:keepNext/>
              <w:keepLines/>
              <w:rPr>
                <w:lang w:val="en-GB" w:eastAsia="en-GB"/>
              </w:rPr>
            </w:pPr>
            <w:r w:rsidRPr="00752DF2">
              <w:rPr>
                <w:lang w:val="en-GB"/>
              </w:rPr>
              <w:t>Inter HAPS distance (IHD) (km)</w:t>
            </w:r>
          </w:p>
        </w:tc>
        <w:tc>
          <w:tcPr>
            <w:tcW w:w="3832" w:type="dxa"/>
            <w:tcBorders>
              <w:top w:val="single" w:sz="4" w:space="0" w:color="auto"/>
              <w:left w:val="single" w:sz="4" w:space="0" w:color="auto"/>
              <w:bottom w:val="single" w:sz="4" w:space="0" w:color="auto"/>
              <w:right w:val="single" w:sz="4" w:space="0" w:color="auto"/>
            </w:tcBorders>
            <w:shd w:val="clear" w:color="auto" w:fill="auto"/>
            <w:noWrap/>
            <w:tcMar>
              <w:top w:w="15" w:type="dxa"/>
              <w:left w:w="57" w:type="dxa"/>
              <w:bottom w:w="15" w:type="dxa"/>
              <w:right w:w="57" w:type="dxa"/>
            </w:tcMar>
            <w:vAlign w:val="center"/>
            <w:hideMark/>
          </w:tcPr>
          <w:p w:rsidR="00B63D8D" w:rsidRPr="001954AF" w:rsidRDefault="00B63D8D" w:rsidP="00BE2087">
            <w:pPr>
              <w:pStyle w:val="Tabletext"/>
              <w:keepNext/>
              <w:keepLines/>
              <w:jc w:val="center"/>
              <w:rPr>
                <w:lang w:eastAsia="en-GB"/>
              </w:rPr>
            </w:pPr>
            <w:r w:rsidRPr="001954AF">
              <w:t>100</w:t>
            </w:r>
          </w:p>
        </w:tc>
      </w:tr>
      <w:tr w:rsidR="00B63D8D" w:rsidRPr="001954AF" w:rsidTr="00BE2087">
        <w:trPr>
          <w:cantSplit/>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Mar>
              <w:top w:w="15" w:type="dxa"/>
              <w:left w:w="57" w:type="dxa"/>
              <w:bottom w:w="15" w:type="dxa"/>
              <w:right w:w="57" w:type="dxa"/>
            </w:tcMar>
            <w:vAlign w:val="center"/>
          </w:tcPr>
          <w:p w:rsidR="00B63D8D" w:rsidRPr="001954AF" w:rsidRDefault="00B63D8D" w:rsidP="00BE2087">
            <w:pPr>
              <w:pStyle w:val="Tabletext"/>
              <w:keepNext/>
              <w:keepLines/>
              <w:rPr>
                <w:lang w:eastAsia="en-GB"/>
              </w:rPr>
            </w:pPr>
            <w:r w:rsidRPr="001954AF">
              <w:rPr>
                <w:lang w:eastAsia="en-GB"/>
              </w:rPr>
              <w:t>Antenna gain</w:t>
            </w:r>
            <w:r>
              <w:rPr>
                <w:lang w:eastAsia="en-GB"/>
              </w:rPr>
              <w:t xml:space="preserve"> (dBi)</w:t>
            </w:r>
          </w:p>
        </w:tc>
        <w:tc>
          <w:tcPr>
            <w:tcW w:w="3832" w:type="dxa"/>
            <w:tcBorders>
              <w:top w:val="single" w:sz="4" w:space="0" w:color="auto"/>
              <w:left w:val="single" w:sz="4" w:space="0" w:color="auto"/>
              <w:bottom w:val="single" w:sz="4" w:space="0" w:color="auto"/>
              <w:right w:val="single" w:sz="4" w:space="0" w:color="auto"/>
            </w:tcBorders>
            <w:shd w:val="clear" w:color="auto" w:fill="auto"/>
            <w:noWrap/>
            <w:tcMar>
              <w:top w:w="15" w:type="dxa"/>
              <w:left w:w="57" w:type="dxa"/>
              <w:bottom w:w="15" w:type="dxa"/>
              <w:right w:w="57" w:type="dxa"/>
            </w:tcMar>
            <w:vAlign w:val="center"/>
          </w:tcPr>
          <w:p w:rsidR="00B63D8D" w:rsidRPr="001954AF" w:rsidRDefault="00B63D8D" w:rsidP="00BE2087">
            <w:pPr>
              <w:pStyle w:val="Tabletext"/>
              <w:keepNext/>
              <w:keepLines/>
              <w:jc w:val="center"/>
              <w:rPr>
                <w:lang w:eastAsia="en-GB"/>
              </w:rPr>
            </w:pPr>
            <w:r w:rsidRPr="001954AF">
              <w:rPr>
                <w:lang w:eastAsia="en-GB"/>
              </w:rPr>
              <w:t xml:space="preserve">Uniformly distributed between </w:t>
            </w:r>
            <w:r>
              <w:rPr>
                <w:lang w:eastAsia="en-GB"/>
              </w:rPr>
              <w:br/>
            </w:r>
            <w:r w:rsidRPr="001954AF">
              <w:rPr>
                <w:lang w:eastAsia="en-GB"/>
              </w:rPr>
              <w:t>37.5 and 58.2</w:t>
            </w:r>
          </w:p>
        </w:tc>
      </w:tr>
      <w:tr w:rsidR="00B63D8D" w:rsidRPr="001954AF" w:rsidTr="00BE2087">
        <w:trPr>
          <w:cantSplit/>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Mar>
              <w:top w:w="15" w:type="dxa"/>
              <w:left w:w="57" w:type="dxa"/>
              <w:bottom w:w="15" w:type="dxa"/>
              <w:right w:w="57" w:type="dxa"/>
            </w:tcMar>
            <w:vAlign w:val="center"/>
          </w:tcPr>
          <w:p w:rsidR="00B63D8D" w:rsidRPr="001954AF" w:rsidRDefault="00B63D8D" w:rsidP="00194EFE">
            <w:pPr>
              <w:pStyle w:val="Tabletext"/>
              <w:rPr>
                <w:b/>
              </w:rPr>
            </w:pPr>
            <w:r w:rsidRPr="001954AF">
              <w:t>HAPS coverage</w:t>
            </w:r>
            <w:r>
              <w:t xml:space="preserve"> (km)</w:t>
            </w:r>
          </w:p>
        </w:tc>
        <w:tc>
          <w:tcPr>
            <w:tcW w:w="3832" w:type="dxa"/>
            <w:tcBorders>
              <w:top w:val="single" w:sz="4" w:space="0" w:color="auto"/>
              <w:left w:val="single" w:sz="4" w:space="0" w:color="auto"/>
              <w:bottom w:val="single" w:sz="4" w:space="0" w:color="auto"/>
              <w:right w:val="single" w:sz="4" w:space="0" w:color="auto"/>
            </w:tcBorders>
            <w:shd w:val="clear" w:color="auto" w:fill="auto"/>
            <w:noWrap/>
            <w:tcMar>
              <w:top w:w="15" w:type="dxa"/>
              <w:left w:w="57" w:type="dxa"/>
              <w:bottom w:w="15" w:type="dxa"/>
              <w:right w:w="57" w:type="dxa"/>
            </w:tcMar>
            <w:vAlign w:val="center"/>
          </w:tcPr>
          <w:p w:rsidR="00B63D8D" w:rsidRPr="001954AF" w:rsidRDefault="00B63D8D" w:rsidP="00194EFE">
            <w:pPr>
              <w:pStyle w:val="Tabletext"/>
              <w:jc w:val="center"/>
            </w:pPr>
            <w:r w:rsidRPr="001954AF">
              <w:t>50</w:t>
            </w:r>
          </w:p>
        </w:tc>
      </w:tr>
      <w:tr w:rsidR="00B63D8D" w:rsidRPr="001954AF" w:rsidTr="00BE2087">
        <w:trPr>
          <w:cantSplit/>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Mar>
              <w:top w:w="15" w:type="dxa"/>
              <w:left w:w="57" w:type="dxa"/>
              <w:bottom w:w="15" w:type="dxa"/>
              <w:right w:w="57" w:type="dxa"/>
            </w:tcMar>
            <w:vAlign w:val="center"/>
          </w:tcPr>
          <w:p w:rsidR="00B63D8D" w:rsidRPr="00752DF2" w:rsidRDefault="00B63D8D" w:rsidP="00194EFE">
            <w:pPr>
              <w:pStyle w:val="Tabletext"/>
              <w:rPr>
                <w:b/>
                <w:lang w:val="en-GB"/>
              </w:rPr>
            </w:pPr>
            <w:r w:rsidRPr="00752DF2">
              <w:rPr>
                <w:lang w:val="en-GB"/>
              </w:rPr>
              <w:t>Number of HAPS ground stations operating simultaneously in co frequency in each HAPS coverage</w:t>
            </w:r>
          </w:p>
        </w:tc>
        <w:tc>
          <w:tcPr>
            <w:tcW w:w="3832" w:type="dxa"/>
            <w:tcBorders>
              <w:top w:val="single" w:sz="4" w:space="0" w:color="auto"/>
              <w:left w:val="single" w:sz="4" w:space="0" w:color="auto"/>
              <w:bottom w:val="single" w:sz="4" w:space="0" w:color="auto"/>
              <w:right w:val="single" w:sz="4" w:space="0" w:color="auto"/>
            </w:tcBorders>
            <w:shd w:val="clear" w:color="auto" w:fill="auto"/>
            <w:noWrap/>
            <w:tcMar>
              <w:top w:w="15" w:type="dxa"/>
              <w:left w:w="57" w:type="dxa"/>
              <w:bottom w:w="15" w:type="dxa"/>
              <w:right w:w="57" w:type="dxa"/>
            </w:tcMar>
            <w:vAlign w:val="center"/>
          </w:tcPr>
          <w:p w:rsidR="00B63D8D" w:rsidRPr="001954AF" w:rsidRDefault="00B63D8D" w:rsidP="00194EFE">
            <w:pPr>
              <w:pStyle w:val="Tabletext"/>
              <w:jc w:val="center"/>
            </w:pPr>
            <w:r w:rsidRPr="001954AF">
              <w:t>4</w:t>
            </w:r>
          </w:p>
        </w:tc>
      </w:tr>
      <w:tr w:rsidR="00B63D8D" w:rsidRPr="001954AF" w:rsidTr="00BE2087">
        <w:trPr>
          <w:cantSplit/>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Mar>
              <w:top w:w="15" w:type="dxa"/>
              <w:left w:w="57" w:type="dxa"/>
              <w:bottom w:w="15" w:type="dxa"/>
              <w:right w:w="57" w:type="dxa"/>
            </w:tcMar>
            <w:vAlign w:val="center"/>
            <w:hideMark/>
          </w:tcPr>
          <w:p w:rsidR="00B63D8D" w:rsidRPr="00752DF2" w:rsidRDefault="00B63D8D" w:rsidP="00194EFE">
            <w:pPr>
              <w:pStyle w:val="Tabletext"/>
              <w:rPr>
                <w:lang w:val="en-GB" w:eastAsia="en-GB"/>
              </w:rPr>
            </w:pPr>
            <w:r w:rsidRPr="00752DF2">
              <w:rPr>
                <w:lang w:val="en-GB"/>
              </w:rPr>
              <w:t>HAPS ground station antenna pattern</w:t>
            </w:r>
          </w:p>
        </w:tc>
        <w:tc>
          <w:tcPr>
            <w:tcW w:w="3832" w:type="dxa"/>
            <w:tcBorders>
              <w:top w:val="single" w:sz="4" w:space="0" w:color="auto"/>
              <w:left w:val="single" w:sz="4" w:space="0" w:color="auto"/>
              <w:bottom w:val="single" w:sz="4" w:space="0" w:color="auto"/>
              <w:right w:val="single" w:sz="4" w:space="0" w:color="auto"/>
            </w:tcBorders>
            <w:shd w:val="clear" w:color="auto" w:fill="auto"/>
            <w:noWrap/>
            <w:tcMar>
              <w:top w:w="15" w:type="dxa"/>
              <w:left w:w="57" w:type="dxa"/>
              <w:bottom w:w="15" w:type="dxa"/>
              <w:right w:w="57" w:type="dxa"/>
            </w:tcMar>
            <w:vAlign w:val="center"/>
            <w:hideMark/>
          </w:tcPr>
          <w:p w:rsidR="00B63D8D" w:rsidRPr="001954AF" w:rsidRDefault="00B63D8D" w:rsidP="00194EFE">
            <w:pPr>
              <w:pStyle w:val="Tabletext"/>
              <w:jc w:val="center"/>
              <w:rPr>
                <w:lang w:eastAsia="en-GB"/>
              </w:rPr>
            </w:pPr>
            <w:r w:rsidRPr="001954AF">
              <w:t>ITU-R F.1245-2</w:t>
            </w:r>
          </w:p>
        </w:tc>
      </w:tr>
      <w:tr w:rsidR="00B63D8D" w:rsidRPr="001954AF" w:rsidTr="00BE2087">
        <w:trPr>
          <w:cantSplit/>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Mar>
              <w:top w:w="15" w:type="dxa"/>
              <w:left w:w="57" w:type="dxa"/>
              <w:bottom w:w="15" w:type="dxa"/>
              <w:right w:w="57" w:type="dxa"/>
            </w:tcMar>
            <w:vAlign w:val="center"/>
            <w:hideMark/>
          </w:tcPr>
          <w:p w:rsidR="00B63D8D" w:rsidRPr="001954AF" w:rsidRDefault="00B63D8D" w:rsidP="00194EFE">
            <w:pPr>
              <w:pStyle w:val="Tabletext"/>
              <w:rPr>
                <w:lang w:eastAsia="en-GB"/>
              </w:rPr>
            </w:pPr>
            <w:r w:rsidRPr="001954AF">
              <w:t xml:space="preserve">Polarization </w:t>
            </w:r>
          </w:p>
        </w:tc>
        <w:tc>
          <w:tcPr>
            <w:tcW w:w="3832" w:type="dxa"/>
            <w:tcBorders>
              <w:top w:val="single" w:sz="4" w:space="0" w:color="auto"/>
              <w:left w:val="single" w:sz="4" w:space="0" w:color="auto"/>
              <w:bottom w:val="single" w:sz="4" w:space="0" w:color="auto"/>
              <w:right w:val="single" w:sz="4" w:space="0" w:color="auto"/>
            </w:tcBorders>
            <w:shd w:val="clear" w:color="auto" w:fill="auto"/>
            <w:noWrap/>
            <w:tcMar>
              <w:top w:w="15" w:type="dxa"/>
              <w:left w:w="57" w:type="dxa"/>
              <w:bottom w:w="15" w:type="dxa"/>
              <w:right w:w="57" w:type="dxa"/>
            </w:tcMar>
            <w:vAlign w:val="center"/>
            <w:hideMark/>
          </w:tcPr>
          <w:p w:rsidR="00B63D8D" w:rsidRPr="001954AF" w:rsidRDefault="00B63D8D" w:rsidP="00194EFE">
            <w:pPr>
              <w:pStyle w:val="Tabletext"/>
              <w:jc w:val="center"/>
              <w:rPr>
                <w:lang w:eastAsia="en-GB"/>
              </w:rPr>
            </w:pPr>
            <w:r w:rsidRPr="001954AF">
              <w:t>LHCP or RHCP</w:t>
            </w:r>
          </w:p>
        </w:tc>
      </w:tr>
    </w:tbl>
    <w:p w:rsidR="00B63D8D" w:rsidRPr="001954AF" w:rsidRDefault="00B63D8D" w:rsidP="00B63D8D">
      <w:pPr>
        <w:pStyle w:val="Tablefin"/>
      </w:pPr>
    </w:p>
    <w:p w:rsidR="00B63D8D" w:rsidRPr="001954AF" w:rsidRDefault="00B63D8D" w:rsidP="00B63D8D">
      <w:pPr>
        <w:pStyle w:val="Heading2"/>
        <w:rPr>
          <w:rFonts w:eastAsia="MS Mincho"/>
        </w:rPr>
      </w:pPr>
      <w:bookmarkStart w:id="216" w:name="_Toc530661346"/>
      <w:bookmarkStart w:id="217" w:name="_Toc7699382"/>
      <w:bookmarkStart w:id="218" w:name="_Toc19283738"/>
      <w:bookmarkStart w:id="219" w:name="_Toc19289071"/>
      <w:r w:rsidRPr="001954AF">
        <w:rPr>
          <w:rFonts w:eastAsia="MS Mincho"/>
        </w:rPr>
        <w:t>2.2</w:t>
      </w:r>
      <w:r w:rsidRPr="001954AF">
        <w:rPr>
          <w:rFonts w:eastAsia="MS Mincho"/>
        </w:rPr>
        <w:tab/>
        <w:t>Technical analysis</w:t>
      </w:r>
      <w:bookmarkEnd w:id="216"/>
      <w:bookmarkEnd w:id="217"/>
      <w:bookmarkEnd w:id="218"/>
      <w:bookmarkEnd w:id="219"/>
    </w:p>
    <w:p w:rsidR="00B63D8D" w:rsidRPr="00752DF2" w:rsidRDefault="00B63D8D" w:rsidP="00B63D8D">
      <w:pPr>
        <w:rPr>
          <w:lang w:val="en-GB"/>
        </w:rPr>
      </w:pPr>
      <w:r w:rsidRPr="00752DF2">
        <w:rPr>
          <w:lang w:val="en-GB" w:eastAsia="fr-FR"/>
        </w:rPr>
        <w:t>This section aims at providing the coexistence study between FSS (GSO) satellite and HAPS ground stations. The calculation used in this analysis is based on the following steps:</w:t>
      </w:r>
    </w:p>
    <w:p w:rsidR="00B63D8D" w:rsidRPr="00752DF2" w:rsidRDefault="00B63D8D" w:rsidP="00B63D8D">
      <w:pPr>
        <w:rPr>
          <w:lang w:val="en-GB" w:eastAsia="fr-FR"/>
        </w:rPr>
      </w:pPr>
      <w:r w:rsidRPr="00752DF2">
        <w:rPr>
          <w:iCs/>
          <w:lang w:val="en-GB" w:eastAsia="fr-FR"/>
        </w:rPr>
        <w:t>Step 1</w:t>
      </w:r>
      <w:r w:rsidRPr="00752DF2">
        <w:rPr>
          <w:bCs/>
          <w:lang w:val="en-GB" w:eastAsia="fr-FR"/>
        </w:rPr>
        <w:t>:</w:t>
      </w:r>
      <w:r w:rsidRPr="00752DF2">
        <w:rPr>
          <w:lang w:val="en-GB" w:eastAsia="fr-FR"/>
        </w:rPr>
        <w:t xml:space="preserve"> Locate arbitrarily the FSS satellite at longitude 0° and latitude 0°.</w:t>
      </w:r>
    </w:p>
    <w:p w:rsidR="00B63D8D" w:rsidRPr="00752DF2" w:rsidRDefault="00B63D8D" w:rsidP="00B63D8D">
      <w:pPr>
        <w:rPr>
          <w:lang w:val="en-GB" w:eastAsia="ja-JP"/>
        </w:rPr>
      </w:pPr>
      <w:r w:rsidRPr="00752DF2">
        <w:rPr>
          <w:iCs/>
          <w:lang w:val="en-GB" w:eastAsia="fr-FR"/>
        </w:rPr>
        <w:t>Step 2:</w:t>
      </w:r>
      <w:r w:rsidRPr="00752DF2">
        <w:rPr>
          <w:lang w:val="en-GB" w:eastAsia="fr-FR"/>
        </w:rPr>
        <w:t xml:space="preserve"> </w:t>
      </w:r>
      <w:r w:rsidRPr="00752DF2">
        <w:rPr>
          <w:lang w:val="en-GB" w:eastAsia="ja-JP"/>
        </w:rPr>
        <w:t xml:space="preserve">Locate the HAPS by distributing them on a grid over the spherical cap centred at longitude 0° and latitude 0° (see Fig. 13). The distance between HAPS or Inter HAPS distance (IHD) was set to 100 km for this study. </w:t>
      </w:r>
    </w:p>
    <w:p w:rsidR="00B63D8D" w:rsidRPr="00752DF2" w:rsidRDefault="00B63D8D" w:rsidP="00B63D8D">
      <w:pPr>
        <w:pStyle w:val="FigureNo"/>
        <w:rPr>
          <w:lang w:val="en-GB"/>
        </w:rPr>
      </w:pPr>
      <w:r w:rsidRPr="00752DF2">
        <w:rPr>
          <w:lang w:val="en-GB"/>
        </w:rPr>
        <w:t>Figure 13</w:t>
      </w:r>
    </w:p>
    <w:p w:rsidR="00B63D8D" w:rsidRPr="00752DF2" w:rsidRDefault="00B63D8D" w:rsidP="00B63D8D">
      <w:pPr>
        <w:pStyle w:val="Figuretitle"/>
        <w:rPr>
          <w:lang w:val="en-GB"/>
        </w:rPr>
      </w:pPr>
      <w:r w:rsidRPr="00752DF2">
        <w:rPr>
          <w:lang w:val="en-GB"/>
        </w:rPr>
        <w:t>HAPS on a spherical cap</w:t>
      </w:r>
    </w:p>
    <w:p w:rsidR="00B63D8D" w:rsidRPr="001954AF" w:rsidRDefault="00B63D8D" w:rsidP="00B63D8D">
      <w:pPr>
        <w:pStyle w:val="Figure"/>
      </w:pPr>
      <w:r w:rsidRPr="001954AF">
        <w:rPr>
          <w:noProof/>
          <w:lang w:val="en-GB" w:eastAsia="en-GB"/>
        </w:rPr>
        <w:drawing>
          <wp:inline distT="0" distB="0" distL="0" distR="0" wp14:anchorId="2565CBBD" wp14:editId="4D45E55B">
            <wp:extent cx="5201728" cy="30685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1801" t="9135" r="1242" b="36055"/>
                    <a:stretch/>
                  </pic:blipFill>
                  <pic:spPr bwMode="auto">
                    <a:xfrm>
                      <a:off x="0" y="0"/>
                      <a:ext cx="5204343" cy="3070066"/>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B63D8D">
      <w:pPr>
        <w:rPr>
          <w:lang w:val="en-GB" w:eastAsia="fr-FR"/>
        </w:rPr>
      </w:pPr>
      <w:r w:rsidRPr="00752DF2">
        <w:rPr>
          <w:iCs/>
          <w:lang w:val="en-GB" w:eastAsia="fr-FR"/>
        </w:rPr>
        <w:t>Step 3:</w:t>
      </w:r>
      <w:r w:rsidRPr="00752DF2">
        <w:rPr>
          <w:lang w:val="en-GB" w:eastAsia="fr-FR"/>
        </w:rPr>
        <w:t xml:space="preserve"> Locate the HAPS ground stations. 4 HAPS ground stations operating co-frequency randomly located in each HAPS coverage area (50 km radius from the HAPS nadir point). M is the total number of HAPS ground station in the visible area of the GSO FSS satellite. Set the elevation and azimuth angle of each HAPS ground station to point towards its respective HAPS.</w:t>
      </w:r>
    </w:p>
    <w:p w:rsidR="00B63D8D" w:rsidRPr="001954AF" w:rsidRDefault="00B63D8D" w:rsidP="00B63D8D">
      <w:pPr>
        <w:pStyle w:val="FigureNo"/>
      </w:pPr>
      <w:r w:rsidRPr="001954AF">
        <w:t>Figure 14</w:t>
      </w:r>
    </w:p>
    <w:p w:rsidR="00B63D8D" w:rsidRPr="001954AF" w:rsidRDefault="00B63D8D" w:rsidP="00B63D8D">
      <w:pPr>
        <w:pStyle w:val="Figuretitle"/>
      </w:pPr>
      <w:r w:rsidRPr="001954AF">
        <w:t>HAPS ground station location</w:t>
      </w:r>
    </w:p>
    <w:p w:rsidR="00B63D8D" w:rsidRPr="001954AF" w:rsidRDefault="00B63D8D" w:rsidP="00B63D8D">
      <w:pPr>
        <w:pStyle w:val="Figure"/>
        <w:rPr>
          <w:lang w:eastAsia="fr-FR"/>
        </w:rPr>
      </w:pPr>
      <w:r w:rsidRPr="001954AF">
        <w:rPr>
          <w:noProof/>
          <w:lang w:val="en-GB" w:eastAsia="en-GB"/>
        </w:rPr>
        <w:drawing>
          <wp:inline distT="0" distB="0" distL="0" distR="0" wp14:anchorId="0D7CA9C8" wp14:editId="028A0958">
            <wp:extent cx="5063706" cy="3010619"/>
            <wp:effectExtent l="0" t="0" r="381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2011" t="8190" r="1760" b="36370"/>
                    <a:stretch/>
                  </pic:blipFill>
                  <pic:spPr bwMode="auto">
                    <a:xfrm>
                      <a:off x="0" y="0"/>
                      <a:ext cx="5100998" cy="3032791"/>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B63D8D">
      <w:pPr>
        <w:keepNext/>
        <w:rPr>
          <w:lang w:val="en-GB" w:eastAsia="fr-FR"/>
        </w:rPr>
      </w:pPr>
      <w:r w:rsidRPr="00752DF2">
        <w:rPr>
          <w:iCs/>
          <w:lang w:val="en-GB" w:eastAsia="fr-FR"/>
        </w:rPr>
        <w:t>Step 4:</w:t>
      </w:r>
      <w:r w:rsidRPr="00752DF2">
        <w:rPr>
          <w:lang w:val="en-GB" w:eastAsia="fr-FR"/>
        </w:rPr>
        <w:t xml:space="preserve"> Compute the free space loss between the GSO satellite and each HAPS ground stations.</w:t>
      </w:r>
    </w:p>
    <w:p w:rsidR="00B63D8D" w:rsidRPr="00752DF2" w:rsidRDefault="00B63D8D" w:rsidP="00B63D8D">
      <w:pPr>
        <w:pStyle w:val="FigureNo"/>
        <w:rPr>
          <w:lang w:val="en-GB"/>
        </w:rPr>
      </w:pPr>
      <w:r w:rsidRPr="00752DF2">
        <w:rPr>
          <w:lang w:val="en-GB"/>
        </w:rPr>
        <w:t>Figure 15</w:t>
      </w:r>
    </w:p>
    <w:p w:rsidR="00B63D8D" w:rsidRPr="00752DF2" w:rsidRDefault="00B63D8D" w:rsidP="00B63D8D">
      <w:pPr>
        <w:pStyle w:val="Figuretitle"/>
        <w:rPr>
          <w:lang w:val="en-GB"/>
        </w:rPr>
      </w:pPr>
      <w:r w:rsidRPr="00752DF2">
        <w:rPr>
          <w:lang w:val="en-GB"/>
        </w:rPr>
        <w:t>Free space loss between the GSO and each HAPS ground stations</w:t>
      </w:r>
    </w:p>
    <w:p w:rsidR="00B63D8D" w:rsidRPr="001954AF" w:rsidRDefault="00B63D8D" w:rsidP="00B63D8D">
      <w:pPr>
        <w:pStyle w:val="Figure"/>
      </w:pPr>
      <w:r w:rsidRPr="001954AF">
        <w:rPr>
          <w:noProof/>
          <w:lang w:val="en-GB" w:eastAsia="en-GB"/>
        </w:rPr>
        <w:drawing>
          <wp:inline distT="0" distB="0" distL="0" distR="0" wp14:anchorId="0495247A" wp14:editId="68A515F1">
            <wp:extent cx="5731510" cy="3120489"/>
            <wp:effectExtent l="0" t="0" r="254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120489"/>
                    </a:xfrm>
                    <a:prstGeom prst="rect">
                      <a:avLst/>
                    </a:prstGeom>
                  </pic:spPr>
                </pic:pic>
              </a:graphicData>
            </a:graphic>
          </wp:inline>
        </w:drawing>
      </w:r>
    </w:p>
    <w:p w:rsidR="00B63D8D" w:rsidRPr="00752DF2" w:rsidRDefault="00B63D8D" w:rsidP="00B63D8D">
      <w:pPr>
        <w:rPr>
          <w:lang w:val="en-GB" w:eastAsia="fr-FR"/>
        </w:rPr>
      </w:pPr>
      <w:r w:rsidRPr="00752DF2">
        <w:rPr>
          <w:iCs/>
          <w:lang w:val="en-GB" w:eastAsia="fr-FR"/>
        </w:rPr>
        <w:t>Step 5:</w:t>
      </w:r>
      <w:r w:rsidRPr="00752DF2">
        <w:rPr>
          <w:lang w:val="en-GB" w:eastAsia="fr-FR"/>
        </w:rPr>
        <w:t xml:space="preserve"> Fix the FSS satellite antenna pointing direction towards a specific location on the Earth and compute the satellite antenna gain Gr in the direction of each HAPS ground station. </w:t>
      </w:r>
    </w:p>
    <w:p w:rsidR="00B63D8D" w:rsidRPr="00752DF2" w:rsidRDefault="00B63D8D" w:rsidP="00B63D8D">
      <w:pPr>
        <w:pStyle w:val="FigureNo"/>
        <w:rPr>
          <w:lang w:val="en-GB"/>
        </w:rPr>
      </w:pPr>
      <w:r w:rsidRPr="00752DF2">
        <w:rPr>
          <w:lang w:val="en-GB"/>
        </w:rPr>
        <w:t>Figure 16</w:t>
      </w:r>
    </w:p>
    <w:p w:rsidR="00B63D8D" w:rsidRPr="00752DF2" w:rsidRDefault="00B63D8D" w:rsidP="00B63D8D">
      <w:pPr>
        <w:pStyle w:val="Figuretitle"/>
        <w:rPr>
          <w:lang w:val="en-GB"/>
        </w:rPr>
      </w:pPr>
      <w:r w:rsidRPr="00752DF2">
        <w:rPr>
          <w:lang w:val="en-GB"/>
        </w:rPr>
        <w:t xml:space="preserve">FSS received antenna gain in dBi in the direction of each HAPS ground stations </w:t>
      </w:r>
      <w:r w:rsidRPr="00752DF2">
        <w:rPr>
          <w:lang w:val="en-GB"/>
        </w:rPr>
        <w:br/>
        <w:t>(example FSS pointing at longitude 30° and latitude 45°)</w:t>
      </w:r>
    </w:p>
    <w:p w:rsidR="00B63D8D" w:rsidRPr="001954AF" w:rsidRDefault="00B63D8D" w:rsidP="00B63D8D">
      <w:pPr>
        <w:pStyle w:val="Figure"/>
        <w:rPr>
          <w:lang w:eastAsia="fr-FR"/>
        </w:rPr>
      </w:pPr>
      <w:r w:rsidRPr="001954AF">
        <w:rPr>
          <w:noProof/>
          <w:lang w:val="en-GB" w:eastAsia="en-GB"/>
        </w:rPr>
        <w:drawing>
          <wp:inline distT="0" distB="0" distL="0" distR="0" wp14:anchorId="2047A32C" wp14:editId="774B975D">
            <wp:extent cx="5905500" cy="31922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279" t="10709" r="46687" b="4241"/>
                    <a:stretch/>
                  </pic:blipFill>
                  <pic:spPr bwMode="auto">
                    <a:xfrm>
                      <a:off x="0" y="0"/>
                      <a:ext cx="5910781" cy="3195150"/>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B63D8D">
      <w:pPr>
        <w:keepNext/>
        <w:rPr>
          <w:lang w:val="en-GB" w:eastAsia="fr-FR"/>
        </w:rPr>
      </w:pPr>
      <w:r w:rsidRPr="00752DF2">
        <w:rPr>
          <w:iCs/>
          <w:lang w:val="en-GB" w:eastAsia="fr-FR"/>
        </w:rPr>
        <w:t>Step 6:</w:t>
      </w:r>
      <w:r w:rsidRPr="00752DF2">
        <w:rPr>
          <w:lang w:val="en-GB" w:eastAsia="fr-FR"/>
        </w:rPr>
        <w:t xml:space="preserve"> Fix arbitrarily the nominal e.i.r.p. (under clear sky condition) of each HAPS ground station in the direction of the FSS satellite to 0 dB(W/MHz). Compute the </w:t>
      </w:r>
      <w:r w:rsidRPr="00752DF2">
        <w:rPr>
          <w:i/>
          <w:iCs/>
          <w:lang w:val="en-GB" w:eastAsia="fr-FR"/>
        </w:rPr>
        <w:t>I</w:t>
      </w:r>
      <w:r w:rsidRPr="00752DF2">
        <w:rPr>
          <w:i/>
          <w:iCs/>
          <w:vertAlign w:val="subscript"/>
          <w:lang w:val="en-GB" w:eastAsia="fr-FR"/>
        </w:rPr>
        <w:t>agg</w:t>
      </w:r>
      <w:r w:rsidRPr="00752DF2">
        <w:rPr>
          <w:lang w:val="en-GB" w:eastAsia="fr-FR"/>
        </w:rPr>
        <w:t>/</w:t>
      </w:r>
      <w:r w:rsidRPr="00752DF2">
        <w:rPr>
          <w:i/>
          <w:iCs/>
          <w:lang w:val="en-GB" w:eastAsia="fr-FR"/>
        </w:rPr>
        <w:t>N</w:t>
      </w:r>
      <w:r w:rsidRPr="00752DF2">
        <w:rPr>
          <w:lang w:val="en-GB" w:eastAsia="fr-FR"/>
        </w:rPr>
        <w:t xml:space="preserve"> using the following formula and store it:</w:t>
      </w:r>
    </w:p>
    <w:bookmarkStart w:id="220" w:name="_Hlk529519367"/>
    <w:p w:rsidR="00B63D8D" w:rsidRPr="001954AF" w:rsidRDefault="00481A00" w:rsidP="00B63D8D">
      <w:pPr>
        <w:pStyle w:val="Equation"/>
        <w:rPr>
          <w:lang w:eastAsia="fr-FR"/>
        </w:rPr>
      </w:pPr>
      <m:oMathPara>
        <m:oMathParaPr>
          <m:jc m:val="center"/>
        </m:oMathParaPr>
        <m:oMath>
          <m:sSub>
            <m:sSubPr>
              <m:ctrlPr>
                <w:rPr>
                  <w:rFonts w:ascii="Cambria Math" w:hAnsi="Cambria Math"/>
                  <w:lang w:eastAsia="fr-FR"/>
                </w:rPr>
              </m:ctrlPr>
            </m:sSubPr>
            <m:e>
              <m:d>
                <m:dPr>
                  <m:ctrlPr>
                    <w:rPr>
                      <w:rFonts w:ascii="Cambria Math" w:hAnsi="Cambria Math"/>
                      <w:lang w:eastAsia="fr-FR"/>
                    </w:rPr>
                  </m:ctrlPr>
                </m:dPr>
                <m:e>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lang w:eastAsia="fr-FR"/>
                            </w:rPr>
                            <m:t>I</m:t>
                          </m:r>
                        </m:e>
                        <m:sub>
                          <m:r>
                            <w:rPr>
                              <w:rFonts w:ascii="Cambria Math" w:hAnsi="Cambria Math"/>
                              <w:lang w:eastAsia="fr-FR"/>
                            </w:rPr>
                            <m:t>agg</m:t>
                          </m:r>
                        </m:sub>
                      </m:sSub>
                    </m:num>
                    <m:den>
                      <m:r>
                        <w:rPr>
                          <w:rFonts w:ascii="Cambria Math" w:hAnsi="Cambria Math"/>
                          <w:lang w:eastAsia="fr-FR"/>
                        </w:rPr>
                        <m:t>N</m:t>
                      </m:r>
                    </m:den>
                  </m:f>
                </m:e>
              </m:d>
            </m:e>
            <m:sub>
              <m:r>
                <w:rPr>
                  <w:rFonts w:ascii="Cambria Math" w:hAnsi="Cambria Math"/>
                  <w:lang w:eastAsia="fr-FR"/>
                </w:rPr>
                <m:t>dB</m:t>
              </m:r>
            </m:sub>
          </m:sSub>
          <m:r>
            <m:rPr>
              <m:sty m:val="p"/>
            </m:rPr>
            <w:rPr>
              <w:rFonts w:ascii="Cambria Math" w:hAnsi="Cambria Math"/>
              <w:lang w:eastAsia="fr-FR"/>
            </w:rPr>
            <m:t>=10</m:t>
          </m:r>
          <m:sSub>
            <m:sSubPr>
              <m:ctrlPr>
                <w:rPr>
                  <w:rFonts w:ascii="Cambria Math" w:hAnsi="Cambria Math"/>
                  <w:lang w:eastAsia="fr-FR"/>
                </w:rPr>
              </m:ctrlPr>
            </m:sSubPr>
            <m:e>
              <m:r>
                <m:rPr>
                  <m:sty m:val="p"/>
                </m:rPr>
                <w:rPr>
                  <w:rFonts w:ascii="Cambria Math" w:hAnsi="Cambria Math"/>
                  <w:lang w:eastAsia="fr-FR"/>
                </w:rPr>
                <m:t>log</m:t>
              </m:r>
            </m:e>
            <m:sub>
              <m:r>
                <m:rPr>
                  <m:sty m:val="p"/>
                </m:rPr>
                <w:rPr>
                  <w:rFonts w:ascii="Cambria Math" w:hAnsi="Cambria Math"/>
                  <w:lang w:eastAsia="fr-FR"/>
                </w:rPr>
                <m:t>10</m:t>
              </m:r>
            </m:sub>
          </m:sSub>
          <m:d>
            <m:dPr>
              <m:ctrlPr>
                <w:rPr>
                  <w:rFonts w:ascii="Cambria Math" w:hAnsi="Cambria Math"/>
                  <w:lang w:eastAsia="fr-FR"/>
                </w:rPr>
              </m:ctrlPr>
            </m:dPr>
            <m:e>
              <m:nary>
                <m:naryPr>
                  <m:chr m:val="∑"/>
                  <m:limLoc m:val="undOvr"/>
                  <m:ctrlPr>
                    <w:rPr>
                      <w:rFonts w:ascii="Cambria Math" w:hAnsi="Cambria Math"/>
                      <w:lang w:eastAsia="fr-FR"/>
                    </w:rPr>
                  </m:ctrlPr>
                </m:naryPr>
                <m:sub>
                  <m:r>
                    <w:rPr>
                      <w:rFonts w:ascii="Cambria Math" w:hAnsi="Cambria Math"/>
                      <w:lang w:eastAsia="fr-FR"/>
                    </w:rPr>
                    <m:t>m</m:t>
                  </m:r>
                  <m:r>
                    <m:rPr>
                      <m:sty m:val="p"/>
                    </m:rPr>
                    <w:rPr>
                      <w:rFonts w:ascii="Cambria Math" w:hAnsi="Cambria Math"/>
                      <w:lang w:eastAsia="fr-FR"/>
                    </w:rPr>
                    <m:t>=1</m:t>
                  </m:r>
                </m:sub>
                <m:sup>
                  <m:r>
                    <w:rPr>
                      <w:rFonts w:ascii="Cambria Math" w:hAnsi="Cambria Math"/>
                      <w:lang w:eastAsia="fr-FR"/>
                    </w:rPr>
                    <m:t>M</m:t>
                  </m:r>
                </m:sup>
                <m:e>
                  <m:sSup>
                    <m:sSupPr>
                      <m:ctrlPr>
                        <w:rPr>
                          <w:rFonts w:ascii="Cambria Math" w:hAnsi="Cambria Math"/>
                          <w:lang w:eastAsia="fr-FR"/>
                        </w:rPr>
                      </m:ctrlPr>
                    </m:sSupPr>
                    <m:e>
                      <m:r>
                        <m:rPr>
                          <m:sty m:val="p"/>
                        </m:rPr>
                        <w:rPr>
                          <w:rFonts w:ascii="Cambria Math" w:hAnsi="Cambria Math"/>
                          <w:lang w:eastAsia="fr-FR"/>
                        </w:rPr>
                        <m:t>10</m:t>
                      </m:r>
                    </m:e>
                    <m:sup>
                      <m:d>
                        <m:dPr>
                          <m:ctrlPr>
                            <w:rPr>
                              <w:rFonts w:ascii="Cambria Math" w:hAnsi="Cambria Math"/>
                              <w:lang w:eastAsia="fr-FR"/>
                            </w:rPr>
                          </m:ctrlPr>
                        </m:dPr>
                        <m:e>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lang w:eastAsia="fr-FR"/>
                                    </w:rPr>
                                    <m:t>EIRP</m:t>
                                  </m:r>
                                </m:e>
                                <m:sub>
                                  <m:r>
                                    <w:rPr>
                                      <w:rFonts w:ascii="Cambria Math" w:hAnsi="Cambria Math"/>
                                      <w:lang w:eastAsia="fr-FR"/>
                                    </w:rPr>
                                    <m:t>n</m:t>
                                  </m:r>
                                </m:sub>
                              </m:sSub>
                              <m:r>
                                <m:rPr>
                                  <m:sty m:val="p"/>
                                </m:rPr>
                                <w:rPr>
                                  <w:rFonts w:ascii="Cambria Math" w:hAnsi="Cambria Math"/>
                                  <w:lang w:eastAsia="fr-FR"/>
                                </w:rPr>
                                <m:t>-(</m:t>
                              </m:r>
                              <m:sSub>
                                <m:sSubPr>
                                  <m:ctrlPr>
                                    <w:rPr>
                                      <w:rFonts w:ascii="Cambria Math" w:hAnsi="Cambria Math"/>
                                      <w:lang w:eastAsia="fr-FR"/>
                                    </w:rPr>
                                  </m:ctrlPr>
                                </m:sSubPr>
                                <m:e>
                                  <m:r>
                                    <w:rPr>
                                      <w:rFonts w:ascii="Cambria Math" w:hAnsi="Cambria Math"/>
                                      <w:lang w:eastAsia="fr-FR"/>
                                    </w:rPr>
                                    <m:t>Ge</m:t>
                                  </m:r>
                                </m:e>
                                <m:sub>
                                  <m:sSub>
                                    <m:sSubPr>
                                      <m:ctrlPr>
                                        <w:rPr>
                                          <w:rFonts w:ascii="Cambria Math" w:hAnsi="Cambria Math"/>
                                          <w:lang w:eastAsia="fr-FR"/>
                                        </w:rPr>
                                      </m:ctrlPr>
                                    </m:sSubPr>
                                    <m:e>
                                      <m:r>
                                        <w:rPr>
                                          <w:rFonts w:ascii="Cambria Math" w:hAnsi="Cambria Math"/>
                                          <w:lang w:eastAsia="fr-FR"/>
                                        </w:rPr>
                                        <m:t>max</m:t>
                                      </m:r>
                                    </m:e>
                                    <m:sub>
                                      <m:r>
                                        <w:rPr>
                                          <w:rFonts w:ascii="Cambria Math" w:hAnsi="Cambria Math"/>
                                          <w:lang w:eastAsia="fr-FR"/>
                                        </w:rPr>
                                        <m:t>m</m:t>
                                      </m:r>
                                    </m:sub>
                                  </m:sSub>
                                </m:sub>
                              </m:sSub>
                              <m:r>
                                <m:rPr>
                                  <m:sty m:val="p"/>
                                </m:rPr>
                                <w:rPr>
                                  <w:rFonts w:ascii="Cambria Math" w:hAnsi="Cambria Math"/>
                                  <w:lang w:eastAsia="fr-FR"/>
                                </w:rPr>
                                <m:t>-</m:t>
                              </m:r>
                              <m:sSub>
                                <m:sSubPr>
                                  <m:ctrlPr>
                                    <w:rPr>
                                      <w:rFonts w:ascii="Cambria Math" w:hAnsi="Cambria Math"/>
                                      <w:lang w:eastAsia="fr-FR"/>
                                    </w:rPr>
                                  </m:ctrlPr>
                                </m:sSubPr>
                                <m:e>
                                  <m:r>
                                    <w:rPr>
                                      <w:rFonts w:ascii="Cambria Math" w:hAnsi="Cambria Math"/>
                                      <w:lang w:eastAsia="fr-FR"/>
                                    </w:rPr>
                                    <m:t>Ge</m:t>
                                  </m:r>
                                </m:e>
                                <m:sub>
                                  <m:r>
                                    <w:rPr>
                                      <w:rFonts w:ascii="Cambria Math" w:hAnsi="Cambria Math"/>
                                      <w:lang w:eastAsia="fr-FR"/>
                                    </w:rPr>
                                    <m:t>m</m:t>
                                  </m:r>
                                </m:sub>
                              </m:sSub>
                              <m:r>
                                <m:rPr>
                                  <m:sty m:val="p"/>
                                </m:rPr>
                                <w:rPr>
                                  <w:rFonts w:ascii="Cambria Math" w:hAnsi="Cambria Math"/>
                                  <w:lang w:eastAsia="fr-FR"/>
                                </w:rPr>
                                <m:t>)-</m:t>
                              </m:r>
                              <m:sSub>
                                <m:sSubPr>
                                  <m:ctrlPr>
                                    <w:rPr>
                                      <w:rFonts w:ascii="Cambria Math" w:hAnsi="Cambria Math"/>
                                      <w:lang w:eastAsia="fr-FR"/>
                                    </w:rPr>
                                  </m:ctrlPr>
                                </m:sSubPr>
                                <m:e>
                                  <m:r>
                                    <w:rPr>
                                      <w:rFonts w:ascii="Cambria Math" w:hAnsi="Cambria Math"/>
                                      <w:lang w:eastAsia="fr-FR"/>
                                    </w:rPr>
                                    <m:t>FSL</m:t>
                                  </m:r>
                                </m:e>
                                <m:sub>
                                  <m:r>
                                    <w:rPr>
                                      <w:rFonts w:ascii="Cambria Math" w:hAnsi="Cambria Math"/>
                                      <w:lang w:eastAsia="fr-FR"/>
                                    </w:rPr>
                                    <m:t>m</m:t>
                                  </m:r>
                                </m:sub>
                              </m:sSub>
                              <m:r>
                                <m:rPr>
                                  <m:sty m:val="p"/>
                                </m:rPr>
                                <w:rPr>
                                  <w:rFonts w:ascii="Cambria Math" w:hAnsi="Cambria Math"/>
                                  <w:lang w:eastAsia="fr-FR"/>
                                </w:rPr>
                                <m:t>+</m:t>
                              </m:r>
                              <m:sSub>
                                <m:sSubPr>
                                  <m:ctrlPr>
                                    <w:rPr>
                                      <w:rFonts w:ascii="Cambria Math" w:hAnsi="Cambria Math"/>
                                      <w:lang w:eastAsia="fr-FR"/>
                                    </w:rPr>
                                  </m:ctrlPr>
                                </m:sSubPr>
                                <m:e>
                                  <m:r>
                                    <w:rPr>
                                      <w:rFonts w:ascii="Cambria Math" w:hAnsi="Cambria Math"/>
                                      <w:lang w:eastAsia="fr-FR"/>
                                    </w:rPr>
                                    <m:t>Gr</m:t>
                                  </m:r>
                                </m:e>
                                <m:sub>
                                  <m:r>
                                    <w:rPr>
                                      <w:rFonts w:ascii="Cambria Math" w:hAnsi="Cambria Math"/>
                                      <w:lang w:eastAsia="fr-FR"/>
                                    </w:rPr>
                                    <m:t>m</m:t>
                                  </m:r>
                                </m:sub>
                              </m:sSub>
                            </m:num>
                            <m:den>
                              <m:r>
                                <m:rPr>
                                  <m:sty m:val="p"/>
                                </m:rPr>
                                <w:rPr>
                                  <w:rFonts w:ascii="Cambria Math" w:hAnsi="Cambria Math"/>
                                  <w:lang w:eastAsia="fr-FR"/>
                                </w:rPr>
                                <m:t>10</m:t>
                              </m:r>
                            </m:den>
                          </m:f>
                        </m:e>
                      </m:d>
                    </m:sup>
                  </m:sSup>
                </m:e>
              </m:nary>
            </m:e>
          </m:d>
          <m:r>
            <m:rPr>
              <m:sty m:val="p"/>
            </m:rPr>
            <w:rPr>
              <w:rFonts w:ascii="Cambria Math" w:hAnsi="Cambria Math"/>
              <w:lang w:eastAsia="fr-FR"/>
            </w:rPr>
            <m:t>-10</m:t>
          </m:r>
          <m:sSub>
            <m:sSubPr>
              <m:ctrlPr>
                <w:rPr>
                  <w:rFonts w:ascii="Cambria Math" w:hAnsi="Cambria Math"/>
                  <w:lang w:eastAsia="fr-FR"/>
                </w:rPr>
              </m:ctrlPr>
            </m:sSubPr>
            <m:e>
              <m:r>
                <m:rPr>
                  <m:sty m:val="p"/>
                </m:rPr>
                <w:rPr>
                  <w:rFonts w:ascii="Cambria Math" w:hAnsi="Cambria Math"/>
                  <w:lang w:eastAsia="fr-FR"/>
                </w:rPr>
                <m:t>log</m:t>
              </m:r>
            </m:e>
            <m:sub>
              <m:r>
                <m:rPr>
                  <m:sty m:val="p"/>
                </m:rPr>
                <w:rPr>
                  <w:rFonts w:ascii="Cambria Math" w:hAnsi="Cambria Math"/>
                  <w:lang w:eastAsia="fr-FR"/>
                </w:rPr>
                <m:t>10</m:t>
              </m:r>
            </m:sub>
          </m:sSub>
          <m:d>
            <m:dPr>
              <m:ctrlPr>
                <w:rPr>
                  <w:rFonts w:ascii="Cambria Math" w:hAnsi="Cambria Math"/>
                  <w:lang w:eastAsia="fr-FR"/>
                </w:rPr>
              </m:ctrlPr>
            </m:dPr>
            <m:e>
              <m:r>
                <m:rPr>
                  <m:sty m:val="p"/>
                </m:rPr>
                <w:rPr>
                  <w:rFonts w:ascii="Cambria Math" w:hAnsi="Cambria Math"/>
                  <w:lang w:eastAsia="fr-FR"/>
                </w:rPr>
                <m:t>1.38</m:t>
              </m:r>
              <m:sSup>
                <m:sSupPr>
                  <m:ctrlPr>
                    <w:rPr>
                      <w:rFonts w:ascii="Cambria Math" w:hAnsi="Cambria Math"/>
                      <w:lang w:eastAsia="fr-FR"/>
                    </w:rPr>
                  </m:ctrlPr>
                </m:sSupPr>
                <m:e>
                  <m:r>
                    <w:rPr>
                      <w:rFonts w:ascii="Cambria Math" w:hAnsi="Cambria Math"/>
                      <w:lang w:eastAsia="fr-FR"/>
                    </w:rPr>
                    <m:t>e</m:t>
                  </m:r>
                </m:e>
                <m:sup>
                  <m:r>
                    <m:rPr>
                      <m:sty m:val="p"/>
                    </m:rPr>
                    <w:rPr>
                      <w:rFonts w:ascii="Cambria Math" w:hAnsi="Cambria Math"/>
                      <w:lang w:eastAsia="fr-FR"/>
                    </w:rPr>
                    <m:t>-23</m:t>
                  </m:r>
                </m:sup>
              </m:sSup>
              <m:r>
                <m:rPr>
                  <m:sty m:val="p"/>
                </m:rPr>
                <w:rPr>
                  <w:rFonts w:ascii="Cambria Math" w:hAnsi="Cambria Math"/>
                  <w:lang w:eastAsia="fr-FR"/>
                </w:rPr>
                <m:t>.</m:t>
              </m:r>
              <m:r>
                <w:rPr>
                  <w:rFonts w:ascii="Cambria Math" w:hAnsi="Cambria Math"/>
                  <w:lang w:eastAsia="fr-FR"/>
                </w:rPr>
                <m:t>T</m:t>
              </m:r>
              <m:r>
                <m:rPr>
                  <m:sty m:val="p"/>
                </m:rPr>
                <w:rPr>
                  <w:rFonts w:ascii="Cambria Math" w:hAnsi="Cambria Math"/>
                  <w:lang w:eastAsia="fr-FR"/>
                </w:rPr>
                <m:t>.1</m:t>
              </m:r>
              <m:sSup>
                <m:sSupPr>
                  <m:ctrlPr>
                    <w:rPr>
                      <w:rFonts w:ascii="Cambria Math" w:hAnsi="Cambria Math"/>
                      <w:lang w:eastAsia="fr-FR"/>
                    </w:rPr>
                  </m:ctrlPr>
                </m:sSupPr>
                <m:e>
                  <m:r>
                    <w:rPr>
                      <w:rFonts w:ascii="Cambria Math" w:hAnsi="Cambria Math"/>
                      <w:lang w:eastAsia="fr-FR"/>
                    </w:rPr>
                    <m:t>e</m:t>
                  </m:r>
                </m:e>
                <m:sup>
                  <m:r>
                    <m:rPr>
                      <m:sty m:val="p"/>
                    </m:rPr>
                    <w:rPr>
                      <w:rFonts w:ascii="Cambria Math" w:hAnsi="Cambria Math"/>
                      <w:lang w:eastAsia="fr-FR"/>
                    </w:rPr>
                    <m:t>6</m:t>
                  </m:r>
                </m:sup>
              </m:sSup>
            </m:e>
          </m:d>
        </m:oMath>
      </m:oMathPara>
    </w:p>
    <w:bookmarkEnd w:id="220"/>
    <w:p w:rsidR="00B63D8D" w:rsidRPr="00752DF2" w:rsidRDefault="00B63D8D" w:rsidP="00B63D8D">
      <w:pPr>
        <w:rPr>
          <w:lang w:val="en-GB" w:eastAsia="ja-JP"/>
        </w:rPr>
      </w:pPr>
      <w:r w:rsidRPr="00752DF2">
        <w:rPr>
          <w:lang w:val="en-GB" w:eastAsia="ja-JP"/>
        </w:rPr>
        <w:t>where:</w:t>
      </w:r>
    </w:p>
    <w:p w:rsidR="00B63D8D" w:rsidRPr="001954AF" w:rsidRDefault="00B63D8D" w:rsidP="00B63D8D">
      <w:pPr>
        <w:pStyle w:val="Equationlegend"/>
        <w:rPr>
          <w:lang w:eastAsia="ja-JP"/>
        </w:rPr>
      </w:pPr>
      <w:r w:rsidRPr="001954AF">
        <w:rPr>
          <w:i/>
          <w:iCs/>
          <w:lang w:eastAsia="ja-JP"/>
        </w:rPr>
        <w:tab/>
        <w:t>EIRP</w:t>
      </w:r>
      <w:r w:rsidRPr="001954AF">
        <w:rPr>
          <w:i/>
          <w:iCs/>
          <w:vertAlign w:val="subscript"/>
          <w:lang w:eastAsia="ja-JP"/>
        </w:rPr>
        <w:t>m</w:t>
      </w:r>
      <w:r w:rsidRPr="001954AF">
        <w:rPr>
          <w:lang w:eastAsia="ja-JP"/>
        </w:rPr>
        <w:t xml:space="preserve"> </w:t>
      </w:r>
      <w:r>
        <w:rPr>
          <w:lang w:eastAsia="ja-JP"/>
        </w:rPr>
        <w:t>:</w:t>
      </w:r>
      <w:r w:rsidRPr="001954AF">
        <w:rPr>
          <w:lang w:eastAsia="ja-JP"/>
        </w:rPr>
        <w:tab/>
        <w:t xml:space="preserve">e.i.r.p. density in dB(W/MHz) emitted by the HAPS ground station with index </w:t>
      </w:r>
      <w:r w:rsidRPr="001954AF">
        <w:rPr>
          <w:i/>
          <w:lang w:eastAsia="ja-JP"/>
        </w:rPr>
        <w:t>m</w:t>
      </w:r>
      <w:r w:rsidRPr="001954AF">
        <w:rPr>
          <w:lang w:eastAsia="ja-JP"/>
        </w:rPr>
        <w:t xml:space="preserve"> toward the FSS satellite when all HAPS ground station at emitting at the nominal</w:t>
      </w:r>
      <w:r>
        <w:rPr>
          <w:lang w:eastAsia="ja-JP"/>
        </w:rPr>
        <w:t xml:space="preserve"> e.i.r.p. (clear sky condition)</w:t>
      </w:r>
    </w:p>
    <w:p w:rsidR="00B63D8D" w:rsidRPr="001954AF" w:rsidRDefault="00B63D8D" w:rsidP="00B63D8D">
      <w:pPr>
        <w:pStyle w:val="Equationlegend"/>
        <w:rPr>
          <w:lang w:eastAsia="ja-JP"/>
        </w:rPr>
      </w:pPr>
      <w:r w:rsidRPr="001954AF">
        <w:rPr>
          <w:i/>
          <w:iCs/>
          <w:lang w:eastAsia="ja-JP"/>
        </w:rPr>
        <w:tab/>
        <w:t>Ge</w:t>
      </w:r>
      <w:r w:rsidRPr="001954AF">
        <w:rPr>
          <w:i/>
          <w:iCs/>
          <w:vertAlign w:val="subscript"/>
          <w:lang w:eastAsia="ja-JP"/>
        </w:rPr>
        <w:t>maxm</w:t>
      </w:r>
      <w:r>
        <w:rPr>
          <w:iCs/>
          <w:lang w:eastAsia="ja-JP"/>
        </w:rPr>
        <w:t xml:space="preserve"> :</w:t>
      </w:r>
      <w:r w:rsidRPr="001954AF">
        <w:rPr>
          <w:lang w:eastAsia="ja-JP"/>
        </w:rPr>
        <w:tab/>
        <w:t xml:space="preserve">maximum antenna gain of the HAPS ground station with index </w:t>
      </w:r>
      <w:r w:rsidRPr="001954AF">
        <w:rPr>
          <w:i/>
          <w:lang w:eastAsia="ja-JP"/>
        </w:rPr>
        <w:t>m</w:t>
      </w:r>
    </w:p>
    <w:p w:rsidR="00B63D8D" w:rsidRPr="001954AF" w:rsidRDefault="00B63D8D" w:rsidP="00B63D8D">
      <w:pPr>
        <w:pStyle w:val="Equationlegend"/>
        <w:rPr>
          <w:lang w:eastAsia="ja-JP"/>
        </w:rPr>
      </w:pPr>
      <w:r w:rsidRPr="001954AF">
        <w:rPr>
          <w:i/>
          <w:iCs/>
          <w:lang w:eastAsia="ja-JP"/>
        </w:rPr>
        <w:tab/>
        <w:t>Ge</w:t>
      </w:r>
      <w:r w:rsidRPr="001954AF">
        <w:rPr>
          <w:i/>
          <w:iCs/>
          <w:vertAlign w:val="subscript"/>
          <w:lang w:eastAsia="ja-JP"/>
        </w:rPr>
        <w:t>m</w:t>
      </w:r>
      <w:r w:rsidRPr="001954AF">
        <w:rPr>
          <w:lang w:eastAsia="ja-JP"/>
        </w:rPr>
        <w:tab/>
        <w:t xml:space="preserve">antenna gain of the HAPS ground station towards the FSS satellite with the index </w:t>
      </w:r>
      <w:r w:rsidRPr="001954AF">
        <w:rPr>
          <w:i/>
          <w:lang w:eastAsia="ja-JP"/>
        </w:rPr>
        <w:t>m</w:t>
      </w:r>
    </w:p>
    <w:p w:rsidR="00B63D8D" w:rsidRPr="001954AF" w:rsidRDefault="00B63D8D" w:rsidP="00B63D8D">
      <w:pPr>
        <w:pStyle w:val="Equationlegend"/>
        <w:rPr>
          <w:lang w:eastAsia="ja-JP"/>
        </w:rPr>
      </w:pPr>
      <w:r w:rsidRPr="001954AF">
        <w:rPr>
          <w:i/>
          <w:iCs/>
          <w:lang w:eastAsia="ja-JP"/>
        </w:rPr>
        <w:tab/>
        <w:t>FSL</w:t>
      </w:r>
      <w:r w:rsidRPr="001954AF">
        <w:rPr>
          <w:i/>
          <w:iCs/>
          <w:vertAlign w:val="subscript"/>
          <w:lang w:eastAsia="ja-JP"/>
        </w:rPr>
        <w:t>m</w:t>
      </w:r>
      <w:r w:rsidRPr="001954AF">
        <w:rPr>
          <w:lang w:eastAsia="ja-JP"/>
        </w:rPr>
        <w:t xml:space="preserve"> </w:t>
      </w:r>
      <w:r>
        <w:rPr>
          <w:lang w:eastAsia="ja-JP"/>
        </w:rPr>
        <w:t>:</w:t>
      </w:r>
      <w:r w:rsidRPr="001954AF">
        <w:rPr>
          <w:lang w:eastAsia="ja-JP"/>
        </w:rPr>
        <w:tab/>
        <w:t xml:space="preserve">free space loss between the HAPS ground station with index </w:t>
      </w:r>
      <w:r w:rsidRPr="001954AF">
        <w:rPr>
          <w:i/>
          <w:iCs/>
          <w:lang w:eastAsia="ja-JP"/>
        </w:rPr>
        <w:t>m</w:t>
      </w:r>
      <w:r>
        <w:rPr>
          <w:lang w:eastAsia="ja-JP"/>
        </w:rPr>
        <w:t xml:space="preserve"> toward the FSS GSO satellite</w:t>
      </w:r>
    </w:p>
    <w:p w:rsidR="00B63D8D" w:rsidRPr="001954AF" w:rsidRDefault="00B63D8D" w:rsidP="00B63D8D">
      <w:pPr>
        <w:pStyle w:val="Equationlegend"/>
        <w:rPr>
          <w:lang w:eastAsia="ja-JP"/>
        </w:rPr>
      </w:pPr>
      <w:r w:rsidRPr="001954AF">
        <w:rPr>
          <w:i/>
          <w:iCs/>
          <w:lang w:eastAsia="ja-JP"/>
        </w:rPr>
        <w:tab/>
        <w:t>Gr</w:t>
      </w:r>
      <w:r w:rsidRPr="001954AF">
        <w:rPr>
          <w:i/>
          <w:iCs/>
          <w:vertAlign w:val="subscript"/>
          <w:lang w:eastAsia="ja-JP"/>
        </w:rPr>
        <w:t>m</w:t>
      </w:r>
      <w:r>
        <w:rPr>
          <w:iCs/>
          <w:lang w:eastAsia="ja-JP"/>
        </w:rPr>
        <w:t xml:space="preserve"> :</w:t>
      </w:r>
      <w:r w:rsidRPr="001954AF">
        <w:rPr>
          <w:lang w:eastAsia="ja-JP"/>
        </w:rPr>
        <w:tab/>
        <w:t xml:space="preserve">FSS satellite antenna gain toward the HAPS ground station with index </w:t>
      </w:r>
      <w:r w:rsidRPr="001954AF">
        <w:rPr>
          <w:i/>
          <w:iCs/>
          <w:lang w:eastAsia="ja-JP"/>
        </w:rPr>
        <w:t>m</w:t>
      </w:r>
    </w:p>
    <w:p w:rsidR="00B63D8D" w:rsidRPr="001954AF" w:rsidRDefault="00B63D8D" w:rsidP="00B63D8D">
      <w:pPr>
        <w:pStyle w:val="Equationlegend"/>
      </w:pPr>
      <w:r w:rsidRPr="001954AF">
        <w:rPr>
          <w:i/>
          <w:iCs/>
          <w:lang w:eastAsia="ja-JP"/>
        </w:rPr>
        <w:tab/>
        <w:t>T</w:t>
      </w:r>
      <w:r>
        <w:rPr>
          <w:iCs/>
          <w:lang w:eastAsia="ja-JP"/>
        </w:rPr>
        <w:t xml:space="preserve"> :</w:t>
      </w:r>
      <w:r w:rsidRPr="001954AF">
        <w:rPr>
          <w:lang w:eastAsia="ja-JP"/>
        </w:rPr>
        <w:tab/>
        <w:t>FSS satellite receiver</w:t>
      </w:r>
      <w:r w:rsidRPr="001954AF">
        <w:t xml:space="preserve"> noise temperature (K).</w:t>
      </w:r>
    </w:p>
    <w:p w:rsidR="00B63D8D" w:rsidRPr="00752DF2" w:rsidRDefault="00B63D8D" w:rsidP="00B63D8D">
      <w:pPr>
        <w:pStyle w:val="FigureNo"/>
        <w:rPr>
          <w:lang w:val="en-GB"/>
        </w:rPr>
      </w:pPr>
      <w:r w:rsidRPr="00752DF2">
        <w:rPr>
          <w:lang w:val="en-GB"/>
        </w:rPr>
        <w:t>Figure 17</w:t>
      </w:r>
    </w:p>
    <w:p w:rsidR="00B63D8D" w:rsidRPr="00752DF2" w:rsidRDefault="00B63D8D" w:rsidP="00B63D8D">
      <w:pPr>
        <w:pStyle w:val="Figuretitle"/>
        <w:rPr>
          <w:lang w:val="en-GB"/>
        </w:rPr>
      </w:pPr>
      <w:r w:rsidRPr="00752DF2">
        <w:rPr>
          <w:lang w:val="en-GB"/>
        </w:rPr>
        <w:t>HAPS ground stations antenna gain towards FSS satellite in dBi</w:t>
      </w:r>
    </w:p>
    <w:p w:rsidR="00B63D8D" w:rsidRPr="001954AF" w:rsidRDefault="00B63D8D" w:rsidP="00B63D8D">
      <w:pPr>
        <w:pStyle w:val="Figure"/>
        <w:rPr>
          <w:lang w:eastAsia="ja-JP"/>
        </w:rPr>
      </w:pPr>
      <w:r w:rsidRPr="001954AF">
        <w:rPr>
          <w:noProof/>
          <w:lang w:val="en-GB" w:eastAsia="en-GB"/>
        </w:rPr>
        <w:drawing>
          <wp:inline distT="0" distB="0" distL="0" distR="0" wp14:anchorId="29FAB675" wp14:editId="12368118">
            <wp:extent cx="5876688" cy="3105150"/>
            <wp:effectExtent l="0" t="0" r="0"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589" t="11025" r="46275" b="6760"/>
                    <a:stretch/>
                  </pic:blipFill>
                  <pic:spPr bwMode="auto">
                    <a:xfrm>
                      <a:off x="0" y="0"/>
                      <a:ext cx="5871152" cy="3102225"/>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B63D8D">
      <w:pPr>
        <w:rPr>
          <w:lang w:val="en-GB"/>
        </w:rPr>
      </w:pPr>
      <w:r w:rsidRPr="00752DF2">
        <w:rPr>
          <w:lang w:val="en-GB" w:eastAsia="ja-JP"/>
        </w:rPr>
        <w:t>Figure 18 provides (</w:t>
      </w:r>
      <w:r w:rsidRPr="00752DF2">
        <w:rPr>
          <w:i/>
          <w:iCs/>
          <w:lang w:val="en-GB" w:eastAsia="ja-JP"/>
        </w:rPr>
        <w:t>I</w:t>
      </w:r>
      <w:r w:rsidRPr="00752DF2">
        <w:rPr>
          <w:iCs/>
          <w:lang w:val="en-GB" w:eastAsia="ja-JP"/>
        </w:rPr>
        <w:t>/</w:t>
      </w:r>
      <w:r w:rsidRPr="00752DF2">
        <w:rPr>
          <w:i/>
          <w:iCs/>
          <w:lang w:val="en-GB" w:eastAsia="ja-JP"/>
        </w:rPr>
        <w:t>N</w:t>
      </w:r>
      <w:r w:rsidRPr="00752DF2">
        <w:rPr>
          <w:lang w:val="en-GB" w:eastAsia="ja-JP"/>
        </w:rPr>
        <w:t>) received from each HAPS ground station.</w:t>
      </w:r>
    </w:p>
    <w:p w:rsidR="00B63D8D" w:rsidRPr="00752DF2" w:rsidRDefault="00B63D8D" w:rsidP="00B63D8D">
      <w:pPr>
        <w:pStyle w:val="FigureNo"/>
        <w:rPr>
          <w:lang w:val="en-GB"/>
        </w:rPr>
      </w:pPr>
      <w:bookmarkStart w:id="221" w:name="_Ref529903366"/>
      <w:r w:rsidRPr="00752DF2">
        <w:rPr>
          <w:lang w:val="en-GB"/>
        </w:rPr>
        <w:t xml:space="preserve">Figure </w:t>
      </w:r>
      <w:bookmarkEnd w:id="221"/>
      <w:r w:rsidRPr="00752DF2">
        <w:rPr>
          <w:lang w:val="en-GB"/>
        </w:rPr>
        <w:t>18</w:t>
      </w:r>
    </w:p>
    <w:p w:rsidR="00B63D8D" w:rsidRPr="00752DF2" w:rsidRDefault="00B63D8D" w:rsidP="00B63D8D">
      <w:pPr>
        <w:pStyle w:val="Figuretitle"/>
        <w:rPr>
          <w:lang w:val="en-GB"/>
        </w:rPr>
      </w:pPr>
      <w:r w:rsidRPr="00752DF2">
        <w:rPr>
          <w:i/>
          <w:lang w:val="en-GB"/>
        </w:rPr>
        <w:t>I</w:t>
      </w:r>
      <w:r w:rsidRPr="00752DF2">
        <w:rPr>
          <w:lang w:val="en-GB"/>
        </w:rPr>
        <w:t>/</w:t>
      </w:r>
      <w:r w:rsidRPr="00752DF2">
        <w:rPr>
          <w:i/>
          <w:lang w:val="en-GB"/>
        </w:rPr>
        <w:t>N</w:t>
      </w:r>
      <w:r w:rsidRPr="00752DF2">
        <w:rPr>
          <w:lang w:val="en-GB"/>
        </w:rPr>
        <w:t xml:space="preserve"> received from each HAPS ground station in dB</w:t>
      </w:r>
      <w:r w:rsidRPr="00752DF2">
        <w:rPr>
          <w:lang w:val="en-GB"/>
        </w:rPr>
        <w:br/>
        <w:t>(example FSS satellite pointing at longitude 30° and latitude 45°)</w:t>
      </w:r>
    </w:p>
    <w:p w:rsidR="00B63D8D" w:rsidRPr="001954AF" w:rsidRDefault="00B63D8D" w:rsidP="00B63D8D">
      <w:pPr>
        <w:pStyle w:val="Figure"/>
        <w:rPr>
          <w:lang w:eastAsia="ja-JP"/>
        </w:rPr>
      </w:pPr>
      <w:r w:rsidRPr="001954AF">
        <w:rPr>
          <w:noProof/>
          <w:lang w:val="en-GB" w:eastAsia="en-GB"/>
        </w:rPr>
        <w:drawing>
          <wp:inline distT="0" distB="0" distL="0" distR="0" wp14:anchorId="50034059" wp14:editId="27C86CE0">
            <wp:extent cx="5900468" cy="3096883"/>
            <wp:effectExtent l="0" t="0" r="508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740" t="11139" r="46587" b="7848"/>
                    <a:stretch/>
                  </pic:blipFill>
                  <pic:spPr bwMode="auto">
                    <a:xfrm>
                      <a:off x="0" y="0"/>
                      <a:ext cx="5916872" cy="3105493"/>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B63D8D">
      <w:pPr>
        <w:rPr>
          <w:lang w:val="en-GB" w:eastAsia="ja-JP"/>
        </w:rPr>
      </w:pPr>
      <w:r w:rsidRPr="00752DF2">
        <w:rPr>
          <w:lang w:val="en-GB" w:eastAsia="ja-JP"/>
        </w:rPr>
        <w:t xml:space="preserve">For the case presented in Fig. 18, the </w:t>
      </w:r>
      <w:r w:rsidRPr="00752DF2">
        <w:rPr>
          <w:i/>
          <w:iCs/>
          <w:lang w:val="en-GB" w:eastAsia="ja-JP"/>
        </w:rPr>
        <w:t>Iagg</w:t>
      </w:r>
      <w:r w:rsidRPr="00752DF2">
        <w:rPr>
          <w:lang w:val="en-GB" w:eastAsia="ja-JP"/>
        </w:rPr>
        <w:t>/</w:t>
      </w:r>
      <w:r w:rsidRPr="00752DF2">
        <w:rPr>
          <w:i/>
          <w:iCs/>
          <w:lang w:val="en-GB" w:eastAsia="ja-JP"/>
        </w:rPr>
        <w:t>N</w:t>
      </w:r>
      <w:r w:rsidRPr="00752DF2">
        <w:rPr>
          <w:lang w:val="en-GB" w:eastAsia="ja-JP"/>
        </w:rPr>
        <w:t> = –40.4 dB.</w:t>
      </w:r>
    </w:p>
    <w:p w:rsidR="00B63D8D" w:rsidRPr="00752DF2" w:rsidRDefault="00B63D8D" w:rsidP="00B63D8D">
      <w:pPr>
        <w:rPr>
          <w:lang w:val="en-GB" w:eastAsia="fr-FR"/>
        </w:rPr>
      </w:pPr>
      <w:r w:rsidRPr="00752DF2">
        <w:rPr>
          <w:iCs/>
          <w:lang w:val="en-GB" w:eastAsia="fr-FR"/>
        </w:rPr>
        <w:t>Step 7:</w:t>
      </w:r>
      <w:r w:rsidRPr="00752DF2">
        <w:rPr>
          <w:lang w:val="en-GB" w:eastAsia="fr-FR"/>
        </w:rPr>
        <w:t xml:space="preserve"> Increase randomly the e.i.r.p. of 5% of the HAPS ground stations in all direction with an off-axis angle towards the FSS satellite higher than 9°, by 20 dB to simulate adaptive transmit power control (ATPC) mechanism (rain probability of 5% over the whole visibility area (worst case)). In directions with an off axis angle towards the FSS satellite lower than 9 degrees, the ATPC increase is not retained in the aggregate interference computation, since the increase is assumed balanced by rain attenuation. A mean angle threshold of 9° is assumed as a worst case, based on cloud cell diameters of 2 km and cloud cell altitudes of 6 km on average. </w:t>
      </w:r>
    </w:p>
    <w:p w:rsidR="00B63D8D" w:rsidRPr="00752DF2" w:rsidRDefault="00B63D8D" w:rsidP="00B63D8D">
      <w:pPr>
        <w:rPr>
          <w:lang w:val="en-GB" w:eastAsia="fr-FR"/>
        </w:rPr>
      </w:pPr>
      <w:r w:rsidRPr="00752DF2">
        <w:rPr>
          <w:lang w:val="en-GB" w:eastAsia="fr-FR"/>
        </w:rPr>
        <w:t xml:space="preserve">Compute the </w:t>
      </w:r>
      <w:r w:rsidRPr="00752DF2">
        <w:rPr>
          <w:i/>
          <w:iCs/>
          <w:lang w:val="en-GB" w:eastAsia="fr-FR"/>
        </w:rPr>
        <w:t>I</w:t>
      </w:r>
      <w:r w:rsidRPr="00752DF2">
        <w:rPr>
          <w:i/>
          <w:iCs/>
          <w:vertAlign w:val="subscript"/>
          <w:lang w:val="en-GB" w:eastAsia="fr-FR"/>
        </w:rPr>
        <w:t>agg-atpc</w:t>
      </w:r>
      <w:r w:rsidRPr="00752DF2">
        <w:rPr>
          <w:i/>
          <w:iCs/>
          <w:lang w:val="en-GB" w:eastAsia="fr-FR"/>
        </w:rPr>
        <w:t>/N</w:t>
      </w:r>
      <w:r w:rsidRPr="00752DF2">
        <w:rPr>
          <w:lang w:val="en-GB" w:eastAsia="fr-FR"/>
        </w:rPr>
        <w:t xml:space="preserve"> using the following equation and store it:</w:t>
      </w:r>
    </w:p>
    <w:p w:rsidR="00B63D8D" w:rsidRPr="001954AF" w:rsidRDefault="00B63D8D" w:rsidP="00B63D8D">
      <w:pPr>
        <w:pStyle w:val="Equation"/>
        <w:rPr>
          <w:sz w:val="18"/>
          <w:szCs w:val="18"/>
          <w:lang w:eastAsia="fr-FR"/>
        </w:rPr>
      </w:pPr>
      <w:r w:rsidRPr="00752DF2">
        <w:rPr>
          <w:sz w:val="18"/>
          <w:szCs w:val="18"/>
          <w:lang w:val="en-GB" w:eastAsia="fr-FR"/>
        </w:rPr>
        <w:tab/>
      </w:r>
      <w:r w:rsidRPr="00752DF2">
        <w:rPr>
          <w:sz w:val="18"/>
          <w:szCs w:val="18"/>
          <w:lang w:val="en-GB" w:eastAsia="fr-FR"/>
        </w:rPr>
        <w:tab/>
      </w:r>
      <m:oMath>
        <m:sSub>
          <m:sSubPr>
            <m:ctrlPr>
              <w:rPr>
                <w:rFonts w:ascii="Cambria Math" w:hAnsi="Cambria Math"/>
                <w:i/>
                <w:sz w:val="18"/>
                <w:szCs w:val="18"/>
                <w:lang w:eastAsia="fr-FR"/>
              </w:rPr>
            </m:ctrlPr>
          </m:sSubPr>
          <m:e>
            <m:d>
              <m:dPr>
                <m:ctrlPr>
                  <w:rPr>
                    <w:rFonts w:ascii="Cambria Math" w:hAnsi="Cambria Math"/>
                    <w:i/>
                    <w:sz w:val="18"/>
                    <w:szCs w:val="18"/>
                    <w:lang w:eastAsia="fr-FR"/>
                  </w:rPr>
                </m:ctrlPr>
              </m:dPr>
              <m:e>
                <m:f>
                  <m:fPr>
                    <m:ctrlPr>
                      <w:rPr>
                        <w:rFonts w:ascii="Cambria Math" w:hAnsi="Cambria Math"/>
                        <w:sz w:val="18"/>
                        <w:szCs w:val="18"/>
                        <w:lang w:eastAsia="fr-FR"/>
                      </w:rPr>
                    </m:ctrlPr>
                  </m:fPr>
                  <m:num>
                    <m:sSub>
                      <m:sSubPr>
                        <m:ctrlPr>
                          <w:rPr>
                            <w:rFonts w:ascii="Cambria Math" w:hAnsi="Cambria Math"/>
                            <w:sz w:val="18"/>
                            <w:szCs w:val="18"/>
                            <w:lang w:eastAsia="fr-FR"/>
                          </w:rPr>
                        </m:ctrlPr>
                      </m:sSubPr>
                      <m:e>
                        <m:r>
                          <w:rPr>
                            <w:rFonts w:ascii="Cambria Math" w:hAnsi="Cambria Math"/>
                            <w:sz w:val="18"/>
                            <w:szCs w:val="18"/>
                            <w:lang w:eastAsia="fr-FR"/>
                          </w:rPr>
                          <m:t>I</m:t>
                        </m:r>
                      </m:e>
                      <m:sub>
                        <m:r>
                          <w:rPr>
                            <w:rFonts w:ascii="Cambria Math" w:hAnsi="Cambria Math"/>
                            <w:sz w:val="18"/>
                            <w:szCs w:val="18"/>
                            <w:lang w:eastAsia="fr-FR"/>
                          </w:rPr>
                          <m:t>agg</m:t>
                        </m:r>
                        <m:r>
                          <m:rPr>
                            <m:sty m:val="p"/>
                          </m:rPr>
                          <w:rPr>
                            <w:rFonts w:ascii="Cambria Math" w:hAnsi="Cambria Math"/>
                            <w:sz w:val="18"/>
                            <w:szCs w:val="18"/>
                            <w:lang w:eastAsia="fr-FR"/>
                          </w:rPr>
                          <m:t>_</m:t>
                        </m:r>
                        <m:r>
                          <w:rPr>
                            <w:rFonts w:ascii="Cambria Math" w:hAnsi="Cambria Math"/>
                            <w:sz w:val="18"/>
                            <w:szCs w:val="18"/>
                            <w:lang w:eastAsia="fr-FR"/>
                          </w:rPr>
                          <m:t>atpc</m:t>
                        </m:r>
                      </m:sub>
                    </m:sSub>
                  </m:num>
                  <m:den>
                    <m:r>
                      <w:rPr>
                        <w:rFonts w:ascii="Cambria Math" w:hAnsi="Cambria Math"/>
                        <w:sz w:val="18"/>
                        <w:szCs w:val="18"/>
                        <w:lang w:eastAsia="fr-FR"/>
                      </w:rPr>
                      <m:t>N</m:t>
                    </m:r>
                  </m:den>
                </m:f>
              </m:e>
            </m:d>
          </m:e>
          <m:sub>
            <m:r>
              <w:rPr>
                <w:rFonts w:ascii="Cambria Math" w:hAnsi="Cambria Math"/>
                <w:sz w:val="18"/>
                <w:szCs w:val="18"/>
                <w:lang w:eastAsia="fr-FR"/>
              </w:rPr>
              <m:t>dB</m:t>
            </m:r>
          </m:sub>
        </m:sSub>
        <m:r>
          <m:rPr>
            <m:sty m:val="p"/>
          </m:rPr>
          <w:rPr>
            <w:rFonts w:ascii="Cambria Math" w:hAnsi="Cambria Math"/>
            <w:sz w:val="18"/>
            <w:szCs w:val="18"/>
            <w:lang w:eastAsia="fr-FR"/>
          </w:rPr>
          <m:t>=10</m:t>
        </m:r>
        <m:sSub>
          <m:sSubPr>
            <m:ctrlPr>
              <w:rPr>
                <w:rFonts w:ascii="Cambria Math" w:hAnsi="Cambria Math"/>
                <w:sz w:val="18"/>
                <w:szCs w:val="18"/>
                <w:lang w:eastAsia="fr-FR"/>
              </w:rPr>
            </m:ctrlPr>
          </m:sSubPr>
          <m:e>
            <m:r>
              <w:rPr>
                <w:rFonts w:ascii="Cambria Math" w:hAnsi="Cambria Math"/>
                <w:sz w:val="18"/>
                <w:szCs w:val="18"/>
                <w:lang w:eastAsia="fr-FR"/>
              </w:rPr>
              <m:t>log</m:t>
            </m:r>
          </m:e>
          <m:sub>
            <m:r>
              <w:rPr>
                <w:rFonts w:ascii="Cambria Math" w:hAnsi="Cambria Math"/>
                <w:sz w:val="18"/>
                <w:szCs w:val="18"/>
                <w:lang w:eastAsia="fr-FR"/>
              </w:rPr>
              <m:t>10</m:t>
            </m:r>
          </m:sub>
        </m:sSub>
        <m:d>
          <m:dPr>
            <m:ctrlPr>
              <w:rPr>
                <w:rFonts w:ascii="Cambria Math" w:hAnsi="Cambria Math"/>
                <w:i/>
                <w:sz w:val="18"/>
                <w:szCs w:val="18"/>
                <w:lang w:eastAsia="fr-FR"/>
              </w:rPr>
            </m:ctrlPr>
          </m:dPr>
          <m:e>
            <m:nary>
              <m:naryPr>
                <m:chr m:val="∑"/>
                <m:limLoc m:val="undOvr"/>
                <m:ctrlPr>
                  <w:rPr>
                    <w:rFonts w:ascii="Cambria Math" w:hAnsi="Cambria Math"/>
                    <w:sz w:val="18"/>
                    <w:szCs w:val="18"/>
                    <w:lang w:eastAsia="fr-FR"/>
                  </w:rPr>
                </m:ctrlPr>
              </m:naryPr>
              <m:sub>
                <m:r>
                  <w:rPr>
                    <w:rFonts w:ascii="Cambria Math" w:hAnsi="Cambria Math"/>
                    <w:sz w:val="18"/>
                    <w:szCs w:val="18"/>
                    <w:lang w:eastAsia="fr-FR"/>
                  </w:rPr>
                  <m:t>m</m:t>
                </m:r>
                <m:r>
                  <m:rPr>
                    <m:sty m:val="p"/>
                  </m:rPr>
                  <w:rPr>
                    <w:rFonts w:ascii="Cambria Math" w:hAnsi="Cambria Math"/>
                    <w:sz w:val="18"/>
                    <w:szCs w:val="18"/>
                    <w:lang w:eastAsia="fr-FR"/>
                  </w:rPr>
                  <m:t>=1</m:t>
                </m:r>
              </m:sub>
              <m:sup>
                <m:r>
                  <w:rPr>
                    <w:rFonts w:ascii="Cambria Math" w:hAnsi="Cambria Math"/>
                    <w:sz w:val="18"/>
                    <w:szCs w:val="18"/>
                    <w:lang w:eastAsia="fr-FR"/>
                  </w:rPr>
                  <m:t>M</m:t>
                </m:r>
              </m:sup>
              <m:e>
                <m:sSup>
                  <m:sSupPr>
                    <m:ctrlPr>
                      <w:rPr>
                        <w:rFonts w:ascii="Cambria Math" w:hAnsi="Cambria Math"/>
                        <w:i/>
                        <w:sz w:val="18"/>
                        <w:szCs w:val="18"/>
                        <w:lang w:eastAsia="fr-FR"/>
                      </w:rPr>
                    </m:ctrlPr>
                  </m:sSupPr>
                  <m:e>
                    <m:r>
                      <w:rPr>
                        <w:rFonts w:ascii="Cambria Math" w:hAnsi="Cambria Math"/>
                        <w:sz w:val="18"/>
                        <w:szCs w:val="18"/>
                        <w:lang w:eastAsia="fr-FR"/>
                      </w:rPr>
                      <m:t>10</m:t>
                    </m:r>
                  </m:e>
                  <m:sup>
                    <m:f>
                      <m:fPr>
                        <m:ctrlPr>
                          <w:rPr>
                            <w:rFonts w:ascii="Cambria Math" w:hAnsi="Cambria Math"/>
                            <w:i/>
                            <w:sz w:val="18"/>
                            <w:szCs w:val="18"/>
                            <w:lang w:eastAsia="fr-FR"/>
                          </w:rPr>
                        </m:ctrlPr>
                      </m:fPr>
                      <m:num>
                        <m:d>
                          <m:dPr>
                            <m:ctrlPr>
                              <w:rPr>
                                <w:rFonts w:ascii="Cambria Math" w:hAnsi="Cambria Math"/>
                                <w:sz w:val="18"/>
                                <w:szCs w:val="18"/>
                                <w:lang w:eastAsia="fr-FR"/>
                              </w:rPr>
                            </m:ctrlPr>
                          </m:dPr>
                          <m:e>
                            <m:sSub>
                              <m:sSubPr>
                                <m:ctrlPr>
                                  <w:rPr>
                                    <w:rFonts w:ascii="Cambria Math" w:hAnsi="Cambria Math"/>
                                    <w:sz w:val="18"/>
                                    <w:szCs w:val="18"/>
                                    <w:lang w:eastAsia="fr-FR"/>
                                  </w:rPr>
                                </m:ctrlPr>
                              </m:sSubPr>
                              <m:e>
                                <m:r>
                                  <m:rPr>
                                    <m:sty m:val="p"/>
                                  </m:rPr>
                                  <w:rPr>
                                    <w:rFonts w:ascii="Cambria Math" w:hAnsi="Cambria Math"/>
                                    <w:sz w:val="18"/>
                                    <w:szCs w:val="18"/>
                                    <w:lang w:eastAsia="fr-FR"/>
                                  </w:rPr>
                                  <m:t>(</m:t>
                                </m:r>
                                <m:r>
                                  <w:rPr>
                                    <w:rFonts w:ascii="Cambria Math" w:hAnsi="Cambria Math"/>
                                    <w:sz w:val="18"/>
                                    <w:szCs w:val="18"/>
                                    <w:lang w:eastAsia="fr-FR"/>
                                  </w:rPr>
                                  <m:t>EIRP</m:t>
                                </m:r>
                              </m:e>
                              <m:sub>
                                <m:r>
                                  <w:rPr>
                                    <w:rFonts w:ascii="Cambria Math" w:hAnsi="Cambria Math"/>
                                    <w:sz w:val="18"/>
                                    <w:szCs w:val="18"/>
                                    <w:lang w:eastAsia="fr-FR"/>
                                  </w:rPr>
                                  <m:t>m</m:t>
                                </m:r>
                              </m:sub>
                            </m:sSub>
                            <m:r>
                              <m:rPr>
                                <m:sty m:val="p"/>
                              </m:rPr>
                              <w:rPr>
                                <w:rFonts w:ascii="Cambria Math" w:hAnsi="Cambria Math"/>
                                <w:sz w:val="18"/>
                                <w:szCs w:val="18"/>
                                <w:lang w:eastAsia="fr-FR"/>
                              </w:rPr>
                              <m:t>+</m:t>
                            </m:r>
                            <m:sSub>
                              <m:sSubPr>
                                <m:ctrlPr>
                                  <w:rPr>
                                    <w:rFonts w:ascii="Cambria Math" w:hAnsi="Cambria Math"/>
                                    <w:sz w:val="18"/>
                                    <w:szCs w:val="18"/>
                                    <w:lang w:eastAsia="fr-FR"/>
                                  </w:rPr>
                                </m:ctrlPr>
                              </m:sSubPr>
                              <m:e>
                                <m:r>
                                  <w:rPr>
                                    <w:rFonts w:ascii="Cambria Math" w:hAnsi="Cambria Math"/>
                                    <w:sz w:val="18"/>
                                    <w:szCs w:val="18"/>
                                    <w:lang w:eastAsia="fr-FR"/>
                                  </w:rPr>
                                  <m:t>ATPC</m:t>
                                </m:r>
                              </m:e>
                              <m:sub>
                                <m:r>
                                  <w:rPr>
                                    <w:rFonts w:ascii="Cambria Math" w:hAnsi="Cambria Math"/>
                                    <w:sz w:val="18"/>
                                    <w:szCs w:val="18"/>
                                    <w:lang w:eastAsia="fr-FR"/>
                                  </w:rPr>
                                  <m:t>m</m:t>
                                </m:r>
                              </m:sub>
                            </m:sSub>
                            <m:r>
                              <m:rPr>
                                <m:sty m:val="p"/>
                              </m:rPr>
                              <w:rPr>
                                <w:rFonts w:ascii="Cambria Math" w:hAnsi="Cambria Math"/>
                                <w:sz w:val="18"/>
                                <w:szCs w:val="18"/>
                                <w:lang w:eastAsia="fr-FR"/>
                              </w:rPr>
                              <m:t>)-</m:t>
                            </m:r>
                            <m:d>
                              <m:dPr>
                                <m:ctrlPr>
                                  <w:rPr>
                                    <w:rFonts w:ascii="Cambria Math" w:hAnsi="Cambria Math"/>
                                    <w:sz w:val="18"/>
                                    <w:szCs w:val="18"/>
                                    <w:lang w:eastAsia="fr-FR"/>
                                  </w:rPr>
                                </m:ctrlPr>
                              </m:dPr>
                              <m:e>
                                <m:sSub>
                                  <m:sSubPr>
                                    <m:ctrlPr>
                                      <w:rPr>
                                        <w:rFonts w:ascii="Cambria Math" w:hAnsi="Cambria Math"/>
                                        <w:sz w:val="18"/>
                                        <w:szCs w:val="18"/>
                                        <w:lang w:eastAsia="fr-FR"/>
                                      </w:rPr>
                                    </m:ctrlPr>
                                  </m:sSubPr>
                                  <m:e>
                                    <m:r>
                                      <w:rPr>
                                        <w:rFonts w:ascii="Cambria Math" w:hAnsi="Cambria Math"/>
                                        <w:sz w:val="18"/>
                                        <w:szCs w:val="18"/>
                                        <w:lang w:eastAsia="fr-FR"/>
                                      </w:rPr>
                                      <m:t>Ge</m:t>
                                    </m:r>
                                  </m:e>
                                  <m:sub>
                                    <m:sSub>
                                      <m:sSubPr>
                                        <m:ctrlPr>
                                          <w:rPr>
                                            <w:rFonts w:ascii="Cambria Math" w:hAnsi="Cambria Math"/>
                                            <w:sz w:val="18"/>
                                            <w:szCs w:val="18"/>
                                            <w:lang w:eastAsia="fr-FR"/>
                                          </w:rPr>
                                        </m:ctrlPr>
                                      </m:sSubPr>
                                      <m:e>
                                        <m:r>
                                          <w:rPr>
                                            <w:rFonts w:ascii="Cambria Math" w:hAnsi="Cambria Math"/>
                                            <w:sz w:val="18"/>
                                            <w:szCs w:val="18"/>
                                            <w:lang w:eastAsia="fr-FR"/>
                                          </w:rPr>
                                          <m:t>max</m:t>
                                        </m:r>
                                      </m:e>
                                      <m:sub>
                                        <m:r>
                                          <w:rPr>
                                            <w:rFonts w:ascii="Cambria Math" w:hAnsi="Cambria Math"/>
                                            <w:sz w:val="18"/>
                                            <w:szCs w:val="18"/>
                                            <w:lang w:eastAsia="fr-FR"/>
                                          </w:rPr>
                                          <m:t>m</m:t>
                                        </m:r>
                                      </m:sub>
                                    </m:sSub>
                                  </m:sub>
                                </m:sSub>
                                <m:r>
                                  <m:rPr>
                                    <m:sty m:val="p"/>
                                  </m:rPr>
                                  <w:rPr>
                                    <w:rFonts w:ascii="Cambria Math" w:hAnsi="Cambria Math"/>
                                    <w:sz w:val="18"/>
                                    <w:szCs w:val="18"/>
                                    <w:lang w:eastAsia="fr-FR"/>
                                  </w:rPr>
                                  <m:t>-</m:t>
                                </m:r>
                                <m:sSub>
                                  <m:sSubPr>
                                    <m:ctrlPr>
                                      <w:rPr>
                                        <w:rFonts w:ascii="Cambria Math" w:hAnsi="Cambria Math"/>
                                        <w:sz w:val="18"/>
                                        <w:szCs w:val="18"/>
                                        <w:lang w:eastAsia="fr-FR"/>
                                      </w:rPr>
                                    </m:ctrlPr>
                                  </m:sSubPr>
                                  <m:e>
                                    <m:r>
                                      <w:rPr>
                                        <w:rFonts w:ascii="Cambria Math" w:hAnsi="Cambria Math"/>
                                        <w:sz w:val="18"/>
                                        <w:szCs w:val="18"/>
                                        <w:lang w:eastAsia="fr-FR"/>
                                      </w:rPr>
                                      <m:t>Ge</m:t>
                                    </m:r>
                                  </m:e>
                                  <m:sub>
                                    <m:r>
                                      <w:rPr>
                                        <w:rFonts w:ascii="Cambria Math" w:hAnsi="Cambria Math"/>
                                        <w:sz w:val="18"/>
                                        <w:szCs w:val="18"/>
                                        <w:lang w:eastAsia="fr-FR"/>
                                      </w:rPr>
                                      <m:t>m</m:t>
                                    </m:r>
                                  </m:sub>
                                </m:sSub>
                              </m:e>
                            </m:d>
                            <m:r>
                              <m:rPr>
                                <m:sty m:val="p"/>
                              </m:rPr>
                              <w:rPr>
                                <w:rFonts w:ascii="Cambria Math" w:hAnsi="Cambria Math"/>
                                <w:sz w:val="18"/>
                                <w:szCs w:val="18"/>
                                <w:lang w:eastAsia="fr-FR"/>
                              </w:rPr>
                              <m:t>-</m:t>
                            </m:r>
                            <m:sSub>
                              <m:sSubPr>
                                <m:ctrlPr>
                                  <w:rPr>
                                    <w:rFonts w:ascii="Cambria Math" w:hAnsi="Cambria Math"/>
                                    <w:sz w:val="18"/>
                                    <w:szCs w:val="18"/>
                                    <w:lang w:eastAsia="fr-FR"/>
                                  </w:rPr>
                                </m:ctrlPr>
                              </m:sSubPr>
                              <m:e>
                                <m:r>
                                  <w:rPr>
                                    <w:rFonts w:ascii="Cambria Math" w:hAnsi="Cambria Math"/>
                                    <w:sz w:val="18"/>
                                    <w:szCs w:val="18"/>
                                    <w:lang w:eastAsia="fr-FR"/>
                                  </w:rPr>
                                  <m:t>FSL</m:t>
                                </m:r>
                              </m:e>
                              <m:sub>
                                <m:r>
                                  <w:rPr>
                                    <w:rFonts w:ascii="Cambria Math" w:hAnsi="Cambria Math"/>
                                    <w:sz w:val="18"/>
                                    <w:szCs w:val="18"/>
                                    <w:lang w:eastAsia="fr-FR"/>
                                  </w:rPr>
                                  <m:t>m</m:t>
                                </m:r>
                              </m:sub>
                            </m:sSub>
                            <m:r>
                              <m:rPr>
                                <m:sty m:val="p"/>
                              </m:rPr>
                              <w:rPr>
                                <w:rFonts w:ascii="Cambria Math" w:hAnsi="Cambria Math"/>
                                <w:sz w:val="18"/>
                                <w:szCs w:val="18"/>
                                <w:lang w:eastAsia="fr-FR"/>
                              </w:rPr>
                              <m:t>+</m:t>
                            </m:r>
                            <m:sSub>
                              <m:sSubPr>
                                <m:ctrlPr>
                                  <w:rPr>
                                    <w:rFonts w:ascii="Cambria Math" w:hAnsi="Cambria Math"/>
                                    <w:sz w:val="18"/>
                                    <w:szCs w:val="18"/>
                                    <w:lang w:eastAsia="fr-FR"/>
                                  </w:rPr>
                                </m:ctrlPr>
                              </m:sSubPr>
                              <m:e>
                                <m:r>
                                  <w:rPr>
                                    <w:rFonts w:ascii="Cambria Math" w:hAnsi="Cambria Math"/>
                                    <w:sz w:val="18"/>
                                    <w:szCs w:val="18"/>
                                    <w:lang w:eastAsia="fr-FR"/>
                                  </w:rPr>
                                  <m:t>Gr</m:t>
                                </m:r>
                              </m:e>
                              <m:sub>
                                <m:r>
                                  <w:rPr>
                                    <w:rFonts w:ascii="Cambria Math" w:hAnsi="Cambria Math"/>
                                    <w:sz w:val="18"/>
                                    <w:szCs w:val="18"/>
                                    <w:lang w:eastAsia="fr-FR"/>
                                  </w:rPr>
                                  <m:t>m</m:t>
                                </m:r>
                              </m:sub>
                            </m:sSub>
                            <m:r>
                              <m:rPr>
                                <m:sty m:val="p"/>
                              </m:rPr>
                              <w:rPr>
                                <w:rFonts w:ascii="Cambria Math" w:hAnsi="Cambria Math"/>
                                <w:sz w:val="18"/>
                                <w:szCs w:val="18"/>
                                <w:lang w:eastAsia="fr-FR"/>
                              </w:rPr>
                              <m:t>-</m:t>
                            </m:r>
                            <m:sSub>
                              <m:sSubPr>
                                <m:ctrlPr>
                                  <w:rPr>
                                    <w:rFonts w:ascii="Cambria Math" w:hAnsi="Cambria Math"/>
                                    <w:sz w:val="18"/>
                                    <w:szCs w:val="18"/>
                                    <w:lang w:eastAsia="fr-FR"/>
                                  </w:rPr>
                                </m:ctrlPr>
                              </m:sSubPr>
                              <m:e>
                                <m:r>
                                  <w:rPr>
                                    <w:rFonts w:ascii="Cambria Math" w:hAnsi="Cambria Math"/>
                                    <w:sz w:val="18"/>
                                    <w:szCs w:val="18"/>
                                    <w:lang w:eastAsia="fr-FR"/>
                                  </w:rPr>
                                  <m:t>Att</m:t>
                                </m:r>
                              </m:e>
                              <m:sub>
                                <m:r>
                                  <w:rPr>
                                    <w:rFonts w:ascii="Cambria Math" w:hAnsi="Cambria Math"/>
                                    <w:sz w:val="18"/>
                                    <w:szCs w:val="18"/>
                                    <w:lang w:eastAsia="fr-FR"/>
                                  </w:rPr>
                                  <m:t>Rain</m:t>
                                </m:r>
                              </m:sub>
                            </m:sSub>
                          </m:e>
                        </m:d>
                      </m:num>
                      <m:den>
                        <m:r>
                          <w:rPr>
                            <w:rFonts w:ascii="Cambria Math" w:hAnsi="Cambria Math"/>
                            <w:sz w:val="18"/>
                            <w:szCs w:val="18"/>
                            <w:lang w:eastAsia="fr-FR"/>
                          </w:rPr>
                          <m:t>10</m:t>
                        </m:r>
                      </m:den>
                    </m:f>
                  </m:sup>
                </m:sSup>
              </m:e>
            </m:nary>
          </m:e>
        </m:d>
        <m:r>
          <m:rPr>
            <m:sty m:val="p"/>
          </m:rPr>
          <w:rPr>
            <w:rFonts w:ascii="Cambria Math" w:hAnsi="Cambria Math"/>
            <w:sz w:val="18"/>
            <w:szCs w:val="18"/>
            <w:lang w:eastAsia="fr-FR"/>
          </w:rPr>
          <m:t xml:space="preserve"> -10</m:t>
        </m:r>
        <m:sSub>
          <m:sSubPr>
            <m:ctrlPr>
              <w:rPr>
                <w:rFonts w:ascii="Cambria Math" w:hAnsi="Cambria Math"/>
                <w:i/>
                <w:sz w:val="18"/>
                <w:szCs w:val="18"/>
                <w:lang w:eastAsia="fr-FR"/>
              </w:rPr>
            </m:ctrlPr>
          </m:sSubPr>
          <m:e>
            <m:r>
              <w:rPr>
                <w:rFonts w:ascii="Cambria Math" w:hAnsi="Cambria Math"/>
                <w:sz w:val="18"/>
                <w:szCs w:val="18"/>
                <w:lang w:eastAsia="fr-FR"/>
              </w:rPr>
              <m:t>log</m:t>
            </m:r>
          </m:e>
          <m:sub>
            <m:r>
              <w:rPr>
                <w:rFonts w:ascii="Cambria Math" w:hAnsi="Cambria Math"/>
                <w:sz w:val="18"/>
                <w:szCs w:val="18"/>
                <w:lang w:eastAsia="fr-FR"/>
              </w:rPr>
              <m:t>10</m:t>
            </m:r>
          </m:sub>
        </m:sSub>
        <m:d>
          <m:dPr>
            <m:ctrlPr>
              <w:rPr>
                <w:rFonts w:ascii="Cambria Math" w:hAnsi="Cambria Math"/>
                <w:sz w:val="18"/>
                <w:szCs w:val="18"/>
                <w:lang w:eastAsia="fr-FR"/>
              </w:rPr>
            </m:ctrlPr>
          </m:dPr>
          <m:e>
            <m:r>
              <m:rPr>
                <m:sty m:val="p"/>
              </m:rPr>
              <w:rPr>
                <w:rFonts w:ascii="Cambria Math" w:hAnsi="Cambria Math"/>
                <w:sz w:val="18"/>
                <w:szCs w:val="18"/>
                <w:lang w:eastAsia="fr-FR"/>
              </w:rPr>
              <m:t>1.38</m:t>
            </m:r>
            <m:sSup>
              <m:sSupPr>
                <m:ctrlPr>
                  <w:rPr>
                    <w:rFonts w:ascii="Cambria Math" w:hAnsi="Cambria Math"/>
                    <w:sz w:val="18"/>
                    <w:szCs w:val="18"/>
                    <w:lang w:eastAsia="fr-FR"/>
                  </w:rPr>
                </m:ctrlPr>
              </m:sSupPr>
              <m:e>
                <m:r>
                  <w:rPr>
                    <w:rFonts w:ascii="Cambria Math" w:hAnsi="Cambria Math"/>
                    <w:sz w:val="18"/>
                    <w:szCs w:val="18"/>
                    <w:lang w:eastAsia="fr-FR"/>
                  </w:rPr>
                  <m:t>e</m:t>
                </m:r>
              </m:e>
              <m:sup>
                <m:r>
                  <m:rPr>
                    <m:sty m:val="p"/>
                  </m:rPr>
                  <w:rPr>
                    <w:rFonts w:ascii="Cambria Math" w:hAnsi="Cambria Math"/>
                    <w:sz w:val="18"/>
                    <w:szCs w:val="18"/>
                    <w:lang w:eastAsia="fr-FR"/>
                  </w:rPr>
                  <m:t>-23</m:t>
                </m:r>
              </m:sup>
            </m:sSup>
            <m:r>
              <m:rPr>
                <m:sty m:val="p"/>
              </m:rPr>
              <w:rPr>
                <w:rFonts w:ascii="Cambria Math" w:hAnsi="Cambria Math"/>
                <w:sz w:val="18"/>
                <w:szCs w:val="18"/>
                <w:lang w:eastAsia="fr-FR"/>
              </w:rPr>
              <m:t>.</m:t>
            </m:r>
            <m:r>
              <w:rPr>
                <w:rFonts w:ascii="Cambria Math" w:hAnsi="Cambria Math"/>
                <w:sz w:val="18"/>
                <w:szCs w:val="18"/>
                <w:lang w:eastAsia="fr-FR"/>
              </w:rPr>
              <m:t>T</m:t>
            </m:r>
            <m:r>
              <m:rPr>
                <m:sty m:val="p"/>
              </m:rPr>
              <w:rPr>
                <w:rFonts w:ascii="Cambria Math" w:hAnsi="Cambria Math"/>
                <w:sz w:val="18"/>
                <w:szCs w:val="18"/>
                <w:lang w:eastAsia="fr-FR"/>
              </w:rPr>
              <m:t>.1</m:t>
            </m:r>
            <m:sSup>
              <m:sSupPr>
                <m:ctrlPr>
                  <w:rPr>
                    <w:rFonts w:ascii="Cambria Math" w:hAnsi="Cambria Math"/>
                    <w:sz w:val="18"/>
                    <w:szCs w:val="18"/>
                    <w:lang w:eastAsia="fr-FR"/>
                  </w:rPr>
                </m:ctrlPr>
              </m:sSupPr>
              <m:e>
                <m:r>
                  <w:rPr>
                    <w:rFonts w:ascii="Cambria Math" w:hAnsi="Cambria Math"/>
                    <w:sz w:val="18"/>
                    <w:szCs w:val="18"/>
                    <w:lang w:eastAsia="fr-FR"/>
                  </w:rPr>
                  <m:t>e</m:t>
                </m:r>
              </m:e>
              <m:sup>
                <m:r>
                  <m:rPr>
                    <m:sty m:val="p"/>
                  </m:rPr>
                  <w:rPr>
                    <w:rFonts w:ascii="Cambria Math" w:hAnsi="Cambria Math"/>
                    <w:sz w:val="18"/>
                    <w:szCs w:val="18"/>
                    <w:lang w:eastAsia="fr-FR"/>
                  </w:rPr>
                  <m:t>6</m:t>
                </m:r>
              </m:sup>
            </m:sSup>
          </m:e>
        </m:d>
      </m:oMath>
    </w:p>
    <w:p w:rsidR="00B63D8D" w:rsidRPr="00752DF2" w:rsidRDefault="00B63D8D" w:rsidP="00B63D8D">
      <w:pPr>
        <w:rPr>
          <w:lang w:val="en-GB" w:eastAsia="ja-JP"/>
        </w:rPr>
      </w:pPr>
      <w:r w:rsidRPr="00752DF2">
        <w:rPr>
          <w:lang w:val="en-GB" w:eastAsia="ja-JP"/>
        </w:rPr>
        <w:t>where:</w:t>
      </w:r>
    </w:p>
    <w:p w:rsidR="00B63D8D" w:rsidRPr="001954AF" w:rsidRDefault="00B63D8D" w:rsidP="00B63D8D">
      <w:pPr>
        <w:pStyle w:val="Equationlegend"/>
        <w:rPr>
          <w:lang w:eastAsia="ja-JP"/>
        </w:rPr>
      </w:pPr>
      <w:r w:rsidRPr="001954AF">
        <w:rPr>
          <w:lang w:eastAsia="ja-JP"/>
        </w:rPr>
        <w:tab/>
      </w:r>
      <w:r w:rsidRPr="001954AF">
        <w:rPr>
          <w:i/>
          <w:iCs/>
          <w:lang w:eastAsia="ja-JP"/>
        </w:rPr>
        <w:t>ATPC</w:t>
      </w:r>
      <w:r w:rsidRPr="001954AF">
        <w:rPr>
          <w:i/>
          <w:iCs/>
          <w:vertAlign w:val="subscript"/>
          <w:lang w:eastAsia="ja-JP"/>
        </w:rPr>
        <w:t>m</w:t>
      </w:r>
      <w:r w:rsidRPr="001954AF">
        <w:rPr>
          <w:vertAlign w:val="subscript"/>
          <w:lang w:eastAsia="ja-JP"/>
        </w:rPr>
        <w:tab/>
      </w:r>
      <w:r w:rsidRPr="001954AF">
        <w:rPr>
          <w:lang w:eastAsia="ja-JP"/>
        </w:rPr>
        <w:t>ATPC in dB of HAPS ground station with the index m, depending on rain probability and pointing direction (5% of the M HAPS ground stations are assumed to have clouds between the HA</w:t>
      </w:r>
      <w:r>
        <w:rPr>
          <w:lang w:eastAsia="ja-JP"/>
        </w:rPr>
        <w:t>PS ground station and the HAPS)</w:t>
      </w:r>
    </w:p>
    <w:p w:rsidR="00B63D8D" w:rsidRPr="001954AF" w:rsidRDefault="00B63D8D" w:rsidP="00B63D8D">
      <w:pPr>
        <w:pStyle w:val="Equationlegend"/>
        <w:rPr>
          <w:lang w:eastAsia="ja-JP"/>
        </w:rPr>
      </w:pPr>
      <w:r w:rsidRPr="001954AF">
        <w:rPr>
          <w:lang w:eastAsia="ja-JP"/>
        </w:rPr>
        <w:tab/>
      </w:r>
      <w:r w:rsidRPr="001954AF">
        <w:rPr>
          <w:i/>
          <w:iCs/>
          <w:lang w:eastAsia="ja-JP"/>
        </w:rPr>
        <w:t>Att</w:t>
      </w:r>
      <w:r w:rsidRPr="001954AF">
        <w:rPr>
          <w:i/>
          <w:iCs/>
          <w:vertAlign w:val="subscript"/>
          <w:lang w:eastAsia="ja-JP"/>
        </w:rPr>
        <w:t>rain</w:t>
      </w:r>
      <w:r w:rsidRPr="001954AF">
        <w:rPr>
          <w:vertAlign w:val="subscript"/>
          <w:lang w:eastAsia="ja-JP"/>
        </w:rPr>
        <w:tab/>
      </w:r>
      <w:r w:rsidRPr="001954AF">
        <w:rPr>
          <w:lang w:eastAsia="ja-JP"/>
        </w:rPr>
        <w:t>rain attenuation that is equal to:</w:t>
      </w:r>
    </w:p>
    <w:p w:rsidR="00B63D8D" w:rsidRPr="00752DF2" w:rsidRDefault="00B63D8D" w:rsidP="00B63D8D">
      <w:pPr>
        <w:pStyle w:val="enumlev3"/>
        <w:rPr>
          <w:lang w:val="en-GB" w:eastAsia="ja-JP"/>
        </w:rPr>
      </w:pPr>
      <w:r w:rsidRPr="00752DF2">
        <w:rPr>
          <w:lang w:val="en-GB" w:eastAsia="ja-JP"/>
        </w:rPr>
        <w:t>–</w:t>
      </w:r>
      <w:r w:rsidRPr="00752DF2">
        <w:rPr>
          <w:lang w:val="en-GB" w:eastAsia="ja-JP"/>
        </w:rPr>
        <w:tab/>
        <w:t>20 dB for the 5% of the HAPS ground stations having clouds between the HAPS ground station and the HAPS and with off axis angle towards FSS satellite less than 9 degrees. It is assumed that among ground stations within the visibility of the satellite the rain attenuation is uncorrelated between stations. The above assumption is a worst case since the maximum rain attenuation using recommendation ITU-R P.618-12 (</w:t>
      </w:r>
      <w:r w:rsidRPr="00752DF2">
        <w:rPr>
          <w:i/>
          <w:iCs/>
          <w:lang w:val="en-GB" w:eastAsia="ja-JP"/>
        </w:rPr>
        <w:t>p</w:t>
      </w:r>
      <w:r w:rsidRPr="00752DF2">
        <w:rPr>
          <w:lang w:val="en-GB" w:eastAsia="ja-JP"/>
        </w:rPr>
        <w:t> = 5% and elevation angle 20°) is 9.96 dB and therefore p is much lower than 5% to reach the 20 dB rain attenuation.</w:t>
      </w:r>
    </w:p>
    <w:p w:rsidR="00B63D8D" w:rsidRPr="00752DF2" w:rsidRDefault="00B63D8D" w:rsidP="00B63D8D">
      <w:pPr>
        <w:pStyle w:val="FigureNo"/>
        <w:rPr>
          <w:lang w:val="en-GB"/>
        </w:rPr>
      </w:pPr>
      <w:r w:rsidRPr="00752DF2">
        <w:rPr>
          <w:lang w:val="en-GB"/>
        </w:rPr>
        <w:t>Figure 19</w:t>
      </w:r>
    </w:p>
    <w:p w:rsidR="00B63D8D" w:rsidRPr="00752DF2" w:rsidRDefault="00B63D8D" w:rsidP="00B63D8D">
      <w:pPr>
        <w:pStyle w:val="Figuretitle"/>
        <w:rPr>
          <w:lang w:val="en-GB"/>
        </w:rPr>
      </w:pPr>
      <w:r w:rsidRPr="00752DF2">
        <w:rPr>
          <w:lang w:val="en-GB"/>
        </w:rPr>
        <w:t>Rain attenuation in dB</w:t>
      </w:r>
      <w:r w:rsidRPr="00752DF2">
        <w:rPr>
          <w:lang w:val="en-GB"/>
        </w:rPr>
        <w:br/>
        <w:t xml:space="preserve">(Recommendation ITU-R P.618-12 with </w:t>
      </w:r>
      <w:r w:rsidRPr="00752DF2">
        <w:rPr>
          <w:i/>
          <w:lang w:val="en-GB"/>
        </w:rPr>
        <w:t>p</w:t>
      </w:r>
      <w:r w:rsidRPr="00752DF2">
        <w:rPr>
          <w:lang w:val="en-GB"/>
        </w:rPr>
        <w:t> = 5% and an elevation angle of 20°)</w:t>
      </w:r>
    </w:p>
    <w:p w:rsidR="00B63D8D" w:rsidRPr="001954AF" w:rsidRDefault="00B63D8D" w:rsidP="00B63D8D">
      <w:pPr>
        <w:pStyle w:val="Figure"/>
        <w:rPr>
          <w:lang w:eastAsia="ja-JP"/>
        </w:rPr>
      </w:pPr>
      <w:r w:rsidRPr="001954AF">
        <w:rPr>
          <w:noProof/>
          <w:lang w:val="en-GB" w:eastAsia="en-GB"/>
        </w:rPr>
        <w:drawing>
          <wp:inline distT="0" distB="0" distL="0" distR="0" wp14:anchorId="4F059F59" wp14:editId="25BEE83C">
            <wp:extent cx="2952750" cy="2363415"/>
            <wp:effectExtent l="0" t="0" r="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0" cy="2363415"/>
                    </a:xfrm>
                    <a:prstGeom prst="rect">
                      <a:avLst/>
                    </a:prstGeom>
                    <a:noFill/>
                    <a:ln>
                      <a:noFill/>
                    </a:ln>
                  </pic:spPr>
                </pic:pic>
              </a:graphicData>
            </a:graphic>
          </wp:inline>
        </w:drawing>
      </w:r>
    </w:p>
    <w:p w:rsidR="00B63D8D" w:rsidRPr="00752DF2" w:rsidRDefault="00B63D8D" w:rsidP="00B63D8D">
      <w:pPr>
        <w:pStyle w:val="enumlev3"/>
        <w:rPr>
          <w:lang w:val="en-GB" w:eastAsia="ja-JP"/>
        </w:rPr>
      </w:pPr>
      <w:r w:rsidRPr="00752DF2">
        <w:rPr>
          <w:lang w:val="en-GB" w:eastAsia="ja-JP"/>
        </w:rPr>
        <w:t>–</w:t>
      </w:r>
      <w:r w:rsidRPr="00752DF2">
        <w:rPr>
          <w:lang w:val="en-GB" w:eastAsia="ja-JP"/>
        </w:rPr>
        <w:tab/>
        <w:t>0 dB for all other HAPS ground stations</w:t>
      </w:r>
    </w:p>
    <w:p w:rsidR="00B63D8D" w:rsidRPr="001954AF" w:rsidRDefault="00B63D8D" w:rsidP="00B63D8D">
      <w:pPr>
        <w:pStyle w:val="Equationlegend"/>
        <w:rPr>
          <w:lang w:eastAsia="ja-JP"/>
        </w:rPr>
      </w:pPr>
      <w:r w:rsidRPr="001954AF">
        <w:rPr>
          <w:lang w:eastAsia="ja-JP"/>
        </w:rPr>
        <w:tab/>
      </w:r>
      <w:r w:rsidRPr="001954AF">
        <w:rPr>
          <w:i/>
          <w:iCs/>
          <w:lang w:eastAsia="ja-JP"/>
        </w:rPr>
        <w:t>EIRP</w:t>
      </w:r>
      <w:r w:rsidRPr="001954AF">
        <w:rPr>
          <w:i/>
          <w:iCs/>
          <w:vertAlign w:val="subscript"/>
          <w:lang w:eastAsia="ja-JP"/>
        </w:rPr>
        <w:t>m</w:t>
      </w:r>
      <w:r w:rsidRPr="001954AF">
        <w:rPr>
          <w:vertAlign w:val="subscript"/>
          <w:lang w:eastAsia="ja-JP"/>
        </w:rPr>
        <w:tab/>
      </w:r>
      <w:r w:rsidRPr="001954AF">
        <w:rPr>
          <w:lang w:eastAsia="ja-JP"/>
        </w:rPr>
        <w:t xml:space="preserve">nominal e.i.r.p. density set arbitrarily of 0 dB(W/MHz) emitted by the HAPS ground station with the index m for 95% of stations (e.i.r.p. transmitted under clear sky conditions), and </w:t>
      </w:r>
      <w:r>
        <w:rPr>
          <w:lang w:eastAsia="ja-JP"/>
        </w:rPr>
        <w:t>20 dB(W/MHz) for 5% of stations</w:t>
      </w:r>
    </w:p>
    <w:p w:rsidR="00B63D8D" w:rsidRPr="001954AF" w:rsidRDefault="00B63D8D" w:rsidP="00B63D8D">
      <w:pPr>
        <w:pStyle w:val="Equationlegend"/>
        <w:rPr>
          <w:lang w:eastAsia="ja-JP"/>
        </w:rPr>
      </w:pPr>
      <w:r w:rsidRPr="001954AF">
        <w:rPr>
          <w:lang w:eastAsia="ja-JP"/>
        </w:rPr>
        <w:tab/>
      </w:r>
      <w:r w:rsidRPr="001954AF">
        <w:rPr>
          <w:i/>
          <w:iCs/>
          <w:lang w:eastAsia="ja-JP"/>
        </w:rPr>
        <w:t>Ge</w:t>
      </w:r>
      <w:r w:rsidRPr="001954AF">
        <w:rPr>
          <w:i/>
          <w:iCs/>
          <w:vertAlign w:val="subscript"/>
          <w:lang w:eastAsia="ja-JP"/>
        </w:rPr>
        <w:t>maxm</w:t>
      </w:r>
      <w:r w:rsidRPr="001954AF">
        <w:rPr>
          <w:lang w:eastAsia="ja-JP"/>
        </w:rPr>
        <w:tab/>
        <w:t xml:space="preserve">maximum antenna gain of the HAPS ground station with index </w:t>
      </w:r>
      <w:r w:rsidRPr="001954AF">
        <w:rPr>
          <w:i/>
          <w:iCs/>
          <w:lang w:eastAsia="ja-JP"/>
        </w:rPr>
        <w:t>m</w:t>
      </w:r>
    </w:p>
    <w:p w:rsidR="00B63D8D" w:rsidRPr="001954AF" w:rsidRDefault="00B63D8D" w:rsidP="00B63D8D">
      <w:pPr>
        <w:pStyle w:val="Equationlegend"/>
        <w:rPr>
          <w:lang w:eastAsia="ja-JP"/>
        </w:rPr>
      </w:pPr>
      <w:r w:rsidRPr="001954AF">
        <w:rPr>
          <w:lang w:eastAsia="ja-JP"/>
        </w:rPr>
        <w:tab/>
      </w:r>
      <w:r w:rsidRPr="001954AF">
        <w:rPr>
          <w:i/>
          <w:iCs/>
          <w:lang w:eastAsia="ja-JP"/>
        </w:rPr>
        <w:t>Ge</w:t>
      </w:r>
      <w:r w:rsidRPr="001954AF">
        <w:rPr>
          <w:i/>
          <w:iCs/>
          <w:vertAlign w:val="subscript"/>
          <w:lang w:eastAsia="ja-JP"/>
        </w:rPr>
        <w:t>m</w:t>
      </w:r>
      <w:r w:rsidRPr="001954AF">
        <w:rPr>
          <w:lang w:eastAsia="ja-JP"/>
        </w:rPr>
        <w:tab/>
        <w:t xml:space="preserve">antenna gain of the HAPS ground station towards the FSS satellite with the index </w:t>
      </w:r>
      <w:r w:rsidRPr="001954AF">
        <w:rPr>
          <w:i/>
          <w:iCs/>
          <w:lang w:eastAsia="ja-JP"/>
        </w:rPr>
        <w:t>m</w:t>
      </w:r>
    </w:p>
    <w:p w:rsidR="00B63D8D" w:rsidRPr="001954AF" w:rsidRDefault="00B63D8D" w:rsidP="00B63D8D">
      <w:pPr>
        <w:pStyle w:val="Equationlegend"/>
        <w:rPr>
          <w:lang w:eastAsia="ja-JP"/>
        </w:rPr>
      </w:pPr>
      <w:r w:rsidRPr="001954AF">
        <w:rPr>
          <w:lang w:eastAsia="ja-JP"/>
        </w:rPr>
        <w:tab/>
      </w:r>
      <w:r w:rsidRPr="001954AF">
        <w:rPr>
          <w:i/>
          <w:iCs/>
          <w:lang w:eastAsia="ja-JP"/>
        </w:rPr>
        <w:t>FSLm</w:t>
      </w:r>
      <w:r w:rsidRPr="001954AF">
        <w:rPr>
          <w:lang w:eastAsia="ja-JP"/>
        </w:rPr>
        <w:t xml:space="preserve"> </w:t>
      </w:r>
      <w:r w:rsidRPr="001954AF">
        <w:rPr>
          <w:lang w:eastAsia="ja-JP"/>
        </w:rPr>
        <w:tab/>
        <w:t>free space loss between the HAPS ground station with index</w:t>
      </w:r>
      <w:r>
        <w:rPr>
          <w:lang w:eastAsia="ja-JP"/>
        </w:rPr>
        <w:t xml:space="preserve"> m toward the FSS GSO satellite</w:t>
      </w:r>
    </w:p>
    <w:p w:rsidR="00B63D8D" w:rsidRPr="001954AF" w:rsidRDefault="00B63D8D" w:rsidP="00B63D8D">
      <w:pPr>
        <w:pStyle w:val="Equationlegend"/>
        <w:rPr>
          <w:spacing w:val="-2"/>
          <w:lang w:eastAsia="ja-JP"/>
        </w:rPr>
      </w:pPr>
      <w:r w:rsidRPr="001954AF">
        <w:rPr>
          <w:spacing w:val="-2"/>
          <w:lang w:eastAsia="ja-JP"/>
        </w:rPr>
        <w:tab/>
      </w:r>
      <w:r w:rsidRPr="001954AF">
        <w:rPr>
          <w:i/>
          <w:iCs/>
          <w:spacing w:val="-2"/>
          <w:lang w:eastAsia="ja-JP"/>
        </w:rPr>
        <w:t>Gr</w:t>
      </w:r>
      <w:r w:rsidRPr="001954AF">
        <w:rPr>
          <w:i/>
          <w:iCs/>
          <w:spacing w:val="-2"/>
          <w:vertAlign w:val="subscript"/>
          <w:lang w:eastAsia="ja-JP"/>
        </w:rPr>
        <w:t>m</w:t>
      </w:r>
      <w:r w:rsidRPr="001954AF">
        <w:rPr>
          <w:spacing w:val="-2"/>
          <w:lang w:eastAsia="ja-JP"/>
        </w:rPr>
        <w:tab/>
        <w:t xml:space="preserve">FSS satellite antenna gain toward the HAPS ground station with index </w:t>
      </w:r>
      <w:r w:rsidRPr="001954AF">
        <w:rPr>
          <w:i/>
          <w:iCs/>
          <w:spacing w:val="-2"/>
          <w:lang w:eastAsia="ja-JP"/>
        </w:rPr>
        <w:t>m</w:t>
      </w:r>
    </w:p>
    <w:p w:rsidR="00B63D8D" w:rsidRPr="001954AF" w:rsidRDefault="00B63D8D" w:rsidP="00B63D8D">
      <w:pPr>
        <w:pStyle w:val="Equationlegend"/>
      </w:pPr>
      <w:r w:rsidRPr="001954AF">
        <w:rPr>
          <w:lang w:eastAsia="ja-JP"/>
        </w:rPr>
        <w:tab/>
      </w:r>
      <w:r w:rsidRPr="001954AF">
        <w:rPr>
          <w:i/>
          <w:iCs/>
          <w:lang w:eastAsia="ja-JP"/>
        </w:rPr>
        <w:t>T</w:t>
      </w:r>
      <w:r w:rsidRPr="001954AF">
        <w:rPr>
          <w:lang w:eastAsia="ja-JP"/>
        </w:rPr>
        <w:tab/>
        <w:t>FSS satellite receiver</w:t>
      </w:r>
      <w:r w:rsidRPr="001954AF">
        <w:t xml:space="preserve"> noise temperature (K).</w:t>
      </w:r>
    </w:p>
    <w:p w:rsidR="00B63D8D" w:rsidRPr="00752DF2" w:rsidRDefault="00B63D8D" w:rsidP="00B63D8D">
      <w:pPr>
        <w:rPr>
          <w:lang w:val="en-GB" w:eastAsia="ja-JP"/>
        </w:rPr>
      </w:pPr>
      <w:r w:rsidRPr="00752DF2">
        <w:rPr>
          <w:lang w:val="en-GB" w:eastAsia="ja-JP"/>
        </w:rPr>
        <w:t>Figure 20 provides (</w:t>
      </w:r>
      <w:r w:rsidRPr="00752DF2">
        <w:rPr>
          <w:i/>
          <w:iCs/>
          <w:lang w:val="en-GB" w:eastAsia="ja-JP"/>
        </w:rPr>
        <w:t>I</w:t>
      </w:r>
      <w:r w:rsidRPr="00752DF2">
        <w:rPr>
          <w:i/>
          <w:iCs/>
          <w:vertAlign w:val="subscript"/>
          <w:lang w:val="en-GB" w:eastAsia="ja-JP"/>
        </w:rPr>
        <w:t>atpc</w:t>
      </w:r>
      <w:r w:rsidRPr="00752DF2">
        <w:rPr>
          <w:i/>
          <w:iCs/>
          <w:lang w:val="en-GB" w:eastAsia="ja-JP"/>
        </w:rPr>
        <w:t>/N</w:t>
      </w:r>
      <w:r w:rsidRPr="00752DF2">
        <w:rPr>
          <w:lang w:val="en-GB" w:eastAsia="ja-JP"/>
        </w:rPr>
        <w:t>) received from each HAPS ground station.</w:t>
      </w:r>
    </w:p>
    <w:p w:rsidR="00B63D8D" w:rsidRPr="00752DF2" w:rsidRDefault="00B63D8D" w:rsidP="00B63D8D">
      <w:pPr>
        <w:pStyle w:val="FigureNo"/>
        <w:rPr>
          <w:lang w:val="en-GB"/>
        </w:rPr>
      </w:pPr>
      <w:bookmarkStart w:id="222" w:name="_Ref529903383"/>
      <w:r w:rsidRPr="00752DF2">
        <w:rPr>
          <w:lang w:val="en-GB"/>
        </w:rPr>
        <w:t xml:space="preserve">Figure </w:t>
      </w:r>
      <w:bookmarkEnd w:id="222"/>
      <w:r w:rsidRPr="00752DF2">
        <w:rPr>
          <w:lang w:val="en-GB"/>
        </w:rPr>
        <w:t>20</w:t>
      </w:r>
    </w:p>
    <w:p w:rsidR="00B63D8D" w:rsidRPr="00752DF2" w:rsidRDefault="00B63D8D" w:rsidP="00B63D8D">
      <w:pPr>
        <w:pStyle w:val="Figuretitle"/>
        <w:rPr>
          <w:lang w:val="en-GB"/>
        </w:rPr>
      </w:pPr>
      <w:r w:rsidRPr="00752DF2">
        <w:rPr>
          <w:i/>
          <w:lang w:val="en-GB"/>
        </w:rPr>
        <w:t>I</w:t>
      </w:r>
      <w:r w:rsidRPr="00752DF2">
        <w:rPr>
          <w:i/>
          <w:vertAlign w:val="subscript"/>
          <w:lang w:val="en-GB"/>
        </w:rPr>
        <w:t>atpc</w:t>
      </w:r>
      <w:r w:rsidRPr="00752DF2">
        <w:rPr>
          <w:i/>
          <w:lang w:val="en-GB"/>
        </w:rPr>
        <w:t xml:space="preserve">/N </w:t>
      </w:r>
      <w:r w:rsidRPr="00752DF2">
        <w:rPr>
          <w:lang w:val="en-GB"/>
        </w:rPr>
        <w:t xml:space="preserve">received from each HAPS ground station in dB </w:t>
      </w:r>
      <w:r w:rsidRPr="00752DF2">
        <w:rPr>
          <w:lang w:val="en-GB"/>
        </w:rPr>
        <w:br/>
        <w:t>(example FSS satellite pointing at longitude 30° and latitude 45°)</w:t>
      </w:r>
    </w:p>
    <w:p w:rsidR="00B63D8D" w:rsidRPr="001954AF" w:rsidRDefault="00B63D8D" w:rsidP="00B63D8D">
      <w:pPr>
        <w:pStyle w:val="Figure"/>
      </w:pPr>
      <w:r w:rsidRPr="001954AF">
        <w:rPr>
          <w:noProof/>
          <w:lang w:val="en-GB" w:eastAsia="en-GB"/>
        </w:rPr>
        <w:drawing>
          <wp:inline distT="0" distB="0" distL="0" distR="0" wp14:anchorId="27E0038A" wp14:editId="57F49262">
            <wp:extent cx="6150688" cy="3352800"/>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962" t="10982" r="46316" b="5739"/>
                    <a:stretch/>
                  </pic:blipFill>
                  <pic:spPr bwMode="auto">
                    <a:xfrm>
                      <a:off x="0" y="0"/>
                      <a:ext cx="6150889" cy="3352909"/>
                    </a:xfrm>
                    <a:prstGeom prst="rect">
                      <a:avLst/>
                    </a:prstGeom>
                    <a:ln>
                      <a:noFill/>
                    </a:ln>
                    <a:extLst>
                      <a:ext uri="{53640926-AAD7-44D8-BBD7-CCE9431645EC}">
                        <a14:shadowObscured xmlns:a14="http://schemas.microsoft.com/office/drawing/2010/main"/>
                      </a:ext>
                    </a:extLst>
                  </pic:spPr>
                </pic:pic>
              </a:graphicData>
            </a:graphic>
          </wp:inline>
        </w:drawing>
      </w:r>
    </w:p>
    <w:p w:rsidR="00B63D8D" w:rsidRPr="00752DF2" w:rsidRDefault="00B63D8D" w:rsidP="00B63D8D">
      <w:pPr>
        <w:rPr>
          <w:lang w:val="en-GB" w:eastAsia="ja-JP"/>
        </w:rPr>
      </w:pPr>
      <w:r w:rsidRPr="00752DF2">
        <w:rPr>
          <w:lang w:val="en-GB" w:eastAsia="ja-JP"/>
        </w:rPr>
        <w:t xml:space="preserve">For the case presented in Fig. 20, the </w:t>
      </w:r>
      <w:r w:rsidRPr="00752DF2">
        <w:rPr>
          <w:i/>
          <w:iCs/>
          <w:lang w:val="en-GB" w:eastAsia="ja-JP"/>
        </w:rPr>
        <w:t>I</w:t>
      </w:r>
      <w:r w:rsidRPr="00752DF2">
        <w:rPr>
          <w:i/>
          <w:iCs/>
          <w:vertAlign w:val="subscript"/>
          <w:lang w:val="en-GB" w:eastAsia="ja-JP"/>
        </w:rPr>
        <w:t>agg_atpc</w:t>
      </w:r>
      <w:r w:rsidRPr="00752DF2">
        <w:rPr>
          <w:i/>
          <w:iCs/>
          <w:lang w:val="en-GB" w:eastAsia="ja-JP"/>
        </w:rPr>
        <w:t>/N</w:t>
      </w:r>
      <w:r w:rsidRPr="00752DF2">
        <w:rPr>
          <w:lang w:val="en-GB" w:eastAsia="ja-JP"/>
        </w:rPr>
        <w:t xml:space="preserve"> = –39.5 dB</w:t>
      </w:r>
    </w:p>
    <w:p w:rsidR="00B63D8D" w:rsidRPr="00752DF2" w:rsidRDefault="00B63D8D" w:rsidP="00B63D8D">
      <w:pPr>
        <w:rPr>
          <w:lang w:val="en-GB" w:eastAsia="fr-FR"/>
        </w:rPr>
      </w:pPr>
      <w:r w:rsidRPr="00752DF2">
        <w:rPr>
          <w:iCs/>
          <w:lang w:val="en-GB" w:eastAsia="fr-FR"/>
        </w:rPr>
        <w:t>Step 8:</w:t>
      </w:r>
      <w:r w:rsidRPr="00752DF2">
        <w:rPr>
          <w:lang w:val="en-GB" w:eastAsia="fr-FR"/>
        </w:rPr>
        <w:t xml:space="preserve"> Redo steps 5 to 7 for all possible FSS satellite antenna pointing direction (step in longitude and latitude pointing direction of 1°). </w:t>
      </w:r>
    </w:p>
    <w:p w:rsidR="00B63D8D" w:rsidRPr="00752DF2" w:rsidRDefault="00B63D8D" w:rsidP="00B63D8D">
      <w:pPr>
        <w:rPr>
          <w:lang w:val="en-GB" w:eastAsia="fr-FR"/>
        </w:rPr>
      </w:pPr>
      <w:r w:rsidRPr="00752DF2">
        <w:rPr>
          <w:lang w:val="en-GB" w:eastAsia="fr-FR"/>
        </w:rPr>
        <w:t xml:space="preserve">Figure 21 provides the CDF of the </w:t>
      </w:r>
      <w:r w:rsidRPr="00752DF2">
        <w:rPr>
          <w:i/>
          <w:iCs/>
          <w:lang w:val="en-GB" w:eastAsia="fr-FR"/>
        </w:rPr>
        <w:t>I</w:t>
      </w:r>
      <w:r w:rsidRPr="00752DF2">
        <w:rPr>
          <w:i/>
          <w:iCs/>
          <w:vertAlign w:val="subscript"/>
          <w:lang w:val="en-GB" w:eastAsia="fr-FR"/>
        </w:rPr>
        <w:t>agg</w:t>
      </w:r>
      <w:r w:rsidRPr="00752DF2">
        <w:rPr>
          <w:i/>
          <w:iCs/>
          <w:lang w:val="en-GB" w:eastAsia="fr-FR"/>
        </w:rPr>
        <w:t>/N</w:t>
      </w:r>
      <w:r w:rsidRPr="00752DF2">
        <w:rPr>
          <w:lang w:val="en-GB" w:eastAsia="fr-FR"/>
        </w:rPr>
        <w:t xml:space="preserve"> (clear sky condition) and </w:t>
      </w:r>
      <w:r w:rsidRPr="00752DF2">
        <w:rPr>
          <w:i/>
          <w:iCs/>
          <w:lang w:val="en-GB" w:eastAsia="fr-FR"/>
        </w:rPr>
        <w:t>I</w:t>
      </w:r>
      <w:r w:rsidRPr="00752DF2">
        <w:rPr>
          <w:i/>
          <w:iCs/>
          <w:vertAlign w:val="subscript"/>
          <w:lang w:val="en-GB" w:eastAsia="fr-FR"/>
        </w:rPr>
        <w:t>agg_atpc</w:t>
      </w:r>
      <w:r w:rsidRPr="00752DF2">
        <w:rPr>
          <w:i/>
          <w:iCs/>
          <w:lang w:val="en-GB" w:eastAsia="fr-FR"/>
        </w:rPr>
        <w:t>/N</w:t>
      </w:r>
      <w:r w:rsidRPr="00752DF2">
        <w:rPr>
          <w:lang w:val="en-GB" w:eastAsia="fr-FR"/>
        </w:rPr>
        <w:t xml:space="preserve"> (5% of HAPS ground stations under raining conditions). </w:t>
      </w:r>
    </w:p>
    <w:p w:rsidR="00B63D8D" w:rsidRPr="00752DF2" w:rsidRDefault="00B63D8D" w:rsidP="00B63D8D">
      <w:pPr>
        <w:rPr>
          <w:lang w:val="en-GB" w:eastAsia="fr-FR"/>
        </w:rPr>
      </w:pPr>
      <w:r w:rsidRPr="00752DF2">
        <w:rPr>
          <w:lang w:val="en-GB" w:eastAsia="fr-FR"/>
        </w:rPr>
        <w:t xml:space="preserve">The studies have been performed with sufficient iteration to achieve a stable CDF curve. </w:t>
      </w:r>
    </w:p>
    <w:p w:rsidR="00B63D8D" w:rsidRPr="001954AF" w:rsidRDefault="00B63D8D" w:rsidP="00B63D8D">
      <w:pPr>
        <w:pStyle w:val="FigureNo"/>
      </w:pPr>
      <w:bookmarkStart w:id="223" w:name="_Ref529903259"/>
      <w:r w:rsidRPr="001954AF">
        <w:t xml:space="preserve">Figure </w:t>
      </w:r>
      <w:bookmarkEnd w:id="223"/>
      <w:r w:rsidRPr="001954AF">
        <w:t>21</w:t>
      </w:r>
    </w:p>
    <w:p w:rsidR="00B63D8D" w:rsidRPr="001954AF" w:rsidRDefault="00B63D8D" w:rsidP="00B63D8D">
      <w:pPr>
        <w:pStyle w:val="Figuretitle"/>
      </w:pPr>
      <w:r w:rsidRPr="001954AF">
        <w:rPr>
          <w:i/>
        </w:rPr>
        <w:t>I</w:t>
      </w:r>
      <w:r w:rsidRPr="001954AF">
        <w:rPr>
          <w:i/>
          <w:vertAlign w:val="subscript"/>
        </w:rPr>
        <w:t>agg/N</w:t>
      </w:r>
      <w:r w:rsidRPr="001954AF">
        <w:t xml:space="preserve"> and </w:t>
      </w:r>
      <w:r w:rsidRPr="001954AF">
        <w:rPr>
          <w:i/>
        </w:rPr>
        <w:t>I</w:t>
      </w:r>
      <w:r w:rsidRPr="001954AF">
        <w:rPr>
          <w:i/>
          <w:vertAlign w:val="subscript"/>
        </w:rPr>
        <w:t>agg_atpc</w:t>
      </w:r>
      <w:r w:rsidRPr="001954AF">
        <w:t xml:space="preserve"> cumulative distribution functions </w:t>
      </w:r>
    </w:p>
    <w:p w:rsidR="00B63D8D" w:rsidRPr="001954AF" w:rsidRDefault="00B63D8D" w:rsidP="00B63D8D">
      <w:pPr>
        <w:pStyle w:val="Figure"/>
        <w:rPr>
          <w:lang w:eastAsia="fr-FR"/>
        </w:rPr>
      </w:pPr>
      <w:r w:rsidRPr="001954AF">
        <w:rPr>
          <w:noProof/>
          <w:lang w:val="en-GB" w:eastAsia="en-GB"/>
        </w:rPr>
        <w:drawing>
          <wp:inline distT="0" distB="0" distL="0" distR="0" wp14:anchorId="5CA09DDB" wp14:editId="18D4B5C0">
            <wp:extent cx="5460365" cy="2863850"/>
            <wp:effectExtent l="0" t="0" r="6985" b="0"/>
            <wp:docPr id="18" name="Image 18" descr="cid:image002.png@01D500CE.FBEAF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00CE.FBEAF5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460365" cy="2863850"/>
                    </a:xfrm>
                    <a:prstGeom prst="rect">
                      <a:avLst/>
                    </a:prstGeom>
                    <a:noFill/>
                    <a:ln>
                      <a:noFill/>
                    </a:ln>
                  </pic:spPr>
                </pic:pic>
              </a:graphicData>
            </a:graphic>
          </wp:inline>
        </w:drawing>
      </w:r>
    </w:p>
    <w:p w:rsidR="00B63D8D" w:rsidRPr="00752DF2" w:rsidRDefault="00B63D8D" w:rsidP="00B63D8D">
      <w:pPr>
        <w:rPr>
          <w:lang w:val="en-GB" w:eastAsia="fr-FR"/>
        </w:rPr>
      </w:pPr>
      <w:r w:rsidRPr="00752DF2">
        <w:rPr>
          <w:lang w:val="en-GB" w:eastAsia="fr-FR"/>
        </w:rPr>
        <w:t xml:space="preserve">As shown in Fig. 21, the results for </w:t>
      </w:r>
      <w:r w:rsidRPr="00752DF2">
        <w:rPr>
          <w:i/>
          <w:iCs/>
          <w:lang w:val="en-GB" w:eastAsia="fr-FR"/>
        </w:rPr>
        <w:t>I</w:t>
      </w:r>
      <w:r w:rsidRPr="00752DF2">
        <w:rPr>
          <w:i/>
          <w:iCs/>
          <w:vertAlign w:val="subscript"/>
          <w:lang w:val="en-GB" w:eastAsia="fr-FR"/>
        </w:rPr>
        <w:t>agg</w:t>
      </w:r>
      <w:r w:rsidRPr="00752DF2">
        <w:rPr>
          <w:i/>
          <w:iCs/>
          <w:lang w:val="en-GB" w:eastAsia="fr-FR"/>
        </w:rPr>
        <w:t>/N</w:t>
      </w:r>
      <w:r w:rsidRPr="00752DF2">
        <w:rPr>
          <w:lang w:val="en-GB" w:eastAsia="fr-FR"/>
        </w:rPr>
        <w:t xml:space="preserve"> in the case of clear sky condition scenario shows a 36.4 dB margin against the long term protection criteria, a 28.3 dB margin against the protection criteria of </w:t>
      </w:r>
      <w:r w:rsidRPr="00752DF2">
        <w:rPr>
          <w:i/>
          <w:iCs/>
          <w:lang w:val="en-GB" w:eastAsia="fr-FR"/>
        </w:rPr>
        <w:t>I</w:t>
      </w:r>
      <w:r w:rsidRPr="00752DF2">
        <w:rPr>
          <w:iCs/>
          <w:lang w:val="en-GB" w:eastAsia="fr-FR"/>
        </w:rPr>
        <w:t>/</w:t>
      </w:r>
      <w:r w:rsidRPr="00752DF2">
        <w:rPr>
          <w:i/>
          <w:iCs/>
          <w:lang w:val="en-GB" w:eastAsia="fr-FR"/>
        </w:rPr>
        <w:t>N</w:t>
      </w:r>
      <w:r w:rsidRPr="00752DF2">
        <w:rPr>
          <w:lang w:val="en-GB" w:eastAsia="fr-FR"/>
        </w:rPr>
        <w:t> = –6 dB for 0.6% of cases, and a 39.8 dB margin against the short term protection criteria.</w:t>
      </w:r>
    </w:p>
    <w:p w:rsidR="00B63D8D" w:rsidRPr="00752DF2" w:rsidRDefault="00B63D8D" w:rsidP="00B63D8D">
      <w:pPr>
        <w:rPr>
          <w:lang w:val="en-GB" w:eastAsia="fr-FR"/>
        </w:rPr>
      </w:pPr>
      <w:r w:rsidRPr="00752DF2">
        <w:rPr>
          <w:lang w:val="en-GB" w:eastAsia="fr-FR"/>
        </w:rPr>
        <w:t xml:space="preserve">The results for </w:t>
      </w:r>
      <w:r w:rsidRPr="00752DF2">
        <w:rPr>
          <w:i/>
          <w:iCs/>
          <w:lang w:val="en-GB" w:eastAsia="fr-FR"/>
        </w:rPr>
        <w:t>I</w:t>
      </w:r>
      <w:r w:rsidRPr="00752DF2">
        <w:rPr>
          <w:i/>
          <w:iCs/>
          <w:vertAlign w:val="subscript"/>
          <w:lang w:val="en-GB" w:eastAsia="fr-FR"/>
        </w:rPr>
        <w:t>agg_atpc</w:t>
      </w:r>
      <w:r w:rsidRPr="00752DF2">
        <w:rPr>
          <w:i/>
          <w:iCs/>
          <w:lang w:val="en-GB" w:eastAsia="fr-FR"/>
        </w:rPr>
        <w:t>/N</w:t>
      </w:r>
      <w:r w:rsidRPr="00752DF2">
        <w:rPr>
          <w:lang w:val="en-GB" w:eastAsia="fr-FR"/>
        </w:rPr>
        <w:t xml:space="preserve"> in the case of rain conditions (5% of ground stations) show 34.4 dB margin against the long term protection criteria, a 28.3 dB margin against the protection criteria of </w:t>
      </w:r>
      <w:r w:rsidRPr="00752DF2">
        <w:rPr>
          <w:i/>
          <w:iCs/>
          <w:lang w:val="en-GB" w:eastAsia="fr-FR"/>
        </w:rPr>
        <w:t>I</w:t>
      </w:r>
      <w:r w:rsidRPr="00752DF2">
        <w:rPr>
          <w:iCs/>
          <w:lang w:val="en-GB" w:eastAsia="fr-FR"/>
        </w:rPr>
        <w:t>/</w:t>
      </w:r>
      <w:r w:rsidRPr="00752DF2">
        <w:rPr>
          <w:i/>
          <w:iCs/>
          <w:lang w:val="en-GB" w:eastAsia="fr-FR"/>
        </w:rPr>
        <w:t>N</w:t>
      </w:r>
      <w:r w:rsidRPr="00752DF2">
        <w:rPr>
          <w:lang w:val="en-GB" w:eastAsia="fr-FR"/>
        </w:rPr>
        <w:t> = </w:t>
      </w:r>
      <w:r w:rsidR="00EB0687">
        <w:rPr>
          <w:lang w:val="en-GB" w:eastAsia="fr-FR"/>
        </w:rPr>
        <w:t>−</w:t>
      </w:r>
      <w:r w:rsidRPr="00752DF2">
        <w:rPr>
          <w:lang w:val="en-GB" w:eastAsia="fr-FR"/>
        </w:rPr>
        <w:t>6</w:t>
      </w:r>
      <w:r w:rsidR="00EB0687">
        <w:rPr>
          <w:lang w:val="en-GB" w:eastAsia="fr-FR"/>
        </w:rPr>
        <w:t> </w:t>
      </w:r>
      <w:r w:rsidRPr="00752DF2">
        <w:rPr>
          <w:lang w:val="en-GB" w:eastAsia="fr-FR"/>
        </w:rPr>
        <w:t>dB for 0.6% of cases, and a 39.8 dB margin against the short term protection criteria.</w:t>
      </w:r>
    </w:p>
    <w:p w:rsidR="00B63D8D" w:rsidRPr="00752DF2" w:rsidRDefault="00B63D8D" w:rsidP="00B63D8D">
      <w:pPr>
        <w:pStyle w:val="Heading2"/>
        <w:rPr>
          <w:rFonts w:eastAsia="MS Mincho"/>
          <w:lang w:val="en-GB"/>
        </w:rPr>
      </w:pPr>
      <w:bookmarkStart w:id="224" w:name="_Toc19283739"/>
      <w:bookmarkStart w:id="225" w:name="_Toc19289072"/>
      <w:bookmarkStart w:id="226" w:name="_Toc530661347"/>
      <w:bookmarkStart w:id="227" w:name="_Toc7699383"/>
      <w:r w:rsidRPr="00752DF2">
        <w:rPr>
          <w:rFonts w:eastAsia="MS Mincho"/>
          <w:lang w:val="en-GB"/>
        </w:rPr>
        <w:t>2.3</w:t>
      </w:r>
      <w:r w:rsidRPr="00752DF2">
        <w:rPr>
          <w:rFonts w:eastAsia="MS Mincho"/>
          <w:lang w:val="en-GB"/>
        </w:rPr>
        <w:tab/>
        <w:t>Result of studies</w:t>
      </w:r>
      <w:bookmarkEnd w:id="224"/>
      <w:bookmarkEnd w:id="225"/>
      <w:r w:rsidRPr="00752DF2">
        <w:rPr>
          <w:rFonts w:eastAsia="MS Mincho"/>
          <w:lang w:val="en-GB"/>
        </w:rPr>
        <w:t xml:space="preserve"> </w:t>
      </w:r>
      <w:bookmarkEnd w:id="226"/>
      <w:bookmarkEnd w:id="227"/>
    </w:p>
    <w:p w:rsidR="00B63D8D" w:rsidRPr="00752DF2" w:rsidRDefault="00B63D8D" w:rsidP="00B63D8D">
      <w:pPr>
        <w:rPr>
          <w:lang w:val="en-GB" w:eastAsia="ja-JP"/>
        </w:rPr>
      </w:pPr>
      <w:r w:rsidRPr="00752DF2">
        <w:rPr>
          <w:lang w:val="en-GB" w:eastAsia="ja-JP"/>
        </w:rPr>
        <w:t>The study result, with regard to the short term protection criteria (</w:t>
      </w:r>
      <w:r w:rsidRPr="00752DF2">
        <w:rPr>
          <w:i/>
          <w:iCs/>
          <w:lang w:val="en-GB" w:eastAsia="ja-JP"/>
        </w:rPr>
        <w:t>I</w:t>
      </w:r>
      <w:r w:rsidRPr="00752DF2">
        <w:rPr>
          <w:iCs/>
          <w:lang w:val="en-GB" w:eastAsia="ja-JP"/>
        </w:rPr>
        <w:t>/</w:t>
      </w:r>
      <w:r w:rsidRPr="00752DF2">
        <w:rPr>
          <w:i/>
          <w:iCs/>
          <w:lang w:val="en-GB" w:eastAsia="ja-JP"/>
        </w:rPr>
        <w:t>N</w:t>
      </w:r>
      <w:r w:rsidRPr="00752DF2">
        <w:rPr>
          <w:lang w:val="en-GB" w:eastAsia="ja-JP"/>
        </w:rPr>
        <w:t xml:space="preserve"> = 8 dB 0.02% of cases) and the protection criteria of </w:t>
      </w:r>
      <w:r w:rsidRPr="00752DF2">
        <w:rPr>
          <w:i/>
          <w:iCs/>
          <w:lang w:val="en-GB" w:eastAsia="ja-JP"/>
        </w:rPr>
        <w:t>I</w:t>
      </w:r>
      <w:r w:rsidRPr="00752DF2">
        <w:rPr>
          <w:iCs/>
          <w:lang w:val="en-GB" w:eastAsia="ja-JP"/>
        </w:rPr>
        <w:t>/</w:t>
      </w:r>
      <w:r w:rsidRPr="00752DF2">
        <w:rPr>
          <w:i/>
          <w:iCs/>
          <w:lang w:val="en-GB" w:eastAsia="ja-JP"/>
        </w:rPr>
        <w:t>N</w:t>
      </w:r>
      <w:r w:rsidRPr="00752DF2">
        <w:rPr>
          <w:lang w:val="en-GB" w:eastAsia="ja-JP"/>
        </w:rPr>
        <w:t> = –6 dB for 0.6% of cases, shows that the impact of HAPS ground stations into FSS receivers are equal for the following two scenarios:</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t xml:space="preserve">All HAPS ground stations visible from the FSS satellite emitting at nominal e.i.r.p. and no clouds between the HAPS ground stations. </w:t>
      </w:r>
    </w:p>
    <w:p w:rsidR="00B63D8D" w:rsidRPr="00752DF2" w:rsidRDefault="00B63D8D" w:rsidP="00B63D8D">
      <w:pPr>
        <w:pStyle w:val="enumlev1"/>
        <w:rPr>
          <w:lang w:val="en-GB" w:eastAsia="ja-JP"/>
        </w:rPr>
      </w:pPr>
      <w:r w:rsidRPr="00752DF2">
        <w:rPr>
          <w:lang w:val="en-GB" w:eastAsia="ja-JP"/>
        </w:rPr>
        <w:t>–</w:t>
      </w:r>
      <w:r w:rsidRPr="00752DF2">
        <w:rPr>
          <w:lang w:val="en-GB" w:eastAsia="ja-JP"/>
        </w:rPr>
        <w:tab/>
        <w:t>5% of HAPS ground stations with clouds between the HAPS ground stations and the HAPS are emitting at e.i.r.p. nominal plus 20 dB. 95% of HAPS ground stations with no clouds between the stations and the HAPS are emitting at e.i.r.p. nominal.</w:t>
      </w:r>
    </w:p>
    <w:p w:rsidR="00B63D8D" w:rsidRPr="00752DF2" w:rsidRDefault="00B63D8D" w:rsidP="00B63D8D">
      <w:pPr>
        <w:rPr>
          <w:spacing w:val="-2"/>
          <w:lang w:val="en-GB" w:eastAsia="ja-JP"/>
        </w:rPr>
      </w:pPr>
      <w:r w:rsidRPr="00752DF2">
        <w:rPr>
          <w:spacing w:val="-2"/>
          <w:lang w:val="en-GB" w:eastAsia="ja-JP"/>
        </w:rPr>
        <w:t>With regards to the long term protection criteria (</w:t>
      </w:r>
      <w:r w:rsidRPr="00752DF2">
        <w:rPr>
          <w:i/>
          <w:iCs/>
          <w:spacing w:val="-2"/>
          <w:lang w:val="en-GB" w:eastAsia="ja-JP"/>
        </w:rPr>
        <w:t>I</w:t>
      </w:r>
      <w:r w:rsidRPr="00752DF2">
        <w:rPr>
          <w:iCs/>
          <w:spacing w:val="-2"/>
          <w:lang w:val="en-GB" w:eastAsia="ja-JP"/>
        </w:rPr>
        <w:t>/</w:t>
      </w:r>
      <w:r w:rsidRPr="00752DF2">
        <w:rPr>
          <w:i/>
          <w:iCs/>
          <w:spacing w:val="-2"/>
          <w:lang w:val="en-GB" w:eastAsia="ja-JP"/>
        </w:rPr>
        <w:t>N</w:t>
      </w:r>
      <w:r w:rsidRPr="00752DF2">
        <w:rPr>
          <w:spacing w:val="-2"/>
          <w:lang w:val="en-GB" w:eastAsia="ja-JP"/>
        </w:rPr>
        <w:t xml:space="preserve"> = –10.5 dB 20% of cases), the impact of the rain is around 2 dB. However, the long term protection criteria is not the most limiting criteria compare to the two other protection criteria. Indeed, the study shows that there is more margin than in the case of short term protection criteria and the protection criteria </w:t>
      </w:r>
      <w:r w:rsidRPr="00752DF2">
        <w:rPr>
          <w:spacing w:val="-2"/>
          <w:lang w:val="en-GB" w:eastAsia="fr-FR"/>
        </w:rPr>
        <w:t xml:space="preserve">of </w:t>
      </w:r>
      <w:r w:rsidRPr="00752DF2">
        <w:rPr>
          <w:i/>
          <w:iCs/>
          <w:spacing w:val="-2"/>
          <w:lang w:val="en-GB" w:eastAsia="fr-FR"/>
        </w:rPr>
        <w:t>I</w:t>
      </w:r>
      <w:r w:rsidRPr="00752DF2">
        <w:rPr>
          <w:iCs/>
          <w:spacing w:val="-2"/>
          <w:lang w:val="en-GB" w:eastAsia="fr-FR"/>
        </w:rPr>
        <w:t>/</w:t>
      </w:r>
      <w:r w:rsidRPr="00752DF2">
        <w:rPr>
          <w:i/>
          <w:iCs/>
          <w:spacing w:val="-2"/>
          <w:lang w:val="en-GB" w:eastAsia="fr-FR"/>
        </w:rPr>
        <w:t>N</w:t>
      </w:r>
      <w:r w:rsidRPr="00752DF2">
        <w:rPr>
          <w:spacing w:val="-2"/>
          <w:lang w:val="en-GB" w:eastAsia="fr-FR"/>
        </w:rPr>
        <w:t> = –6 dB for 0.6% of cases</w:t>
      </w:r>
      <w:r w:rsidRPr="00752DF2">
        <w:rPr>
          <w:spacing w:val="-2"/>
          <w:lang w:val="en-GB" w:eastAsia="ja-JP"/>
        </w:rPr>
        <w:t xml:space="preserve">. </w:t>
      </w:r>
    </w:p>
    <w:p w:rsidR="00B63D8D" w:rsidRPr="00752DF2" w:rsidRDefault="00B63D8D" w:rsidP="00B63D8D">
      <w:pPr>
        <w:rPr>
          <w:lang w:val="en-GB" w:eastAsia="ja-JP"/>
        </w:rPr>
      </w:pPr>
      <w:r w:rsidRPr="00752DF2">
        <w:rPr>
          <w:lang w:val="en-GB" w:eastAsia="ja-JP"/>
        </w:rPr>
        <w:t>Therefore, it can be concluded that during periods of rain, the e.i.r.p. limits in clear sky condition can be increased by up to 20 dB to compensate for the level of rain fade as appropriate.</w:t>
      </w:r>
    </w:p>
    <w:p w:rsidR="00B63D8D" w:rsidRPr="00752DF2" w:rsidRDefault="00B63D8D" w:rsidP="00B63D8D">
      <w:pPr>
        <w:rPr>
          <w:lang w:val="en-GB" w:eastAsia="ja-JP"/>
        </w:rPr>
      </w:pPr>
      <w:r w:rsidRPr="00752DF2">
        <w:rPr>
          <w:lang w:val="en-GB" w:eastAsia="ja-JP"/>
        </w:rPr>
        <w:t xml:space="preserve">In the case of HAPS ground stations with a higher nominal e.i.r.p., the margin of difference can be compared to the margin shown in Fig. 21 for the difference between </w:t>
      </w:r>
      <w:r w:rsidRPr="00752DF2">
        <w:rPr>
          <w:i/>
          <w:iCs/>
          <w:lang w:val="en-GB" w:eastAsia="ja-JP"/>
        </w:rPr>
        <w:t>I</w:t>
      </w:r>
      <w:r w:rsidRPr="00752DF2">
        <w:rPr>
          <w:iCs/>
          <w:lang w:val="en-GB" w:eastAsia="ja-JP"/>
        </w:rPr>
        <w:t>/</w:t>
      </w:r>
      <w:r w:rsidRPr="00752DF2">
        <w:rPr>
          <w:i/>
          <w:iCs/>
          <w:lang w:val="en-GB" w:eastAsia="ja-JP"/>
        </w:rPr>
        <w:t>N</w:t>
      </w:r>
      <w:r w:rsidRPr="00752DF2">
        <w:rPr>
          <w:i/>
          <w:iCs/>
          <w:vertAlign w:val="subscript"/>
          <w:lang w:val="en-GB" w:eastAsia="ja-JP"/>
        </w:rPr>
        <w:t>agg_atpc</w:t>
      </w:r>
      <w:r w:rsidRPr="00752DF2">
        <w:rPr>
          <w:lang w:val="en-GB" w:eastAsia="ja-JP"/>
        </w:rPr>
        <w:t xml:space="preserve"> results and the FSS protection criteria.</w:t>
      </w:r>
    </w:p>
    <w:p w:rsidR="00B63D8D" w:rsidRPr="00752DF2" w:rsidRDefault="00B63D8D" w:rsidP="00BE2087">
      <w:pPr>
        <w:rPr>
          <w:lang w:val="en-GB" w:eastAsia="ja-JP"/>
        </w:rPr>
      </w:pPr>
    </w:p>
    <w:p w:rsidR="00BE2087" w:rsidRDefault="00BE2087" w:rsidP="00BE2087">
      <w:pPr>
        <w:pStyle w:val="Line"/>
        <w:rPr>
          <w:lang w:eastAsia="ja-JP"/>
        </w:rPr>
      </w:pPr>
    </w:p>
    <w:sectPr w:rsidR="00BE2087" w:rsidSect="007565CC">
      <w:headerReference w:type="even" r:id="rId42"/>
      <w:headerReference w:type="default" r:id="rId4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EFE" w:rsidRDefault="00194EFE">
      <w:r>
        <w:separator/>
      </w:r>
    </w:p>
  </w:endnote>
  <w:endnote w:type="continuationSeparator" w:id="0">
    <w:p w:rsidR="00194EFE" w:rsidRDefault="0019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EFE" w:rsidRDefault="00194EFE">
      <w:r>
        <w:separator/>
      </w:r>
    </w:p>
  </w:footnote>
  <w:footnote w:type="continuationSeparator" w:id="0">
    <w:p w:rsidR="00194EFE" w:rsidRDefault="00194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EFE" w:rsidRPr="005A7013" w:rsidRDefault="00194EFE"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0A0826">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Pr="00B5458E">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0A0826">
      <w:rPr>
        <w:b/>
        <w:bCs/>
        <w:noProof/>
        <w:lang w:val="en-US"/>
      </w:rPr>
      <w:t>ITU-R  F.2476-0</w:t>
    </w:r>
    <w:r w:rsidRPr="00D959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EFE" w:rsidRDefault="00194EFE" w:rsidP="00B033C8">
    <w:pPr>
      <w:pStyle w:val="Header"/>
      <w:ind w:right="360" w:firstLine="360"/>
    </w:pPr>
    <w:r>
      <w:rPr>
        <w:noProof/>
        <w:lang w:val="en-GB" w:eastAsia="en-GB"/>
      </w:rPr>
      <w:drawing>
        <wp:anchor distT="0" distB="0" distL="114300" distR="114300" simplePos="0" relativeHeight="251656704" behindDoc="1" locked="0" layoutInCell="1" allowOverlap="1" wp14:anchorId="2E01C061" wp14:editId="143E080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EFE" w:rsidRPr="005A7013" w:rsidRDefault="00194EFE" w:rsidP="002C46C0">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0A0826">
      <w:rPr>
        <w:b/>
        <w:bCs/>
        <w:noProof/>
        <w:lang w:val="en-US"/>
      </w:rPr>
      <w:t>12</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Pr="00B5458E">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0A0826">
      <w:rPr>
        <w:b/>
        <w:bCs/>
        <w:noProof/>
        <w:lang w:val="en-US"/>
      </w:rPr>
      <w:t>ITU-R  F.2476-0</w:t>
    </w:r>
    <w:r w:rsidRPr="00D9592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EFE" w:rsidRPr="00D95923" w:rsidRDefault="00194EFE" w:rsidP="00D95923">
    <w:pPr>
      <w:pStyle w:val="Header"/>
    </w:pPr>
    <w:r w:rsidRPr="00D9592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0A0826">
      <w:rPr>
        <w:b/>
        <w:bCs/>
        <w:noProof/>
        <w:lang w:val="en-US"/>
      </w:rPr>
      <w:t>ITU-R  F.2476-0</w:t>
    </w:r>
    <w:r w:rsidRPr="00D95923">
      <w:fldChar w:fldCharType="end"/>
    </w:r>
    <w:r w:rsidRPr="00D95923">
      <w:tab/>
    </w:r>
    <w:r w:rsidRPr="00D95923">
      <w:rPr>
        <w:b/>
        <w:bCs/>
      </w:rPr>
      <w:fldChar w:fldCharType="begin"/>
    </w:r>
    <w:r w:rsidRPr="00D95923">
      <w:rPr>
        <w:b/>
        <w:bCs/>
        <w:lang w:val="en-US"/>
      </w:rPr>
      <w:instrText xml:space="preserve"> PAGE </w:instrText>
    </w:r>
    <w:r w:rsidRPr="00D95923">
      <w:rPr>
        <w:b/>
        <w:bCs/>
      </w:rPr>
      <w:fldChar w:fldCharType="separate"/>
    </w:r>
    <w:r w:rsidR="000A0826">
      <w:rPr>
        <w:b/>
        <w:bCs/>
        <w:noProof/>
        <w:lang w:val="en-US"/>
      </w:rPr>
      <w:t>11</w:t>
    </w:r>
    <w:r w:rsidRPr="00D9592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42"/>
    <w:rsid w:val="00023E30"/>
    <w:rsid w:val="00033FEA"/>
    <w:rsid w:val="00050D41"/>
    <w:rsid w:val="00072484"/>
    <w:rsid w:val="00081C0B"/>
    <w:rsid w:val="0009150E"/>
    <w:rsid w:val="00096612"/>
    <w:rsid w:val="00097DB0"/>
    <w:rsid w:val="000A0826"/>
    <w:rsid w:val="000B7683"/>
    <w:rsid w:val="000B7B53"/>
    <w:rsid w:val="000C0413"/>
    <w:rsid w:val="000C3624"/>
    <w:rsid w:val="000E4FD1"/>
    <w:rsid w:val="000F3C25"/>
    <w:rsid w:val="000F6FC4"/>
    <w:rsid w:val="00102934"/>
    <w:rsid w:val="001048E2"/>
    <w:rsid w:val="00147110"/>
    <w:rsid w:val="00163550"/>
    <w:rsid w:val="00194111"/>
    <w:rsid w:val="00194EFE"/>
    <w:rsid w:val="001A5259"/>
    <w:rsid w:val="001A6007"/>
    <w:rsid w:val="001C70F6"/>
    <w:rsid w:val="00201545"/>
    <w:rsid w:val="002058CE"/>
    <w:rsid w:val="00205EEB"/>
    <w:rsid w:val="002165F1"/>
    <w:rsid w:val="00247681"/>
    <w:rsid w:val="002558DC"/>
    <w:rsid w:val="00276D21"/>
    <w:rsid w:val="00280CD5"/>
    <w:rsid w:val="00296D7F"/>
    <w:rsid w:val="00297D43"/>
    <w:rsid w:val="002B32C9"/>
    <w:rsid w:val="002B3CF6"/>
    <w:rsid w:val="002C46C0"/>
    <w:rsid w:val="002C768A"/>
    <w:rsid w:val="002D1160"/>
    <w:rsid w:val="002D76C4"/>
    <w:rsid w:val="00351573"/>
    <w:rsid w:val="003571CE"/>
    <w:rsid w:val="00357282"/>
    <w:rsid w:val="00362ED1"/>
    <w:rsid w:val="00382E8A"/>
    <w:rsid w:val="003B6267"/>
    <w:rsid w:val="00420DFD"/>
    <w:rsid w:val="004319C1"/>
    <w:rsid w:val="00436809"/>
    <w:rsid w:val="00470E28"/>
    <w:rsid w:val="004720FC"/>
    <w:rsid w:val="00481A00"/>
    <w:rsid w:val="00483322"/>
    <w:rsid w:val="004934C5"/>
    <w:rsid w:val="004B0965"/>
    <w:rsid w:val="00505FB4"/>
    <w:rsid w:val="00526063"/>
    <w:rsid w:val="00556548"/>
    <w:rsid w:val="005600C9"/>
    <w:rsid w:val="00576C6B"/>
    <w:rsid w:val="00586EF8"/>
    <w:rsid w:val="005A7013"/>
    <w:rsid w:val="005A791E"/>
    <w:rsid w:val="005B49AB"/>
    <w:rsid w:val="005B50E7"/>
    <w:rsid w:val="005E7B4F"/>
    <w:rsid w:val="00607D68"/>
    <w:rsid w:val="006149B1"/>
    <w:rsid w:val="00680D2B"/>
    <w:rsid w:val="00681B32"/>
    <w:rsid w:val="006A1F02"/>
    <w:rsid w:val="006E2037"/>
    <w:rsid w:val="006F2B77"/>
    <w:rsid w:val="00712870"/>
    <w:rsid w:val="00743D85"/>
    <w:rsid w:val="0074518F"/>
    <w:rsid w:val="00752DF2"/>
    <w:rsid w:val="00752FD3"/>
    <w:rsid w:val="00753CF4"/>
    <w:rsid w:val="007543EE"/>
    <w:rsid w:val="007565CC"/>
    <w:rsid w:val="00763B9A"/>
    <w:rsid w:val="007A4F79"/>
    <w:rsid w:val="007A6AA8"/>
    <w:rsid w:val="007A7248"/>
    <w:rsid w:val="007B203C"/>
    <w:rsid w:val="007C2459"/>
    <w:rsid w:val="007F215C"/>
    <w:rsid w:val="00811FBD"/>
    <w:rsid w:val="008252AD"/>
    <w:rsid w:val="008310C9"/>
    <w:rsid w:val="00836298"/>
    <w:rsid w:val="0083772B"/>
    <w:rsid w:val="0084795C"/>
    <w:rsid w:val="00852A34"/>
    <w:rsid w:val="00870342"/>
    <w:rsid w:val="0087251C"/>
    <w:rsid w:val="00875B79"/>
    <w:rsid w:val="008815AC"/>
    <w:rsid w:val="008B2CC6"/>
    <w:rsid w:val="008C7848"/>
    <w:rsid w:val="008D3D8D"/>
    <w:rsid w:val="009030CC"/>
    <w:rsid w:val="00915525"/>
    <w:rsid w:val="00917AF2"/>
    <w:rsid w:val="0092418A"/>
    <w:rsid w:val="00934ED7"/>
    <w:rsid w:val="00945841"/>
    <w:rsid w:val="009474D9"/>
    <w:rsid w:val="009543C3"/>
    <w:rsid w:val="00966E1B"/>
    <w:rsid w:val="009872E9"/>
    <w:rsid w:val="009A351D"/>
    <w:rsid w:val="009C2350"/>
    <w:rsid w:val="009F2D2C"/>
    <w:rsid w:val="00A54559"/>
    <w:rsid w:val="00A6617B"/>
    <w:rsid w:val="00A71FE5"/>
    <w:rsid w:val="00AA1D87"/>
    <w:rsid w:val="00AA3AD8"/>
    <w:rsid w:val="00AB0DC8"/>
    <w:rsid w:val="00AC3946"/>
    <w:rsid w:val="00AD26B8"/>
    <w:rsid w:val="00AF0B77"/>
    <w:rsid w:val="00B033C8"/>
    <w:rsid w:val="00B036D9"/>
    <w:rsid w:val="00B05ADD"/>
    <w:rsid w:val="00B257C1"/>
    <w:rsid w:val="00B33425"/>
    <w:rsid w:val="00B44E24"/>
    <w:rsid w:val="00B47809"/>
    <w:rsid w:val="00B5458E"/>
    <w:rsid w:val="00B54ECC"/>
    <w:rsid w:val="00B567BC"/>
    <w:rsid w:val="00B61918"/>
    <w:rsid w:val="00B63D8D"/>
    <w:rsid w:val="00B714F3"/>
    <w:rsid w:val="00B75A37"/>
    <w:rsid w:val="00BC5D77"/>
    <w:rsid w:val="00BC6FC2"/>
    <w:rsid w:val="00BD3F5C"/>
    <w:rsid w:val="00BE2087"/>
    <w:rsid w:val="00BE5B84"/>
    <w:rsid w:val="00BF15C3"/>
    <w:rsid w:val="00BF487A"/>
    <w:rsid w:val="00C46BD9"/>
    <w:rsid w:val="00C55258"/>
    <w:rsid w:val="00C728FC"/>
    <w:rsid w:val="00C73560"/>
    <w:rsid w:val="00C7761D"/>
    <w:rsid w:val="00C92658"/>
    <w:rsid w:val="00C93B65"/>
    <w:rsid w:val="00CA501B"/>
    <w:rsid w:val="00CB0F14"/>
    <w:rsid w:val="00CB47A0"/>
    <w:rsid w:val="00CB60A4"/>
    <w:rsid w:val="00CD58B5"/>
    <w:rsid w:val="00CD659B"/>
    <w:rsid w:val="00CD7A62"/>
    <w:rsid w:val="00CF0D45"/>
    <w:rsid w:val="00CF34B5"/>
    <w:rsid w:val="00D0034D"/>
    <w:rsid w:val="00D10CF1"/>
    <w:rsid w:val="00D17EEB"/>
    <w:rsid w:val="00D43E33"/>
    <w:rsid w:val="00D503C9"/>
    <w:rsid w:val="00D50B43"/>
    <w:rsid w:val="00D51FE8"/>
    <w:rsid w:val="00D55B55"/>
    <w:rsid w:val="00D55C17"/>
    <w:rsid w:val="00D57367"/>
    <w:rsid w:val="00D66AA0"/>
    <w:rsid w:val="00D722EF"/>
    <w:rsid w:val="00D73FBE"/>
    <w:rsid w:val="00D8150A"/>
    <w:rsid w:val="00D83331"/>
    <w:rsid w:val="00D91F7F"/>
    <w:rsid w:val="00D95923"/>
    <w:rsid w:val="00D95E00"/>
    <w:rsid w:val="00DB4F6A"/>
    <w:rsid w:val="00DB6B90"/>
    <w:rsid w:val="00DE5C2D"/>
    <w:rsid w:val="00DF087C"/>
    <w:rsid w:val="00DF4176"/>
    <w:rsid w:val="00E17240"/>
    <w:rsid w:val="00E1785F"/>
    <w:rsid w:val="00E7610E"/>
    <w:rsid w:val="00E83CDE"/>
    <w:rsid w:val="00E84492"/>
    <w:rsid w:val="00EB0687"/>
    <w:rsid w:val="00ED683F"/>
    <w:rsid w:val="00F103A9"/>
    <w:rsid w:val="00F20231"/>
    <w:rsid w:val="00F27443"/>
    <w:rsid w:val="00F30C9B"/>
    <w:rsid w:val="00F354B1"/>
    <w:rsid w:val="00F545E6"/>
    <w:rsid w:val="00F7015E"/>
    <w:rsid w:val="00F72869"/>
    <w:rsid w:val="00F77437"/>
    <w:rsid w:val="00F90896"/>
    <w:rsid w:val="00FB0E4E"/>
    <w:rsid w:val="00FE44F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4817">
      <o:colormru v:ext="edit" colors="#d62a47"/>
      <o:colormenu v:ext="edit" strokecolor="#d62a47"/>
    </o:shapedefaults>
    <o:shapelayout v:ext="edit">
      <o:idmap v:ext="edit" data="1"/>
    </o:shapelayout>
  </w:shapeDefaults>
  <w:decimalSymbol w:val="."/>
  <w:listSeparator w:val=","/>
  <w15:docId w15:val="{03B24CD4-162B-4310-AFA6-8CA5C3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E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33FEA"/>
    <w:pPr>
      <w:keepNext/>
      <w:keepLines/>
      <w:spacing w:before="480"/>
      <w:ind w:left="794" w:hanging="794"/>
      <w:outlineLvl w:val="0"/>
    </w:pPr>
    <w:rPr>
      <w:b/>
    </w:rPr>
  </w:style>
  <w:style w:type="paragraph" w:styleId="Heading2">
    <w:name w:val="heading 2"/>
    <w:basedOn w:val="Heading1"/>
    <w:next w:val="Normal"/>
    <w:link w:val="Heading2Char"/>
    <w:qFormat/>
    <w:rsid w:val="00033FEA"/>
    <w:pPr>
      <w:spacing w:before="320"/>
      <w:outlineLvl w:val="1"/>
    </w:pPr>
  </w:style>
  <w:style w:type="paragraph" w:styleId="Heading3">
    <w:name w:val="heading 3"/>
    <w:basedOn w:val="Heading1"/>
    <w:next w:val="Normal"/>
    <w:link w:val="Heading3Char"/>
    <w:qFormat/>
    <w:rsid w:val="00033FEA"/>
    <w:pPr>
      <w:spacing w:before="200"/>
      <w:outlineLvl w:val="2"/>
    </w:pPr>
  </w:style>
  <w:style w:type="paragraph" w:styleId="Heading4">
    <w:name w:val="heading 4"/>
    <w:basedOn w:val="Heading3"/>
    <w:next w:val="Normal"/>
    <w:link w:val="Heading4Char"/>
    <w:qFormat/>
    <w:rsid w:val="00033FEA"/>
    <w:pPr>
      <w:tabs>
        <w:tab w:val="clear" w:pos="794"/>
        <w:tab w:val="left" w:pos="992"/>
      </w:tabs>
      <w:ind w:left="992" w:hanging="992"/>
      <w:outlineLvl w:val="3"/>
    </w:pPr>
  </w:style>
  <w:style w:type="paragraph" w:styleId="Heading5">
    <w:name w:val="heading 5"/>
    <w:basedOn w:val="Heading4"/>
    <w:next w:val="Normal"/>
    <w:link w:val="Heading5Char"/>
    <w:qFormat/>
    <w:rsid w:val="00033FEA"/>
    <w:pPr>
      <w:outlineLvl w:val="4"/>
    </w:pPr>
  </w:style>
  <w:style w:type="paragraph" w:styleId="Heading6">
    <w:name w:val="heading 6"/>
    <w:basedOn w:val="Heading4"/>
    <w:next w:val="Normal"/>
    <w:link w:val="Heading6Char"/>
    <w:qFormat/>
    <w:rsid w:val="00033FEA"/>
    <w:pPr>
      <w:tabs>
        <w:tab w:val="clear" w:pos="992"/>
        <w:tab w:val="clear" w:pos="1191"/>
      </w:tabs>
      <w:ind w:left="1588" w:hanging="1588"/>
      <w:outlineLvl w:val="5"/>
    </w:pPr>
  </w:style>
  <w:style w:type="paragraph" w:styleId="Heading7">
    <w:name w:val="heading 7"/>
    <w:basedOn w:val="Heading6"/>
    <w:next w:val="Normal"/>
    <w:link w:val="Heading7Char"/>
    <w:qFormat/>
    <w:rsid w:val="00033FEA"/>
    <w:pPr>
      <w:outlineLvl w:val="6"/>
    </w:pPr>
  </w:style>
  <w:style w:type="paragraph" w:styleId="Heading8">
    <w:name w:val="heading 8"/>
    <w:basedOn w:val="Heading6"/>
    <w:next w:val="Normal"/>
    <w:link w:val="Heading8Char"/>
    <w:qFormat/>
    <w:rsid w:val="00033FEA"/>
    <w:pPr>
      <w:outlineLvl w:val="7"/>
    </w:pPr>
  </w:style>
  <w:style w:type="paragraph" w:styleId="Heading9">
    <w:name w:val="heading 9"/>
    <w:basedOn w:val="Heading6"/>
    <w:next w:val="Normal"/>
    <w:link w:val="Heading9Char"/>
    <w:qFormat/>
    <w:rsid w:val="00033F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033FEA"/>
    <w:pPr>
      <w:keepNext/>
      <w:keepLines/>
      <w:spacing w:after="280"/>
      <w:jc w:val="center"/>
    </w:pPr>
  </w:style>
  <w:style w:type="paragraph" w:customStyle="1" w:styleId="Blanc">
    <w:name w:val="Blanc"/>
    <w:basedOn w:val="Normal"/>
    <w:next w:val="Tabletext"/>
    <w:rsid w:val="00033FEA"/>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52D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rsid w:val="00033FE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33FE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33FEA"/>
  </w:style>
  <w:style w:type="paragraph" w:customStyle="1" w:styleId="Headingb">
    <w:name w:val="Heading_b"/>
    <w:basedOn w:val="Heading3"/>
    <w:next w:val="Normal"/>
    <w:link w:val="HeadingbChar"/>
    <w:rsid w:val="00033FEA"/>
    <w:pPr>
      <w:spacing w:before="160"/>
      <w:ind w:left="0" w:firstLine="0"/>
      <w:outlineLvl w:val="9"/>
    </w:pPr>
  </w:style>
  <w:style w:type="paragraph" w:customStyle="1" w:styleId="Headingi">
    <w:name w:val="Heading_i"/>
    <w:basedOn w:val="Heading3"/>
    <w:next w:val="Normal"/>
    <w:rsid w:val="00033FEA"/>
    <w:pPr>
      <w:spacing w:before="160"/>
      <w:ind w:left="0" w:firstLine="0"/>
    </w:pPr>
    <w:rPr>
      <w:b w:val="0"/>
      <w:i/>
    </w:rPr>
  </w:style>
  <w:style w:type="character" w:customStyle="1" w:styleId="href">
    <w:name w:val="href"/>
    <w:basedOn w:val="DefaultParagraphFont"/>
    <w:rsid w:val="00033FEA"/>
  </w:style>
  <w:style w:type="paragraph" w:customStyle="1" w:styleId="AnnexNoTitle">
    <w:name w:val="Annex_NoTitle"/>
    <w:basedOn w:val="Normal"/>
    <w:next w:val="Normalaftertitle"/>
    <w:rsid w:val="00194EFE"/>
    <w:pPr>
      <w:keepNext/>
      <w:keepLines/>
      <w:spacing w:before="480" w:after="80"/>
      <w:jc w:val="center"/>
      <w:outlineLvl w:val="0"/>
    </w:pPr>
    <w:rPr>
      <w:b/>
      <w:sz w:val="28"/>
    </w:rPr>
  </w:style>
  <w:style w:type="paragraph" w:customStyle="1" w:styleId="enumlev1">
    <w:name w:val="enumlev1"/>
    <w:basedOn w:val="Normal"/>
    <w:link w:val="enumlev1Char"/>
    <w:rsid w:val="00033FEA"/>
    <w:pPr>
      <w:spacing w:before="80"/>
      <w:ind w:left="794" w:hanging="794"/>
    </w:pPr>
  </w:style>
  <w:style w:type="paragraph" w:customStyle="1" w:styleId="Equation">
    <w:name w:val="Equation"/>
    <w:basedOn w:val="Normal"/>
    <w:link w:val="EquationChar"/>
    <w:rsid w:val="00033FEA"/>
    <w:pPr>
      <w:tabs>
        <w:tab w:val="clear" w:pos="1191"/>
        <w:tab w:val="clear" w:pos="1588"/>
        <w:tab w:val="clear" w:pos="1985"/>
        <w:tab w:val="center" w:pos="4820"/>
        <w:tab w:val="right" w:pos="9639"/>
      </w:tabs>
    </w:pPr>
  </w:style>
  <w:style w:type="paragraph" w:customStyle="1" w:styleId="enumlev2">
    <w:name w:val="enumlev2"/>
    <w:basedOn w:val="enumlev1"/>
    <w:rsid w:val="00033FEA"/>
    <w:pPr>
      <w:ind w:left="1191" w:hanging="397"/>
    </w:pPr>
  </w:style>
  <w:style w:type="paragraph" w:styleId="FootnoteText">
    <w:name w:val="footnote text"/>
    <w:basedOn w:val="Normal"/>
    <w:link w:val="FootnoteTextChar"/>
    <w:rsid w:val="00033FEA"/>
    <w:pPr>
      <w:keepLines/>
      <w:tabs>
        <w:tab w:val="left" w:pos="255"/>
      </w:tabs>
      <w:ind w:left="255" w:hanging="255"/>
    </w:pPr>
    <w:rPr>
      <w:sz w:val="22"/>
    </w:rPr>
  </w:style>
  <w:style w:type="paragraph" w:customStyle="1" w:styleId="Normalaftertitle">
    <w:name w:val="Normal_after_title"/>
    <w:basedOn w:val="Normal"/>
    <w:next w:val="Normal"/>
    <w:rsid w:val="00033FEA"/>
    <w:pPr>
      <w:spacing w:before="320"/>
    </w:pPr>
  </w:style>
  <w:style w:type="paragraph" w:customStyle="1" w:styleId="enumlev3">
    <w:name w:val="enumlev3"/>
    <w:basedOn w:val="enumlev2"/>
    <w:rsid w:val="00033FEA"/>
    <w:pPr>
      <w:ind w:left="1588"/>
    </w:pPr>
  </w:style>
  <w:style w:type="paragraph" w:customStyle="1" w:styleId="Note">
    <w:name w:val="Note"/>
    <w:basedOn w:val="Normal"/>
    <w:rsid w:val="00033FE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33F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33FEA"/>
    <w:pPr>
      <w:keepNext/>
      <w:keepLines/>
      <w:spacing w:before="240"/>
      <w:jc w:val="center"/>
    </w:pPr>
    <w:rPr>
      <w:b/>
      <w:sz w:val="28"/>
    </w:rPr>
  </w:style>
  <w:style w:type="paragraph" w:customStyle="1" w:styleId="Recref">
    <w:name w:val="Rec_ref"/>
    <w:basedOn w:val="Normal"/>
    <w:next w:val="Recdate"/>
    <w:rsid w:val="00033FEA"/>
    <w:pPr>
      <w:jc w:val="center"/>
    </w:pPr>
  </w:style>
  <w:style w:type="paragraph" w:customStyle="1" w:styleId="Recdate">
    <w:name w:val="Rec_date"/>
    <w:basedOn w:val="Recref"/>
    <w:next w:val="Normalaftertitle"/>
    <w:rsid w:val="00033FEA"/>
    <w:pPr>
      <w:jc w:val="right"/>
    </w:pPr>
  </w:style>
  <w:style w:type="paragraph" w:customStyle="1" w:styleId="HeadingSum">
    <w:name w:val="Heading_Sum"/>
    <w:basedOn w:val="Headingb"/>
    <w:next w:val="Normal"/>
    <w:autoRedefine/>
    <w:rsid w:val="00033FEA"/>
    <w:pPr>
      <w:spacing w:before="240"/>
    </w:pPr>
    <w:rPr>
      <w:sz w:val="22"/>
      <w:lang w:val="es-ES_tradnl"/>
    </w:rPr>
  </w:style>
  <w:style w:type="paragraph" w:customStyle="1" w:styleId="AppendixNoTitle">
    <w:name w:val="Appendix_NoTitle"/>
    <w:basedOn w:val="AnnexNoTitle"/>
    <w:next w:val="Normal"/>
    <w:rsid w:val="00033FEA"/>
  </w:style>
  <w:style w:type="paragraph" w:customStyle="1" w:styleId="Tablefin">
    <w:name w:val="Table_fin"/>
    <w:basedOn w:val="Normal"/>
    <w:next w:val="Normal"/>
    <w:rsid w:val="00033FEA"/>
    <w:pPr>
      <w:spacing w:before="0"/>
    </w:pPr>
    <w:rPr>
      <w:sz w:val="20"/>
      <w:lang w:val="en-GB"/>
    </w:rPr>
  </w:style>
  <w:style w:type="paragraph" w:customStyle="1" w:styleId="Tablehead">
    <w:name w:val="Table_head"/>
    <w:basedOn w:val="Normal"/>
    <w:next w:val="Normal"/>
    <w:link w:val="TableheadChar"/>
    <w:rsid w:val="00033F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33F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33FEA"/>
    <w:pPr>
      <w:keepNext/>
      <w:spacing w:before="360" w:after="120"/>
      <w:jc w:val="center"/>
    </w:pPr>
  </w:style>
  <w:style w:type="paragraph" w:customStyle="1" w:styleId="Equationlegend">
    <w:name w:val="Equation_legend"/>
    <w:basedOn w:val="NormalIndent"/>
    <w:link w:val="EquationlegendChar"/>
    <w:rsid w:val="00033F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33FEA"/>
    <w:pPr>
      <w:ind w:left="794"/>
    </w:pPr>
  </w:style>
  <w:style w:type="paragraph" w:customStyle="1" w:styleId="Figurelegend">
    <w:name w:val="Figure_legend"/>
    <w:basedOn w:val="Normal"/>
    <w:rsid w:val="00033F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33FEA"/>
    <w:pPr>
      <w:keepNext/>
      <w:keepLines/>
      <w:spacing w:before="480" w:after="80"/>
      <w:jc w:val="center"/>
    </w:pPr>
    <w:rPr>
      <w:caps/>
      <w:sz w:val="18"/>
    </w:rPr>
  </w:style>
  <w:style w:type="paragraph" w:customStyle="1" w:styleId="Figuretitle">
    <w:name w:val="Figure_title"/>
    <w:basedOn w:val="Normal"/>
    <w:next w:val="Figure"/>
    <w:link w:val="FiguretitleChar"/>
    <w:rsid w:val="00033FE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33FEA"/>
    <w:pPr>
      <w:keepNext w:val="0"/>
      <w:spacing w:before="0" w:after="240"/>
    </w:pPr>
  </w:style>
  <w:style w:type="paragraph" w:customStyle="1" w:styleId="tocpart">
    <w:name w:val="tocpart"/>
    <w:basedOn w:val="Normal"/>
    <w:rsid w:val="00033F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33FEA"/>
    <w:pPr>
      <w:keepNext/>
      <w:keepLines/>
      <w:spacing w:before="480"/>
      <w:jc w:val="center"/>
    </w:pPr>
    <w:rPr>
      <w:sz w:val="28"/>
    </w:rPr>
  </w:style>
  <w:style w:type="paragraph" w:customStyle="1" w:styleId="Arttitle">
    <w:name w:val="Art_title"/>
    <w:basedOn w:val="Normal"/>
    <w:next w:val="Normalaftertitle"/>
    <w:rsid w:val="00033FEA"/>
    <w:pPr>
      <w:keepNext/>
      <w:keepLines/>
      <w:spacing w:before="240"/>
      <w:jc w:val="center"/>
    </w:pPr>
    <w:rPr>
      <w:b/>
      <w:sz w:val="28"/>
    </w:rPr>
  </w:style>
  <w:style w:type="paragraph" w:customStyle="1" w:styleId="ASN1">
    <w:name w:val="ASN.1"/>
    <w:basedOn w:val="Normal"/>
    <w:next w:val="Normal"/>
    <w:rsid w:val="00033F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33FEA"/>
    <w:pPr>
      <w:keepNext/>
      <w:keepLines/>
      <w:spacing w:before="160"/>
      <w:ind w:left="794"/>
    </w:pPr>
    <w:rPr>
      <w:i/>
    </w:rPr>
  </w:style>
  <w:style w:type="paragraph" w:customStyle="1" w:styleId="ChapNo">
    <w:name w:val="Chap_No"/>
    <w:basedOn w:val="ArtNo"/>
    <w:next w:val="Chaptitle"/>
    <w:rsid w:val="00033FEA"/>
    <w:rPr>
      <w:b/>
    </w:rPr>
  </w:style>
  <w:style w:type="character" w:styleId="FootnoteReference">
    <w:name w:val="footnote reference"/>
    <w:basedOn w:val="DefaultParagraphFont"/>
    <w:rsid w:val="00033FEA"/>
    <w:rPr>
      <w:position w:val="6"/>
      <w:sz w:val="18"/>
    </w:rPr>
  </w:style>
  <w:style w:type="paragraph" w:styleId="Index1">
    <w:name w:val="index 1"/>
    <w:basedOn w:val="Normal"/>
    <w:next w:val="Normal"/>
    <w:semiHidden/>
    <w:rsid w:val="00033FEA"/>
  </w:style>
  <w:style w:type="paragraph" w:styleId="Index2">
    <w:name w:val="index 2"/>
    <w:basedOn w:val="Normal"/>
    <w:next w:val="Normal"/>
    <w:semiHidden/>
    <w:rsid w:val="00033FEA"/>
    <w:pPr>
      <w:ind w:left="283"/>
    </w:pPr>
  </w:style>
  <w:style w:type="paragraph" w:styleId="Index3">
    <w:name w:val="index 3"/>
    <w:basedOn w:val="Normal"/>
    <w:next w:val="Normal"/>
    <w:semiHidden/>
    <w:rsid w:val="00033FEA"/>
    <w:pPr>
      <w:ind w:left="566"/>
    </w:pPr>
  </w:style>
  <w:style w:type="paragraph" w:styleId="IndexHeading">
    <w:name w:val="index heading"/>
    <w:basedOn w:val="Normal"/>
    <w:next w:val="Index1"/>
    <w:rsid w:val="00033FEA"/>
  </w:style>
  <w:style w:type="paragraph" w:customStyle="1" w:styleId="Line">
    <w:name w:val="Line"/>
    <w:basedOn w:val="Normal"/>
    <w:next w:val="Normal"/>
    <w:rsid w:val="00033F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33F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33FEA"/>
  </w:style>
  <w:style w:type="paragraph" w:customStyle="1" w:styleId="Partref">
    <w:name w:val="Part_ref"/>
    <w:basedOn w:val="Normal"/>
    <w:next w:val="Normal"/>
    <w:rsid w:val="00033FEA"/>
    <w:pPr>
      <w:keepNext/>
      <w:keepLines/>
      <w:spacing w:after="280"/>
      <w:jc w:val="center"/>
    </w:pPr>
  </w:style>
  <w:style w:type="paragraph" w:customStyle="1" w:styleId="Parttitle">
    <w:name w:val="Part_title"/>
    <w:basedOn w:val="Normal"/>
    <w:next w:val="Normalaftertitle"/>
    <w:rsid w:val="00033F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33FEA"/>
  </w:style>
  <w:style w:type="paragraph" w:customStyle="1" w:styleId="QuestionNo">
    <w:name w:val="Question_No"/>
    <w:basedOn w:val="RecNo"/>
    <w:next w:val="Normal"/>
    <w:rsid w:val="00033FEA"/>
  </w:style>
  <w:style w:type="paragraph" w:customStyle="1" w:styleId="Questionref">
    <w:name w:val="Question_ref"/>
    <w:basedOn w:val="Recref"/>
    <w:next w:val="Questiondate"/>
    <w:rsid w:val="00033FEA"/>
  </w:style>
  <w:style w:type="paragraph" w:customStyle="1" w:styleId="Questiontitle">
    <w:name w:val="Question_title"/>
    <w:basedOn w:val="Normal"/>
    <w:next w:val="Questionref"/>
    <w:rsid w:val="00033FEA"/>
  </w:style>
  <w:style w:type="paragraph" w:customStyle="1" w:styleId="Reftext">
    <w:name w:val="Ref_text"/>
    <w:basedOn w:val="Normal"/>
    <w:rsid w:val="00033FEA"/>
    <w:pPr>
      <w:ind w:left="794" w:hanging="794"/>
    </w:pPr>
    <w:rPr>
      <w:sz w:val="22"/>
    </w:rPr>
  </w:style>
  <w:style w:type="paragraph" w:customStyle="1" w:styleId="Reftitle">
    <w:name w:val="Ref_title"/>
    <w:basedOn w:val="Normal"/>
    <w:next w:val="Reftext"/>
    <w:rsid w:val="00033F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33FEA"/>
  </w:style>
  <w:style w:type="paragraph" w:customStyle="1" w:styleId="RepNo">
    <w:name w:val="Rep_No"/>
    <w:basedOn w:val="RecNo"/>
    <w:next w:val="Reptitle"/>
    <w:rsid w:val="00033FEA"/>
  </w:style>
  <w:style w:type="paragraph" w:customStyle="1" w:styleId="Reptitle">
    <w:name w:val="Rep_title"/>
    <w:basedOn w:val="Rectitle"/>
    <w:next w:val="Repref"/>
    <w:rsid w:val="00033FEA"/>
  </w:style>
  <w:style w:type="paragraph" w:customStyle="1" w:styleId="Repref">
    <w:name w:val="Rep_ref"/>
    <w:basedOn w:val="Recref"/>
    <w:next w:val="Repdate"/>
    <w:rsid w:val="00033FEA"/>
  </w:style>
  <w:style w:type="paragraph" w:customStyle="1" w:styleId="Resdate">
    <w:name w:val="Res_date"/>
    <w:basedOn w:val="Recdate"/>
    <w:next w:val="Normalaftertitle"/>
    <w:rsid w:val="00033FEA"/>
  </w:style>
  <w:style w:type="paragraph" w:customStyle="1" w:styleId="ResNo">
    <w:name w:val="Res_No"/>
    <w:basedOn w:val="RecNo"/>
    <w:next w:val="Restitle"/>
    <w:rsid w:val="00033FEA"/>
  </w:style>
  <w:style w:type="paragraph" w:customStyle="1" w:styleId="Restitle">
    <w:name w:val="Res_title"/>
    <w:basedOn w:val="Normal"/>
    <w:next w:val="Resref"/>
    <w:rsid w:val="00033FEA"/>
    <w:pPr>
      <w:spacing w:before="240"/>
      <w:jc w:val="center"/>
    </w:pPr>
    <w:rPr>
      <w:b/>
      <w:sz w:val="28"/>
    </w:rPr>
  </w:style>
  <w:style w:type="paragraph" w:customStyle="1" w:styleId="Resref">
    <w:name w:val="Res_ref"/>
    <w:basedOn w:val="Recref"/>
    <w:next w:val="Resdate"/>
    <w:rsid w:val="00033FEA"/>
  </w:style>
  <w:style w:type="paragraph" w:customStyle="1" w:styleId="SectionNo">
    <w:name w:val="Section_No"/>
    <w:basedOn w:val="Normal"/>
    <w:next w:val="Normal"/>
    <w:rsid w:val="00033FEA"/>
  </w:style>
  <w:style w:type="paragraph" w:customStyle="1" w:styleId="Sectiontitle">
    <w:name w:val="Section_title"/>
    <w:basedOn w:val="Normal"/>
    <w:next w:val="Normalaftertitle"/>
    <w:rsid w:val="00033F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33FEA"/>
    <w:pPr>
      <w:tabs>
        <w:tab w:val="clear" w:pos="794"/>
        <w:tab w:val="clear" w:pos="1191"/>
        <w:tab w:val="clear" w:pos="1588"/>
        <w:tab w:val="clear" w:pos="1985"/>
        <w:tab w:val="right" w:pos="9611"/>
      </w:tabs>
    </w:pPr>
    <w:rPr>
      <w:i/>
    </w:rPr>
  </w:style>
  <w:style w:type="paragraph" w:styleId="TOC1">
    <w:name w:val="toc 1"/>
    <w:basedOn w:val="Normal"/>
    <w:uiPriority w:val="39"/>
    <w:rsid w:val="00033F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33FEA"/>
    <w:pPr>
      <w:tabs>
        <w:tab w:val="clear" w:pos="567"/>
        <w:tab w:val="left" w:pos="1276"/>
      </w:tabs>
      <w:spacing w:before="160"/>
      <w:ind w:left="1276" w:hanging="709"/>
    </w:pPr>
  </w:style>
  <w:style w:type="paragraph" w:styleId="TOC3">
    <w:name w:val="toc 3"/>
    <w:basedOn w:val="TOC2"/>
    <w:rsid w:val="00033FEA"/>
    <w:pPr>
      <w:tabs>
        <w:tab w:val="clear" w:pos="1276"/>
        <w:tab w:val="left" w:pos="2155"/>
      </w:tabs>
      <w:ind w:left="2155" w:hanging="879"/>
    </w:pPr>
  </w:style>
  <w:style w:type="paragraph" w:styleId="TOC4">
    <w:name w:val="toc 4"/>
    <w:basedOn w:val="TOC3"/>
    <w:rsid w:val="00033FEA"/>
    <w:pPr>
      <w:tabs>
        <w:tab w:val="left" w:pos="3261"/>
      </w:tabs>
      <w:spacing w:before="80"/>
      <w:ind w:left="3261" w:hanging="993"/>
    </w:pPr>
  </w:style>
  <w:style w:type="paragraph" w:styleId="TOC5">
    <w:name w:val="toc 5"/>
    <w:basedOn w:val="TOC4"/>
    <w:rsid w:val="00033FEA"/>
  </w:style>
  <w:style w:type="paragraph" w:styleId="TOC6">
    <w:name w:val="toc 6"/>
    <w:basedOn w:val="TOC4"/>
    <w:rsid w:val="00033FEA"/>
  </w:style>
  <w:style w:type="paragraph" w:styleId="TOC7">
    <w:name w:val="toc 7"/>
    <w:basedOn w:val="TOC4"/>
    <w:rsid w:val="00033FEA"/>
  </w:style>
  <w:style w:type="paragraph" w:styleId="TOC8">
    <w:name w:val="toc 8"/>
    <w:basedOn w:val="TOC4"/>
    <w:rsid w:val="00033FEA"/>
  </w:style>
  <w:style w:type="paragraph" w:customStyle="1" w:styleId="Appendixref">
    <w:name w:val="Appendix_ref"/>
    <w:basedOn w:val="Annexref"/>
    <w:next w:val="Normalaftertitle"/>
    <w:rsid w:val="00033FEA"/>
  </w:style>
  <w:style w:type="paragraph" w:customStyle="1" w:styleId="Tabletitle">
    <w:name w:val="Table_title"/>
    <w:basedOn w:val="Normal"/>
    <w:next w:val="Tablehead"/>
    <w:link w:val="Tabletitle0"/>
    <w:rsid w:val="00033FEA"/>
    <w:pPr>
      <w:keepNext/>
      <w:spacing w:before="0" w:after="120"/>
      <w:jc w:val="center"/>
    </w:pPr>
    <w:rPr>
      <w:b/>
    </w:rPr>
  </w:style>
  <w:style w:type="paragraph" w:customStyle="1" w:styleId="Summary">
    <w:name w:val="Summary"/>
    <w:basedOn w:val="Normal"/>
    <w:next w:val="Normalaftertitle"/>
    <w:autoRedefine/>
    <w:rsid w:val="00033FE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033FEA"/>
  </w:style>
  <w:style w:type="paragraph" w:customStyle="1" w:styleId="TableLegendNote">
    <w:name w:val="Table_Legend_Note"/>
    <w:basedOn w:val="Tablelegend"/>
    <w:next w:val="Tablelegend"/>
    <w:rsid w:val="00033FEA"/>
    <w:pPr>
      <w:ind w:left="-85" w:firstLine="0"/>
    </w:pPr>
    <w:rPr>
      <w:lang w:val="en-US"/>
    </w:rPr>
  </w:style>
  <w:style w:type="character" w:customStyle="1" w:styleId="Heading1Char">
    <w:name w:val="Heading 1 Char"/>
    <w:basedOn w:val="DefaultParagraphFont"/>
    <w:link w:val="Heading1"/>
    <w:rsid w:val="00B63D8D"/>
    <w:rPr>
      <w:b/>
      <w:sz w:val="24"/>
      <w:lang w:val="fr-FR" w:eastAsia="en-US"/>
    </w:rPr>
  </w:style>
  <w:style w:type="character" w:customStyle="1" w:styleId="Heading2Char">
    <w:name w:val="Heading 2 Char"/>
    <w:basedOn w:val="DefaultParagraphFont"/>
    <w:link w:val="Heading2"/>
    <w:rsid w:val="00B63D8D"/>
    <w:rPr>
      <w:b/>
      <w:sz w:val="24"/>
      <w:lang w:val="fr-FR" w:eastAsia="en-US"/>
    </w:rPr>
  </w:style>
  <w:style w:type="character" w:customStyle="1" w:styleId="Heading3Char">
    <w:name w:val="Heading 3 Char"/>
    <w:basedOn w:val="DefaultParagraphFont"/>
    <w:link w:val="Heading3"/>
    <w:rsid w:val="00B63D8D"/>
    <w:rPr>
      <w:b/>
      <w:sz w:val="24"/>
      <w:lang w:val="fr-FR" w:eastAsia="en-US"/>
    </w:rPr>
  </w:style>
  <w:style w:type="character" w:customStyle="1" w:styleId="Heading4Char">
    <w:name w:val="Heading 4 Char"/>
    <w:basedOn w:val="DefaultParagraphFont"/>
    <w:link w:val="Heading4"/>
    <w:rsid w:val="00B63D8D"/>
    <w:rPr>
      <w:b/>
      <w:sz w:val="24"/>
      <w:lang w:val="fr-FR" w:eastAsia="en-US"/>
    </w:rPr>
  </w:style>
  <w:style w:type="character" w:customStyle="1" w:styleId="Heading5Char">
    <w:name w:val="Heading 5 Char"/>
    <w:basedOn w:val="DefaultParagraphFont"/>
    <w:link w:val="Heading5"/>
    <w:rsid w:val="00B63D8D"/>
    <w:rPr>
      <w:b/>
      <w:sz w:val="24"/>
      <w:lang w:val="fr-FR" w:eastAsia="en-US"/>
    </w:rPr>
  </w:style>
  <w:style w:type="character" w:customStyle="1" w:styleId="Heading6Char">
    <w:name w:val="Heading 6 Char"/>
    <w:basedOn w:val="DefaultParagraphFont"/>
    <w:link w:val="Heading6"/>
    <w:rsid w:val="00B63D8D"/>
    <w:rPr>
      <w:b/>
      <w:sz w:val="24"/>
      <w:lang w:val="fr-FR" w:eastAsia="en-US"/>
    </w:rPr>
  </w:style>
  <w:style w:type="character" w:customStyle="1" w:styleId="Heading7Char">
    <w:name w:val="Heading 7 Char"/>
    <w:basedOn w:val="DefaultParagraphFont"/>
    <w:link w:val="Heading7"/>
    <w:rsid w:val="00B63D8D"/>
    <w:rPr>
      <w:b/>
      <w:sz w:val="24"/>
      <w:lang w:val="fr-FR" w:eastAsia="en-US"/>
    </w:rPr>
  </w:style>
  <w:style w:type="character" w:customStyle="1" w:styleId="Heading8Char">
    <w:name w:val="Heading 8 Char"/>
    <w:basedOn w:val="DefaultParagraphFont"/>
    <w:link w:val="Heading8"/>
    <w:rsid w:val="00B63D8D"/>
    <w:rPr>
      <w:b/>
      <w:sz w:val="24"/>
      <w:lang w:val="fr-FR" w:eastAsia="en-US"/>
    </w:rPr>
  </w:style>
  <w:style w:type="character" w:customStyle="1" w:styleId="Heading9Char">
    <w:name w:val="Heading 9 Char"/>
    <w:basedOn w:val="DefaultParagraphFont"/>
    <w:link w:val="Heading9"/>
    <w:rsid w:val="00B63D8D"/>
    <w:rPr>
      <w:b/>
      <w:sz w:val="24"/>
      <w:lang w:val="fr-FR" w:eastAsia="en-US"/>
    </w:rPr>
  </w:style>
  <w:style w:type="paragraph" w:customStyle="1" w:styleId="Artheading">
    <w:name w:val="Art_heading"/>
    <w:basedOn w:val="Normal"/>
    <w:next w:val="Normal"/>
    <w:rsid w:val="00B63D8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63D8D"/>
    <w:rPr>
      <w:vertAlign w:val="superscript"/>
    </w:rPr>
  </w:style>
  <w:style w:type="character" w:customStyle="1" w:styleId="enumlev1Char">
    <w:name w:val="enumlev1 Char"/>
    <w:basedOn w:val="DefaultParagraphFont"/>
    <w:link w:val="enumlev1"/>
    <w:locked/>
    <w:rsid w:val="00B63D8D"/>
    <w:rPr>
      <w:sz w:val="24"/>
      <w:lang w:val="fr-FR" w:eastAsia="en-US"/>
    </w:rPr>
  </w:style>
  <w:style w:type="character" w:customStyle="1" w:styleId="EquationChar">
    <w:name w:val="Equation Char"/>
    <w:link w:val="Equation"/>
    <w:locked/>
    <w:rsid w:val="00B63D8D"/>
    <w:rPr>
      <w:sz w:val="24"/>
      <w:lang w:val="fr-FR" w:eastAsia="en-US"/>
    </w:rPr>
  </w:style>
  <w:style w:type="character" w:customStyle="1" w:styleId="EquationlegendChar">
    <w:name w:val="Equation_legend Char"/>
    <w:link w:val="Equationlegend"/>
    <w:locked/>
    <w:rsid w:val="00B63D8D"/>
    <w:rPr>
      <w:sz w:val="24"/>
      <w:lang w:eastAsia="en-US"/>
    </w:rPr>
  </w:style>
  <w:style w:type="character" w:customStyle="1" w:styleId="TabletextChar">
    <w:name w:val="Table_text Char"/>
    <w:basedOn w:val="DefaultParagraphFont"/>
    <w:link w:val="Tabletext"/>
    <w:qFormat/>
    <w:locked/>
    <w:rsid w:val="00752DF2"/>
    <w:rPr>
      <w:sz w:val="22"/>
      <w:lang w:val="fr-FR" w:eastAsia="en-US"/>
    </w:rPr>
  </w:style>
  <w:style w:type="paragraph" w:customStyle="1" w:styleId="Figurewithouttitle">
    <w:name w:val="Figure_without_title"/>
    <w:basedOn w:val="FigureNo"/>
    <w:next w:val="Normal"/>
    <w:rsid w:val="00B63D8D"/>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link w:val="FigureNo"/>
    <w:locked/>
    <w:rsid w:val="00B63D8D"/>
    <w:rPr>
      <w:caps/>
      <w:sz w:val="18"/>
      <w:lang w:val="fr-FR" w:eastAsia="en-US"/>
    </w:rPr>
  </w:style>
  <w:style w:type="character" w:customStyle="1" w:styleId="FooterChar">
    <w:name w:val="Footer Char"/>
    <w:basedOn w:val="DefaultParagraphFont"/>
    <w:link w:val="Footer"/>
    <w:rsid w:val="00B63D8D"/>
    <w:rPr>
      <w:noProof/>
      <w:sz w:val="18"/>
      <w:lang w:val="fr-FR" w:eastAsia="en-US"/>
    </w:rPr>
  </w:style>
  <w:style w:type="paragraph" w:customStyle="1" w:styleId="FirstFooter">
    <w:name w:val="FirstFooter"/>
    <w:basedOn w:val="Footer"/>
    <w:rsid w:val="00B63D8D"/>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63D8D"/>
    <w:rPr>
      <w:sz w:val="22"/>
      <w:lang w:val="fr-FR" w:eastAsia="en-US"/>
    </w:rPr>
  </w:style>
  <w:style w:type="character" w:customStyle="1" w:styleId="HeaderChar">
    <w:name w:val="Header Char"/>
    <w:basedOn w:val="DefaultParagraphFont"/>
    <w:link w:val="Header"/>
    <w:rsid w:val="00B63D8D"/>
    <w:rPr>
      <w:sz w:val="24"/>
      <w:lang w:val="fr-FR" w:eastAsia="en-US"/>
    </w:rPr>
  </w:style>
  <w:style w:type="paragraph" w:customStyle="1" w:styleId="AnnexNo">
    <w:name w:val="Annex_No"/>
    <w:basedOn w:val="Normal"/>
    <w:next w:val="Normal"/>
    <w:rsid w:val="00B63D8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63D8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B63D8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B63D8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63D8D"/>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headChar">
    <w:name w:val="Table_head Char"/>
    <w:basedOn w:val="DefaultParagraphFont"/>
    <w:link w:val="Tablehead"/>
    <w:qFormat/>
    <w:locked/>
    <w:rsid w:val="00B63D8D"/>
    <w:rPr>
      <w:b/>
      <w:sz w:val="22"/>
      <w:lang w:val="fr-FR" w:eastAsia="en-US"/>
    </w:rPr>
  </w:style>
  <w:style w:type="character" w:customStyle="1" w:styleId="TablelegendChar">
    <w:name w:val="Table_legend Char"/>
    <w:link w:val="Tablelegend"/>
    <w:locked/>
    <w:rsid w:val="00B63D8D"/>
    <w:rPr>
      <w:sz w:val="22"/>
      <w:lang w:val="fr-FR" w:eastAsia="en-US"/>
    </w:rPr>
  </w:style>
  <w:style w:type="character" w:customStyle="1" w:styleId="TableNoChar">
    <w:name w:val="Table_No Char"/>
    <w:link w:val="TableNo"/>
    <w:locked/>
    <w:rsid w:val="00B63D8D"/>
    <w:rPr>
      <w:sz w:val="24"/>
      <w:lang w:val="fr-FR" w:eastAsia="en-US"/>
    </w:rPr>
  </w:style>
  <w:style w:type="character" w:customStyle="1" w:styleId="Tabletitle0">
    <w:name w:val="Table_title Знак"/>
    <w:link w:val="Tabletitle"/>
    <w:locked/>
    <w:rsid w:val="00B63D8D"/>
    <w:rPr>
      <w:b/>
      <w:sz w:val="24"/>
      <w:lang w:val="fr-FR" w:eastAsia="en-US"/>
    </w:rPr>
  </w:style>
  <w:style w:type="paragraph" w:customStyle="1" w:styleId="Tableref">
    <w:name w:val="Table_ref"/>
    <w:basedOn w:val="Normal"/>
    <w:next w:val="Normal"/>
    <w:rsid w:val="00B63D8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B63D8D"/>
    <w:pPr>
      <w:tabs>
        <w:tab w:val="left" w:pos="567"/>
        <w:tab w:val="left" w:pos="1701"/>
        <w:tab w:val="left" w:pos="2835"/>
      </w:tabs>
      <w:spacing w:before="240"/>
    </w:pPr>
    <w:rPr>
      <w:b w:val="0"/>
      <w:caps/>
    </w:rPr>
  </w:style>
  <w:style w:type="paragraph" w:customStyle="1" w:styleId="Title2">
    <w:name w:val="Title 2"/>
    <w:basedOn w:val="Source"/>
    <w:next w:val="Normal"/>
    <w:rsid w:val="00B63D8D"/>
    <w:pPr>
      <w:overflowPunct/>
      <w:autoSpaceDE/>
      <w:autoSpaceDN/>
      <w:adjustRightInd/>
      <w:spacing w:before="480"/>
      <w:textAlignment w:val="auto"/>
    </w:pPr>
    <w:rPr>
      <w:b w:val="0"/>
      <w:caps/>
    </w:rPr>
  </w:style>
  <w:style w:type="paragraph" w:customStyle="1" w:styleId="Title3">
    <w:name w:val="Title 3"/>
    <w:basedOn w:val="Title2"/>
    <w:next w:val="Normal"/>
    <w:rsid w:val="00B63D8D"/>
    <w:pPr>
      <w:spacing w:before="240"/>
    </w:pPr>
    <w:rPr>
      <w:caps w:val="0"/>
    </w:rPr>
  </w:style>
  <w:style w:type="paragraph" w:customStyle="1" w:styleId="Title4">
    <w:name w:val="Title 4"/>
    <w:basedOn w:val="Title3"/>
    <w:next w:val="Heading1"/>
    <w:rsid w:val="00B63D8D"/>
    <w:rPr>
      <w:b/>
    </w:rPr>
  </w:style>
  <w:style w:type="character" w:customStyle="1" w:styleId="Appdef">
    <w:name w:val="App_def"/>
    <w:basedOn w:val="DefaultParagraphFont"/>
    <w:rsid w:val="00B63D8D"/>
    <w:rPr>
      <w:rFonts w:ascii="Times New Roman" w:hAnsi="Times New Roman"/>
      <w:b/>
    </w:rPr>
  </w:style>
  <w:style w:type="character" w:customStyle="1" w:styleId="Appref">
    <w:name w:val="App_ref"/>
    <w:basedOn w:val="DefaultParagraphFont"/>
    <w:rsid w:val="00B63D8D"/>
  </w:style>
  <w:style w:type="character" w:customStyle="1" w:styleId="Artdef">
    <w:name w:val="Art_def"/>
    <w:basedOn w:val="DefaultParagraphFont"/>
    <w:rsid w:val="00B63D8D"/>
    <w:rPr>
      <w:rFonts w:ascii="Times New Roman" w:hAnsi="Times New Roman"/>
      <w:b/>
    </w:rPr>
  </w:style>
  <w:style w:type="character" w:customStyle="1" w:styleId="Artref">
    <w:name w:val="Art_ref"/>
    <w:basedOn w:val="DefaultParagraphFont"/>
    <w:rsid w:val="00B63D8D"/>
  </w:style>
  <w:style w:type="character" w:customStyle="1" w:styleId="Recdef">
    <w:name w:val="Rec_def"/>
    <w:basedOn w:val="DefaultParagraphFont"/>
    <w:rsid w:val="00B63D8D"/>
    <w:rPr>
      <w:b/>
    </w:rPr>
  </w:style>
  <w:style w:type="character" w:customStyle="1" w:styleId="Resdef">
    <w:name w:val="Res_def"/>
    <w:basedOn w:val="DefaultParagraphFont"/>
    <w:rsid w:val="00B63D8D"/>
    <w:rPr>
      <w:rFonts w:ascii="Times New Roman" w:hAnsi="Times New Roman"/>
      <w:b/>
    </w:rPr>
  </w:style>
  <w:style w:type="character" w:customStyle="1" w:styleId="Tablefreq">
    <w:name w:val="Table_freq"/>
    <w:basedOn w:val="DefaultParagraphFont"/>
    <w:rsid w:val="00B63D8D"/>
    <w:rPr>
      <w:b/>
      <w:color w:val="auto"/>
      <w:sz w:val="20"/>
    </w:rPr>
  </w:style>
  <w:style w:type="paragraph" w:customStyle="1" w:styleId="Formal">
    <w:name w:val="Formal"/>
    <w:basedOn w:val="ASN1"/>
    <w:rsid w:val="00B63D8D"/>
    <w:pPr>
      <w:tabs>
        <w:tab w:val="left" w:pos="1871"/>
      </w:tabs>
      <w:jc w:val="left"/>
    </w:pPr>
    <w:rPr>
      <w:rFonts w:ascii="Times New Roman Bold" w:hAnsi="Times New Roman Bold"/>
      <w:b w:val="0"/>
      <w:lang w:val="en-GB"/>
    </w:rPr>
  </w:style>
  <w:style w:type="paragraph" w:customStyle="1" w:styleId="Section1">
    <w:name w:val="Section_1"/>
    <w:basedOn w:val="Normal"/>
    <w:rsid w:val="00B63D8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63D8D"/>
    <w:rPr>
      <w:b w:val="0"/>
      <w:i/>
    </w:rPr>
  </w:style>
  <w:style w:type="character" w:customStyle="1" w:styleId="HeadingbChar">
    <w:name w:val="Heading_b Char"/>
    <w:link w:val="Headingb"/>
    <w:locked/>
    <w:rsid w:val="00B63D8D"/>
    <w:rPr>
      <w:b/>
      <w:sz w:val="24"/>
      <w:lang w:val="fr-FR" w:eastAsia="en-US"/>
    </w:rPr>
  </w:style>
  <w:style w:type="character" w:customStyle="1" w:styleId="FigureChar">
    <w:name w:val="Figure Char"/>
    <w:link w:val="Figure"/>
    <w:locked/>
    <w:rsid w:val="00B63D8D"/>
    <w:rPr>
      <w:caps/>
      <w:sz w:val="18"/>
      <w:lang w:val="fr-FR" w:eastAsia="en-US"/>
    </w:rPr>
  </w:style>
  <w:style w:type="character" w:customStyle="1" w:styleId="FiguretitleChar">
    <w:name w:val="Figure_title Char"/>
    <w:link w:val="Figuretitle"/>
    <w:locked/>
    <w:rsid w:val="00B63D8D"/>
    <w:rPr>
      <w:rFonts w:ascii="Times New Roman Bold" w:hAnsi="Times New Roman Bold"/>
      <w:b/>
      <w:sz w:val="18"/>
      <w:lang w:val="fr-FR" w:eastAsia="en-US"/>
    </w:rPr>
  </w:style>
  <w:style w:type="paragraph" w:customStyle="1" w:styleId="AppendixNo">
    <w:name w:val="Appendix_No"/>
    <w:basedOn w:val="AnnexNo"/>
    <w:next w:val="Annexref"/>
    <w:rsid w:val="00B63D8D"/>
  </w:style>
  <w:style w:type="paragraph" w:customStyle="1" w:styleId="Appendixtitle">
    <w:name w:val="Appendix_title"/>
    <w:basedOn w:val="Annextitle"/>
    <w:next w:val="Normal"/>
    <w:rsid w:val="00B63D8D"/>
  </w:style>
  <w:style w:type="paragraph" w:customStyle="1" w:styleId="Border">
    <w:name w:val="Border"/>
    <w:basedOn w:val="Normal"/>
    <w:rsid w:val="00B63D8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63D8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63D8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63D8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63D8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63D8D"/>
  </w:style>
  <w:style w:type="paragraph" w:customStyle="1" w:styleId="Proposal">
    <w:name w:val="Proposal"/>
    <w:basedOn w:val="Normal"/>
    <w:next w:val="Normal"/>
    <w:rsid w:val="00B63D8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rsid w:val="00B63D8D"/>
    <w:pPr>
      <w:tabs>
        <w:tab w:val="clear" w:pos="794"/>
        <w:tab w:val="clear" w:pos="1191"/>
        <w:tab w:val="left" w:pos="1134"/>
      </w:tabs>
      <w:jc w:val="left"/>
    </w:pPr>
    <w:rPr>
      <w:lang w:val="en-GB"/>
    </w:rPr>
  </w:style>
  <w:style w:type="paragraph" w:customStyle="1" w:styleId="Section3">
    <w:name w:val="Section_3"/>
    <w:basedOn w:val="Section1"/>
    <w:rsid w:val="00B63D8D"/>
    <w:rPr>
      <w:b w:val="0"/>
    </w:rPr>
  </w:style>
  <w:style w:type="paragraph" w:customStyle="1" w:styleId="TableTextS5">
    <w:name w:val="Table_TextS5"/>
    <w:basedOn w:val="Normal"/>
    <w:rsid w:val="00B63D8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B63D8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63D8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63D8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63D8D"/>
  </w:style>
  <w:style w:type="paragraph" w:customStyle="1" w:styleId="Committee">
    <w:name w:val="Committee"/>
    <w:basedOn w:val="Normal"/>
    <w:qFormat/>
    <w:rsid w:val="00B63D8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63D8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63D8D"/>
  </w:style>
  <w:style w:type="paragraph" w:customStyle="1" w:styleId="Subsection1">
    <w:name w:val="Subsection_1"/>
    <w:basedOn w:val="Section1"/>
    <w:next w:val="Normalaftertitle0"/>
    <w:qFormat/>
    <w:rsid w:val="00B63D8D"/>
  </w:style>
  <w:style w:type="paragraph" w:customStyle="1" w:styleId="Volumetitle">
    <w:name w:val="Volume_title"/>
    <w:basedOn w:val="Normal"/>
    <w:qFormat/>
    <w:rsid w:val="00B63D8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63D8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63D8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63D8D"/>
    <w:rPr>
      <w:rFonts w:ascii="Times New Roman" w:hAnsi="Times New Roman"/>
      <w:b w:val="0"/>
    </w:rPr>
  </w:style>
  <w:style w:type="paragraph" w:customStyle="1" w:styleId="Tablesplit">
    <w:name w:val="Table_split"/>
    <w:basedOn w:val="Tabletext"/>
    <w:qFormat/>
    <w:rsid w:val="00B63D8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B63D8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B63D8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B63D8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B63D8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B63D8D"/>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table" w:styleId="TableGrid">
    <w:name w:val="Table Grid"/>
    <w:basedOn w:val="TableNormal"/>
    <w:uiPriority w:val="59"/>
    <w:rsid w:val="00B63D8D"/>
    <w:rPr>
      <w:rFonts w:asciiTheme="minorHAnsi" w:eastAsiaTheme="minorHAnsi" w:hAnsiTheme="minorHAnsi" w:cstheme="minorBid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63D8D"/>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semiHidden/>
    <w:rsid w:val="00B63D8D"/>
    <w:rPr>
      <w:rFonts w:ascii="Segoe UI" w:hAnsi="Segoe UI" w:cs="Segoe UI"/>
      <w:sz w:val="18"/>
      <w:szCs w:val="18"/>
      <w:lang w:val="en-GB" w:eastAsia="en-US"/>
    </w:rPr>
  </w:style>
  <w:style w:type="paragraph" w:styleId="BalloonText">
    <w:name w:val="Balloon Text"/>
    <w:basedOn w:val="Normal"/>
    <w:link w:val="BalloonTextChar"/>
    <w:semiHidden/>
    <w:unhideWhenUsed/>
    <w:rsid w:val="00B63D8D"/>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B63D8D"/>
    <w:rPr>
      <w:rFonts w:ascii="Segoe UI" w:hAnsi="Segoe UI" w:cs="Segoe UI"/>
      <w:sz w:val="18"/>
      <w:szCs w:val="18"/>
      <w:lang w:val="fr-FR" w:eastAsia="en-US"/>
    </w:rPr>
  </w:style>
  <w:style w:type="paragraph" w:styleId="NormalWeb">
    <w:name w:val="Normal (Web)"/>
    <w:basedOn w:val="Normal"/>
    <w:uiPriority w:val="99"/>
    <w:unhideWhenUsed/>
    <w:rsid w:val="00B63D8D"/>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rPr>
  </w:style>
  <w:style w:type="character" w:customStyle="1" w:styleId="CommentTextChar">
    <w:name w:val="Comment Text Char"/>
    <w:basedOn w:val="DefaultParagraphFont"/>
    <w:link w:val="CommentText"/>
    <w:rsid w:val="00B63D8D"/>
    <w:rPr>
      <w:szCs w:val="24"/>
      <w:lang w:val="en-GB" w:eastAsia="en-US"/>
    </w:rPr>
  </w:style>
  <w:style w:type="paragraph" w:styleId="CommentText">
    <w:name w:val="annotation text"/>
    <w:basedOn w:val="Normal"/>
    <w:link w:val="CommentTextChar"/>
    <w:unhideWhenUsed/>
    <w:rsid w:val="00B63D8D"/>
    <w:pPr>
      <w:tabs>
        <w:tab w:val="clear" w:pos="794"/>
        <w:tab w:val="clear" w:pos="1191"/>
        <w:tab w:val="clear" w:pos="1588"/>
        <w:tab w:val="clear" w:pos="1985"/>
        <w:tab w:val="left" w:pos="1134"/>
        <w:tab w:val="left" w:pos="1871"/>
        <w:tab w:val="left" w:pos="2268"/>
      </w:tabs>
      <w:jc w:val="left"/>
      <w:textAlignment w:val="auto"/>
    </w:pPr>
    <w:rPr>
      <w:sz w:val="20"/>
      <w:szCs w:val="24"/>
      <w:lang w:val="en-GB"/>
    </w:rPr>
  </w:style>
  <w:style w:type="character" w:customStyle="1" w:styleId="CommentTextChar1">
    <w:name w:val="Comment Text Char1"/>
    <w:basedOn w:val="DefaultParagraphFont"/>
    <w:semiHidden/>
    <w:rsid w:val="00B63D8D"/>
    <w:rPr>
      <w:lang w:val="fr-FR" w:eastAsia="en-US"/>
    </w:rPr>
  </w:style>
  <w:style w:type="character" w:customStyle="1" w:styleId="DocumentMapChar">
    <w:name w:val="Document Map Char"/>
    <w:basedOn w:val="DefaultParagraphFont"/>
    <w:link w:val="DocumentMap"/>
    <w:semiHidden/>
    <w:rsid w:val="00B63D8D"/>
    <w:rPr>
      <w:sz w:val="24"/>
      <w:szCs w:val="24"/>
      <w:lang w:val="en-GB" w:eastAsia="en-US"/>
    </w:rPr>
  </w:style>
  <w:style w:type="paragraph" w:styleId="DocumentMap">
    <w:name w:val="Document Map"/>
    <w:basedOn w:val="Normal"/>
    <w:link w:val="DocumentMapChar"/>
    <w:semiHidden/>
    <w:unhideWhenUsed/>
    <w:rsid w:val="00B63D8D"/>
    <w:pPr>
      <w:tabs>
        <w:tab w:val="clear" w:pos="794"/>
        <w:tab w:val="clear" w:pos="1191"/>
        <w:tab w:val="clear" w:pos="1588"/>
        <w:tab w:val="clear" w:pos="1985"/>
        <w:tab w:val="left" w:pos="1134"/>
        <w:tab w:val="left" w:pos="1871"/>
        <w:tab w:val="left" w:pos="2268"/>
      </w:tabs>
      <w:spacing w:before="0"/>
      <w:jc w:val="left"/>
      <w:textAlignment w:val="auto"/>
    </w:pPr>
    <w:rPr>
      <w:szCs w:val="24"/>
      <w:lang w:val="en-GB"/>
    </w:rPr>
  </w:style>
  <w:style w:type="character" w:customStyle="1" w:styleId="DocumentMapChar1">
    <w:name w:val="Document Map Char1"/>
    <w:basedOn w:val="DefaultParagraphFont"/>
    <w:semiHidden/>
    <w:rsid w:val="00B63D8D"/>
    <w:rPr>
      <w:rFonts w:ascii="Segoe UI" w:hAnsi="Segoe UI" w:cs="Segoe UI"/>
      <w:sz w:val="16"/>
      <w:szCs w:val="16"/>
      <w:lang w:val="fr-FR" w:eastAsia="en-US"/>
    </w:rPr>
  </w:style>
  <w:style w:type="character" w:customStyle="1" w:styleId="CommentSubjectChar">
    <w:name w:val="Comment Subject Char"/>
    <w:basedOn w:val="CommentTextChar"/>
    <w:link w:val="CommentSubject"/>
    <w:semiHidden/>
    <w:rsid w:val="00B63D8D"/>
    <w:rPr>
      <w:b/>
      <w:bCs/>
      <w:szCs w:val="24"/>
      <w:lang w:val="en-GB" w:eastAsia="en-US"/>
    </w:rPr>
  </w:style>
  <w:style w:type="paragraph" w:styleId="CommentSubject">
    <w:name w:val="annotation subject"/>
    <w:basedOn w:val="CommentText"/>
    <w:next w:val="CommentText"/>
    <w:link w:val="CommentSubjectChar"/>
    <w:semiHidden/>
    <w:unhideWhenUsed/>
    <w:rsid w:val="00B63D8D"/>
    <w:rPr>
      <w:b/>
      <w:bCs/>
    </w:rPr>
  </w:style>
  <w:style w:type="character" w:customStyle="1" w:styleId="CommentSubjectChar1">
    <w:name w:val="Comment Subject Char1"/>
    <w:basedOn w:val="CommentTextChar1"/>
    <w:semiHidden/>
    <w:rsid w:val="00B63D8D"/>
    <w:rPr>
      <w:b/>
      <w:bCs/>
      <w:lang w:val="fr-FR" w:eastAsia="en-US"/>
    </w:rPr>
  </w:style>
  <w:style w:type="paragraph" w:styleId="NoSpacing">
    <w:name w:val="No Spacing"/>
    <w:uiPriority w:val="1"/>
    <w:qFormat/>
    <w:rsid w:val="00B63D8D"/>
    <w:pPr>
      <w:tabs>
        <w:tab w:val="left" w:pos="1134"/>
        <w:tab w:val="left" w:pos="1871"/>
        <w:tab w:val="left" w:pos="2268"/>
      </w:tabs>
      <w:overflowPunct w:val="0"/>
      <w:autoSpaceDE w:val="0"/>
      <w:autoSpaceDN w:val="0"/>
      <w:adjustRightInd w:val="0"/>
    </w:pPr>
    <w:rPr>
      <w:sz w:val="24"/>
      <w:lang w:val="en-GB" w:eastAsia="en-US"/>
    </w:rPr>
  </w:style>
  <w:style w:type="paragraph" w:styleId="ListParagraph">
    <w:name w:val="List Paragraph"/>
    <w:basedOn w:val="Normal"/>
    <w:link w:val="ListParagraphChar"/>
    <w:uiPriority w:val="34"/>
    <w:qFormat/>
    <w:rsid w:val="00B63D8D"/>
    <w:pPr>
      <w:tabs>
        <w:tab w:val="clear" w:pos="794"/>
        <w:tab w:val="clear" w:pos="1191"/>
        <w:tab w:val="clear" w:pos="1588"/>
        <w:tab w:val="clear" w:pos="1985"/>
        <w:tab w:val="left" w:pos="1134"/>
        <w:tab w:val="left" w:pos="1871"/>
        <w:tab w:val="left" w:pos="2268"/>
      </w:tabs>
      <w:ind w:left="720"/>
      <w:contextualSpacing/>
      <w:jc w:val="left"/>
      <w:textAlignment w:val="auto"/>
    </w:pPr>
    <w:rPr>
      <w:szCs w:val="24"/>
      <w:lang w:val="en-GB"/>
    </w:rPr>
  </w:style>
  <w:style w:type="character" w:customStyle="1" w:styleId="ListParagraphChar">
    <w:name w:val="List Paragraph Char"/>
    <w:basedOn w:val="DefaultParagraphFont"/>
    <w:link w:val="ListParagraph"/>
    <w:uiPriority w:val="34"/>
    <w:locked/>
    <w:rsid w:val="00B63D8D"/>
    <w:rPr>
      <w:sz w:val="24"/>
      <w:szCs w:val="24"/>
      <w:lang w:val="en-GB" w:eastAsia="en-US"/>
    </w:rPr>
  </w:style>
  <w:style w:type="character" w:styleId="CommentReference">
    <w:name w:val="annotation reference"/>
    <w:basedOn w:val="DefaultParagraphFont"/>
    <w:unhideWhenUsed/>
    <w:rsid w:val="00B63D8D"/>
    <w:rPr>
      <w:sz w:val="16"/>
      <w:szCs w:val="16"/>
    </w:rPr>
  </w:style>
  <w:style w:type="paragraph" w:customStyle="1" w:styleId="EditorsNote">
    <w:name w:val="EditorsNote"/>
    <w:basedOn w:val="Normal"/>
    <w:rsid w:val="00B63D8D"/>
    <w:pPr>
      <w:tabs>
        <w:tab w:val="clear" w:pos="794"/>
        <w:tab w:val="clear" w:pos="1191"/>
        <w:tab w:val="clear" w:pos="1588"/>
        <w:tab w:val="clear" w:pos="1985"/>
        <w:tab w:val="left" w:pos="1134"/>
        <w:tab w:val="left" w:pos="1871"/>
        <w:tab w:val="left" w:pos="2268"/>
      </w:tabs>
      <w:spacing w:before="240" w:after="240"/>
      <w:jc w:val="left"/>
    </w:pPr>
    <w:rPr>
      <w:i/>
      <w:lang w:val="en-GB" w:eastAsia="ja-JP"/>
    </w:rPr>
  </w:style>
  <w:style w:type="paragraph" w:styleId="TOCHeading">
    <w:name w:val="TOC Heading"/>
    <w:basedOn w:val="Heading1"/>
    <w:next w:val="Normal"/>
    <w:uiPriority w:val="39"/>
    <w:unhideWhenUsed/>
    <w:qFormat/>
    <w:rsid w:val="00B63D8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Revision">
    <w:name w:val="Revision"/>
    <w:hidden/>
    <w:uiPriority w:val="99"/>
    <w:semiHidden/>
    <w:rsid w:val="008252A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github.com/SIMULATOR-WG/SHARC" TargetMode="External"/><Relationship Id="rId29" Type="http://schemas.openxmlformats.org/officeDocument/2006/relationships/image" Target="media/image16.png"/><Relationship Id="rId41" Type="http://schemas.openxmlformats.org/officeDocument/2006/relationships/image" Target="cid:image002.png@01D500CE.FBEAF500" TargetMode="Externa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hyperlink" Target="https://www.itu.int/rec/R-REC-M.2101/en"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itu.int/rec/R-REC-P.2108/en" TargetMode="External"/><Relationship Id="rId36" Type="http://schemas.openxmlformats.org/officeDocument/2006/relationships/image" Target="media/image23.png"/><Relationship Id="rId10" Type="http://schemas.openxmlformats.org/officeDocument/2006/relationships/hyperlink" Target="http://www.itu.int/ITU-R/go/patents/en" TargetMode="Externa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itu.int/rec/R-REC-P.452/en"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138</TotalTime>
  <Pages>1</Pages>
  <Words>7697</Words>
  <Characters>40317</Characters>
  <Application>Microsoft Office Word</Application>
  <DocSecurity>0</DocSecurity>
  <Lines>1265</Lines>
  <Paragraphs>771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47481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F.2476-0 - Sharing and compatibility studies of HAPS systems in the fixed service in the 47.2-47.5 GHz and 47.9-48.2 GHz frequency ranges</dc:title>
  <dc:subject>F Series = Fixed service</dc:subject>
  <dc:creator>ITU Radiocommunication Bureau (BR)</dc:creator>
  <cp:keywords>F,2476-0</cp:keywords>
  <dc:description>Gachetc, 16/09/2019, ITU51013811</dc:description>
  <cp:lastModifiedBy>Gachet, Christelle</cp:lastModifiedBy>
  <cp:revision>31</cp:revision>
  <cp:lastPrinted>2019-09-13T15:43:00Z</cp:lastPrinted>
  <dcterms:created xsi:type="dcterms:W3CDTF">2019-09-13T13:31:00Z</dcterms:created>
  <dcterms:modified xsi:type="dcterms:W3CDTF">2019-09-16T13:22:00Z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16 September 2019</vt:lpwstr>
  </property>
</Properties>
</file>