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9555C" w:rsidRDefault="00FE79FE">
      <w:pPr>
        <w:rPr>
          <w:lang w:val="en-GB"/>
        </w:rPr>
      </w:pPr>
    </w:p>
    <w:p w:rsidR="00FE79FE" w:rsidRPr="0019555C" w:rsidRDefault="00FE79FE">
      <w:pPr>
        <w:rPr>
          <w:lang w:val="en-GB"/>
        </w:rPr>
      </w:pPr>
    </w:p>
    <w:p w:rsidR="00FE79FE" w:rsidRPr="0019555C" w:rsidRDefault="00FE79FE">
      <w:pPr>
        <w:rPr>
          <w:lang w:val="en-GB"/>
        </w:rPr>
      </w:pPr>
    </w:p>
    <w:p w:rsidR="00FE79FE" w:rsidRPr="0019555C" w:rsidRDefault="00FE79FE">
      <w:pPr>
        <w:rPr>
          <w:lang w:val="en-GB"/>
        </w:rPr>
      </w:pPr>
    </w:p>
    <w:p w:rsidR="00FE79FE" w:rsidRPr="0019555C" w:rsidRDefault="00FE79FE">
      <w:pPr>
        <w:rPr>
          <w:lang w:val="en-GB"/>
        </w:rPr>
      </w:pPr>
    </w:p>
    <w:p w:rsidR="00013002" w:rsidRPr="0019555C" w:rsidRDefault="00013002">
      <w:pPr>
        <w:rPr>
          <w:lang w:val="en-GB"/>
        </w:rPr>
      </w:pPr>
    </w:p>
    <w:p w:rsidR="00013002" w:rsidRPr="0019555C" w:rsidRDefault="00013002">
      <w:pPr>
        <w:rPr>
          <w:lang w:val="en-GB"/>
        </w:rPr>
      </w:pPr>
    </w:p>
    <w:p w:rsidR="00013002" w:rsidRPr="0019555C" w:rsidRDefault="00013002">
      <w:pPr>
        <w:rPr>
          <w:lang w:val="en-GB"/>
        </w:rPr>
      </w:pPr>
    </w:p>
    <w:p w:rsidR="00FE79FE" w:rsidRPr="0019555C" w:rsidRDefault="00FE79FE">
      <w:pPr>
        <w:rPr>
          <w:lang w:val="en-GB"/>
        </w:rPr>
      </w:pPr>
    </w:p>
    <w:p w:rsidR="00FE79FE" w:rsidRPr="0019555C" w:rsidRDefault="00FE79FE">
      <w:pPr>
        <w:rPr>
          <w:lang w:val="en-GB"/>
        </w:rPr>
      </w:pPr>
    </w:p>
    <w:p w:rsidR="00FE79FE" w:rsidRPr="0019555C" w:rsidRDefault="00FE79FE">
      <w:pPr>
        <w:rPr>
          <w:lang w:val="en-GB"/>
        </w:rPr>
      </w:pPr>
    </w:p>
    <w:p w:rsidR="00FE79FE" w:rsidRPr="0019555C" w:rsidRDefault="00FE79FE">
      <w:pPr>
        <w:rPr>
          <w:lang w:val="en-GB"/>
        </w:rPr>
      </w:pPr>
    </w:p>
    <w:tbl>
      <w:tblPr>
        <w:tblW w:w="10089" w:type="dxa"/>
        <w:tblLook w:val="01E0" w:firstRow="1" w:lastRow="1" w:firstColumn="1" w:lastColumn="1" w:noHBand="0" w:noVBand="0"/>
      </w:tblPr>
      <w:tblGrid>
        <w:gridCol w:w="10089"/>
      </w:tblGrid>
      <w:tr w:rsidR="00FE79FE" w:rsidRPr="0019555C" w:rsidTr="00C92658">
        <w:tc>
          <w:tcPr>
            <w:tcW w:w="10089" w:type="dxa"/>
          </w:tcPr>
          <w:p w:rsidR="00276D21" w:rsidRPr="0019555C" w:rsidRDefault="00D73FBE" w:rsidP="00C92658">
            <w:pPr>
              <w:spacing w:before="380" w:line="280" w:lineRule="exact"/>
              <w:jc w:val="right"/>
              <w:rPr>
                <w:rFonts w:ascii="Tahoma" w:hAnsi="Tahoma" w:cs="Tahoma"/>
                <w:b/>
                <w:bCs/>
                <w:iCs/>
                <w:color w:val="509141"/>
                <w:sz w:val="32"/>
                <w:szCs w:val="32"/>
                <w:lang w:val="en-GB"/>
              </w:rPr>
            </w:pPr>
            <w:r w:rsidRPr="0019555C">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8" o:title=""/>
                </v:shape>
                <o:OLEObject Type="Embed" ProgID="Equation.3" ShapeID="_x0000_i1025" DrawAspect="Content" ObjectID="_1487763910" r:id="rId9"/>
              </w:object>
            </w:r>
          </w:p>
          <w:p w:rsidR="00FE79FE" w:rsidRPr="0019555C" w:rsidRDefault="00FE79FE" w:rsidP="00016D83">
            <w:pPr>
              <w:spacing w:before="380" w:line="280" w:lineRule="exact"/>
              <w:jc w:val="right"/>
              <w:rPr>
                <w:rFonts w:ascii="Tahoma" w:hAnsi="Tahoma" w:cs="Tahoma"/>
                <w:b/>
                <w:bCs/>
                <w:iCs/>
                <w:color w:val="509141"/>
                <w:sz w:val="36"/>
                <w:szCs w:val="36"/>
                <w:lang w:val="en-GB"/>
              </w:rPr>
            </w:pPr>
            <w:r w:rsidRPr="0019555C">
              <w:rPr>
                <w:rFonts w:ascii="Tahoma" w:hAnsi="Tahoma" w:cs="Tahoma"/>
                <w:b/>
                <w:bCs/>
                <w:iCs/>
                <w:color w:val="509141"/>
                <w:sz w:val="36"/>
                <w:szCs w:val="36"/>
                <w:lang w:val="en-GB"/>
              </w:rPr>
              <w:t>R</w:t>
            </w:r>
            <w:r w:rsidR="00526063" w:rsidRPr="0019555C">
              <w:rPr>
                <w:rFonts w:ascii="Tahoma" w:hAnsi="Tahoma" w:cs="Tahoma"/>
                <w:b/>
                <w:bCs/>
                <w:iCs/>
                <w:color w:val="509141"/>
                <w:sz w:val="36"/>
                <w:szCs w:val="36"/>
                <w:lang w:val="en-GB"/>
              </w:rPr>
              <w:t>eport</w:t>
            </w:r>
            <w:r w:rsidRPr="0019555C">
              <w:rPr>
                <w:rFonts w:ascii="Tahoma" w:hAnsi="Tahoma" w:cs="Tahoma"/>
                <w:b/>
                <w:bCs/>
                <w:iCs/>
                <w:color w:val="509141"/>
                <w:sz w:val="36"/>
                <w:szCs w:val="36"/>
                <w:lang w:val="en-GB"/>
              </w:rPr>
              <w:t xml:space="preserve">  ITU-R  </w:t>
            </w:r>
            <w:r w:rsidR="00D55B55" w:rsidRPr="0019555C">
              <w:rPr>
                <w:rFonts w:ascii="Tahoma" w:hAnsi="Tahoma" w:cs="Tahoma"/>
                <w:b/>
                <w:bCs/>
                <w:iCs/>
                <w:color w:val="509141"/>
                <w:sz w:val="36"/>
                <w:szCs w:val="36"/>
                <w:lang w:val="en-GB"/>
              </w:rPr>
              <w:t>F</w:t>
            </w:r>
            <w:r w:rsidRPr="0019555C">
              <w:rPr>
                <w:rFonts w:ascii="Tahoma" w:hAnsi="Tahoma" w:cs="Tahoma"/>
                <w:b/>
                <w:bCs/>
                <w:iCs/>
                <w:color w:val="509141"/>
                <w:sz w:val="36"/>
                <w:szCs w:val="36"/>
                <w:lang w:val="en-GB"/>
              </w:rPr>
              <w:t>.</w:t>
            </w:r>
            <w:r w:rsidR="00016D83" w:rsidRPr="0019555C">
              <w:rPr>
                <w:rFonts w:ascii="Tahoma" w:hAnsi="Tahoma" w:cs="Tahoma"/>
                <w:b/>
                <w:bCs/>
                <w:iCs/>
                <w:color w:val="509141"/>
                <w:sz w:val="36"/>
                <w:szCs w:val="36"/>
                <w:lang w:val="en-GB"/>
              </w:rPr>
              <w:t>2323-0</w:t>
            </w:r>
          </w:p>
          <w:p w:rsidR="00FE79FE" w:rsidRPr="0019555C" w:rsidRDefault="00FE79FE" w:rsidP="00316091">
            <w:pPr>
              <w:spacing w:before="80" w:line="280" w:lineRule="exact"/>
              <w:jc w:val="right"/>
              <w:rPr>
                <w:rFonts w:ascii="Tahoma" w:hAnsi="Tahoma" w:cs="Tahoma"/>
                <w:iCs/>
                <w:color w:val="509141"/>
                <w:szCs w:val="24"/>
                <w:lang w:val="en-GB"/>
              </w:rPr>
            </w:pPr>
            <w:r w:rsidRPr="0019555C">
              <w:rPr>
                <w:rFonts w:ascii="Tahoma" w:hAnsi="Tahoma" w:cs="Tahoma"/>
                <w:b/>
                <w:bCs/>
                <w:iCs/>
                <w:color w:val="509141"/>
                <w:szCs w:val="24"/>
                <w:lang w:val="en-GB"/>
              </w:rPr>
              <w:t>(</w:t>
            </w:r>
            <w:r w:rsidR="00316091" w:rsidRPr="0019555C">
              <w:rPr>
                <w:rFonts w:ascii="Tahoma" w:hAnsi="Tahoma" w:cs="Tahoma"/>
                <w:b/>
                <w:bCs/>
                <w:iCs/>
                <w:color w:val="509141"/>
                <w:szCs w:val="24"/>
                <w:lang w:val="en-GB"/>
              </w:rPr>
              <w:t>11</w:t>
            </w:r>
            <w:r w:rsidRPr="0019555C">
              <w:rPr>
                <w:rFonts w:ascii="Tahoma" w:hAnsi="Tahoma" w:cs="Tahoma"/>
                <w:b/>
                <w:bCs/>
                <w:iCs/>
                <w:color w:val="509141"/>
                <w:szCs w:val="24"/>
                <w:lang w:val="en-GB"/>
              </w:rPr>
              <w:t>/</w:t>
            </w:r>
            <w:r w:rsidR="00316091" w:rsidRPr="0019555C">
              <w:rPr>
                <w:rFonts w:ascii="Tahoma" w:hAnsi="Tahoma" w:cs="Tahoma"/>
                <w:b/>
                <w:bCs/>
                <w:iCs/>
                <w:color w:val="509141"/>
                <w:szCs w:val="24"/>
                <w:lang w:val="en-GB"/>
              </w:rPr>
              <w:t>2014</w:t>
            </w:r>
            <w:r w:rsidRPr="0019555C">
              <w:rPr>
                <w:rFonts w:ascii="Tahoma" w:hAnsi="Tahoma" w:cs="Tahoma"/>
                <w:b/>
                <w:bCs/>
                <w:iCs/>
                <w:color w:val="509141"/>
                <w:szCs w:val="24"/>
                <w:lang w:val="en-GB"/>
              </w:rPr>
              <w:t>)</w:t>
            </w:r>
          </w:p>
        </w:tc>
      </w:tr>
      <w:tr w:rsidR="00FE79FE" w:rsidRPr="00A21BE8" w:rsidTr="00C92658">
        <w:tc>
          <w:tcPr>
            <w:tcW w:w="10089" w:type="dxa"/>
          </w:tcPr>
          <w:p w:rsidR="00013002" w:rsidRPr="0019555C" w:rsidRDefault="00013002" w:rsidP="00C92658">
            <w:pPr>
              <w:spacing w:before="80" w:line="500" w:lineRule="exact"/>
              <w:jc w:val="right"/>
              <w:rPr>
                <w:rFonts w:ascii="Tahoma" w:hAnsi="Tahoma" w:cs="Tahoma"/>
                <w:b/>
                <w:bCs/>
                <w:iCs/>
                <w:color w:val="509141"/>
                <w:sz w:val="44"/>
                <w:szCs w:val="44"/>
                <w:lang w:val="en-GB"/>
              </w:rPr>
            </w:pPr>
          </w:p>
          <w:p w:rsidR="00D8150A" w:rsidRPr="0019555C" w:rsidRDefault="00016D83" w:rsidP="00016D83">
            <w:pPr>
              <w:spacing w:before="80" w:line="500" w:lineRule="exact"/>
              <w:jc w:val="right"/>
              <w:rPr>
                <w:rFonts w:ascii="Tahoma" w:hAnsi="Tahoma" w:cs="Tahoma"/>
                <w:b/>
                <w:bCs/>
                <w:iCs/>
                <w:color w:val="509141"/>
                <w:sz w:val="44"/>
                <w:szCs w:val="44"/>
                <w:lang w:val="en-GB"/>
              </w:rPr>
            </w:pPr>
            <w:r w:rsidRPr="0019555C">
              <w:rPr>
                <w:rFonts w:ascii="Tahoma" w:hAnsi="Tahoma" w:cs="Tahoma"/>
                <w:b/>
                <w:bCs/>
                <w:iCs/>
                <w:color w:val="509141"/>
                <w:sz w:val="44"/>
                <w:szCs w:val="44"/>
                <w:lang w:val="en-GB"/>
              </w:rPr>
              <w:t xml:space="preserve">Fixed service use and future trends </w:t>
            </w:r>
          </w:p>
          <w:p w:rsidR="00FE79FE" w:rsidRPr="0019555C" w:rsidRDefault="00AD26B8" w:rsidP="00C92658">
            <w:pPr>
              <w:spacing w:before="80" w:line="500" w:lineRule="exact"/>
              <w:jc w:val="right"/>
              <w:rPr>
                <w:rFonts w:ascii="Tahoma" w:hAnsi="Tahoma" w:cs="Tahoma"/>
                <w:b/>
                <w:bCs/>
                <w:iCs/>
                <w:color w:val="509141"/>
                <w:sz w:val="44"/>
                <w:szCs w:val="44"/>
                <w:lang w:val="en-GB"/>
              </w:rPr>
            </w:pPr>
            <w:r w:rsidRPr="0019555C">
              <w:rPr>
                <w:rFonts w:ascii="Tahoma" w:hAnsi="Tahoma" w:cs="Tahoma"/>
                <w:b/>
                <w:bCs/>
                <w:iCs/>
                <w:color w:val="509141"/>
                <w:sz w:val="44"/>
                <w:szCs w:val="44"/>
                <w:lang w:val="en-GB"/>
              </w:rPr>
              <w:t xml:space="preserve">  </w:t>
            </w:r>
          </w:p>
        </w:tc>
      </w:tr>
      <w:tr w:rsidR="00FE79FE" w:rsidRPr="0019555C" w:rsidTr="00C92658">
        <w:tc>
          <w:tcPr>
            <w:tcW w:w="10089" w:type="dxa"/>
          </w:tcPr>
          <w:p w:rsidR="007B203C" w:rsidRPr="0019555C" w:rsidRDefault="007B203C" w:rsidP="00C92658">
            <w:pPr>
              <w:spacing w:before="80" w:line="280" w:lineRule="exact"/>
              <w:ind w:right="640"/>
              <w:rPr>
                <w:rFonts w:ascii="Tahoma" w:hAnsi="Tahoma" w:cs="Tahoma"/>
                <w:b/>
                <w:bCs/>
                <w:iCs/>
                <w:color w:val="243285"/>
                <w:sz w:val="32"/>
                <w:szCs w:val="32"/>
                <w:lang w:val="en-GB"/>
              </w:rPr>
            </w:pPr>
          </w:p>
          <w:p w:rsidR="007B203C" w:rsidRPr="0019555C" w:rsidRDefault="007B203C" w:rsidP="00C92658">
            <w:pPr>
              <w:spacing w:before="80" w:line="280" w:lineRule="exact"/>
              <w:ind w:right="640"/>
              <w:rPr>
                <w:rFonts w:ascii="Tahoma" w:hAnsi="Tahoma" w:cs="Tahoma"/>
                <w:b/>
                <w:bCs/>
                <w:iCs/>
                <w:color w:val="243285"/>
                <w:sz w:val="32"/>
                <w:szCs w:val="32"/>
                <w:lang w:val="en-GB"/>
              </w:rPr>
            </w:pPr>
          </w:p>
          <w:p w:rsidR="007B203C" w:rsidRPr="0019555C" w:rsidRDefault="007B203C" w:rsidP="00C92658">
            <w:pPr>
              <w:spacing w:before="80" w:line="280" w:lineRule="exact"/>
              <w:ind w:right="640"/>
              <w:rPr>
                <w:rFonts w:ascii="Tahoma" w:hAnsi="Tahoma" w:cs="Tahoma"/>
                <w:b/>
                <w:bCs/>
                <w:iCs/>
                <w:color w:val="243285"/>
                <w:sz w:val="32"/>
                <w:szCs w:val="32"/>
                <w:lang w:val="en-GB"/>
              </w:rPr>
            </w:pPr>
          </w:p>
          <w:p w:rsidR="007B203C" w:rsidRPr="0019555C" w:rsidRDefault="007B203C" w:rsidP="00C92658">
            <w:pPr>
              <w:spacing w:before="80" w:after="180" w:line="360" w:lineRule="exact"/>
              <w:jc w:val="right"/>
              <w:rPr>
                <w:rFonts w:ascii="Tahoma" w:hAnsi="Tahoma" w:cs="Tahoma"/>
                <w:b/>
                <w:bCs/>
                <w:iCs/>
                <w:color w:val="243285"/>
                <w:sz w:val="36"/>
                <w:szCs w:val="36"/>
                <w:lang w:val="en-GB"/>
              </w:rPr>
            </w:pPr>
          </w:p>
          <w:p w:rsidR="00013002" w:rsidRPr="0019555C" w:rsidRDefault="00D55B55" w:rsidP="00C92658">
            <w:pPr>
              <w:spacing w:before="80" w:after="180" w:line="360" w:lineRule="exact"/>
              <w:jc w:val="right"/>
              <w:rPr>
                <w:rFonts w:ascii="Tahoma" w:hAnsi="Tahoma" w:cs="Tahoma"/>
                <w:b/>
                <w:bCs/>
                <w:iCs/>
                <w:color w:val="509141"/>
                <w:sz w:val="36"/>
                <w:szCs w:val="36"/>
                <w:lang w:val="en-GB"/>
              </w:rPr>
            </w:pPr>
            <w:r w:rsidRPr="0019555C">
              <w:rPr>
                <w:rFonts w:ascii="Tahoma" w:hAnsi="Tahoma" w:cs="Tahoma"/>
                <w:b/>
                <w:bCs/>
                <w:iCs/>
                <w:color w:val="509141"/>
                <w:sz w:val="36"/>
                <w:szCs w:val="36"/>
                <w:lang w:val="en-GB"/>
              </w:rPr>
              <w:t>F</w:t>
            </w:r>
            <w:r w:rsidR="00FE79FE" w:rsidRPr="0019555C">
              <w:rPr>
                <w:rFonts w:ascii="Tahoma" w:hAnsi="Tahoma" w:cs="Tahoma"/>
                <w:b/>
                <w:bCs/>
                <w:iCs/>
                <w:color w:val="509141"/>
                <w:sz w:val="36"/>
                <w:szCs w:val="36"/>
                <w:lang w:val="en-GB"/>
              </w:rPr>
              <w:t xml:space="preserve"> Series</w:t>
            </w:r>
          </w:p>
          <w:p w:rsidR="00FE79FE" w:rsidRPr="0019555C" w:rsidRDefault="00D55B55" w:rsidP="00C92658">
            <w:pPr>
              <w:spacing w:before="80" w:line="420" w:lineRule="exact"/>
              <w:jc w:val="right"/>
              <w:rPr>
                <w:rFonts w:ascii="Tahoma" w:hAnsi="Tahoma" w:cs="Tahoma"/>
                <w:b/>
                <w:bCs/>
                <w:iCs/>
                <w:color w:val="509141"/>
                <w:sz w:val="36"/>
                <w:szCs w:val="36"/>
                <w:lang w:val="en-GB"/>
              </w:rPr>
            </w:pPr>
            <w:r w:rsidRPr="0019555C">
              <w:rPr>
                <w:rFonts w:ascii="Tahoma" w:hAnsi="Tahoma" w:cs="Tahoma"/>
                <w:b/>
                <w:bCs/>
                <w:iCs/>
                <w:color w:val="509141"/>
                <w:sz w:val="36"/>
                <w:szCs w:val="36"/>
                <w:lang w:val="en-GB"/>
              </w:rPr>
              <w:t>Fixed service</w:t>
            </w:r>
          </w:p>
        </w:tc>
      </w:tr>
    </w:tbl>
    <w:p w:rsidR="00A71FE5" w:rsidRPr="0019555C" w:rsidRDefault="00A71FE5" w:rsidP="00CD659B">
      <w:pPr>
        <w:spacing w:before="80"/>
        <w:rPr>
          <w:i/>
          <w:sz w:val="22"/>
          <w:lang w:val="en-GB"/>
        </w:rPr>
      </w:pPr>
    </w:p>
    <w:p w:rsidR="00FE79FE" w:rsidRPr="0019555C" w:rsidRDefault="00FE79FE" w:rsidP="00CD659B">
      <w:pPr>
        <w:spacing w:before="80"/>
        <w:rPr>
          <w:i/>
          <w:sz w:val="22"/>
          <w:lang w:val="en-GB"/>
        </w:rPr>
      </w:pPr>
    </w:p>
    <w:p w:rsidR="00FE79FE" w:rsidRPr="0019555C" w:rsidRDefault="00FE79FE" w:rsidP="00CD659B">
      <w:pPr>
        <w:spacing w:before="80"/>
        <w:rPr>
          <w:i/>
          <w:sz w:val="22"/>
          <w:lang w:val="en-GB"/>
        </w:rPr>
      </w:pPr>
    </w:p>
    <w:p w:rsidR="00FE79FE" w:rsidRPr="0019555C" w:rsidRDefault="00FE79FE" w:rsidP="00CD659B">
      <w:pPr>
        <w:spacing w:before="80"/>
        <w:rPr>
          <w:i/>
          <w:sz w:val="22"/>
          <w:lang w:val="en-GB"/>
        </w:rPr>
      </w:pPr>
    </w:p>
    <w:p w:rsidR="00FE79FE" w:rsidRPr="0019555C" w:rsidRDefault="00FE79FE" w:rsidP="00CD659B">
      <w:pPr>
        <w:spacing w:before="80"/>
        <w:rPr>
          <w:i/>
          <w:sz w:val="22"/>
          <w:lang w:val="en-GB"/>
        </w:rPr>
      </w:pPr>
    </w:p>
    <w:p w:rsidR="00A71FE5" w:rsidRPr="0019555C" w:rsidRDefault="00A71FE5" w:rsidP="00CD659B">
      <w:pPr>
        <w:spacing w:before="80"/>
        <w:rPr>
          <w:i/>
          <w:sz w:val="22"/>
          <w:lang w:val="en-GB"/>
        </w:rPr>
      </w:pPr>
    </w:p>
    <w:p w:rsidR="00CD659B" w:rsidRPr="0019555C" w:rsidRDefault="00CD659B" w:rsidP="00CD659B">
      <w:pPr>
        <w:rPr>
          <w:rFonts w:ascii="Palatino Linotype" w:hAnsi="Palatino Linotype"/>
          <w:lang w:val="en-GB"/>
        </w:rPr>
        <w:sectPr w:rsidR="00CD659B" w:rsidRPr="0019555C" w:rsidSect="009A351D">
          <w:headerReference w:type="even" r:id="rId10"/>
          <w:headerReference w:type="default" r:id="rId11"/>
          <w:pgSz w:w="11907" w:h="16840" w:code="9"/>
          <w:pgMar w:top="1089" w:right="1089" w:bottom="284" w:left="1089" w:header="567" w:footer="284" w:gutter="0"/>
          <w:pgNumType w:start="1"/>
          <w:cols w:space="720"/>
        </w:sectPr>
      </w:pPr>
    </w:p>
    <w:p w:rsidR="00CB60A4" w:rsidRPr="0019555C"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19555C">
        <w:rPr>
          <w:bCs/>
          <w:sz w:val="24"/>
          <w:szCs w:val="24"/>
          <w:lang w:val="en-GB"/>
        </w:rPr>
        <w:lastRenderedPageBreak/>
        <w:t>Foreword</w:t>
      </w:r>
    </w:p>
    <w:p w:rsidR="00CB60A4" w:rsidRPr="0019555C" w:rsidRDefault="00CB60A4" w:rsidP="00CB60A4">
      <w:pPr>
        <w:spacing w:before="240"/>
        <w:rPr>
          <w:sz w:val="20"/>
          <w:lang w:val="en-GB"/>
        </w:rPr>
      </w:pPr>
      <w:r w:rsidRPr="0019555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Pr="0019555C" w:rsidRDefault="00CB60A4" w:rsidP="00CB60A4">
      <w:pPr>
        <w:rPr>
          <w:sz w:val="20"/>
          <w:lang w:val="en-GB"/>
        </w:rPr>
      </w:pPr>
      <w:r w:rsidRPr="0019555C">
        <w:rPr>
          <w:sz w:val="20"/>
          <w:lang w:val="en-GB"/>
        </w:rPr>
        <w:t>The regulatory and policy functions of the Radiocommunication Sector are performed by World and Regional Radiocommunication Conferences and Radiocommunication Assemblies supported by Study Groups.</w:t>
      </w:r>
    </w:p>
    <w:p w:rsidR="00505FB4" w:rsidRPr="0019555C" w:rsidRDefault="00505FB4" w:rsidP="00505FB4">
      <w:pPr>
        <w:pStyle w:val="Heading1"/>
        <w:spacing w:before="400"/>
        <w:jc w:val="center"/>
        <w:rPr>
          <w:szCs w:val="24"/>
          <w:lang w:val="en-GB"/>
        </w:rPr>
      </w:pPr>
    </w:p>
    <w:p w:rsidR="00CB60A4" w:rsidRPr="0019555C" w:rsidRDefault="00CB60A4" w:rsidP="000C0413">
      <w:pPr>
        <w:pStyle w:val="Heading1"/>
        <w:spacing w:before="540"/>
        <w:jc w:val="center"/>
        <w:rPr>
          <w:szCs w:val="24"/>
          <w:lang w:val="en-GB"/>
        </w:rPr>
      </w:pPr>
      <w:bookmarkStart w:id="1" w:name="_Toc414014580"/>
      <w:bookmarkStart w:id="2" w:name="_Toc414014753"/>
      <w:r w:rsidRPr="0019555C">
        <w:rPr>
          <w:szCs w:val="24"/>
          <w:lang w:val="en-GB"/>
        </w:rPr>
        <w:t>Policy on Intellectual Property Right (IPR)</w:t>
      </w:r>
      <w:bookmarkEnd w:id="1"/>
      <w:bookmarkEnd w:id="2"/>
    </w:p>
    <w:p w:rsidR="00CB60A4" w:rsidRPr="0019555C" w:rsidRDefault="00CB60A4" w:rsidP="009030CC">
      <w:pPr>
        <w:tabs>
          <w:tab w:val="left" w:pos="720"/>
        </w:tabs>
        <w:spacing w:before="240"/>
        <w:rPr>
          <w:sz w:val="20"/>
          <w:lang w:val="en-GB"/>
        </w:rPr>
      </w:pPr>
      <w:r w:rsidRPr="0019555C">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19555C">
          <w:rPr>
            <w:rStyle w:val="Hyperlink"/>
            <w:sz w:val="20"/>
            <w:lang w:val="en-GB"/>
          </w:rPr>
          <w:t>http://www.itu.int/ITU</w:t>
        </w:r>
        <w:r w:rsidR="009030CC" w:rsidRPr="0019555C">
          <w:rPr>
            <w:rStyle w:val="Hyperlink"/>
            <w:sz w:val="20"/>
            <w:lang w:val="en-GB"/>
          </w:rPr>
          <w:t>-</w:t>
        </w:r>
        <w:r w:rsidRPr="0019555C">
          <w:rPr>
            <w:rStyle w:val="Hyperlink"/>
            <w:sz w:val="20"/>
            <w:lang w:val="en-GB"/>
          </w:rPr>
          <w:t>R/go/patents/en</w:t>
        </w:r>
      </w:hyperlink>
      <w:r w:rsidRPr="0019555C">
        <w:rPr>
          <w:sz w:val="20"/>
          <w:lang w:val="en-GB"/>
        </w:rPr>
        <w:t xml:space="preserve"> where the Guidelines for Implementation of the Common Patent Policy for ITU</w:t>
      </w:r>
      <w:r w:rsidRPr="0019555C">
        <w:rPr>
          <w:sz w:val="20"/>
          <w:lang w:val="en-GB"/>
        </w:rPr>
        <w:noBreakHyphen/>
        <w:t>T/ITU</w:t>
      </w:r>
      <w:r w:rsidRPr="0019555C">
        <w:rPr>
          <w:sz w:val="20"/>
          <w:lang w:val="en-GB"/>
        </w:rPr>
        <w:noBreakHyphen/>
        <w:t xml:space="preserve">R/ISO/IEC and the ITU-R patent information database can also be found. </w:t>
      </w:r>
    </w:p>
    <w:p w:rsidR="00CB60A4" w:rsidRPr="0019555C" w:rsidRDefault="00CB60A4" w:rsidP="00CB60A4">
      <w:pPr>
        <w:jc w:val="center"/>
        <w:rPr>
          <w:sz w:val="22"/>
          <w:lang w:val="en-GB"/>
        </w:rPr>
      </w:pPr>
    </w:p>
    <w:p w:rsidR="00505FB4" w:rsidRPr="0019555C" w:rsidRDefault="00505FB4" w:rsidP="00CB60A4">
      <w:pPr>
        <w:jc w:val="center"/>
        <w:rPr>
          <w:sz w:val="22"/>
          <w:lang w:val="en-GB"/>
        </w:rPr>
      </w:pPr>
    </w:p>
    <w:p w:rsidR="00CB60A4" w:rsidRPr="0019555C"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B60A4" w:rsidRPr="00A21BE8">
        <w:tc>
          <w:tcPr>
            <w:tcW w:w="9360" w:type="dxa"/>
            <w:gridSpan w:val="2"/>
            <w:tcBorders>
              <w:top w:val="single" w:sz="12" w:space="0" w:color="000080"/>
              <w:left w:val="single" w:sz="12" w:space="0" w:color="000080"/>
              <w:bottom w:val="nil"/>
              <w:right w:val="single" w:sz="12" w:space="0" w:color="000080"/>
            </w:tcBorders>
          </w:tcPr>
          <w:p w:rsidR="00CB60A4" w:rsidRPr="0019555C" w:rsidRDefault="00CB60A4" w:rsidP="00C7761D">
            <w:pPr>
              <w:pStyle w:val="ChapNo"/>
              <w:spacing w:before="240"/>
              <w:rPr>
                <w:sz w:val="22"/>
                <w:szCs w:val="22"/>
                <w:lang w:val="en-GB"/>
              </w:rPr>
            </w:pPr>
            <w:r w:rsidRPr="0019555C">
              <w:rPr>
                <w:sz w:val="22"/>
                <w:szCs w:val="22"/>
                <w:lang w:val="en-GB"/>
              </w:rPr>
              <w:t xml:space="preserve">Series of ITU-R </w:t>
            </w:r>
            <w:r w:rsidR="00505FB4" w:rsidRPr="0019555C">
              <w:rPr>
                <w:sz w:val="22"/>
                <w:szCs w:val="22"/>
                <w:lang w:val="en-GB"/>
              </w:rPr>
              <w:t>Reports</w:t>
            </w:r>
            <w:r w:rsidRPr="0019555C">
              <w:rPr>
                <w:sz w:val="22"/>
                <w:szCs w:val="22"/>
                <w:lang w:val="en-GB"/>
              </w:rPr>
              <w:t xml:space="preserve"> </w:t>
            </w:r>
          </w:p>
          <w:p w:rsidR="00CB60A4" w:rsidRPr="001955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19555C">
              <w:rPr>
                <w:b w:val="0"/>
                <w:sz w:val="18"/>
                <w:szCs w:val="18"/>
                <w:lang w:val="en-GB"/>
              </w:rPr>
              <w:t xml:space="preserve">(Also available online at </w:t>
            </w:r>
            <w:hyperlink r:id="rId13" w:history="1">
              <w:r w:rsidR="009030CC" w:rsidRPr="0019555C">
                <w:rPr>
                  <w:rStyle w:val="Hyperlink"/>
                  <w:b w:val="0"/>
                  <w:bCs/>
                  <w:sz w:val="18"/>
                  <w:szCs w:val="18"/>
                  <w:lang w:val="en-GB"/>
                </w:rPr>
                <w:t>http://www.itu.int/publ</w:t>
              </w:r>
              <w:r w:rsidR="00505FB4" w:rsidRPr="0019555C">
                <w:rPr>
                  <w:rStyle w:val="Hyperlink"/>
                  <w:b w:val="0"/>
                  <w:bCs/>
                  <w:sz w:val="18"/>
                  <w:szCs w:val="18"/>
                  <w:lang w:val="en-GB"/>
                </w:rPr>
                <w:t>/R-REP/en</w:t>
              </w:r>
            </w:hyperlink>
            <w:r w:rsidRPr="0019555C">
              <w:rPr>
                <w:b w:val="0"/>
                <w:sz w:val="18"/>
                <w:szCs w:val="18"/>
                <w:lang w:val="en-GB"/>
              </w:rPr>
              <w:t>)</w:t>
            </w:r>
          </w:p>
        </w:tc>
      </w:tr>
      <w:tr w:rsidR="00CB60A4" w:rsidRPr="0019555C" w:rsidTr="006F2B77">
        <w:tc>
          <w:tcPr>
            <w:tcW w:w="1140" w:type="dxa"/>
            <w:tcBorders>
              <w:top w:val="nil"/>
              <w:left w:val="single" w:sz="12" w:space="0" w:color="000080"/>
              <w:bottom w:val="nil"/>
              <w:right w:val="nil"/>
            </w:tcBorders>
          </w:tcPr>
          <w:p w:rsidR="00CB60A4" w:rsidRPr="0019555C" w:rsidRDefault="00CB60A4">
            <w:pPr>
              <w:spacing w:before="200" w:after="100"/>
              <w:ind w:left="57"/>
              <w:rPr>
                <w:b/>
                <w:bCs/>
                <w:sz w:val="20"/>
                <w:lang w:val="en-GB"/>
              </w:rPr>
            </w:pPr>
            <w:r w:rsidRPr="0019555C">
              <w:rPr>
                <w:b/>
                <w:bCs/>
                <w:sz w:val="20"/>
                <w:lang w:val="en-GB"/>
              </w:rPr>
              <w:t>Series</w:t>
            </w:r>
          </w:p>
        </w:tc>
        <w:tc>
          <w:tcPr>
            <w:tcW w:w="8220" w:type="dxa"/>
            <w:tcBorders>
              <w:top w:val="nil"/>
              <w:left w:val="nil"/>
              <w:bottom w:val="nil"/>
              <w:right w:val="single" w:sz="12" w:space="0" w:color="000080"/>
            </w:tcBorders>
          </w:tcPr>
          <w:p w:rsidR="00CB60A4" w:rsidRPr="001955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19555C">
              <w:rPr>
                <w:bCs/>
                <w:sz w:val="20"/>
                <w:lang w:val="en-GB"/>
              </w:rPr>
              <w:t>Title</w:t>
            </w:r>
          </w:p>
        </w:tc>
      </w:tr>
      <w:tr w:rsidR="00CB60A4" w:rsidRPr="0019555C" w:rsidTr="006F2B77">
        <w:tc>
          <w:tcPr>
            <w:tcW w:w="1140" w:type="dxa"/>
            <w:tcBorders>
              <w:top w:val="nil"/>
              <w:left w:val="single" w:sz="12" w:space="0" w:color="000080"/>
              <w:bottom w:val="nil"/>
              <w:right w:val="nil"/>
            </w:tcBorders>
            <w:shd w:val="clear" w:color="auto" w:fill="auto"/>
          </w:tcPr>
          <w:p w:rsidR="00CB60A4" w:rsidRPr="0019555C" w:rsidRDefault="00CB60A4">
            <w:pPr>
              <w:spacing w:before="30" w:after="30"/>
              <w:ind w:left="57"/>
              <w:jc w:val="left"/>
              <w:rPr>
                <w:rFonts w:ascii="Times New Roman Bold" w:hAnsi="Times New Roman Bold" w:cs="Times New Roman Bold"/>
                <w:b/>
                <w:bCs/>
                <w:sz w:val="20"/>
                <w:lang w:val="en-GB"/>
              </w:rPr>
            </w:pPr>
            <w:r w:rsidRPr="0019555C">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rsidR="00CB60A4" w:rsidRPr="001955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9555C">
              <w:rPr>
                <w:b w:val="0"/>
                <w:sz w:val="20"/>
                <w:lang w:val="en-GB"/>
              </w:rPr>
              <w:t>Satellite delivery</w:t>
            </w:r>
          </w:p>
        </w:tc>
      </w:tr>
      <w:tr w:rsidR="00CB60A4" w:rsidRPr="00A21BE8" w:rsidTr="00D55B55">
        <w:tc>
          <w:tcPr>
            <w:tcW w:w="1140" w:type="dxa"/>
            <w:tcBorders>
              <w:top w:val="nil"/>
              <w:left w:val="single" w:sz="12" w:space="0" w:color="000080"/>
              <w:bottom w:val="nil"/>
              <w:right w:val="nil"/>
            </w:tcBorders>
          </w:tcPr>
          <w:p w:rsidR="00CB60A4" w:rsidRPr="0019555C" w:rsidRDefault="00CB60A4">
            <w:pPr>
              <w:spacing w:before="30" w:after="30"/>
              <w:ind w:left="57"/>
              <w:jc w:val="left"/>
              <w:rPr>
                <w:b/>
                <w:bCs/>
                <w:sz w:val="20"/>
                <w:lang w:val="en-GB"/>
              </w:rPr>
            </w:pPr>
            <w:r w:rsidRPr="0019555C">
              <w:rPr>
                <w:b/>
                <w:bCs/>
                <w:sz w:val="20"/>
                <w:lang w:val="en-GB"/>
              </w:rPr>
              <w:t>BR</w:t>
            </w:r>
          </w:p>
        </w:tc>
        <w:tc>
          <w:tcPr>
            <w:tcW w:w="8220" w:type="dxa"/>
            <w:tcBorders>
              <w:top w:val="nil"/>
              <w:left w:val="nil"/>
              <w:bottom w:val="nil"/>
              <w:right w:val="single" w:sz="12" w:space="0" w:color="000080"/>
            </w:tcBorders>
          </w:tcPr>
          <w:p w:rsidR="00CB60A4" w:rsidRPr="001955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9555C">
              <w:rPr>
                <w:b w:val="0"/>
                <w:sz w:val="20"/>
                <w:lang w:val="en-GB"/>
              </w:rPr>
              <w:t>Recording for production, archival and play-out; film for television</w:t>
            </w:r>
          </w:p>
        </w:tc>
      </w:tr>
      <w:tr w:rsidR="00CB60A4" w:rsidRPr="0019555C" w:rsidTr="00D55B55">
        <w:tc>
          <w:tcPr>
            <w:tcW w:w="1140" w:type="dxa"/>
            <w:tcBorders>
              <w:top w:val="nil"/>
              <w:left w:val="single" w:sz="12" w:space="0" w:color="000080"/>
              <w:bottom w:val="nil"/>
              <w:right w:val="nil"/>
            </w:tcBorders>
            <w:shd w:val="clear" w:color="auto" w:fill="auto"/>
          </w:tcPr>
          <w:p w:rsidR="00CB60A4" w:rsidRPr="0019555C" w:rsidRDefault="00CB60A4">
            <w:pPr>
              <w:spacing w:before="30" w:after="30"/>
              <w:ind w:left="57"/>
              <w:jc w:val="left"/>
              <w:rPr>
                <w:rFonts w:ascii="Times New Roman Bold" w:hAnsi="Times New Roman Bold" w:cs="Times New Roman Bold"/>
                <w:b/>
                <w:bCs/>
                <w:sz w:val="20"/>
                <w:lang w:val="en-GB"/>
              </w:rPr>
            </w:pPr>
            <w:r w:rsidRPr="0019555C">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rsidR="00CB60A4" w:rsidRPr="001955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9555C">
              <w:rPr>
                <w:b w:val="0"/>
                <w:sz w:val="20"/>
                <w:lang w:val="en-GB"/>
              </w:rPr>
              <w:t>Broadcasting service (sound)</w:t>
            </w:r>
          </w:p>
        </w:tc>
      </w:tr>
      <w:tr w:rsidR="00CB60A4" w:rsidRPr="0019555C" w:rsidTr="00D55B55">
        <w:tc>
          <w:tcPr>
            <w:tcW w:w="1140" w:type="dxa"/>
            <w:tcBorders>
              <w:top w:val="nil"/>
              <w:left w:val="single" w:sz="12" w:space="0" w:color="000080"/>
              <w:bottom w:val="nil"/>
              <w:right w:val="nil"/>
            </w:tcBorders>
            <w:shd w:val="clear" w:color="auto" w:fill="auto"/>
          </w:tcPr>
          <w:p w:rsidR="00CB60A4" w:rsidRPr="0019555C" w:rsidRDefault="00CB60A4">
            <w:pPr>
              <w:spacing w:before="30" w:after="30"/>
              <w:ind w:left="57"/>
              <w:jc w:val="left"/>
              <w:rPr>
                <w:rFonts w:ascii="Times New Roman Bold" w:hAnsi="Times New Roman Bold" w:cs="Times New Roman Bold"/>
                <w:b/>
                <w:bCs/>
                <w:sz w:val="20"/>
                <w:lang w:val="en-GB"/>
              </w:rPr>
            </w:pPr>
            <w:r w:rsidRPr="0019555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CB60A4" w:rsidRPr="001955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9555C">
              <w:rPr>
                <w:b w:val="0"/>
                <w:sz w:val="20"/>
                <w:lang w:val="en-GB"/>
              </w:rPr>
              <w:t>Broadcasting service (television)</w:t>
            </w:r>
          </w:p>
        </w:tc>
      </w:tr>
      <w:tr w:rsidR="00CB60A4" w:rsidRPr="0019555C" w:rsidTr="00D55B55">
        <w:tc>
          <w:tcPr>
            <w:tcW w:w="1140" w:type="dxa"/>
            <w:tcBorders>
              <w:top w:val="nil"/>
              <w:left w:val="single" w:sz="12" w:space="0" w:color="000080"/>
              <w:bottom w:val="nil"/>
              <w:right w:val="nil"/>
            </w:tcBorders>
            <w:shd w:val="clear" w:color="auto" w:fill="F3F3F3"/>
          </w:tcPr>
          <w:p w:rsidR="00CB60A4" w:rsidRPr="0019555C" w:rsidRDefault="00CB60A4">
            <w:pPr>
              <w:spacing w:before="30" w:after="30"/>
              <w:ind w:left="57"/>
              <w:jc w:val="left"/>
              <w:rPr>
                <w:b/>
                <w:bCs/>
                <w:color w:val="000080"/>
                <w:sz w:val="20"/>
                <w:lang w:val="en-GB"/>
              </w:rPr>
            </w:pPr>
            <w:r w:rsidRPr="0019555C">
              <w:rPr>
                <w:b/>
                <w:bCs/>
                <w:color w:val="000080"/>
                <w:sz w:val="20"/>
                <w:lang w:val="en-GB"/>
              </w:rPr>
              <w:t>F</w:t>
            </w:r>
          </w:p>
        </w:tc>
        <w:tc>
          <w:tcPr>
            <w:tcW w:w="8220" w:type="dxa"/>
            <w:tcBorders>
              <w:top w:val="nil"/>
              <w:left w:val="nil"/>
              <w:bottom w:val="nil"/>
              <w:right w:val="single" w:sz="12" w:space="0" w:color="000080"/>
            </w:tcBorders>
            <w:shd w:val="clear" w:color="auto" w:fill="F3F3F3"/>
          </w:tcPr>
          <w:p w:rsidR="00CB60A4" w:rsidRPr="0019555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19555C">
              <w:rPr>
                <w:b/>
                <w:bCs/>
                <w:color w:val="000080"/>
                <w:sz w:val="20"/>
                <w:lang w:val="en-GB"/>
              </w:rPr>
              <w:t>Fixed service</w:t>
            </w:r>
          </w:p>
        </w:tc>
      </w:tr>
      <w:tr w:rsidR="00CB60A4" w:rsidRPr="0019555C">
        <w:tc>
          <w:tcPr>
            <w:tcW w:w="1140" w:type="dxa"/>
            <w:tcBorders>
              <w:top w:val="nil"/>
              <w:left w:val="single" w:sz="12" w:space="0" w:color="000080"/>
              <w:bottom w:val="nil"/>
              <w:right w:val="nil"/>
            </w:tcBorders>
            <w:shd w:val="clear" w:color="auto" w:fill="auto"/>
          </w:tcPr>
          <w:p w:rsidR="00CB60A4" w:rsidRPr="0019555C" w:rsidRDefault="00CB60A4">
            <w:pPr>
              <w:spacing w:before="30" w:after="30"/>
              <w:ind w:left="57"/>
              <w:jc w:val="left"/>
              <w:rPr>
                <w:b/>
                <w:bCs/>
                <w:sz w:val="20"/>
                <w:lang w:val="en-GB"/>
              </w:rPr>
            </w:pPr>
            <w:r w:rsidRPr="0019555C">
              <w:rPr>
                <w:b/>
                <w:bCs/>
                <w:sz w:val="20"/>
                <w:lang w:val="en-GB"/>
              </w:rPr>
              <w:t>M</w:t>
            </w:r>
          </w:p>
        </w:tc>
        <w:tc>
          <w:tcPr>
            <w:tcW w:w="8220" w:type="dxa"/>
            <w:tcBorders>
              <w:top w:val="nil"/>
              <w:left w:val="nil"/>
              <w:bottom w:val="nil"/>
              <w:right w:val="single" w:sz="12" w:space="0" w:color="000080"/>
            </w:tcBorders>
            <w:shd w:val="clear" w:color="auto" w:fill="auto"/>
          </w:tcPr>
          <w:p w:rsidR="00CB60A4" w:rsidRPr="001955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9555C">
              <w:rPr>
                <w:b w:val="0"/>
                <w:sz w:val="20"/>
                <w:lang w:val="en-GB"/>
              </w:rPr>
              <w:t>Mobile, radiodetermination, amateur and related satellite services</w:t>
            </w:r>
          </w:p>
        </w:tc>
      </w:tr>
      <w:tr w:rsidR="00CB60A4" w:rsidRPr="0019555C">
        <w:tc>
          <w:tcPr>
            <w:tcW w:w="1140" w:type="dxa"/>
            <w:tcBorders>
              <w:top w:val="nil"/>
              <w:left w:val="single" w:sz="12" w:space="0" w:color="000080"/>
              <w:bottom w:val="nil"/>
              <w:right w:val="nil"/>
            </w:tcBorders>
          </w:tcPr>
          <w:p w:rsidR="00CB60A4" w:rsidRPr="0019555C" w:rsidRDefault="00CB60A4">
            <w:pPr>
              <w:spacing w:before="30" w:after="30"/>
              <w:ind w:left="57"/>
              <w:jc w:val="left"/>
              <w:rPr>
                <w:b/>
                <w:bCs/>
                <w:sz w:val="20"/>
                <w:lang w:val="en-GB"/>
              </w:rPr>
            </w:pPr>
            <w:r w:rsidRPr="0019555C">
              <w:rPr>
                <w:b/>
                <w:bCs/>
                <w:sz w:val="20"/>
                <w:lang w:val="en-GB"/>
              </w:rPr>
              <w:t>P</w:t>
            </w:r>
          </w:p>
        </w:tc>
        <w:tc>
          <w:tcPr>
            <w:tcW w:w="8220" w:type="dxa"/>
            <w:tcBorders>
              <w:top w:val="nil"/>
              <w:left w:val="nil"/>
              <w:bottom w:val="nil"/>
              <w:right w:val="single" w:sz="12" w:space="0" w:color="000080"/>
            </w:tcBorders>
          </w:tcPr>
          <w:p w:rsidR="00CB60A4" w:rsidRPr="0019555C" w:rsidRDefault="00CB60A4">
            <w:pPr>
              <w:spacing w:before="30" w:after="30"/>
              <w:jc w:val="left"/>
              <w:rPr>
                <w:sz w:val="20"/>
                <w:lang w:val="en-GB"/>
              </w:rPr>
            </w:pPr>
            <w:r w:rsidRPr="0019555C">
              <w:rPr>
                <w:sz w:val="20"/>
                <w:lang w:val="en-GB"/>
              </w:rPr>
              <w:t>Radiowave propagation</w:t>
            </w:r>
          </w:p>
        </w:tc>
      </w:tr>
      <w:tr w:rsidR="00CB60A4" w:rsidRPr="0019555C">
        <w:tc>
          <w:tcPr>
            <w:tcW w:w="1140" w:type="dxa"/>
            <w:tcBorders>
              <w:top w:val="nil"/>
              <w:left w:val="single" w:sz="12" w:space="0" w:color="000080"/>
              <w:bottom w:val="nil"/>
              <w:right w:val="nil"/>
            </w:tcBorders>
          </w:tcPr>
          <w:p w:rsidR="00CB60A4" w:rsidRPr="0019555C" w:rsidRDefault="00CB60A4">
            <w:pPr>
              <w:spacing w:before="30" w:after="30"/>
              <w:ind w:left="57"/>
              <w:jc w:val="left"/>
              <w:rPr>
                <w:b/>
                <w:bCs/>
                <w:sz w:val="20"/>
                <w:lang w:val="en-GB"/>
              </w:rPr>
            </w:pPr>
            <w:r w:rsidRPr="0019555C">
              <w:rPr>
                <w:b/>
                <w:bCs/>
                <w:sz w:val="20"/>
                <w:lang w:val="en-GB"/>
              </w:rPr>
              <w:t>RA</w:t>
            </w:r>
          </w:p>
        </w:tc>
        <w:tc>
          <w:tcPr>
            <w:tcW w:w="8220" w:type="dxa"/>
            <w:tcBorders>
              <w:top w:val="nil"/>
              <w:left w:val="nil"/>
              <w:bottom w:val="nil"/>
              <w:right w:val="single" w:sz="12" w:space="0" w:color="000080"/>
            </w:tcBorders>
          </w:tcPr>
          <w:p w:rsidR="00CB60A4" w:rsidRPr="0019555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9555C">
              <w:rPr>
                <w:sz w:val="20"/>
                <w:lang w:val="en-GB"/>
              </w:rPr>
              <w:t>Radio astronomy</w:t>
            </w:r>
          </w:p>
        </w:tc>
      </w:tr>
      <w:tr w:rsidR="00CB60A4" w:rsidRPr="0019555C">
        <w:tc>
          <w:tcPr>
            <w:tcW w:w="1140" w:type="dxa"/>
            <w:tcBorders>
              <w:top w:val="nil"/>
              <w:left w:val="single" w:sz="12" w:space="0" w:color="000080"/>
              <w:bottom w:val="nil"/>
              <w:right w:val="nil"/>
            </w:tcBorders>
          </w:tcPr>
          <w:p w:rsidR="00CB60A4" w:rsidRPr="0019555C" w:rsidRDefault="00CB60A4">
            <w:pPr>
              <w:spacing w:before="30" w:after="30"/>
              <w:ind w:left="57"/>
              <w:jc w:val="left"/>
              <w:rPr>
                <w:b/>
                <w:bCs/>
                <w:sz w:val="20"/>
                <w:lang w:val="en-GB"/>
              </w:rPr>
            </w:pPr>
            <w:r w:rsidRPr="0019555C">
              <w:rPr>
                <w:b/>
                <w:bCs/>
                <w:sz w:val="20"/>
                <w:lang w:val="en-GB"/>
              </w:rPr>
              <w:t>RS</w:t>
            </w:r>
          </w:p>
        </w:tc>
        <w:tc>
          <w:tcPr>
            <w:tcW w:w="8220" w:type="dxa"/>
            <w:tcBorders>
              <w:top w:val="nil"/>
              <w:left w:val="nil"/>
              <w:bottom w:val="nil"/>
              <w:right w:val="single" w:sz="12" w:space="0" w:color="000080"/>
            </w:tcBorders>
          </w:tcPr>
          <w:p w:rsidR="00CB60A4" w:rsidRPr="0019555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9555C">
              <w:rPr>
                <w:sz w:val="20"/>
                <w:lang w:val="en-GB"/>
              </w:rPr>
              <w:t>Remote sensing systems</w:t>
            </w:r>
          </w:p>
        </w:tc>
      </w:tr>
      <w:tr w:rsidR="00CD7A62" w:rsidRPr="0019555C">
        <w:tc>
          <w:tcPr>
            <w:tcW w:w="1140" w:type="dxa"/>
            <w:tcBorders>
              <w:top w:val="nil"/>
              <w:left w:val="single" w:sz="12" w:space="0" w:color="000080"/>
              <w:bottom w:val="nil"/>
              <w:right w:val="nil"/>
            </w:tcBorders>
          </w:tcPr>
          <w:p w:rsidR="00CD7A62" w:rsidRPr="0019555C" w:rsidRDefault="00CD7A62">
            <w:pPr>
              <w:spacing w:before="30" w:after="30"/>
              <w:ind w:left="57"/>
              <w:jc w:val="left"/>
              <w:rPr>
                <w:b/>
                <w:bCs/>
                <w:sz w:val="20"/>
                <w:lang w:val="en-GB"/>
              </w:rPr>
            </w:pPr>
            <w:r w:rsidRPr="0019555C">
              <w:rPr>
                <w:b/>
                <w:bCs/>
                <w:sz w:val="20"/>
                <w:lang w:val="en-GB"/>
              </w:rPr>
              <w:t>S</w:t>
            </w:r>
          </w:p>
        </w:tc>
        <w:tc>
          <w:tcPr>
            <w:tcW w:w="8220" w:type="dxa"/>
            <w:tcBorders>
              <w:top w:val="nil"/>
              <w:left w:val="nil"/>
              <w:bottom w:val="nil"/>
              <w:right w:val="single" w:sz="12" w:space="0" w:color="000080"/>
            </w:tcBorders>
          </w:tcPr>
          <w:p w:rsidR="00CD7A62" w:rsidRPr="0019555C" w:rsidRDefault="00CD7A62">
            <w:pPr>
              <w:spacing w:before="30" w:after="30"/>
              <w:jc w:val="left"/>
              <w:rPr>
                <w:sz w:val="20"/>
                <w:lang w:val="en-GB"/>
              </w:rPr>
            </w:pPr>
            <w:r w:rsidRPr="0019555C">
              <w:rPr>
                <w:sz w:val="20"/>
                <w:lang w:val="en-GB"/>
              </w:rPr>
              <w:t>Fixed</w:t>
            </w:r>
            <w:r w:rsidR="00194111" w:rsidRPr="0019555C">
              <w:rPr>
                <w:sz w:val="20"/>
                <w:lang w:val="en-GB"/>
              </w:rPr>
              <w:t>-</w:t>
            </w:r>
            <w:r w:rsidRPr="0019555C">
              <w:rPr>
                <w:sz w:val="20"/>
                <w:lang w:val="en-GB"/>
              </w:rPr>
              <w:t>satellite service</w:t>
            </w:r>
          </w:p>
        </w:tc>
      </w:tr>
      <w:tr w:rsidR="00CB60A4" w:rsidRPr="0019555C">
        <w:tc>
          <w:tcPr>
            <w:tcW w:w="1140" w:type="dxa"/>
            <w:tcBorders>
              <w:top w:val="nil"/>
              <w:left w:val="single" w:sz="12" w:space="0" w:color="000080"/>
              <w:bottom w:val="nil"/>
              <w:right w:val="nil"/>
            </w:tcBorders>
          </w:tcPr>
          <w:p w:rsidR="00CB60A4" w:rsidRPr="0019555C" w:rsidRDefault="00CB60A4">
            <w:pPr>
              <w:spacing w:before="30" w:after="30"/>
              <w:ind w:left="57"/>
              <w:jc w:val="left"/>
              <w:rPr>
                <w:b/>
                <w:bCs/>
                <w:sz w:val="20"/>
                <w:lang w:val="en-GB"/>
              </w:rPr>
            </w:pPr>
            <w:r w:rsidRPr="0019555C">
              <w:rPr>
                <w:b/>
                <w:bCs/>
                <w:sz w:val="20"/>
                <w:lang w:val="en-GB"/>
              </w:rPr>
              <w:t>SA</w:t>
            </w:r>
          </w:p>
        </w:tc>
        <w:tc>
          <w:tcPr>
            <w:tcW w:w="8220" w:type="dxa"/>
            <w:tcBorders>
              <w:top w:val="nil"/>
              <w:left w:val="nil"/>
              <w:bottom w:val="nil"/>
              <w:right w:val="single" w:sz="12" w:space="0" w:color="000080"/>
            </w:tcBorders>
          </w:tcPr>
          <w:p w:rsidR="00CB60A4" w:rsidRPr="0019555C" w:rsidRDefault="00CB60A4">
            <w:pPr>
              <w:spacing w:before="30" w:after="30"/>
              <w:jc w:val="left"/>
              <w:rPr>
                <w:sz w:val="20"/>
                <w:lang w:val="en-GB"/>
              </w:rPr>
            </w:pPr>
            <w:r w:rsidRPr="0019555C">
              <w:rPr>
                <w:sz w:val="20"/>
                <w:lang w:val="en-GB"/>
              </w:rPr>
              <w:t>Space applications and meteorology</w:t>
            </w:r>
          </w:p>
        </w:tc>
      </w:tr>
      <w:tr w:rsidR="00CB60A4" w:rsidRPr="00A21BE8">
        <w:tc>
          <w:tcPr>
            <w:tcW w:w="1140" w:type="dxa"/>
            <w:tcBorders>
              <w:top w:val="nil"/>
              <w:left w:val="single" w:sz="12" w:space="0" w:color="000080"/>
              <w:bottom w:val="nil"/>
              <w:right w:val="nil"/>
            </w:tcBorders>
          </w:tcPr>
          <w:p w:rsidR="00CB60A4" w:rsidRPr="0019555C" w:rsidRDefault="00CB60A4">
            <w:pPr>
              <w:spacing w:before="30" w:after="30"/>
              <w:ind w:left="57"/>
              <w:jc w:val="left"/>
              <w:rPr>
                <w:b/>
                <w:bCs/>
                <w:sz w:val="20"/>
                <w:lang w:val="en-GB"/>
              </w:rPr>
            </w:pPr>
            <w:r w:rsidRPr="0019555C">
              <w:rPr>
                <w:b/>
                <w:bCs/>
                <w:sz w:val="20"/>
                <w:lang w:val="en-GB"/>
              </w:rPr>
              <w:t>SF</w:t>
            </w:r>
          </w:p>
        </w:tc>
        <w:tc>
          <w:tcPr>
            <w:tcW w:w="8220" w:type="dxa"/>
            <w:tcBorders>
              <w:top w:val="nil"/>
              <w:left w:val="nil"/>
              <w:bottom w:val="nil"/>
              <w:right w:val="single" w:sz="12" w:space="0" w:color="000080"/>
            </w:tcBorders>
          </w:tcPr>
          <w:p w:rsidR="00CB60A4" w:rsidRPr="0019555C" w:rsidRDefault="00CB60A4">
            <w:pPr>
              <w:spacing w:before="30" w:after="30"/>
              <w:jc w:val="left"/>
              <w:rPr>
                <w:sz w:val="20"/>
                <w:lang w:val="en-GB"/>
              </w:rPr>
            </w:pPr>
            <w:r w:rsidRPr="0019555C">
              <w:rPr>
                <w:sz w:val="20"/>
                <w:lang w:val="en-GB"/>
              </w:rPr>
              <w:t>Frequency sharing and coordination between fixed-satellite and fixed service systems</w:t>
            </w:r>
          </w:p>
        </w:tc>
      </w:tr>
      <w:tr w:rsidR="00CB60A4" w:rsidRPr="0019555C">
        <w:tc>
          <w:tcPr>
            <w:tcW w:w="1140" w:type="dxa"/>
            <w:tcBorders>
              <w:top w:val="nil"/>
              <w:left w:val="single" w:sz="12" w:space="0" w:color="000080"/>
              <w:bottom w:val="single" w:sz="12" w:space="0" w:color="000080"/>
              <w:right w:val="nil"/>
            </w:tcBorders>
          </w:tcPr>
          <w:p w:rsidR="00CB60A4" w:rsidRPr="0019555C" w:rsidRDefault="00CB60A4">
            <w:pPr>
              <w:spacing w:before="30" w:after="30"/>
              <w:ind w:left="57"/>
              <w:jc w:val="left"/>
              <w:rPr>
                <w:b/>
                <w:bCs/>
                <w:sz w:val="20"/>
                <w:lang w:val="en-GB"/>
              </w:rPr>
            </w:pPr>
            <w:r w:rsidRPr="0019555C">
              <w:rPr>
                <w:b/>
                <w:bCs/>
                <w:sz w:val="20"/>
                <w:lang w:val="en-GB"/>
              </w:rPr>
              <w:t>SM</w:t>
            </w:r>
          </w:p>
        </w:tc>
        <w:tc>
          <w:tcPr>
            <w:tcW w:w="8220" w:type="dxa"/>
            <w:tcBorders>
              <w:top w:val="nil"/>
              <w:left w:val="nil"/>
              <w:bottom w:val="single" w:sz="12" w:space="0" w:color="000080"/>
              <w:right w:val="single" w:sz="12" w:space="0" w:color="000080"/>
            </w:tcBorders>
          </w:tcPr>
          <w:p w:rsidR="00CB60A4" w:rsidRPr="0019555C" w:rsidRDefault="00CB60A4" w:rsidP="00505FB4">
            <w:pPr>
              <w:spacing w:before="30" w:after="180"/>
              <w:jc w:val="left"/>
              <w:rPr>
                <w:sz w:val="20"/>
                <w:lang w:val="en-GB"/>
              </w:rPr>
            </w:pPr>
            <w:r w:rsidRPr="0019555C">
              <w:rPr>
                <w:sz w:val="20"/>
                <w:lang w:val="en-GB"/>
              </w:rPr>
              <w:t>Spectrum management</w:t>
            </w:r>
          </w:p>
        </w:tc>
      </w:tr>
    </w:tbl>
    <w:p w:rsidR="00CB60A4" w:rsidRPr="0019555C"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19555C">
        <w:tc>
          <w:tcPr>
            <w:tcW w:w="720" w:type="dxa"/>
          </w:tcPr>
          <w:p w:rsidR="00CB60A4" w:rsidRPr="0019555C" w:rsidRDefault="00CB60A4">
            <w:pPr>
              <w:jc w:val="center"/>
              <w:rPr>
                <w:sz w:val="22"/>
                <w:lang w:val="en-GB"/>
              </w:rPr>
            </w:pPr>
          </w:p>
        </w:tc>
      </w:tr>
    </w:tbl>
    <w:p w:rsidR="00CB60A4" w:rsidRPr="0019555C"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CB60A4" w:rsidRPr="00A21BE8" w:rsidTr="00C92658">
        <w:tc>
          <w:tcPr>
            <w:tcW w:w="9360" w:type="dxa"/>
            <w:tcBorders>
              <w:top w:val="single" w:sz="12" w:space="0" w:color="000080"/>
              <w:left w:val="single" w:sz="12" w:space="0" w:color="000080"/>
              <w:bottom w:val="single" w:sz="12" w:space="0" w:color="000080"/>
              <w:right w:val="single" w:sz="12" w:space="0" w:color="000080"/>
            </w:tcBorders>
          </w:tcPr>
          <w:p w:rsidR="00CB60A4" w:rsidRPr="0019555C" w:rsidRDefault="00CB60A4" w:rsidP="005A7013">
            <w:pPr>
              <w:spacing w:after="120"/>
              <w:jc w:val="left"/>
              <w:rPr>
                <w:b/>
                <w:bCs/>
                <w:sz w:val="20"/>
                <w:lang w:val="en-GB"/>
              </w:rPr>
            </w:pPr>
            <w:r w:rsidRPr="0019555C">
              <w:rPr>
                <w:b/>
                <w:bCs/>
                <w:i/>
                <w:iCs/>
                <w:sz w:val="20"/>
                <w:lang w:val="en-GB"/>
              </w:rPr>
              <w:t>Note</w:t>
            </w:r>
            <w:r w:rsidRPr="0019555C">
              <w:rPr>
                <w:i/>
                <w:iCs/>
                <w:sz w:val="20"/>
                <w:lang w:val="en-GB"/>
              </w:rPr>
              <w:t xml:space="preserve">: This ITU-R </w:t>
            </w:r>
            <w:r w:rsidR="00505FB4" w:rsidRPr="0019555C">
              <w:rPr>
                <w:i/>
                <w:iCs/>
                <w:sz w:val="20"/>
                <w:lang w:val="en-GB"/>
              </w:rPr>
              <w:t>Report</w:t>
            </w:r>
            <w:r w:rsidRPr="0019555C">
              <w:rPr>
                <w:i/>
                <w:iCs/>
                <w:sz w:val="20"/>
                <w:lang w:val="en-GB"/>
              </w:rPr>
              <w:t xml:space="preserve"> was approved in English </w:t>
            </w:r>
            <w:r w:rsidR="001A5259" w:rsidRPr="0019555C">
              <w:rPr>
                <w:i/>
                <w:iCs/>
                <w:sz w:val="20"/>
                <w:lang w:val="en-GB"/>
              </w:rPr>
              <w:t xml:space="preserve">by the Study Group </w:t>
            </w:r>
            <w:r w:rsidRPr="0019555C">
              <w:rPr>
                <w:i/>
                <w:iCs/>
                <w:sz w:val="20"/>
                <w:lang w:val="en-GB"/>
              </w:rPr>
              <w:t xml:space="preserve">under the </w:t>
            </w:r>
            <w:r w:rsidR="001A5259" w:rsidRPr="0019555C">
              <w:rPr>
                <w:i/>
                <w:iCs/>
                <w:sz w:val="20"/>
                <w:lang w:val="en-GB"/>
              </w:rPr>
              <w:t>procedure detailed in Resolution</w:t>
            </w:r>
            <w:r w:rsidR="005A7013" w:rsidRPr="0019555C">
              <w:rPr>
                <w:i/>
                <w:iCs/>
                <w:sz w:val="20"/>
                <w:lang w:val="en-GB"/>
              </w:rPr>
              <w:t> </w:t>
            </w:r>
            <w:r w:rsidRPr="0019555C">
              <w:rPr>
                <w:i/>
                <w:iCs/>
                <w:sz w:val="20"/>
                <w:lang w:val="en-GB"/>
              </w:rPr>
              <w:t>ITU-R 1.</w:t>
            </w:r>
          </w:p>
        </w:tc>
      </w:tr>
    </w:tbl>
    <w:p w:rsidR="00CB60A4" w:rsidRPr="0019555C" w:rsidRDefault="00CB60A4" w:rsidP="00CB60A4">
      <w:pPr>
        <w:spacing w:before="0"/>
        <w:jc w:val="center"/>
        <w:rPr>
          <w:sz w:val="22"/>
          <w:lang w:val="en-GB"/>
        </w:rPr>
      </w:pPr>
    </w:p>
    <w:p w:rsidR="00CB60A4" w:rsidRPr="0019555C" w:rsidRDefault="00CB60A4" w:rsidP="00CB60A4">
      <w:pPr>
        <w:spacing w:before="0"/>
        <w:jc w:val="center"/>
        <w:rPr>
          <w:sz w:val="22"/>
          <w:lang w:val="en-GB"/>
        </w:rPr>
      </w:pPr>
    </w:p>
    <w:p w:rsidR="00CB60A4" w:rsidRPr="0019555C" w:rsidRDefault="00CB60A4" w:rsidP="00CB60A4">
      <w:pPr>
        <w:spacing w:before="0"/>
        <w:jc w:val="right"/>
        <w:rPr>
          <w:i/>
          <w:iCs/>
          <w:sz w:val="20"/>
          <w:lang w:val="en-GB"/>
        </w:rPr>
      </w:pPr>
      <w:r w:rsidRPr="0019555C">
        <w:rPr>
          <w:i/>
          <w:iCs/>
          <w:sz w:val="20"/>
          <w:lang w:val="en-GB"/>
        </w:rPr>
        <w:t>Electronic Publication</w:t>
      </w:r>
    </w:p>
    <w:p w:rsidR="00CB60A4" w:rsidRPr="0019555C" w:rsidRDefault="00CB60A4" w:rsidP="00D55C17">
      <w:pPr>
        <w:spacing w:before="0"/>
        <w:jc w:val="right"/>
        <w:rPr>
          <w:sz w:val="20"/>
          <w:lang w:val="en-GB"/>
        </w:rPr>
      </w:pPr>
      <w:r w:rsidRPr="0019555C">
        <w:rPr>
          <w:sz w:val="20"/>
          <w:lang w:val="en-GB"/>
        </w:rPr>
        <w:t>Geneva, 20</w:t>
      </w:r>
      <w:r w:rsidR="0084795C" w:rsidRPr="0019555C">
        <w:rPr>
          <w:sz w:val="20"/>
          <w:lang w:val="en-GB"/>
        </w:rPr>
        <w:t>1</w:t>
      </w:r>
      <w:r w:rsidR="00F27443" w:rsidRPr="0019555C">
        <w:rPr>
          <w:sz w:val="20"/>
          <w:lang w:val="en-GB"/>
        </w:rPr>
        <w:t>5</w:t>
      </w:r>
    </w:p>
    <w:p w:rsidR="00CB60A4" w:rsidRPr="0019555C" w:rsidRDefault="00CB60A4" w:rsidP="00D55C17">
      <w:pPr>
        <w:jc w:val="center"/>
        <w:rPr>
          <w:sz w:val="20"/>
          <w:lang w:val="en-GB"/>
        </w:rPr>
      </w:pPr>
      <w:r w:rsidRPr="0019555C">
        <w:rPr>
          <w:sz w:val="20"/>
          <w:lang w:val="en-GB"/>
        </w:rPr>
        <w:sym w:font="Symbol" w:char="00E3"/>
      </w:r>
      <w:r w:rsidRPr="0019555C">
        <w:rPr>
          <w:sz w:val="20"/>
          <w:lang w:val="en-GB"/>
        </w:rPr>
        <w:t xml:space="preserve"> ITU </w:t>
      </w:r>
      <w:bookmarkStart w:id="3" w:name="iiannee"/>
      <w:bookmarkEnd w:id="3"/>
      <w:r w:rsidRPr="0019555C">
        <w:rPr>
          <w:sz w:val="20"/>
          <w:lang w:val="en-GB"/>
        </w:rPr>
        <w:t>20</w:t>
      </w:r>
      <w:r w:rsidR="0084795C" w:rsidRPr="0019555C">
        <w:rPr>
          <w:sz w:val="20"/>
          <w:lang w:val="en-GB"/>
        </w:rPr>
        <w:t>1</w:t>
      </w:r>
      <w:r w:rsidR="00F27443" w:rsidRPr="0019555C">
        <w:rPr>
          <w:sz w:val="20"/>
          <w:lang w:val="en-GB"/>
        </w:rPr>
        <w:t>5</w:t>
      </w:r>
    </w:p>
    <w:p w:rsidR="00CB60A4" w:rsidRPr="0019555C" w:rsidRDefault="00CB60A4" w:rsidP="00CB60A4">
      <w:pPr>
        <w:rPr>
          <w:sz w:val="18"/>
          <w:szCs w:val="18"/>
          <w:lang w:val="en-GB"/>
        </w:rPr>
      </w:pPr>
      <w:r w:rsidRPr="0019555C">
        <w:rPr>
          <w:sz w:val="18"/>
          <w:szCs w:val="18"/>
          <w:lang w:val="en-GB"/>
        </w:rPr>
        <w:t>All rights reserved. No part of this publication may be reproduced, by any means whatsoever, without written permission of ITU.</w:t>
      </w:r>
    </w:p>
    <w:p w:rsidR="00CB60A4" w:rsidRPr="0019555C"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19555C">
          <w:pgSz w:w="11907" w:h="16834"/>
          <w:pgMar w:top="1418" w:right="1134" w:bottom="1134" w:left="1134" w:header="720" w:footer="482" w:gutter="0"/>
          <w:paperSrc w:first="15" w:other="15"/>
          <w:pgNumType w:fmt="lowerRoman" w:start="2"/>
          <w:cols w:space="720"/>
        </w:sectPr>
      </w:pPr>
    </w:p>
    <w:p w:rsidR="00934ED7" w:rsidRPr="0019555C" w:rsidRDefault="00934ED7" w:rsidP="00016D83">
      <w:pPr>
        <w:pStyle w:val="RepNo"/>
        <w:spacing w:before="0"/>
        <w:rPr>
          <w:lang w:val="en-GB"/>
        </w:rPr>
      </w:pPr>
      <w:bookmarkStart w:id="4" w:name="irecnoe"/>
      <w:bookmarkEnd w:id="4"/>
      <w:r w:rsidRPr="0019555C">
        <w:rPr>
          <w:lang w:val="en-GB"/>
        </w:rPr>
        <w:lastRenderedPageBreak/>
        <w:t>R</w:t>
      </w:r>
      <w:r w:rsidR="008D3D8D" w:rsidRPr="0019555C">
        <w:rPr>
          <w:lang w:val="en-GB"/>
        </w:rPr>
        <w:t>EPORT</w:t>
      </w:r>
      <w:r w:rsidRPr="0019555C">
        <w:rPr>
          <w:lang w:val="en-GB"/>
        </w:rPr>
        <w:t xml:space="preserve">  </w:t>
      </w:r>
      <w:r w:rsidRPr="0019555C">
        <w:rPr>
          <w:rStyle w:val="href"/>
          <w:lang w:val="en-GB"/>
        </w:rPr>
        <w:t xml:space="preserve">ITU-R  </w:t>
      </w:r>
      <w:r w:rsidR="00D55B55" w:rsidRPr="0019555C">
        <w:rPr>
          <w:rStyle w:val="href"/>
          <w:lang w:val="en-GB"/>
        </w:rPr>
        <w:t>F</w:t>
      </w:r>
      <w:r w:rsidR="008D3D8D" w:rsidRPr="0019555C">
        <w:rPr>
          <w:rStyle w:val="href"/>
          <w:lang w:val="en-GB"/>
        </w:rPr>
        <w:t>.</w:t>
      </w:r>
      <w:r w:rsidR="00016D83" w:rsidRPr="0019555C">
        <w:rPr>
          <w:rStyle w:val="href"/>
          <w:lang w:val="en-GB"/>
        </w:rPr>
        <w:t>2323-0</w:t>
      </w:r>
    </w:p>
    <w:p w:rsidR="00016D83" w:rsidRPr="0019555C" w:rsidRDefault="00016D83" w:rsidP="00016D83">
      <w:pPr>
        <w:pStyle w:val="Reptitle"/>
        <w:rPr>
          <w:lang w:val="en-GB" w:eastAsia="zh-CN"/>
        </w:rPr>
      </w:pPr>
      <w:r w:rsidRPr="0019555C">
        <w:rPr>
          <w:lang w:val="en-GB"/>
        </w:rPr>
        <w:t>Fixed service use and future trends</w:t>
      </w:r>
    </w:p>
    <w:p w:rsidR="00016D83" w:rsidRPr="0019555C" w:rsidRDefault="00016D83" w:rsidP="00DA5AC1">
      <w:pPr>
        <w:pStyle w:val="Repdate"/>
        <w:rPr>
          <w:lang w:val="en-GB" w:eastAsia="zh-CN"/>
        </w:rPr>
      </w:pPr>
      <w:r w:rsidRPr="0019555C">
        <w:rPr>
          <w:lang w:val="en-GB" w:eastAsia="zh-CN"/>
        </w:rPr>
        <w:t>(2014)</w:t>
      </w:r>
    </w:p>
    <w:p w:rsidR="00016D83" w:rsidRPr="0019555C" w:rsidRDefault="00016D83" w:rsidP="00DA5AC1">
      <w:pPr>
        <w:pStyle w:val="HeadingSum"/>
        <w:rPr>
          <w:lang w:val="en-GB" w:eastAsia="ja-JP"/>
        </w:rPr>
      </w:pPr>
      <w:r w:rsidRPr="0019555C">
        <w:rPr>
          <w:lang w:val="en-GB" w:eastAsia="ja-JP"/>
        </w:rPr>
        <w:t>Scope</w:t>
      </w:r>
    </w:p>
    <w:p w:rsidR="00016D83" w:rsidRPr="0019555C" w:rsidRDefault="00016D83" w:rsidP="00DA5AC1">
      <w:pPr>
        <w:pStyle w:val="Summary"/>
        <w:rPr>
          <w:lang w:val="en-GB"/>
        </w:rPr>
      </w:pPr>
      <w:r w:rsidRPr="0019555C">
        <w:rPr>
          <w:lang w:val="en-GB"/>
        </w:rPr>
        <w:t xml:space="preserve">This </w:t>
      </w:r>
      <w:r w:rsidRPr="0019555C">
        <w:rPr>
          <w:lang w:val="en-GB" w:eastAsia="ja-JP"/>
        </w:rPr>
        <w:t xml:space="preserve">Report </w:t>
      </w:r>
      <w:r w:rsidRPr="0019555C">
        <w:rPr>
          <w:lang w:val="en-GB"/>
        </w:rPr>
        <w:t xml:space="preserve">provides guidance on the future development of the fixed service (FS) taking into account evolution </w:t>
      </w:r>
      <w:r w:rsidRPr="0019555C">
        <w:rPr>
          <w:lang w:val="en-GB" w:eastAsia="ja-JP"/>
        </w:rPr>
        <w:t xml:space="preserve">of current use and </w:t>
      </w:r>
      <w:r w:rsidRPr="0019555C">
        <w:rPr>
          <w:lang w:val="en-GB"/>
        </w:rPr>
        <w:t>technology development, application trends for fixed wireless systems and future requirements for fixed wireless systems.</w:t>
      </w:r>
    </w:p>
    <w:p w:rsidR="00016D83" w:rsidRPr="0019555C" w:rsidRDefault="00016D83" w:rsidP="00DA5AC1">
      <w:pPr>
        <w:pStyle w:val="Headingb"/>
        <w:rPr>
          <w:lang w:val="en-GB"/>
        </w:rPr>
      </w:pPr>
      <w:r w:rsidRPr="0019555C">
        <w:rPr>
          <w:lang w:val="en-GB"/>
        </w:rPr>
        <w:t>Related ITU-R Recommendations and Reports</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F.382:</w:t>
      </w:r>
      <w:r w:rsidRPr="0019555C">
        <w:rPr>
          <w:lang w:val="en-GB" w:eastAsia="ja-JP"/>
        </w:rPr>
        <w:tab/>
        <w:t>Radio-frequency channel arrangements for fixed wireless systems operating in the 2 and 4 GHz bands</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F.383:</w:t>
      </w:r>
      <w:r w:rsidRPr="0019555C">
        <w:rPr>
          <w:lang w:val="en-GB" w:eastAsia="ja-JP"/>
        </w:rPr>
        <w:tab/>
        <w:t>Radio-frequency channel arrangements for high-capacity fixed wireless systems operating in the lower 6 GHz (5 925 to 6 425 MHz)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F.384:</w:t>
      </w:r>
      <w:r w:rsidRPr="0019555C">
        <w:rPr>
          <w:lang w:val="en-GB" w:eastAsia="ja-JP"/>
        </w:rPr>
        <w:tab/>
        <w:t>Radio-frequency channel arrangements for medium- and high</w:t>
      </w:r>
      <w:r w:rsidRPr="0019555C">
        <w:rPr>
          <w:lang w:val="en-GB" w:eastAsia="ja-JP"/>
        </w:rPr>
        <w:noBreakHyphen/>
        <w:t>capacity digital fixed wireless systems operating in the 6 425-7 125 MHz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F.385:</w:t>
      </w:r>
      <w:r w:rsidRPr="0019555C">
        <w:rPr>
          <w:lang w:val="en-GB" w:eastAsia="ja-JP"/>
        </w:rPr>
        <w:tab/>
        <w:t>Radio-frequency channel arrangements for fixed wireless systems operating in the 7 110-7 900 MHz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F.386:</w:t>
      </w:r>
      <w:r w:rsidRPr="0019555C">
        <w:rPr>
          <w:lang w:val="en-GB" w:eastAsia="ja-JP"/>
        </w:rPr>
        <w:tab/>
        <w:t>Radio-frequency channel arrangements for fixed wireless systems operating in the 8 GHz (7 725 to 8 500 MHz)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F.387:</w:t>
      </w:r>
      <w:r w:rsidRPr="0019555C">
        <w:rPr>
          <w:lang w:val="en-GB" w:eastAsia="ja-JP"/>
        </w:rPr>
        <w:tab/>
        <w:t>Radio-frequency channel arrangements for fixed wireless systems operating in the 10.7-11.7 GHz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F.497:</w:t>
      </w:r>
      <w:r w:rsidRPr="0019555C">
        <w:rPr>
          <w:lang w:val="en-GB" w:eastAsia="ja-JP"/>
        </w:rPr>
        <w:tab/>
        <w:t>Radio-frequency channel arrangements for fixed wireless systems operating in the 13 GHz (12.75-13.25 GHz) frequency band</w:t>
      </w:r>
    </w:p>
    <w:p w:rsidR="00016D83" w:rsidRPr="0019555C" w:rsidRDefault="00016D83" w:rsidP="00962EC9">
      <w:pPr>
        <w:pStyle w:val="Reftext"/>
        <w:ind w:left="3402" w:hanging="3402"/>
        <w:rPr>
          <w:lang w:val="en-GB" w:eastAsia="ja-JP"/>
        </w:rPr>
      </w:pPr>
      <w:r w:rsidRPr="0019555C">
        <w:rPr>
          <w:lang w:val="en-GB" w:eastAsia="ja-JP"/>
        </w:rPr>
        <w:t>Recommendation ITU-R F.592:</w:t>
      </w:r>
      <w:r w:rsidRPr="0019555C">
        <w:rPr>
          <w:lang w:val="en-GB" w:eastAsia="ja-JP"/>
        </w:rPr>
        <w:tab/>
        <w:t>Vocabulary of terms for the fixed service</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F.595:</w:t>
      </w:r>
      <w:r w:rsidRPr="0019555C">
        <w:rPr>
          <w:lang w:val="en-GB" w:eastAsia="ja-JP"/>
        </w:rPr>
        <w:tab/>
        <w:t>Radio-frequency channel arrangements for fixed wireless systems operating in the 17.7-19.7 GHz frequency band</w:t>
      </w:r>
    </w:p>
    <w:p w:rsidR="00016D83" w:rsidRPr="0019555C" w:rsidRDefault="00016D83" w:rsidP="00962EC9">
      <w:pPr>
        <w:pStyle w:val="Reftext"/>
        <w:ind w:left="3402" w:hanging="3402"/>
        <w:rPr>
          <w:lang w:val="en-GB" w:eastAsia="ja-JP"/>
        </w:rPr>
      </w:pPr>
      <w:r w:rsidRPr="0019555C">
        <w:rPr>
          <w:lang w:val="en-GB" w:eastAsia="ja-JP"/>
        </w:rPr>
        <w:t>Recommendation ITU-R F.635:</w:t>
      </w:r>
      <w:r w:rsidRPr="0019555C">
        <w:rPr>
          <w:lang w:val="en-GB" w:eastAsia="ja-JP"/>
        </w:rPr>
        <w:tab/>
        <w:t>Radio-frequency channel arrangements based on a homogeneous pattern for fixed wireless systems operating in the 4 GHz (3 400-4 200 MHz)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F.636:</w:t>
      </w:r>
      <w:r w:rsidRPr="0019555C">
        <w:rPr>
          <w:lang w:val="en-GB" w:eastAsia="ja-JP"/>
        </w:rPr>
        <w:tab/>
        <w:t>Radio-frequency channel arrangements for fixed wireless systems operating in the 14.4-15.35 GHz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F.637:</w:t>
      </w:r>
      <w:r w:rsidRPr="0019555C">
        <w:rPr>
          <w:lang w:val="en-GB" w:eastAsia="ja-JP"/>
        </w:rPr>
        <w:tab/>
        <w:t xml:space="preserve">Radio-frequency channel arrangements for fixed wireless systems operating in the </w:t>
      </w:r>
      <w:r w:rsidRPr="0019555C">
        <w:rPr>
          <w:lang w:val="en-GB"/>
        </w:rPr>
        <w:t>21.2-23.6</w:t>
      </w:r>
      <w:r w:rsidRPr="0019555C">
        <w:rPr>
          <w:lang w:val="en-GB" w:eastAsia="ja-JP"/>
        </w:rPr>
        <w:t xml:space="preserve"> GHz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F.701:</w:t>
      </w:r>
      <w:r w:rsidRPr="0019555C">
        <w:rPr>
          <w:lang w:val="en-GB" w:eastAsia="ja-JP"/>
        </w:rPr>
        <w:tab/>
        <w:t>Radio-frequency channel arrangements for digital point</w:t>
      </w:r>
      <w:r w:rsidRPr="0019555C">
        <w:rPr>
          <w:lang w:val="en-GB" w:eastAsia="ja-JP"/>
        </w:rPr>
        <w:noBreakHyphen/>
        <w:t>to</w:t>
      </w:r>
      <w:r w:rsidRPr="0019555C">
        <w:rPr>
          <w:lang w:val="en-GB" w:eastAsia="ja-JP"/>
        </w:rPr>
        <w:noBreakHyphen/>
        <w:t xml:space="preserve">multipoint radio systems operating in frequency bands in the range 1 350 to 2 690 MHz (1.5, </w:t>
      </w:r>
      <w:r w:rsidR="00962EC9" w:rsidRPr="0019555C">
        <w:rPr>
          <w:lang w:val="en-GB" w:eastAsia="ja-JP"/>
        </w:rPr>
        <w:t>1.8, 2.0, 2.2, 2.4 and 2.6 </w:t>
      </w:r>
      <w:r w:rsidRPr="0019555C">
        <w:rPr>
          <w:lang w:val="en-GB" w:eastAsia="ja-JP"/>
        </w:rPr>
        <w:t>GHz)</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F.746:</w:t>
      </w:r>
      <w:r w:rsidRPr="0019555C">
        <w:rPr>
          <w:lang w:val="en-GB" w:eastAsia="ja-JP"/>
        </w:rPr>
        <w:tab/>
        <w:t>Radio-frequency arrangements for fixed service systems</w:t>
      </w:r>
    </w:p>
    <w:p w:rsidR="00016D83" w:rsidRPr="0019555C" w:rsidRDefault="00016D83" w:rsidP="00962EC9">
      <w:pPr>
        <w:pStyle w:val="Reftext"/>
        <w:ind w:left="3402" w:hanging="3402"/>
        <w:rPr>
          <w:lang w:val="en-GB" w:eastAsia="ja-JP"/>
        </w:rPr>
      </w:pPr>
      <w:r w:rsidRPr="0019555C">
        <w:rPr>
          <w:lang w:val="en-GB"/>
        </w:rPr>
        <w:lastRenderedPageBreak/>
        <w:t xml:space="preserve">Recommendation ITU-R </w:t>
      </w:r>
      <w:r w:rsidRPr="0019555C">
        <w:rPr>
          <w:lang w:val="en-GB" w:eastAsia="ja-JP"/>
        </w:rPr>
        <w:t>F.747:</w:t>
      </w:r>
      <w:r w:rsidRPr="0019555C">
        <w:rPr>
          <w:lang w:val="en-GB" w:eastAsia="ja-JP"/>
        </w:rPr>
        <w:tab/>
        <w:t>Radio-frequency channel arrangements for fixed wireless system operating in the 10.0-10.68 GHz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F.748:</w:t>
      </w:r>
      <w:r w:rsidRPr="0019555C">
        <w:rPr>
          <w:lang w:val="en-GB" w:eastAsia="ja-JP"/>
        </w:rPr>
        <w:tab/>
        <w:t>Radio-frequency arrangements for systems of the fixed service operating in the 25, 26 and 28 GHz bands</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F.749:</w:t>
      </w:r>
      <w:r w:rsidRPr="0019555C">
        <w:rPr>
          <w:lang w:val="en-GB" w:eastAsia="ja-JP"/>
        </w:rPr>
        <w:tab/>
        <w:t xml:space="preserve">Radio-frequency arrangements for systems of the fixed service operating </w:t>
      </w:r>
      <w:r w:rsidRPr="0019555C">
        <w:rPr>
          <w:lang w:val="en-GB"/>
        </w:rPr>
        <w:t>in sub-bands</w:t>
      </w:r>
      <w:r w:rsidRPr="0019555C">
        <w:rPr>
          <w:lang w:val="en-GB" w:eastAsia="ja-JP"/>
        </w:rPr>
        <w:t xml:space="preserve"> in the 36-40.5 GHz band</w:t>
      </w:r>
    </w:p>
    <w:p w:rsidR="00016D83" w:rsidRPr="0019555C" w:rsidRDefault="00016D83" w:rsidP="00962EC9">
      <w:pPr>
        <w:pStyle w:val="Reftext"/>
        <w:ind w:left="3402" w:hanging="3402"/>
        <w:rPr>
          <w:lang w:val="en-GB" w:eastAsia="ja-JP"/>
        </w:rPr>
      </w:pPr>
      <w:r w:rsidRPr="0019555C">
        <w:rPr>
          <w:lang w:val="en-GB"/>
        </w:rPr>
        <w:t>Recommendation ITU-R F.</w:t>
      </w:r>
      <w:r w:rsidRPr="0019555C">
        <w:rPr>
          <w:lang w:val="en-GB" w:eastAsia="ja-JP"/>
        </w:rPr>
        <w:t>758</w:t>
      </w:r>
      <w:r w:rsidRPr="0019555C">
        <w:rPr>
          <w:lang w:val="en-GB"/>
        </w:rPr>
        <w:t>:</w:t>
      </w:r>
      <w:r w:rsidRPr="0019555C">
        <w:rPr>
          <w:lang w:val="en-GB"/>
        </w:rPr>
        <w:tab/>
        <w:t>System parameters and considerations in the development of criteria for sharing or compatibility between digital fixed wireless systems in the fixed service and systems in other services and other sources of interference</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F.1098</w:t>
      </w:r>
      <w:r w:rsidRPr="0019555C">
        <w:rPr>
          <w:lang w:val="en-GB" w:eastAsia="ja-JP"/>
        </w:rPr>
        <w:tab/>
        <w:t>Radio-frequency channel arrangements for fixed wireless systems in the 1 900-2 300 MHz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F.1099:</w:t>
      </w:r>
      <w:r w:rsidRPr="0019555C">
        <w:rPr>
          <w:lang w:val="en-GB" w:eastAsia="ja-JP"/>
        </w:rPr>
        <w:tab/>
        <w:t>Radio-frequency channel arrangements for high- and medium</w:t>
      </w:r>
      <w:r w:rsidRPr="0019555C">
        <w:rPr>
          <w:lang w:val="en-GB" w:eastAsia="ja-JP"/>
        </w:rPr>
        <w:noBreakHyphen/>
        <w:t>capacity digital fixed wireless systems in the upper 4 GHz (4 400-5 000 MHz) band</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F.1101:</w:t>
      </w:r>
      <w:r w:rsidRPr="0019555C">
        <w:rPr>
          <w:lang w:val="en-GB" w:eastAsia="ja-JP"/>
        </w:rPr>
        <w:tab/>
        <w:t>Characteristics of digital fixed wire</w:t>
      </w:r>
      <w:r w:rsidR="00962EC9" w:rsidRPr="0019555C">
        <w:rPr>
          <w:lang w:val="en-GB" w:eastAsia="ja-JP"/>
        </w:rPr>
        <w:t>less systems below about 17 </w:t>
      </w:r>
      <w:r w:rsidRPr="0019555C">
        <w:rPr>
          <w:lang w:val="en-GB" w:eastAsia="ja-JP"/>
        </w:rPr>
        <w:t>GHz</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F.1105:</w:t>
      </w:r>
      <w:r w:rsidRPr="0019555C">
        <w:rPr>
          <w:lang w:val="en-GB" w:eastAsia="ja-JP"/>
        </w:rPr>
        <w:tab/>
        <w:t>Fixed wireless systems for disaster mitigation and relief operations</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F.1242:</w:t>
      </w:r>
      <w:r w:rsidRPr="0019555C">
        <w:rPr>
          <w:lang w:val="en-GB" w:eastAsia="ja-JP"/>
        </w:rPr>
        <w:tab/>
        <w:t>Radio-frequency channel arrangements for digital radio systems operating in the range 1 350 MHz to 1 530 MHz</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F.1243:</w:t>
      </w:r>
      <w:r w:rsidRPr="0019555C">
        <w:rPr>
          <w:lang w:val="en-GB" w:eastAsia="ja-JP"/>
        </w:rPr>
        <w:tab/>
        <w:t>Radio-frequency channel arrangements for digital radio systems operating in the range 2 290-2 670 MHz</w:t>
      </w:r>
    </w:p>
    <w:p w:rsidR="00016D83" w:rsidRPr="0019555C" w:rsidRDefault="00016D83" w:rsidP="00962EC9">
      <w:pPr>
        <w:pStyle w:val="Reftext"/>
        <w:ind w:left="3402" w:hanging="3402"/>
        <w:rPr>
          <w:lang w:val="en-GB" w:eastAsia="ja-JP"/>
        </w:rPr>
      </w:pPr>
      <w:r w:rsidRPr="0019555C">
        <w:rPr>
          <w:lang w:val="en-GB" w:eastAsia="ja-JP"/>
        </w:rPr>
        <w:t xml:space="preserve">Recommendation ITU-R F.1399: </w:t>
      </w:r>
      <w:r w:rsidRPr="0019555C">
        <w:rPr>
          <w:lang w:val="en-GB" w:eastAsia="ja-JP"/>
        </w:rPr>
        <w:tab/>
        <w:t>Vocabulary of terms for wireless access</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F.1496:</w:t>
      </w:r>
      <w:r w:rsidRPr="0019555C">
        <w:rPr>
          <w:lang w:val="en-GB" w:eastAsia="ja-JP"/>
        </w:rPr>
        <w:tab/>
        <w:t>Radio-frequency channel arrangements for fixed wireless systems operating in the band 51.4-52.6 GHz</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F.1497:</w:t>
      </w:r>
      <w:r w:rsidRPr="0019555C">
        <w:rPr>
          <w:lang w:val="en-GB" w:eastAsia="ja-JP"/>
        </w:rPr>
        <w:tab/>
        <w:t>Radio-frequency channel arrangements for fixed wireless systems operating in the band 55.78-66 GHz</w:t>
      </w:r>
    </w:p>
    <w:p w:rsidR="00016D83" w:rsidRPr="0019555C" w:rsidRDefault="00016D83" w:rsidP="00962EC9">
      <w:pPr>
        <w:pStyle w:val="Reftext"/>
        <w:ind w:left="3402" w:hanging="3402"/>
        <w:rPr>
          <w:lang w:val="en-GB"/>
        </w:rPr>
      </w:pPr>
      <w:r w:rsidRPr="0019555C">
        <w:rPr>
          <w:lang w:val="en-GB"/>
        </w:rPr>
        <w:t>Recommendation ITU-R F.1498:</w:t>
      </w:r>
      <w:r w:rsidRPr="0019555C">
        <w:rPr>
          <w:lang w:val="en-GB"/>
        </w:rPr>
        <w:tab/>
        <w:t>Deployment characteristics of fixed service systems in the band 37-40 GHz for use in sharing studies</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F.1520:</w:t>
      </w:r>
      <w:r w:rsidRPr="0019555C">
        <w:rPr>
          <w:lang w:val="en-GB" w:eastAsia="ja-JP"/>
        </w:rPr>
        <w:tab/>
        <w:t>Radio-frequency arrangements for systems in the fixed service operating in the band 31.8-33.4 GHz</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F.1567:</w:t>
      </w:r>
      <w:r w:rsidRPr="0019555C">
        <w:rPr>
          <w:lang w:val="en-GB" w:eastAsia="ja-JP"/>
        </w:rPr>
        <w:tab/>
        <w:t>Radio-frequency channel arrangement for digital fixed wireless systems operating in the frequency band 406.1-450 MHz</w:t>
      </w:r>
    </w:p>
    <w:p w:rsidR="00016D83" w:rsidRPr="0019555C" w:rsidRDefault="00016D83" w:rsidP="00962EC9">
      <w:pPr>
        <w:pStyle w:val="Reftext"/>
        <w:ind w:left="3402" w:hanging="3402"/>
        <w:rPr>
          <w:lang w:val="en-GB" w:eastAsia="ja-JP"/>
        </w:rPr>
      </w:pPr>
      <w:r w:rsidRPr="0019555C">
        <w:rPr>
          <w:lang w:val="en-GB"/>
        </w:rPr>
        <w:t xml:space="preserve">Recommendation ITU-R </w:t>
      </w:r>
      <w:r w:rsidRPr="0019555C">
        <w:rPr>
          <w:lang w:val="en-GB" w:eastAsia="ja-JP"/>
        </w:rPr>
        <w:t>F.1568:</w:t>
      </w:r>
      <w:r w:rsidRPr="0019555C">
        <w:rPr>
          <w:lang w:val="en-GB" w:eastAsia="ja-JP"/>
        </w:rPr>
        <w:tab/>
        <w:t>Radio-frequency block arrangements for fixed wireless access systems in the range 10.15-10.3/10.5-10.65 GHz</w:t>
      </w:r>
    </w:p>
    <w:p w:rsidR="00016D83" w:rsidRPr="0019555C" w:rsidRDefault="00016D83" w:rsidP="00962EC9">
      <w:pPr>
        <w:pStyle w:val="Reftext"/>
        <w:ind w:left="3402" w:hanging="3402"/>
        <w:rPr>
          <w:szCs w:val="24"/>
          <w:lang w:val="en-GB" w:eastAsia="ja-JP"/>
        </w:rPr>
      </w:pPr>
      <w:r w:rsidRPr="0019555C">
        <w:rPr>
          <w:szCs w:val="24"/>
          <w:lang w:val="en-GB"/>
        </w:rPr>
        <w:t xml:space="preserve">Recommendation ITU-R </w:t>
      </w:r>
      <w:r w:rsidRPr="0019555C">
        <w:rPr>
          <w:szCs w:val="24"/>
          <w:lang w:val="en-GB" w:eastAsia="ja-JP"/>
        </w:rPr>
        <w:t>F.1777:</w:t>
      </w:r>
      <w:r w:rsidRPr="0019555C">
        <w:rPr>
          <w:szCs w:val="24"/>
          <w:lang w:val="en-GB" w:eastAsia="ja-JP"/>
        </w:rPr>
        <w:tab/>
        <w:t>S</w:t>
      </w:r>
      <w:r w:rsidRPr="0019555C">
        <w:rPr>
          <w:lang w:val="en-GB"/>
        </w:rPr>
        <w:t>ystem characteristics of television outside broadcast,</w:t>
      </w:r>
      <w:r w:rsidRPr="0019555C">
        <w:rPr>
          <w:lang w:val="en-GB" w:eastAsia="ja-JP"/>
        </w:rPr>
        <w:t xml:space="preserve"> </w:t>
      </w:r>
      <w:r w:rsidRPr="0019555C">
        <w:rPr>
          <w:lang w:val="en-GB"/>
        </w:rPr>
        <w:t>electronic news gathering and electronic field production</w:t>
      </w:r>
      <w:r w:rsidRPr="0019555C">
        <w:rPr>
          <w:lang w:val="en-GB" w:eastAsia="ja-JP"/>
        </w:rPr>
        <w:t xml:space="preserve"> </w:t>
      </w:r>
      <w:r w:rsidRPr="0019555C">
        <w:rPr>
          <w:lang w:val="en-GB"/>
        </w:rPr>
        <w:t>in the fixed service for use in sharing studies</w:t>
      </w:r>
    </w:p>
    <w:p w:rsidR="00016D83" w:rsidRPr="0019555C" w:rsidRDefault="00016D83" w:rsidP="00962EC9">
      <w:pPr>
        <w:pStyle w:val="Reftext"/>
        <w:ind w:left="3402" w:hanging="3402"/>
        <w:rPr>
          <w:lang w:val="en-GB" w:eastAsia="ja-JP"/>
        </w:rPr>
      </w:pPr>
      <w:r w:rsidRPr="0019555C">
        <w:rPr>
          <w:iCs/>
          <w:lang w:val="en-GB" w:eastAsia="ja-JP"/>
        </w:rPr>
        <w:t xml:space="preserve">Recommendation </w:t>
      </w:r>
      <w:r w:rsidRPr="0019555C">
        <w:rPr>
          <w:lang w:val="en-GB" w:eastAsia="ja-JP"/>
        </w:rPr>
        <w:t>ITU-R F.2004:</w:t>
      </w:r>
      <w:r w:rsidRPr="0019555C">
        <w:rPr>
          <w:lang w:val="en-GB" w:eastAsia="ja-JP"/>
        </w:rPr>
        <w:tab/>
      </w:r>
      <w:r w:rsidRPr="0019555C">
        <w:rPr>
          <w:lang w:val="en-GB"/>
        </w:rPr>
        <w:t xml:space="preserve">Radio-frequency channel arrangements for fixed service systems </w:t>
      </w:r>
      <w:r w:rsidRPr="0019555C">
        <w:rPr>
          <w:lang w:val="en-GB" w:eastAsia="ja-JP"/>
        </w:rPr>
        <w:t>operating</w:t>
      </w:r>
      <w:r w:rsidRPr="0019555C">
        <w:rPr>
          <w:lang w:val="en-GB"/>
        </w:rPr>
        <w:t xml:space="preserve"> in the 92-95 GHz</w:t>
      </w:r>
      <w:r w:rsidRPr="0019555C">
        <w:rPr>
          <w:lang w:val="en-GB" w:eastAsia="ja-JP"/>
        </w:rPr>
        <w:t xml:space="preserve"> range</w:t>
      </w:r>
    </w:p>
    <w:p w:rsidR="00016D83" w:rsidRPr="0019555C" w:rsidRDefault="00016D83" w:rsidP="00962EC9">
      <w:pPr>
        <w:pStyle w:val="Reftext"/>
        <w:ind w:left="3402" w:hanging="3402"/>
        <w:rPr>
          <w:lang w:val="en-GB" w:eastAsia="ja-JP"/>
        </w:rPr>
      </w:pPr>
      <w:r w:rsidRPr="0019555C">
        <w:rPr>
          <w:iCs/>
          <w:lang w:val="en-GB" w:eastAsia="ja-JP"/>
        </w:rPr>
        <w:lastRenderedPageBreak/>
        <w:t xml:space="preserve">Recommendation </w:t>
      </w:r>
      <w:r w:rsidRPr="0019555C">
        <w:rPr>
          <w:lang w:val="en-GB" w:eastAsia="ja-JP"/>
        </w:rPr>
        <w:t>ITU-R F.2005:</w:t>
      </w:r>
      <w:r w:rsidRPr="0019555C">
        <w:rPr>
          <w:lang w:val="en-GB" w:eastAsia="ja-JP"/>
        </w:rPr>
        <w:tab/>
      </w:r>
      <w:r w:rsidRPr="0019555C">
        <w:rPr>
          <w:lang w:val="en-GB"/>
        </w:rPr>
        <w:t>Radio-frequency channel and block arrangements for fixed wireless systems operating in the 42 GHz (40.5 to 43.5 GHz) band</w:t>
      </w:r>
    </w:p>
    <w:p w:rsidR="00016D83" w:rsidRPr="0019555C" w:rsidRDefault="00016D83" w:rsidP="00962EC9">
      <w:pPr>
        <w:pStyle w:val="Reftext"/>
        <w:ind w:left="3402" w:hanging="3402"/>
        <w:rPr>
          <w:lang w:val="en-GB" w:eastAsia="ja-JP"/>
        </w:rPr>
      </w:pPr>
      <w:r w:rsidRPr="0019555C">
        <w:rPr>
          <w:iCs/>
          <w:lang w:val="en-GB" w:eastAsia="ja-JP"/>
        </w:rPr>
        <w:t xml:space="preserve">Recommendation </w:t>
      </w:r>
      <w:r w:rsidRPr="0019555C">
        <w:rPr>
          <w:lang w:val="en-GB" w:eastAsia="ja-JP"/>
        </w:rPr>
        <w:t>ITU-R F.2006:</w:t>
      </w:r>
      <w:r w:rsidRPr="0019555C">
        <w:rPr>
          <w:lang w:val="en-GB" w:eastAsia="ja-JP"/>
        </w:rPr>
        <w:tab/>
      </w:r>
      <w:r w:rsidRPr="0019555C">
        <w:rPr>
          <w:lang w:val="en-GB"/>
        </w:rPr>
        <w:t xml:space="preserve">Radio-frequency channel and block arrangements for fixed wireless </w:t>
      </w:r>
      <w:r w:rsidRPr="0019555C">
        <w:rPr>
          <w:lang w:val="en-GB" w:eastAsia="ja-JP"/>
        </w:rPr>
        <w:t>systems</w:t>
      </w:r>
      <w:r w:rsidRPr="0019555C">
        <w:rPr>
          <w:lang w:val="en-GB"/>
        </w:rPr>
        <w:t xml:space="preserve"> operating in the 71-76 and 81-86 GHz</w:t>
      </w:r>
      <w:r w:rsidRPr="0019555C">
        <w:rPr>
          <w:lang w:val="en-GB" w:eastAsia="ja-JP"/>
        </w:rPr>
        <w:t xml:space="preserve"> bands</w:t>
      </w:r>
    </w:p>
    <w:p w:rsidR="00016D83" w:rsidRPr="0019555C" w:rsidRDefault="00016D83" w:rsidP="00962EC9">
      <w:pPr>
        <w:pStyle w:val="Reftext"/>
        <w:ind w:left="3402" w:hanging="3402"/>
        <w:rPr>
          <w:lang w:val="en-GB"/>
        </w:rPr>
      </w:pPr>
      <w:r w:rsidRPr="0019555C">
        <w:rPr>
          <w:lang w:val="en-GB"/>
        </w:rPr>
        <w:t>Recommendation ITU-R P.530:</w:t>
      </w:r>
      <w:r w:rsidRPr="0019555C">
        <w:rPr>
          <w:lang w:val="en-GB"/>
        </w:rPr>
        <w:tab/>
        <w:t>Propagation data and prediction methods required for the design of terrestrial line-of-sight systems</w:t>
      </w:r>
    </w:p>
    <w:p w:rsidR="00016D83" w:rsidRPr="0019555C" w:rsidRDefault="00016D83" w:rsidP="00962EC9">
      <w:pPr>
        <w:pStyle w:val="Reftext"/>
        <w:ind w:left="3402" w:hanging="3402"/>
        <w:rPr>
          <w:lang w:val="en-GB"/>
        </w:rPr>
      </w:pPr>
      <w:r w:rsidRPr="0019555C">
        <w:rPr>
          <w:lang w:val="en-GB"/>
        </w:rPr>
        <w:t>Recommendation ITU-R P.676:</w:t>
      </w:r>
      <w:r w:rsidRPr="0019555C">
        <w:rPr>
          <w:lang w:val="en-GB"/>
        </w:rPr>
        <w:tab/>
        <w:t>Attenuation by atmospheric gases</w:t>
      </w:r>
    </w:p>
    <w:p w:rsidR="00016D83" w:rsidRPr="0019555C" w:rsidRDefault="00016D83" w:rsidP="00962EC9">
      <w:pPr>
        <w:pStyle w:val="Reftext"/>
        <w:ind w:left="3402" w:hanging="3402"/>
        <w:rPr>
          <w:lang w:val="en-GB" w:eastAsia="ja-JP"/>
        </w:rPr>
      </w:pPr>
      <w:r w:rsidRPr="0019555C">
        <w:rPr>
          <w:lang w:val="en-GB"/>
        </w:rPr>
        <w:t>Recommendation ITU-R P.833:</w:t>
      </w:r>
      <w:r w:rsidRPr="0019555C">
        <w:rPr>
          <w:lang w:val="en-GB"/>
        </w:rPr>
        <w:tab/>
        <w:t>Attenuation in vegetation</w:t>
      </w:r>
    </w:p>
    <w:p w:rsidR="00016D83" w:rsidRPr="0019555C" w:rsidRDefault="00016D83" w:rsidP="00962EC9">
      <w:pPr>
        <w:pStyle w:val="Reftext"/>
        <w:ind w:left="3402" w:hanging="3402"/>
        <w:rPr>
          <w:lang w:val="en-GB" w:eastAsia="ja-JP"/>
        </w:rPr>
      </w:pPr>
      <w:r w:rsidRPr="0019555C">
        <w:rPr>
          <w:lang w:val="en-GB"/>
        </w:rPr>
        <w:t>Recommendation ITU-R P.837:</w:t>
      </w:r>
      <w:r w:rsidRPr="0019555C">
        <w:rPr>
          <w:lang w:val="en-GB"/>
        </w:rPr>
        <w:tab/>
        <w:t>Characteristics of precipitation for propagation modelling</w:t>
      </w:r>
    </w:p>
    <w:p w:rsidR="00016D83" w:rsidRPr="0019555C" w:rsidRDefault="00016D83" w:rsidP="00962EC9">
      <w:pPr>
        <w:pStyle w:val="Reftext"/>
        <w:ind w:left="3402" w:hanging="3402"/>
        <w:rPr>
          <w:i/>
          <w:lang w:val="en-GB" w:eastAsia="ja-JP"/>
        </w:rPr>
      </w:pPr>
      <w:r w:rsidRPr="0019555C">
        <w:rPr>
          <w:lang w:val="en-GB" w:eastAsia="ja-JP"/>
        </w:rPr>
        <w:t>Recommendation ITU-R P.838:</w:t>
      </w:r>
      <w:r w:rsidRPr="0019555C">
        <w:rPr>
          <w:lang w:val="en-GB" w:eastAsia="ja-JP"/>
        </w:rPr>
        <w:tab/>
        <w:t>Specific attenuation model for rain for use in prediction methods</w:t>
      </w:r>
    </w:p>
    <w:p w:rsidR="00016D83" w:rsidRPr="0019555C" w:rsidRDefault="00016D83" w:rsidP="00962EC9">
      <w:pPr>
        <w:pStyle w:val="Reftext"/>
        <w:ind w:left="3402" w:hanging="3402"/>
        <w:rPr>
          <w:lang w:val="en-GB"/>
        </w:rPr>
      </w:pPr>
      <w:r w:rsidRPr="0019555C">
        <w:rPr>
          <w:lang w:val="en-GB"/>
        </w:rPr>
        <w:t>Recommendation ITU-R P.840:</w:t>
      </w:r>
      <w:r w:rsidRPr="0019555C">
        <w:rPr>
          <w:lang w:val="en-GB"/>
        </w:rPr>
        <w:tab/>
        <w:t>Attenuation due to clouds and fog</w:t>
      </w:r>
    </w:p>
    <w:p w:rsidR="00016D83" w:rsidRPr="0019555C" w:rsidRDefault="00016D83" w:rsidP="00962EC9">
      <w:pPr>
        <w:pStyle w:val="Reftext"/>
        <w:ind w:left="3402" w:hanging="3402"/>
        <w:rPr>
          <w:lang w:val="en-GB" w:eastAsia="ja-JP"/>
        </w:rPr>
      </w:pPr>
      <w:r w:rsidRPr="0019555C">
        <w:rPr>
          <w:lang w:val="en-GB"/>
        </w:rPr>
        <w:t>Recommendation ITU-R P.</w:t>
      </w:r>
      <w:r w:rsidRPr="0019555C">
        <w:rPr>
          <w:lang w:val="en-GB" w:eastAsia="ja-JP"/>
        </w:rPr>
        <w:t>1238</w:t>
      </w:r>
      <w:r w:rsidRPr="0019555C">
        <w:rPr>
          <w:lang w:val="en-GB"/>
        </w:rPr>
        <w:t>:</w:t>
      </w:r>
      <w:r w:rsidRPr="0019555C">
        <w:rPr>
          <w:lang w:val="en-GB"/>
        </w:rPr>
        <w:tab/>
      </w:r>
      <w:r w:rsidRPr="0019555C">
        <w:rPr>
          <w:lang w:val="en-GB" w:eastAsia="ja-JP"/>
        </w:rPr>
        <w:t>Propagation data and prediction methods for the planning of indoor radiocommunication systems and radio local area networks in the frequency range from 900 MHz to 100 GHz</w:t>
      </w:r>
    </w:p>
    <w:p w:rsidR="00016D83" w:rsidRPr="0019555C" w:rsidRDefault="00016D83" w:rsidP="00962EC9">
      <w:pPr>
        <w:pStyle w:val="Reftext"/>
        <w:ind w:left="3402" w:hanging="3402"/>
        <w:rPr>
          <w:lang w:val="en-GB" w:eastAsia="ja-JP"/>
        </w:rPr>
      </w:pPr>
      <w:r w:rsidRPr="0019555C">
        <w:rPr>
          <w:lang w:val="en-GB" w:eastAsia="ja-JP"/>
        </w:rPr>
        <w:t>Recommendation ITU-R P.2001:</w:t>
      </w:r>
      <w:r w:rsidRPr="0019555C">
        <w:rPr>
          <w:lang w:val="en-GB" w:eastAsia="ja-JP"/>
        </w:rPr>
        <w:tab/>
        <w:t>A general purpose wide-range terrestrial propagation model in the frequency range from 30 MHz to 50 GHz</w:t>
      </w:r>
    </w:p>
    <w:p w:rsidR="00016D83" w:rsidRPr="0019555C" w:rsidRDefault="00016D83" w:rsidP="00962EC9">
      <w:pPr>
        <w:pStyle w:val="Reftext"/>
        <w:ind w:left="3402" w:hanging="3402"/>
        <w:rPr>
          <w:lang w:val="en-GB" w:eastAsia="ja-JP"/>
        </w:rPr>
      </w:pPr>
      <w:r w:rsidRPr="0019555C">
        <w:rPr>
          <w:lang w:val="en-GB" w:eastAsia="ja-JP"/>
        </w:rPr>
        <w:t>Report ITU-R F.2086:</w:t>
      </w:r>
      <w:r w:rsidRPr="0019555C">
        <w:rPr>
          <w:lang w:val="en-GB" w:eastAsia="ja-JP"/>
        </w:rPr>
        <w:tab/>
      </w:r>
      <w:r w:rsidRPr="0019555C">
        <w:rPr>
          <w:lang w:val="en-GB"/>
        </w:rPr>
        <w:t>Technical and operational characteristics and applications of broadband wireless access in the fixed service</w:t>
      </w:r>
    </w:p>
    <w:p w:rsidR="00016D83" w:rsidRPr="0019555C" w:rsidRDefault="00016D83" w:rsidP="00962EC9">
      <w:pPr>
        <w:pStyle w:val="Reftext"/>
        <w:ind w:left="3402" w:hanging="3402"/>
        <w:rPr>
          <w:lang w:val="en-GB" w:eastAsia="ja-JP"/>
        </w:rPr>
      </w:pPr>
      <w:r w:rsidRPr="0019555C">
        <w:rPr>
          <w:lang w:val="en-GB"/>
        </w:rPr>
        <w:t>Re</w:t>
      </w:r>
      <w:r w:rsidRPr="0019555C">
        <w:rPr>
          <w:lang w:val="en-GB" w:eastAsia="ja-JP"/>
        </w:rPr>
        <w:t>port</w:t>
      </w:r>
      <w:r w:rsidRPr="0019555C">
        <w:rPr>
          <w:lang w:val="en-GB"/>
        </w:rPr>
        <w:t xml:space="preserve"> ITU-R </w:t>
      </w:r>
      <w:r w:rsidRPr="0019555C">
        <w:rPr>
          <w:lang w:val="en-GB" w:eastAsia="ja-JP"/>
        </w:rPr>
        <w:t>F.2107</w:t>
      </w:r>
      <w:r w:rsidRPr="0019555C">
        <w:rPr>
          <w:lang w:val="en-GB"/>
        </w:rPr>
        <w:t>:</w:t>
      </w:r>
      <w:r w:rsidRPr="0019555C">
        <w:rPr>
          <w:lang w:val="en-GB"/>
        </w:rPr>
        <w:tab/>
      </w:r>
      <w:r w:rsidRPr="0019555C">
        <w:rPr>
          <w:lang w:val="en-GB" w:eastAsia="ja-JP"/>
        </w:rPr>
        <w:t>Characteristics and applications of fixed wireless systems operating in frequency ranges between 57 GHZ and 134 GHz</w:t>
      </w:r>
    </w:p>
    <w:p w:rsidR="00016D83" w:rsidRPr="0019555C" w:rsidRDefault="00016D83" w:rsidP="00962EC9">
      <w:pPr>
        <w:pStyle w:val="Reftext"/>
        <w:ind w:left="3402" w:hanging="3402"/>
        <w:rPr>
          <w:lang w:val="en-GB" w:eastAsia="ja-JP"/>
        </w:rPr>
      </w:pPr>
      <w:r w:rsidRPr="0019555C">
        <w:rPr>
          <w:lang w:val="en-GB"/>
        </w:rPr>
        <w:t>R</w:t>
      </w:r>
      <w:r w:rsidRPr="0019555C">
        <w:rPr>
          <w:lang w:val="en-GB" w:eastAsia="ja-JP"/>
        </w:rPr>
        <w:t xml:space="preserve">eport </w:t>
      </w:r>
      <w:r w:rsidRPr="0019555C">
        <w:rPr>
          <w:lang w:val="en-GB"/>
        </w:rPr>
        <w:t>ITU-R BT.2069</w:t>
      </w:r>
      <w:r w:rsidRPr="0019555C">
        <w:rPr>
          <w:lang w:val="en-GB" w:eastAsia="ja-JP"/>
        </w:rPr>
        <w:t>:</w:t>
      </w:r>
      <w:r w:rsidRPr="0019555C">
        <w:rPr>
          <w:lang w:val="en-GB" w:eastAsia="ja-JP"/>
        </w:rPr>
        <w:tab/>
        <w:t>Tuning ranges and operational characteristics of terrestrial electronic news gathering (ENG), television outside broadcast (TVOB) and electronic field production (EFP) systems</w:t>
      </w:r>
    </w:p>
    <w:p w:rsidR="00016D83" w:rsidRPr="0019555C" w:rsidRDefault="00016D83" w:rsidP="00962EC9">
      <w:pPr>
        <w:pStyle w:val="Reftext"/>
        <w:ind w:left="3402" w:hanging="3402"/>
        <w:rPr>
          <w:lang w:val="en-GB" w:eastAsia="ja-JP"/>
        </w:rPr>
      </w:pPr>
      <w:r w:rsidRPr="0019555C">
        <w:rPr>
          <w:lang w:val="en-GB" w:eastAsia="ja-JP"/>
        </w:rPr>
        <w:t xml:space="preserve">Report ITU-R M.2243: </w:t>
      </w:r>
      <w:r w:rsidRPr="0019555C">
        <w:rPr>
          <w:lang w:val="en-GB" w:eastAsia="ja-JP"/>
        </w:rPr>
        <w:tab/>
        <w:t>Assessment of the global mobile broadband deployments and forecasts for International Mobile Telecommunications</w:t>
      </w:r>
    </w:p>
    <w:p w:rsidR="00016D83" w:rsidRPr="0019555C" w:rsidRDefault="00016D83" w:rsidP="00962EC9">
      <w:pPr>
        <w:pStyle w:val="Reftext"/>
        <w:ind w:left="3402" w:hanging="3402"/>
        <w:rPr>
          <w:lang w:val="en-GB" w:eastAsia="ja-JP"/>
        </w:rPr>
      </w:pPr>
      <w:r w:rsidRPr="0019555C">
        <w:rPr>
          <w:lang w:val="en-GB" w:eastAsia="ja-JP"/>
        </w:rPr>
        <w:t>Report ITU-R M.2334:</w:t>
      </w:r>
      <w:r w:rsidRPr="0019555C">
        <w:rPr>
          <w:lang w:val="en-GB" w:eastAsia="ja-JP"/>
        </w:rPr>
        <w:tab/>
        <w:t>Passive</w:t>
      </w:r>
      <w:r w:rsidRPr="0019555C">
        <w:rPr>
          <w:lang w:val="en-GB"/>
        </w:rPr>
        <w:t xml:space="preserve"> and active antenna systems for base stations of IMT systems</w:t>
      </w:r>
    </w:p>
    <w:p w:rsidR="00016D83" w:rsidRPr="0019555C" w:rsidRDefault="00016D83" w:rsidP="00DA5AC1">
      <w:pPr>
        <w:pStyle w:val="Headingb"/>
        <w:rPr>
          <w:lang w:val="en-GB"/>
        </w:rPr>
      </w:pPr>
      <w:r w:rsidRPr="0019555C">
        <w:rPr>
          <w:lang w:val="en-GB"/>
        </w:rPr>
        <w:t>Others</w:t>
      </w:r>
    </w:p>
    <w:p w:rsidR="00016D83" w:rsidRPr="0019555C" w:rsidRDefault="00016D83" w:rsidP="00016D83">
      <w:pPr>
        <w:rPr>
          <w:lang w:val="en-GB" w:eastAsia="ja-JP"/>
        </w:rPr>
      </w:pPr>
      <w:r w:rsidRPr="0019555C">
        <w:rPr>
          <w:lang w:val="en-GB" w:eastAsia="ja-JP"/>
        </w:rPr>
        <w:t>ECC Recommendation (09)01: Use of the 57-64 GHz frequency band for point-to-point fixed wireless systems</w:t>
      </w:r>
    </w:p>
    <w:p w:rsidR="00016D83" w:rsidRPr="0019555C" w:rsidRDefault="00016D83" w:rsidP="00DA5AC1">
      <w:pPr>
        <w:rPr>
          <w:lang w:val="en-GB" w:eastAsia="ja-JP"/>
        </w:rPr>
      </w:pPr>
      <w:r w:rsidRPr="0019555C">
        <w:rPr>
          <w:lang w:val="en-GB" w:eastAsia="ja-JP"/>
        </w:rPr>
        <w:t>ECC Report 114 : Compatibility studies between Multiple Gigabit Wireless Systems in frequency range 57-66 GHz and other services and systems (except ITS in 63-64 GHz)</w:t>
      </w:r>
    </w:p>
    <w:p w:rsidR="00016D83" w:rsidRPr="0019555C" w:rsidRDefault="00016D83" w:rsidP="00016D83">
      <w:pPr>
        <w:rPr>
          <w:lang w:val="en-GB" w:eastAsia="ja-JP"/>
        </w:rPr>
      </w:pPr>
      <w:r w:rsidRPr="0019555C">
        <w:rPr>
          <w:lang w:val="en-GB" w:eastAsia="ja-JP"/>
        </w:rPr>
        <w:t>ECC Report 173 : Fixed service in Europe, Current use and future trends post 2011</w:t>
      </w:r>
    </w:p>
    <w:p w:rsidR="00016D83" w:rsidRPr="0019555C" w:rsidRDefault="00016D83" w:rsidP="00DA5AC1">
      <w:pPr>
        <w:rPr>
          <w:lang w:val="en-GB" w:eastAsia="ja-JP"/>
        </w:rPr>
      </w:pPr>
      <w:r w:rsidRPr="0019555C">
        <w:rPr>
          <w:lang w:val="en-GB" w:eastAsia="ja-JP"/>
        </w:rPr>
        <w:t>ETSI TR 102 311 : Fixed Radio Systems; Point-to-point equipment; Specific aspects of the spatial frequency reuse method using Multiple Antenna Techniques (MIMO) (</w:t>
      </w:r>
      <w:hyperlink r:id="rId14" w:history="1">
        <w:r w:rsidR="00DA5AC1" w:rsidRPr="0019555C">
          <w:rPr>
            <w:rStyle w:val="Hyperlink"/>
            <w:lang w:val="en-GB" w:eastAsia="ja-JP"/>
          </w:rPr>
          <w:t>http://www.etsi.org/standards-search</w:t>
        </w:r>
      </w:hyperlink>
      <w:r w:rsidRPr="0019555C">
        <w:rPr>
          <w:lang w:val="en-GB" w:eastAsia="ja-JP"/>
        </w:rPr>
        <w:t xml:space="preserve"> (this is the page for typing the number of the TR 102 311))</w:t>
      </w:r>
    </w:p>
    <w:p w:rsidR="00016D83" w:rsidRPr="0019555C" w:rsidRDefault="00016D83" w:rsidP="00016D83">
      <w:pPr>
        <w:ind w:left="3600" w:hanging="3600"/>
        <w:rPr>
          <w:szCs w:val="24"/>
          <w:lang w:val="en-GB" w:eastAsia="ja-JP"/>
        </w:rPr>
      </w:pPr>
    </w:p>
    <w:p w:rsidR="00962EC9" w:rsidRPr="0019555C" w:rsidRDefault="00962EC9">
      <w:pPr>
        <w:tabs>
          <w:tab w:val="clear" w:pos="794"/>
          <w:tab w:val="clear" w:pos="1191"/>
          <w:tab w:val="clear" w:pos="1588"/>
          <w:tab w:val="clear" w:pos="1985"/>
        </w:tabs>
        <w:overflowPunct/>
        <w:autoSpaceDE/>
        <w:autoSpaceDN/>
        <w:adjustRightInd/>
        <w:spacing w:before="0"/>
        <w:jc w:val="left"/>
        <w:textAlignment w:val="auto"/>
        <w:rPr>
          <w:bCs/>
          <w:lang w:val="en-GB" w:eastAsia="ja-JP"/>
        </w:rPr>
      </w:pPr>
      <w:r w:rsidRPr="0019555C">
        <w:rPr>
          <w:bCs/>
          <w:lang w:val="en-GB" w:eastAsia="ja-JP"/>
        </w:rPr>
        <w:br w:type="page"/>
      </w:r>
    </w:p>
    <w:p w:rsidR="00016D83" w:rsidRDefault="00016D83" w:rsidP="00016D83">
      <w:pPr>
        <w:tabs>
          <w:tab w:val="right" w:leader="dot" w:pos="9629"/>
        </w:tabs>
        <w:spacing w:before="480"/>
        <w:jc w:val="center"/>
        <w:rPr>
          <w:bCs/>
          <w:lang w:val="en-GB" w:eastAsia="ja-JP"/>
        </w:rPr>
      </w:pPr>
      <w:r w:rsidRPr="0019555C">
        <w:rPr>
          <w:bCs/>
          <w:lang w:val="en-GB" w:eastAsia="ja-JP"/>
        </w:rPr>
        <w:lastRenderedPageBreak/>
        <w:t>TABLE OF CONTENTS</w:t>
      </w:r>
    </w:p>
    <w:p w:rsidR="00320941" w:rsidRPr="00320941" w:rsidRDefault="00320941" w:rsidP="00320941">
      <w:pPr>
        <w:pStyle w:val="toc0"/>
        <w:ind w:right="992"/>
        <w:rPr>
          <w:noProof/>
          <w:lang w:val="en-US"/>
        </w:rPr>
      </w:pPr>
      <w:r>
        <w:rPr>
          <w:lang w:val="en-GB"/>
        </w:rPr>
        <w:tab/>
        <w:t>Page</w:t>
      </w:r>
    </w:p>
    <w:p w:rsidR="00320941" w:rsidRDefault="00320941" w:rsidP="00320941">
      <w:pPr>
        <w:pStyle w:val="TOC1"/>
        <w:ind w:right="992"/>
        <w:rPr>
          <w:rFonts w:asciiTheme="minorHAnsi" w:eastAsiaTheme="minorEastAsia" w:hAnsiTheme="minorHAnsi" w:cstheme="minorBidi"/>
          <w:noProof/>
          <w:sz w:val="22"/>
          <w:szCs w:val="22"/>
          <w:lang w:eastAsia="zh-CN"/>
        </w:rPr>
      </w:pPr>
      <w:r w:rsidRPr="00816949">
        <w:rPr>
          <w:noProof/>
          <w:lang w:val="en-GB"/>
        </w:rPr>
        <w:t>1</w:t>
      </w:r>
      <w:r>
        <w:rPr>
          <w:rFonts w:asciiTheme="minorHAnsi" w:eastAsiaTheme="minorEastAsia" w:hAnsiTheme="minorHAnsi" w:cstheme="minorBidi"/>
          <w:noProof/>
          <w:sz w:val="22"/>
          <w:szCs w:val="22"/>
          <w:lang w:eastAsia="zh-CN"/>
        </w:rPr>
        <w:tab/>
      </w:r>
      <w:r w:rsidRPr="00320941">
        <w:rPr>
          <w:noProof/>
          <w:lang w:val="en-GB"/>
        </w:rPr>
        <w:t>Introduction</w:t>
      </w:r>
      <w:r>
        <w:rPr>
          <w:noProof/>
          <w:lang w:val="en-GB"/>
        </w:rPr>
        <w:tab/>
      </w:r>
      <w:r>
        <w:rPr>
          <w:noProof/>
          <w:lang w:val="en-GB"/>
        </w:rPr>
        <w:tab/>
      </w:r>
      <w:r w:rsidRPr="00320941">
        <w:rPr>
          <w:noProof/>
        </w:rPr>
        <w:t>6</w:t>
      </w:r>
    </w:p>
    <w:p w:rsidR="00320941" w:rsidRDefault="00320941" w:rsidP="00320941">
      <w:pPr>
        <w:pStyle w:val="TOC1"/>
        <w:ind w:right="992"/>
        <w:rPr>
          <w:rFonts w:asciiTheme="minorHAnsi" w:eastAsiaTheme="minorEastAsia" w:hAnsiTheme="minorHAnsi" w:cstheme="minorBidi"/>
          <w:noProof/>
          <w:sz w:val="22"/>
          <w:szCs w:val="22"/>
          <w:lang w:eastAsia="zh-CN"/>
        </w:rPr>
      </w:pPr>
      <w:r w:rsidRPr="00816949">
        <w:rPr>
          <w:noProof/>
          <w:lang w:val="en-GB"/>
        </w:rPr>
        <w:t>2</w:t>
      </w:r>
      <w:r>
        <w:rPr>
          <w:rFonts w:asciiTheme="minorHAnsi" w:eastAsiaTheme="minorEastAsia" w:hAnsiTheme="minorHAnsi" w:cstheme="minorBidi"/>
          <w:noProof/>
          <w:sz w:val="22"/>
          <w:szCs w:val="22"/>
          <w:lang w:eastAsia="zh-CN"/>
        </w:rPr>
        <w:tab/>
      </w:r>
      <w:r w:rsidRPr="00816949">
        <w:rPr>
          <w:noProof/>
          <w:lang w:val="en-GB"/>
        </w:rPr>
        <w:t xml:space="preserve">FWS use in telecommunication </w:t>
      </w:r>
      <w:r w:rsidRPr="00320941">
        <w:rPr>
          <w:noProof/>
          <w:lang w:val="en-GB"/>
        </w:rPr>
        <w:t>networks</w:t>
      </w:r>
      <w:r>
        <w:rPr>
          <w:noProof/>
          <w:lang w:val="en-GB"/>
        </w:rPr>
        <w:tab/>
      </w:r>
      <w:r>
        <w:rPr>
          <w:noProof/>
          <w:lang w:val="en-GB"/>
        </w:rPr>
        <w:tab/>
      </w:r>
      <w:r w:rsidRPr="00320941">
        <w:rPr>
          <w:noProof/>
        </w:rPr>
        <w:t>6</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2.1</w:t>
      </w:r>
      <w:r>
        <w:rPr>
          <w:rFonts w:asciiTheme="minorHAnsi" w:eastAsiaTheme="minorEastAsia" w:hAnsiTheme="minorHAnsi" w:cstheme="minorBidi"/>
          <w:noProof/>
          <w:sz w:val="22"/>
          <w:szCs w:val="22"/>
          <w:lang w:eastAsia="zh-CN"/>
        </w:rPr>
        <w:tab/>
      </w:r>
      <w:r w:rsidRPr="00816949">
        <w:rPr>
          <w:noProof/>
          <w:lang w:val="en-GB"/>
        </w:rPr>
        <w:t xml:space="preserve">Transport (trunking) </w:t>
      </w:r>
      <w:r w:rsidRPr="00320941">
        <w:rPr>
          <w:noProof/>
          <w:lang w:val="en-GB"/>
        </w:rPr>
        <w:t>networks</w:t>
      </w:r>
      <w:r>
        <w:rPr>
          <w:noProof/>
          <w:lang w:val="en-GB"/>
        </w:rPr>
        <w:tab/>
      </w:r>
      <w:r>
        <w:rPr>
          <w:noProof/>
          <w:lang w:val="en-GB"/>
        </w:rPr>
        <w:tab/>
      </w:r>
      <w:r w:rsidRPr="00320941">
        <w:rPr>
          <w:noProof/>
        </w:rPr>
        <w:t>7</w:t>
      </w:r>
    </w:p>
    <w:p w:rsidR="00320941" w:rsidRDefault="00320941" w:rsidP="00A21BE8">
      <w:pPr>
        <w:pStyle w:val="TOC2"/>
        <w:ind w:right="992"/>
        <w:rPr>
          <w:rFonts w:asciiTheme="minorHAnsi" w:eastAsiaTheme="minorEastAsia" w:hAnsiTheme="minorHAnsi" w:cstheme="minorBidi"/>
          <w:noProof/>
          <w:sz w:val="22"/>
          <w:szCs w:val="22"/>
          <w:lang w:eastAsia="zh-CN"/>
        </w:rPr>
      </w:pPr>
      <w:r w:rsidRPr="00816949">
        <w:rPr>
          <w:noProof/>
          <w:lang w:val="en-GB"/>
        </w:rPr>
        <w:t>2.2</w:t>
      </w:r>
      <w:r>
        <w:rPr>
          <w:rFonts w:asciiTheme="minorHAnsi" w:eastAsiaTheme="minorEastAsia" w:hAnsiTheme="minorHAnsi" w:cstheme="minorBidi"/>
          <w:noProof/>
          <w:sz w:val="22"/>
          <w:szCs w:val="22"/>
          <w:lang w:eastAsia="zh-CN"/>
        </w:rPr>
        <w:tab/>
      </w:r>
      <w:r w:rsidRPr="00816949">
        <w:rPr>
          <w:noProof/>
          <w:lang w:val="en-GB"/>
        </w:rPr>
        <w:t xml:space="preserve">Mobile backhaul </w:t>
      </w:r>
      <w:r w:rsidRPr="00320941">
        <w:rPr>
          <w:noProof/>
          <w:lang w:val="en-GB"/>
        </w:rPr>
        <w:t>networks</w:t>
      </w:r>
      <w:r>
        <w:rPr>
          <w:noProof/>
          <w:lang w:val="en-GB"/>
        </w:rPr>
        <w:tab/>
      </w:r>
      <w:r>
        <w:rPr>
          <w:noProof/>
          <w:lang w:val="en-GB"/>
        </w:rPr>
        <w:tab/>
      </w:r>
      <w:r w:rsidR="00A21BE8">
        <w:rPr>
          <w:noProof/>
        </w:rPr>
        <w:t>8</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2.3</w:t>
      </w:r>
      <w:r>
        <w:rPr>
          <w:rFonts w:asciiTheme="minorHAnsi" w:eastAsiaTheme="minorEastAsia" w:hAnsiTheme="minorHAnsi" w:cstheme="minorBidi"/>
          <w:noProof/>
          <w:sz w:val="22"/>
          <w:szCs w:val="22"/>
          <w:lang w:eastAsia="zh-CN"/>
        </w:rPr>
        <w:tab/>
      </w:r>
      <w:r w:rsidRPr="00816949">
        <w:rPr>
          <w:noProof/>
          <w:lang w:val="en-GB"/>
        </w:rPr>
        <w:t xml:space="preserve">Fixed wireless access (FWA) </w:t>
      </w:r>
      <w:r w:rsidRPr="00320941">
        <w:rPr>
          <w:noProof/>
          <w:lang w:val="en-GB"/>
        </w:rPr>
        <w:t>systems</w:t>
      </w:r>
      <w:r>
        <w:rPr>
          <w:noProof/>
          <w:lang w:val="en-GB"/>
        </w:rPr>
        <w:tab/>
      </w:r>
      <w:r>
        <w:rPr>
          <w:noProof/>
          <w:lang w:val="en-GB"/>
        </w:rPr>
        <w:tab/>
      </w:r>
      <w:r w:rsidRPr="00320941">
        <w:rPr>
          <w:noProof/>
        </w:rPr>
        <w:t>9</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2.4</w:t>
      </w:r>
      <w:r>
        <w:rPr>
          <w:rFonts w:asciiTheme="minorHAnsi" w:eastAsiaTheme="minorEastAsia" w:hAnsiTheme="minorHAnsi" w:cstheme="minorBidi"/>
          <w:noProof/>
          <w:sz w:val="22"/>
          <w:szCs w:val="22"/>
          <w:lang w:eastAsia="zh-CN"/>
        </w:rPr>
        <w:tab/>
      </w:r>
      <w:r w:rsidRPr="00816949">
        <w:rPr>
          <w:noProof/>
          <w:lang w:val="en-GB"/>
        </w:rPr>
        <w:t xml:space="preserve">Temporary </w:t>
      </w:r>
      <w:r w:rsidRPr="00320941">
        <w:rPr>
          <w:noProof/>
          <w:lang w:val="en-GB"/>
        </w:rPr>
        <w:t>FS</w:t>
      </w:r>
      <w:r>
        <w:rPr>
          <w:noProof/>
          <w:lang w:val="en-GB"/>
        </w:rPr>
        <w:tab/>
      </w:r>
      <w:r>
        <w:rPr>
          <w:noProof/>
          <w:lang w:val="en-GB"/>
        </w:rPr>
        <w:tab/>
      </w:r>
      <w:r w:rsidRPr="00320941">
        <w:rPr>
          <w:noProof/>
        </w:rPr>
        <w:t>10</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2.4.1</w:t>
      </w:r>
      <w:r>
        <w:rPr>
          <w:rFonts w:asciiTheme="minorHAnsi" w:eastAsiaTheme="minorEastAsia" w:hAnsiTheme="minorHAnsi" w:cstheme="minorBidi"/>
          <w:noProof/>
          <w:sz w:val="22"/>
          <w:szCs w:val="22"/>
          <w:lang w:eastAsia="zh-CN"/>
        </w:rPr>
        <w:tab/>
      </w:r>
      <w:r w:rsidRPr="00816949">
        <w:rPr>
          <w:noProof/>
          <w:lang w:val="en-GB"/>
        </w:rPr>
        <w:t xml:space="preserve">Disaster recovery </w:t>
      </w:r>
      <w:r w:rsidRPr="00816949">
        <w:rPr>
          <w:noProof/>
          <w:lang w:val="en-GB" w:eastAsia="ja-JP"/>
        </w:rPr>
        <w:t xml:space="preserve">and physical diversity </w:t>
      </w:r>
      <w:r w:rsidRPr="00320941">
        <w:rPr>
          <w:noProof/>
          <w:lang w:val="en-GB"/>
        </w:rPr>
        <w:t>link</w:t>
      </w:r>
      <w:r w:rsidRPr="00320941">
        <w:rPr>
          <w:noProof/>
          <w:lang w:val="en-GB" w:eastAsia="ja-JP"/>
        </w:rPr>
        <w:t>s</w:t>
      </w:r>
      <w:r>
        <w:rPr>
          <w:noProof/>
          <w:lang w:val="en-GB" w:eastAsia="ja-JP"/>
        </w:rPr>
        <w:tab/>
      </w:r>
      <w:r>
        <w:rPr>
          <w:noProof/>
          <w:lang w:val="en-GB" w:eastAsia="ja-JP"/>
        </w:rPr>
        <w:tab/>
      </w:r>
      <w:r w:rsidRPr="00320941">
        <w:rPr>
          <w:noProof/>
        </w:rPr>
        <w:t>10</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2.4.2</w:t>
      </w:r>
      <w:r>
        <w:rPr>
          <w:rFonts w:asciiTheme="minorHAnsi" w:eastAsiaTheme="minorEastAsia" w:hAnsiTheme="minorHAnsi" w:cstheme="minorBidi"/>
          <w:noProof/>
          <w:sz w:val="22"/>
          <w:szCs w:val="22"/>
          <w:lang w:eastAsia="zh-CN"/>
        </w:rPr>
        <w:tab/>
      </w:r>
      <w:r w:rsidRPr="00816949">
        <w:rPr>
          <w:noProof/>
          <w:lang w:val="en-GB"/>
        </w:rPr>
        <w:t xml:space="preserve">Electronic news </w:t>
      </w:r>
      <w:r w:rsidRPr="00320941">
        <w:rPr>
          <w:noProof/>
          <w:lang w:val="en-GB"/>
        </w:rPr>
        <w:t>gathering</w:t>
      </w:r>
      <w:r>
        <w:rPr>
          <w:noProof/>
          <w:lang w:val="en-GB"/>
        </w:rPr>
        <w:tab/>
      </w:r>
      <w:r>
        <w:rPr>
          <w:noProof/>
          <w:lang w:val="en-GB"/>
        </w:rPr>
        <w:tab/>
      </w:r>
      <w:r w:rsidRPr="00320941">
        <w:rPr>
          <w:noProof/>
        </w:rPr>
        <w:t>10</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eastAsia="ja-JP"/>
        </w:rPr>
        <w:t>2.5</w:t>
      </w:r>
      <w:r>
        <w:rPr>
          <w:rFonts w:asciiTheme="minorHAnsi" w:eastAsiaTheme="minorEastAsia" w:hAnsiTheme="minorHAnsi" w:cstheme="minorBidi"/>
          <w:noProof/>
          <w:sz w:val="22"/>
          <w:szCs w:val="22"/>
          <w:lang w:eastAsia="zh-CN"/>
        </w:rPr>
        <w:tab/>
      </w:r>
      <w:r w:rsidRPr="00816949">
        <w:rPr>
          <w:noProof/>
          <w:lang w:val="en-GB" w:eastAsia="ja-JP"/>
        </w:rPr>
        <w:t xml:space="preserve">Low latency microwave </w:t>
      </w:r>
      <w:r w:rsidRPr="00320941">
        <w:rPr>
          <w:noProof/>
          <w:lang w:val="en-GB" w:eastAsia="ja-JP"/>
        </w:rPr>
        <w:t>applications</w:t>
      </w:r>
      <w:r>
        <w:rPr>
          <w:noProof/>
          <w:lang w:val="en-GB" w:eastAsia="ja-JP"/>
        </w:rPr>
        <w:tab/>
      </w:r>
      <w:r>
        <w:rPr>
          <w:noProof/>
          <w:lang w:val="en-GB" w:eastAsia="ja-JP"/>
        </w:rPr>
        <w:tab/>
      </w:r>
      <w:r w:rsidRPr="00320941">
        <w:rPr>
          <w:noProof/>
        </w:rPr>
        <w:t>11</w:t>
      </w:r>
    </w:p>
    <w:p w:rsidR="00320941" w:rsidRDefault="00320941" w:rsidP="00320941">
      <w:pPr>
        <w:pStyle w:val="TOC1"/>
        <w:ind w:right="992"/>
        <w:rPr>
          <w:rFonts w:asciiTheme="minorHAnsi" w:eastAsiaTheme="minorEastAsia" w:hAnsiTheme="minorHAnsi" w:cstheme="minorBidi"/>
          <w:noProof/>
          <w:sz w:val="22"/>
          <w:szCs w:val="22"/>
          <w:lang w:eastAsia="zh-CN"/>
        </w:rPr>
      </w:pPr>
      <w:r w:rsidRPr="00816949">
        <w:rPr>
          <w:noProof/>
          <w:lang w:val="en-GB" w:eastAsia="ja-JP"/>
        </w:rPr>
        <w:t>3</w:t>
      </w:r>
      <w:r>
        <w:rPr>
          <w:rFonts w:asciiTheme="minorHAnsi" w:eastAsiaTheme="minorEastAsia" w:hAnsiTheme="minorHAnsi" w:cstheme="minorBidi"/>
          <w:noProof/>
          <w:sz w:val="22"/>
          <w:szCs w:val="22"/>
          <w:lang w:eastAsia="zh-CN"/>
        </w:rPr>
        <w:tab/>
      </w:r>
      <w:r w:rsidRPr="00816949">
        <w:rPr>
          <w:noProof/>
          <w:lang w:val="en-GB"/>
        </w:rPr>
        <w:t xml:space="preserve">FWS band </w:t>
      </w:r>
      <w:r w:rsidRPr="00320941">
        <w:rPr>
          <w:noProof/>
          <w:lang w:val="en-GB"/>
        </w:rPr>
        <w:t>usage</w:t>
      </w:r>
      <w:r>
        <w:rPr>
          <w:noProof/>
          <w:lang w:val="en-GB"/>
        </w:rPr>
        <w:tab/>
      </w:r>
      <w:r>
        <w:rPr>
          <w:noProof/>
          <w:lang w:val="en-GB"/>
        </w:rPr>
        <w:tab/>
      </w:r>
      <w:r w:rsidRPr="00320941">
        <w:rPr>
          <w:noProof/>
        </w:rPr>
        <w:t>11</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3.1</w:t>
      </w:r>
      <w:r>
        <w:rPr>
          <w:rFonts w:asciiTheme="minorHAnsi" w:eastAsiaTheme="minorEastAsia" w:hAnsiTheme="minorHAnsi" w:cstheme="minorBidi"/>
          <w:noProof/>
          <w:sz w:val="22"/>
          <w:szCs w:val="22"/>
          <w:lang w:eastAsia="zh-CN"/>
        </w:rPr>
        <w:tab/>
      </w:r>
      <w:r w:rsidRPr="00816949">
        <w:rPr>
          <w:noProof/>
          <w:lang w:val="en-GB"/>
        </w:rPr>
        <w:t xml:space="preserve">General </w:t>
      </w:r>
      <w:r w:rsidRPr="00320941">
        <w:rPr>
          <w:noProof/>
          <w:lang w:val="en-GB"/>
        </w:rPr>
        <w:t>consideration</w:t>
      </w:r>
      <w:r>
        <w:rPr>
          <w:noProof/>
          <w:lang w:val="en-GB"/>
        </w:rPr>
        <w:tab/>
      </w:r>
      <w:r>
        <w:rPr>
          <w:noProof/>
          <w:lang w:val="en-GB"/>
        </w:rPr>
        <w:tab/>
      </w:r>
      <w:r w:rsidRPr="00320941">
        <w:rPr>
          <w:noProof/>
        </w:rPr>
        <w:t>11</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3.2</w:t>
      </w:r>
      <w:r>
        <w:rPr>
          <w:rFonts w:asciiTheme="minorHAnsi" w:eastAsiaTheme="minorEastAsia" w:hAnsiTheme="minorHAnsi" w:cstheme="minorBidi"/>
          <w:noProof/>
          <w:sz w:val="22"/>
          <w:szCs w:val="22"/>
          <w:lang w:eastAsia="zh-CN"/>
        </w:rPr>
        <w:tab/>
      </w:r>
      <w:r w:rsidRPr="00816949">
        <w:rPr>
          <w:noProof/>
          <w:lang w:val="en-GB"/>
        </w:rPr>
        <w:t xml:space="preserve">Spectrum use in each </w:t>
      </w:r>
      <w:r w:rsidRPr="00320941">
        <w:rPr>
          <w:noProof/>
          <w:lang w:val="en-GB"/>
        </w:rPr>
        <w:t>band</w:t>
      </w:r>
      <w:r>
        <w:rPr>
          <w:noProof/>
          <w:lang w:val="en-GB"/>
        </w:rPr>
        <w:tab/>
      </w:r>
      <w:r>
        <w:rPr>
          <w:noProof/>
          <w:lang w:val="en-GB"/>
        </w:rPr>
        <w:tab/>
      </w:r>
      <w:r w:rsidRPr="00320941">
        <w:rPr>
          <w:noProof/>
        </w:rPr>
        <w:t>13</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3.2.1</w:t>
      </w:r>
      <w:r>
        <w:rPr>
          <w:rFonts w:asciiTheme="minorHAnsi" w:eastAsiaTheme="minorEastAsia" w:hAnsiTheme="minorHAnsi" w:cstheme="minorBidi"/>
          <w:noProof/>
          <w:sz w:val="22"/>
          <w:szCs w:val="22"/>
          <w:lang w:eastAsia="zh-CN"/>
        </w:rPr>
        <w:tab/>
      </w:r>
      <w:r w:rsidRPr="00816949">
        <w:rPr>
          <w:noProof/>
          <w:lang w:val="en-GB"/>
        </w:rPr>
        <w:t xml:space="preserve">Below 3 </w:t>
      </w:r>
      <w:r w:rsidRPr="00320941">
        <w:rPr>
          <w:noProof/>
          <w:lang w:val="en-GB"/>
        </w:rPr>
        <w:t>GHz</w:t>
      </w:r>
      <w:r>
        <w:rPr>
          <w:noProof/>
          <w:lang w:val="en-GB"/>
        </w:rPr>
        <w:tab/>
      </w:r>
      <w:r>
        <w:rPr>
          <w:noProof/>
          <w:lang w:val="en-GB"/>
        </w:rPr>
        <w:tab/>
      </w:r>
      <w:r w:rsidRPr="00320941">
        <w:rPr>
          <w:noProof/>
        </w:rPr>
        <w:t>14</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3.2.2</w:t>
      </w:r>
      <w:r>
        <w:rPr>
          <w:rFonts w:asciiTheme="minorHAnsi" w:eastAsiaTheme="minorEastAsia" w:hAnsiTheme="minorHAnsi" w:cstheme="minorBidi"/>
          <w:noProof/>
          <w:sz w:val="22"/>
          <w:szCs w:val="22"/>
          <w:lang w:eastAsia="zh-CN"/>
        </w:rPr>
        <w:tab/>
      </w:r>
      <w:r w:rsidRPr="00816949">
        <w:rPr>
          <w:noProof/>
          <w:lang w:val="en-GB"/>
        </w:rPr>
        <w:t xml:space="preserve">3 GHz to 10 </w:t>
      </w:r>
      <w:r w:rsidRPr="00320941">
        <w:rPr>
          <w:noProof/>
          <w:lang w:val="en-GB"/>
        </w:rPr>
        <w:t>GHz</w:t>
      </w:r>
      <w:r>
        <w:rPr>
          <w:noProof/>
          <w:lang w:val="en-GB"/>
        </w:rPr>
        <w:tab/>
      </w:r>
      <w:r>
        <w:rPr>
          <w:noProof/>
          <w:lang w:val="en-GB"/>
        </w:rPr>
        <w:tab/>
      </w:r>
      <w:r w:rsidRPr="00320941">
        <w:rPr>
          <w:noProof/>
        </w:rPr>
        <w:t>15</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3.2.3</w:t>
      </w:r>
      <w:r>
        <w:rPr>
          <w:rFonts w:asciiTheme="minorHAnsi" w:eastAsiaTheme="minorEastAsia" w:hAnsiTheme="minorHAnsi" w:cstheme="minorBidi"/>
          <w:noProof/>
          <w:sz w:val="22"/>
          <w:szCs w:val="22"/>
          <w:lang w:eastAsia="zh-CN"/>
        </w:rPr>
        <w:tab/>
      </w:r>
      <w:r w:rsidRPr="00816949">
        <w:rPr>
          <w:noProof/>
          <w:lang w:val="en-GB"/>
        </w:rPr>
        <w:t xml:space="preserve">10 GHz to 57 </w:t>
      </w:r>
      <w:r w:rsidRPr="00320941">
        <w:rPr>
          <w:noProof/>
          <w:lang w:val="en-GB"/>
        </w:rPr>
        <w:t>GHz</w:t>
      </w:r>
      <w:r>
        <w:rPr>
          <w:noProof/>
          <w:lang w:val="en-GB"/>
        </w:rPr>
        <w:tab/>
      </w:r>
      <w:r>
        <w:rPr>
          <w:noProof/>
          <w:lang w:val="en-GB"/>
        </w:rPr>
        <w:tab/>
      </w:r>
      <w:r w:rsidRPr="00320941">
        <w:rPr>
          <w:noProof/>
        </w:rPr>
        <w:t>15</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3.2.4</w:t>
      </w:r>
      <w:r>
        <w:rPr>
          <w:rFonts w:asciiTheme="minorHAnsi" w:eastAsiaTheme="minorEastAsia" w:hAnsiTheme="minorHAnsi" w:cstheme="minorBidi"/>
          <w:noProof/>
          <w:sz w:val="22"/>
          <w:szCs w:val="22"/>
          <w:lang w:eastAsia="zh-CN"/>
        </w:rPr>
        <w:tab/>
      </w:r>
      <w:r w:rsidRPr="00816949">
        <w:rPr>
          <w:noProof/>
          <w:lang w:val="en-GB"/>
        </w:rPr>
        <w:t xml:space="preserve">57 GHz to </w:t>
      </w:r>
      <w:r w:rsidRPr="00816949">
        <w:rPr>
          <w:noProof/>
          <w:lang w:val="en-GB" w:eastAsia="ja-JP"/>
        </w:rPr>
        <w:t xml:space="preserve">66 </w:t>
      </w:r>
      <w:r w:rsidRPr="00320941">
        <w:rPr>
          <w:noProof/>
          <w:lang w:val="en-GB"/>
        </w:rPr>
        <w:t>GHz</w:t>
      </w:r>
      <w:r>
        <w:rPr>
          <w:noProof/>
          <w:lang w:val="en-GB"/>
        </w:rPr>
        <w:tab/>
      </w:r>
      <w:r>
        <w:rPr>
          <w:noProof/>
          <w:lang w:val="en-GB"/>
        </w:rPr>
        <w:tab/>
      </w:r>
      <w:r w:rsidRPr="00320941">
        <w:rPr>
          <w:noProof/>
        </w:rPr>
        <w:t>15</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3.2.5</w:t>
      </w:r>
      <w:r>
        <w:rPr>
          <w:rFonts w:asciiTheme="minorHAnsi" w:eastAsiaTheme="minorEastAsia" w:hAnsiTheme="minorHAnsi" w:cstheme="minorBidi"/>
          <w:noProof/>
          <w:sz w:val="22"/>
          <w:szCs w:val="22"/>
          <w:lang w:eastAsia="zh-CN"/>
        </w:rPr>
        <w:tab/>
      </w:r>
      <w:r w:rsidRPr="00816949">
        <w:rPr>
          <w:noProof/>
          <w:lang w:val="en-GB"/>
        </w:rPr>
        <w:t xml:space="preserve">71 GHz to 76 GHz and 81 GHz to 86 </w:t>
      </w:r>
      <w:r w:rsidRPr="00320941">
        <w:rPr>
          <w:noProof/>
          <w:lang w:val="en-GB"/>
        </w:rPr>
        <w:t>GHz</w:t>
      </w:r>
      <w:r>
        <w:rPr>
          <w:noProof/>
          <w:lang w:val="en-GB"/>
        </w:rPr>
        <w:tab/>
      </w:r>
      <w:r>
        <w:rPr>
          <w:noProof/>
          <w:lang w:val="en-GB"/>
        </w:rPr>
        <w:tab/>
      </w:r>
      <w:r w:rsidRPr="00320941">
        <w:rPr>
          <w:noProof/>
        </w:rPr>
        <w:t>15</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3.2.6</w:t>
      </w:r>
      <w:r>
        <w:rPr>
          <w:rFonts w:asciiTheme="minorHAnsi" w:eastAsiaTheme="minorEastAsia" w:hAnsiTheme="minorHAnsi" w:cstheme="minorBidi"/>
          <w:noProof/>
          <w:sz w:val="22"/>
          <w:szCs w:val="22"/>
          <w:lang w:eastAsia="zh-CN"/>
        </w:rPr>
        <w:tab/>
      </w:r>
      <w:r w:rsidRPr="00816949">
        <w:rPr>
          <w:noProof/>
          <w:lang w:val="en-GB"/>
        </w:rPr>
        <w:t xml:space="preserve">92 GHz to 95 </w:t>
      </w:r>
      <w:r w:rsidRPr="00320941">
        <w:rPr>
          <w:noProof/>
          <w:lang w:val="en-GB"/>
        </w:rPr>
        <w:t>GHz</w:t>
      </w:r>
      <w:r>
        <w:rPr>
          <w:noProof/>
          <w:lang w:val="en-GB"/>
        </w:rPr>
        <w:tab/>
      </w:r>
      <w:r>
        <w:rPr>
          <w:noProof/>
          <w:lang w:val="en-GB"/>
        </w:rPr>
        <w:tab/>
      </w:r>
      <w:r w:rsidRPr="00320941">
        <w:rPr>
          <w:noProof/>
        </w:rPr>
        <w:t>16</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3.3</w:t>
      </w:r>
      <w:r>
        <w:rPr>
          <w:rFonts w:asciiTheme="minorHAnsi" w:eastAsiaTheme="minorEastAsia" w:hAnsiTheme="minorHAnsi" w:cstheme="minorBidi"/>
          <w:noProof/>
          <w:sz w:val="22"/>
          <w:szCs w:val="22"/>
          <w:lang w:eastAsia="zh-CN"/>
        </w:rPr>
        <w:tab/>
      </w:r>
      <w:r w:rsidRPr="00816949">
        <w:rPr>
          <w:noProof/>
          <w:lang w:val="en-GB"/>
        </w:rPr>
        <w:t xml:space="preserve">Spectrum use in specific </w:t>
      </w:r>
      <w:r w:rsidRPr="00320941">
        <w:rPr>
          <w:noProof/>
          <w:lang w:val="en-GB"/>
        </w:rPr>
        <w:t>regions</w:t>
      </w:r>
      <w:r>
        <w:rPr>
          <w:noProof/>
          <w:lang w:val="en-GB"/>
        </w:rPr>
        <w:tab/>
      </w:r>
      <w:r>
        <w:rPr>
          <w:noProof/>
          <w:lang w:val="en-GB"/>
        </w:rPr>
        <w:tab/>
      </w:r>
      <w:r w:rsidRPr="00320941">
        <w:rPr>
          <w:noProof/>
        </w:rPr>
        <w:t>16</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3.3.1</w:t>
      </w:r>
      <w:r>
        <w:rPr>
          <w:rFonts w:asciiTheme="minorHAnsi" w:eastAsiaTheme="minorEastAsia" w:hAnsiTheme="minorHAnsi" w:cstheme="minorBidi"/>
          <w:noProof/>
          <w:sz w:val="22"/>
          <w:szCs w:val="22"/>
          <w:lang w:eastAsia="zh-CN"/>
        </w:rPr>
        <w:tab/>
      </w:r>
      <w:r w:rsidRPr="00320941">
        <w:rPr>
          <w:noProof/>
          <w:lang w:val="en-GB" w:eastAsia="ja-JP"/>
        </w:rPr>
        <w:t>Europe</w:t>
      </w:r>
      <w:r>
        <w:rPr>
          <w:noProof/>
          <w:lang w:val="en-GB" w:eastAsia="ja-JP"/>
        </w:rPr>
        <w:tab/>
      </w:r>
      <w:r>
        <w:rPr>
          <w:noProof/>
          <w:lang w:val="en-GB" w:eastAsia="ja-JP"/>
        </w:rPr>
        <w:tab/>
      </w:r>
      <w:r w:rsidRPr="00320941">
        <w:rPr>
          <w:noProof/>
        </w:rPr>
        <w:t>16</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3.3.</w:t>
      </w:r>
      <w:r w:rsidRPr="00816949">
        <w:rPr>
          <w:noProof/>
          <w:lang w:val="en-GB" w:eastAsia="ja-JP"/>
        </w:rPr>
        <w:t>2</w:t>
      </w:r>
      <w:r>
        <w:rPr>
          <w:rFonts w:asciiTheme="minorHAnsi" w:eastAsiaTheme="minorEastAsia" w:hAnsiTheme="minorHAnsi" w:cstheme="minorBidi"/>
          <w:noProof/>
          <w:sz w:val="22"/>
          <w:szCs w:val="22"/>
          <w:lang w:eastAsia="zh-CN"/>
        </w:rPr>
        <w:tab/>
      </w:r>
      <w:r w:rsidRPr="00320941">
        <w:rPr>
          <w:noProof/>
          <w:lang w:val="en-GB" w:eastAsia="ja-JP"/>
        </w:rPr>
        <w:t>Asia</w:t>
      </w:r>
      <w:r>
        <w:rPr>
          <w:noProof/>
          <w:lang w:val="en-GB" w:eastAsia="ja-JP"/>
        </w:rPr>
        <w:tab/>
      </w:r>
      <w:r>
        <w:rPr>
          <w:noProof/>
          <w:lang w:val="en-GB" w:eastAsia="ja-JP"/>
        </w:rPr>
        <w:tab/>
      </w:r>
      <w:r w:rsidRPr="00320941">
        <w:rPr>
          <w:noProof/>
        </w:rPr>
        <w:t>17</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3.3.3</w:t>
      </w:r>
      <w:r>
        <w:rPr>
          <w:rFonts w:asciiTheme="minorHAnsi" w:eastAsiaTheme="minorEastAsia" w:hAnsiTheme="minorHAnsi" w:cstheme="minorBidi"/>
          <w:noProof/>
          <w:sz w:val="22"/>
          <w:szCs w:val="22"/>
          <w:lang w:eastAsia="zh-CN"/>
        </w:rPr>
        <w:tab/>
      </w:r>
      <w:r w:rsidRPr="00816949">
        <w:rPr>
          <w:noProof/>
          <w:lang w:val="en-GB" w:eastAsia="ja-JP"/>
        </w:rPr>
        <w:t xml:space="preserve">North </w:t>
      </w:r>
      <w:r w:rsidRPr="00320941">
        <w:rPr>
          <w:noProof/>
          <w:lang w:val="en-GB" w:eastAsia="ja-JP"/>
        </w:rPr>
        <w:t>America</w:t>
      </w:r>
      <w:r>
        <w:rPr>
          <w:noProof/>
          <w:lang w:val="en-GB" w:eastAsia="ja-JP"/>
        </w:rPr>
        <w:tab/>
      </w:r>
      <w:r>
        <w:rPr>
          <w:noProof/>
          <w:lang w:val="en-GB" w:eastAsia="ja-JP"/>
        </w:rPr>
        <w:tab/>
      </w:r>
      <w:r w:rsidRPr="00320941">
        <w:rPr>
          <w:noProof/>
        </w:rPr>
        <w:t>21</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3.4</w:t>
      </w:r>
      <w:r>
        <w:rPr>
          <w:rFonts w:asciiTheme="minorHAnsi" w:eastAsiaTheme="minorEastAsia" w:hAnsiTheme="minorHAnsi" w:cstheme="minorBidi"/>
          <w:noProof/>
          <w:sz w:val="22"/>
          <w:szCs w:val="22"/>
          <w:lang w:eastAsia="zh-CN"/>
        </w:rPr>
        <w:tab/>
      </w:r>
      <w:r w:rsidRPr="00816949">
        <w:rPr>
          <w:noProof/>
          <w:lang w:val="en-GB"/>
        </w:rPr>
        <w:t xml:space="preserve">Sharing and compatibility studies with other </w:t>
      </w:r>
      <w:r w:rsidRPr="00320941">
        <w:rPr>
          <w:noProof/>
          <w:lang w:val="en-GB"/>
        </w:rPr>
        <w:t>services</w:t>
      </w:r>
      <w:r>
        <w:rPr>
          <w:noProof/>
          <w:lang w:val="en-GB"/>
        </w:rPr>
        <w:tab/>
      </w:r>
      <w:r>
        <w:rPr>
          <w:noProof/>
          <w:lang w:val="en-GB"/>
        </w:rPr>
        <w:tab/>
      </w:r>
      <w:r w:rsidRPr="00320941">
        <w:rPr>
          <w:noProof/>
        </w:rPr>
        <w:t>23</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eastAsia="ja-JP"/>
        </w:rPr>
        <w:t>3.5</w:t>
      </w:r>
      <w:r>
        <w:rPr>
          <w:rFonts w:asciiTheme="minorHAnsi" w:eastAsiaTheme="minorEastAsia" w:hAnsiTheme="minorHAnsi" w:cstheme="minorBidi"/>
          <w:noProof/>
          <w:sz w:val="22"/>
          <w:szCs w:val="22"/>
          <w:lang w:eastAsia="zh-CN"/>
        </w:rPr>
        <w:tab/>
      </w:r>
      <w:r w:rsidRPr="00816949">
        <w:rPr>
          <w:noProof/>
          <w:lang w:val="en-GB"/>
        </w:rPr>
        <w:t xml:space="preserve">FWS regulatory </w:t>
      </w:r>
      <w:r w:rsidRPr="00320941">
        <w:rPr>
          <w:noProof/>
          <w:lang w:val="en-GB"/>
        </w:rPr>
        <w:t>regimes</w:t>
      </w:r>
      <w:r>
        <w:rPr>
          <w:noProof/>
          <w:lang w:val="en-GB"/>
        </w:rPr>
        <w:tab/>
      </w:r>
      <w:r>
        <w:rPr>
          <w:noProof/>
          <w:lang w:val="en-GB"/>
        </w:rPr>
        <w:tab/>
      </w:r>
      <w:r w:rsidRPr="00320941">
        <w:rPr>
          <w:noProof/>
        </w:rPr>
        <w:t>24</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3.5.1</w:t>
      </w:r>
      <w:r>
        <w:rPr>
          <w:rFonts w:asciiTheme="minorHAnsi" w:eastAsiaTheme="minorEastAsia" w:hAnsiTheme="minorHAnsi" w:cstheme="minorBidi"/>
          <w:noProof/>
          <w:sz w:val="22"/>
          <w:szCs w:val="22"/>
          <w:lang w:eastAsia="zh-CN"/>
        </w:rPr>
        <w:tab/>
      </w:r>
      <w:r w:rsidRPr="00816949">
        <w:rPr>
          <w:noProof/>
          <w:lang w:val="en-GB"/>
        </w:rPr>
        <w:t xml:space="preserve">Licensed </w:t>
      </w:r>
      <w:r w:rsidRPr="00320941">
        <w:rPr>
          <w:noProof/>
          <w:lang w:val="en-GB"/>
        </w:rPr>
        <w:t>FWS</w:t>
      </w:r>
      <w:r>
        <w:rPr>
          <w:noProof/>
          <w:lang w:val="en-GB"/>
        </w:rPr>
        <w:tab/>
      </w:r>
      <w:r>
        <w:rPr>
          <w:noProof/>
          <w:lang w:val="en-GB"/>
        </w:rPr>
        <w:tab/>
      </w:r>
      <w:r w:rsidRPr="00320941">
        <w:rPr>
          <w:noProof/>
        </w:rPr>
        <w:t>24</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3.5.2</w:t>
      </w:r>
      <w:r>
        <w:rPr>
          <w:rFonts w:asciiTheme="minorHAnsi" w:eastAsiaTheme="minorEastAsia" w:hAnsiTheme="minorHAnsi" w:cstheme="minorBidi"/>
          <w:noProof/>
          <w:sz w:val="22"/>
          <w:szCs w:val="22"/>
          <w:lang w:eastAsia="zh-CN"/>
        </w:rPr>
        <w:tab/>
      </w:r>
      <w:r w:rsidRPr="00816949">
        <w:rPr>
          <w:noProof/>
          <w:lang w:val="en-GB"/>
        </w:rPr>
        <w:t xml:space="preserve">License-exempt </w:t>
      </w:r>
      <w:r w:rsidRPr="00320941">
        <w:rPr>
          <w:noProof/>
          <w:lang w:val="en-GB"/>
        </w:rPr>
        <w:t>FWS</w:t>
      </w:r>
      <w:r>
        <w:rPr>
          <w:noProof/>
          <w:lang w:val="en-GB"/>
        </w:rPr>
        <w:tab/>
      </w:r>
      <w:r>
        <w:rPr>
          <w:noProof/>
          <w:lang w:val="en-GB"/>
        </w:rPr>
        <w:tab/>
      </w:r>
      <w:r w:rsidRPr="00320941">
        <w:rPr>
          <w:noProof/>
        </w:rPr>
        <w:t>25</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3.5.3</w:t>
      </w:r>
      <w:r>
        <w:rPr>
          <w:rFonts w:asciiTheme="minorHAnsi" w:eastAsiaTheme="minorEastAsia" w:hAnsiTheme="minorHAnsi" w:cstheme="minorBidi"/>
          <w:noProof/>
          <w:sz w:val="22"/>
          <w:szCs w:val="22"/>
          <w:lang w:eastAsia="zh-CN"/>
        </w:rPr>
        <w:tab/>
      </w:r>
      <w:r w:rsidRPr="00816949">
        <w:rPr>
          <w:noProof/>
          <w:lang w:val="en-GB"/>
        </w:rPr>
        <w:t xml:space="preserve">Light-licensed </w:t>
      </w:r>
      <w:r w:rsidRPr="00320941">
        <w:rPr>
          <w:noProof/>
          <w:lang w:val="en-GB"/>
        </w:rPr>
        <w:t>FWS</w:t>
      </w:r>
      <w:r>
        <w:rPr>
          <w:noProof/>
          <w:lang w:val="en-GB"/>
        </w:rPr>
        <w:tab/>
      </w:r>
      <w:r>
        <w:rPr>
          <w:noProof/>
          <w:lang w:val="en-GB"/>
        </w:rPr>
        <w:tab/>
      </w:r>
      <w:r w:rsidRPr="00320941">
        <w:rPr>
          <w:noProof/>
        </w:rPr>
        <w:t>25</w:t>
      </w:r>
    </w:p>
    <w:p w:rsidR="00320941" w:rsidRDefault="00320941" w:rsidP="00A06BE6">
      <w:pPr>
        <w:pStyle w:val="toc0"/>
        <w:keepNext/>
        <w:keepLines/>
        <w:rPr>
          <w:noProof/>
          <w:lang w:val="en-GB"/>
        </w:rPr>
      </w:pPr>
      <w:r>
        <w:rPr>
          <w:noProof/>
          <w:lang w:val="en-GB"/>
        </w:rPr>
        <w:lastRenderedPageBreak/>
        <w:tab/>
        <w:t>Page</w:t>
      </w:r>
    </w:p>
    <w:p w:rsidR="00320941" w:rsidRDefault="00320941" w:rsidP="00A06BE6">
      <w:pPr>
        <w:pStyle w:val="TOC1"/>
        <w:keepNext/>
        <w:ind w:right="992"/>
        <w:rPr>
          <w:rFonts w:asciiTheme="minorHAnsi" w:eastAsiaTheme="minorEastAsia" w:hAnsiTheme="minorHAnsi" w:cstheme="minorBidi"/>
          <w:noProof/>
          <w:sz w:val="22"/>
          <w:szCs w:val="22"/>
          <w:lang w:eastAsia="zh-CN"/>
        </w:rPr>
      </w:pPr>
      <w:r w:rsidRPr="00816949">
        <w:rPr>
          <w:noProof/>
          <w:lang w:val="en-GB"/>
        </w:rPr>
        <w:t>4</w:t>
      </w:r>
      <w:r>
        <w:rPr>
          <w:rFonts w:asciiTheme="minorHAnsi" w:eastAsiaTheme="minorEastAsia" w:hAnsiTheme="minorHAnsi" w:cstheme="minorBidi"/>
          <w:noProof/>
          <w:sz w:val="22"/>
          <w:szCs w:val="22"/>
          <w:lang w:eastAsia="zh-CN"/>
        </w:rPr>
        <w:tab/>
      </w:r>
      <w:r w:rsidRPr="00816949">
        <w:rPr>
          <w:noProof/>
          <w:lang w:val="en-GB"/>
        </w:rPr>
        <w:t xml:space="preserve">FWS </w:t>
      </w:r>
      <w:r w:rsidRPr="00816949">
        <w:rPr>
          <w:noProof/>
        </w:rPr>
        <w:t>technology</w:t>
      </w:r>
      <w:r w:rsidRPr="00816949">
        <w:rPr>
          <w:noProof/>
          <w:lang w:val="en-GB"/>
        </w:rPr>
        <w:t xml:space="preserve"> and </w:t>
      </w:r>
      <w:r w:rsidRPr="00320941">
        <w:rPr>
          <w:noProof/>
          <w:lang w:val="en-GB"/>
        </w:rPr>
        <w:t>trends</w:t>
      </w:r>
      <w:r>
        <w:rPr>
          <w:noProof/>
          <w:lang w:val="en-GB"/>
        </w:rPr>
        <w:tab/>
      </w:r>
      <w:r>
        <w:rPr>
          <w:noProof/>
          <w:lang w:val="en-GB"/>
        </w:rPr>
        <w:tab/>
      </w:r>
      <w:r w:rsidRPr="00320941">
        <w:rPr>
          <w:noProof/>
        </w:rPr>
        <w:t>26</w:t>
      </w:r>
    </w:p>
    <w:p w:rsidR="00320941" w:rsidRDefault="00320941" w:rsidP="00A06BE6">
      <w:pPr>
        <w:pStyle w:val="TOC2"/>
        <w:keepNext/>
        <w:ind w:right="992"/>
        <w:rPr>
          <w:rFonts w:asciiTheme="minorHAnsi" w:eastAsiaTheme="minorEastAsia" w:hAnsiTheme="minorHAnsi" w:cstheme="minorBidi"/>
          <w:noProof/>
          <w:sz w:val="22"/>
          <w:szCs w:val="22"/>
          <w:lang w:eastAsia="zh-CN"/>
        </w:rPr>
      </w:pPr>
      <w:r w:rsidRPr="00816949">
        <w:rPr>
          <w:noProof/>
          <w:lang w:val="en-GB"/>
        </w:rPr>
        <w:t>4.</w:t>
      </w:r>
      <w:r w:rsidRPr="00816949">
        <w:rPr>
          <w:noProof/>
          <w:lang w:val="en-GB" w:eastAsia="ja-JP"/>
        </w:rPr>
        <w:t>1</w:t>
      </w:r>
      <w:r>
        <w:rPr>
          <w:rFonts w:asciiTheme="minorHAnsi" w:eastAsiaTheme="minorEastAsia" w:hAnsiTheme="minorHAnsi" w:cstheme="minorBidi"/>
          <w:noProof/>
          <w:sz w:val="22"/>
          <w:szCs w:val="22"/>
          <w:lang w:eastAsia="zh-CN"/>
        </w:rPr>
        <w:tab/>
      </w:r>
      <w:r w:rsidRPr="00816949">
        <w:rPr>
          <w:noProof/>
          <w:lang w:val="en-GB"/>
        </w:rPr>
        <w:t xml:space="preserve">FWS </w:t>
      </w:r>
      <w:r w:rsidRPr="00320941">
        <w:rPr>
          <w:noProof/>
        </w:rPr>
        <w:t>technologies</w:t>
      </w:r>
      <w:r>
        <w:rPr>
          <w:noProof/>
        </w:rPr>
        <w:tab/>
      </w:r>
      <w:r>
        <w:rPr>
          <w:noProof/>
        </w:rPr>
        <w:tab/>
      </w:r>
      <w:r w:rsidRPr="00320941">
        <w:rPr>
          <w:noProof/>
        </w:rPr>
        <w:t>26</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4.</w:t>
      </w:r>
      <w:r w:rsidRPr="00816949">
        <w:rPr>
          <w:noProof/>
          <w:lang w:val="en-GB" w:eastAsia="ja-JP"/>
        </w:rPr>
        <w:t>1</w:t>
      </w:r>
      <w:r w:rsidRPr="00816949">
        <w:rPr>
          <w:noProof/>
          <w:lang w:val="en-GB"/>
        </w:rPr>
        <w:t>.1</w:t>
      </w:r>
      <w:r>
        <w:rPr>
          <w:rFonts w:asciiTheme="minorHAnsi" w:eastAsiaTheme="minorEastAsia" w:hAnsiTheme="minorHAnsi" w:cstheme="minorBidi"/>
          <w:noProof/>
          <w:sz w:val="22"/>
          <w:szCs w:val="22"/>
          <w:lang w:eastAsia="zh-CN"/>
        </w:rPr>
        <w:tab/>
      </w:r>
      <w:r w:rsidRPr="00816949">
        <w:rPr>
          <w:noProof/>
          <w:lang w:val="en-GB"/>
        </w:rPr>
        <w:t xml:space="preserve">Link design </w:t>
      </w:r>
      <w:r w:rsidRPr="00320941">
        <w:rPr>
          <w:noProof/>
          <w:lang w:val="en-GB"/>
        </w:rPr>
        <w:t>methodology</w:t>
      </w:r>
      <w:r>
        <w:rPr>
          <w:noProof/>
          <w:lang w:val="en-GB"/>
        </w:rPr>
        <w:tab/>
      </w:r>
      <w:r>
        <w:rPr>
          <w:noProof/>
          <w:lang w:val="en-GB"/>
        </w:rPr>
        <w:tab/>
      </w:r>
      <w:r w:rsidRPr="00320941">
        <w:rPr>
          <w:noProof/>
        </w:rPr>
        <w:t>28</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4.1.2</w:t>
      </w:r>
      <w:r>
        <w:rPr>
          <w:rFonts w:asciiTheme="minorHAnsi" w:eastAsiaTheme="minorEastAsia" w:hAnsiTheme="minorHAnsi" w:cstheme="minorBidi"/>
          <w:noProof/>
          <w:sz w:val="22"/>
          <w:szCs w:val="22"/>
          <w:lang w:eastAsia="zh-CN"/>
        </w:rPr>
        <w:tab/>
      </w:r>
      <w:r w:rsidRPr="00816949">
        <w:rPr>
          <w:noProof/>
          <w:lang w:val="en-GB"/>
        </w:rPr>
        <w:t xml:space="preserve">Wider bandwidth channels and channel </w:t>
      </w:r>
      <w:r w:rsidRPr="00320941">
        <w:rPr>
          <w:noProof/>
          <w:lang w:val="en-GB"/>
        </w:rPr>
        <w:t>aggregation</w:t>
      </w:r>
      <w:r>
        <w:rPr>
          <w:noProof/>
          <w:lang w:val="en-GB"/>
        </w:rPr>
        <w:tab/>
      </w:r>
      <w:r>
        <w:rPr>
          <w:noProof/>
          <w:lang w:val="en-GB"/>
        </w:rPr>
        <w:tab/>
      </w:r>
      <w:r w:rsidRPr="00320941">
        <w:rPr>
          <w:noProof/>
        </w:rPr>
        <w:t>31</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4.</w:t>
      </w:r>
      <w:r w:rsidRPr="00816949">
        <w:rPr>
          <w:noProof/>
          <w:lang w:val="en-GB" w:eastAsia="ja-JP"/>
        </w:rPr>
        <w:t>2</w:t>
      </w:r>
      <w:r>
        <w:rPr>
          <w:rFonts w:asciiTheme="minorHAnsi" w:eastAsiaTheme="minorEastAsia" w:hAnsiTheme="minorHAnsi" w:cstheme="minorBidi"/>
          <w:noProof/>
          <w:sz w:val="22"/>
          <w:szCs w:val="22"/>
          <w:lang w:eastAsia="zh-CN"/>
        </w:rPr>
        <w:tab/>
      </w:r>
      <w:r w:rsidRPr="00320941">
        <w:rPr>
          <w:noProof/>
          <w:lang w:val="en-GB"/>
        </w:rPr>
        <w:t>Antennas</w:t>
      </w:r>
      <w:r>
        <w:rPr>
          <w:noProof/>
          <w:lang w:val="en-GB"/>
        </w:rPr>
        <w:tab/>
      </w:r>
      <w:r>
        <w:rPr>
          <w:noProof/>
          <w:lang w:val="en-GB"/>
        </w:rPr>
        <w:tab/>
      </w:r>
      <w:r w:rsidRPr="00320941">
        <w:rPr>
          <w:noProof/>
        </w:rPr>
        <w:t>31</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4.</w:t>
      </w:r>
      <w:r w:rsidRPr="00816949">
        <w:rPr>
          <w:noProof/>
          <w:lang w:val="en-GB" w:eastAsia="ja-JP"/>
        </w:rPr>
        <w:t>2</w:t>
      </w:r>
      <w:r w:rsidRPr="00816949">
        <w:rPr>
          <w:noProof/>
          <w:lang w:val="en-GB"/>
        </w:rPr>
        <w:t>.1</w:t>
      </w:r>
      <w:r>
        <w:rPr>
          <w:rFonts w:asciiTheme="minorHAnsi" w:eastAsiaTheme="minorEastAsia" w:hAnsiTheme="minorHAnsi" w:cstheme="minorBidi"/>
          <w:noProof/>
          <w:sz w:val="22"/>
          <w:szCs w:val="22"/>
          <w:lang w:eastAsia="zh-CN"/>
        </w:rPr>
        <w:tab/>
      </w:r>
      <w:r w:rsidRPr="00816949">
        <w:rPr>
          <w:noProof/>
          <w:lang w:val="en-GB"/>
        </w:rPr>
        <w:t xml:space="preserve">Passive </w:t>
      </w:r>
      <w:r w:rsidRPr="00320941">
        <w:rPr>
          <w:noProof/>
          <w:lang w:val="en-GB"/>
        </w:rPr>
        <w:t>antennas</w:t>
      </w:r>
      <w:r>
        <w:rPr>
          <w:noProof/>
          <w:lang w:val="en-GB"/>
        </w:rPr>
        <w:tab/>
      </w:r>
      <w:r>
        <w:rPr>
          <w:noProof/>
          <w:lang w:val="en-GB"/>
        </w:rPr>
        <w:tab/>
      </w:r>
      <w:r w:rsidRPr="00320941">
        <w:rPr>
          <w:noProof/>
        </w:rPr>
        <w:t>31</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4.</w:t>
      </w:r>
      <w:r w:rsidRPr="00816949">
        <w:rPr>
          <w:noProof/>
          <w:lang w:val="en-GB" w:eastAsia="ja-JP"/>
        </w:rPr>
        <w:t>2</w:t>
      </w:r>
      <w:r w:rsidRPr="00816949">
        <w:rPr>
          <w:noProof/>
          <w:lang w:val="en-GB"/>
        </w:rPr>
        <w:t>.2</w:t>
      </w:r>
      <w:r>
        <w:rPr>
          <w:rFonts w:asciiTheme="minorHAnsi" w:eastAsiaTheme="minorEastAsia" w:hAnsiTheme="minorHAnsi" w:cstheme="minorBidi"/>
          <w:noProof/>
          <w:sz w:val="22"/>
          <w:szCs w:val="22"/>
          <w:lang w:eastAsia="zh-CN"/>
        </w:rPr>
        <w:tab/>
      </w:r>
      <w:r w:rsidRPr="00816949">
        <w:rPr>
          <w:noProof/>
          <w:lang w:val="en-GB"/>
        </w:rPr>
        <w:t xml:space="preserve">Active </w:t>
      </w:r>
      <w:r w:rsidRPr="00320941">
        <w:rPr>
          <w:noProof/>
          <w:lang w:val="en-GB"/>
        </w:rPr>
        <w:t>antennas</w:t>
      </w:r>
      <w:r>
        <w:rPr>
          <w:noProof/>
          <w:lang w:val="en-GB"/>
        </w:rPr>
        <w:tab/>
      </w:r>
      <w:r>
        <w:rPr>
          <w:noProof/>
          <w:lang w:val="en-GB"/>
        </w:rPr>
        <w:tab/>
      </w:r>
      <w:r w:rsidRPr="00320941">
        <w:rPr>
          <w:noProof/>
        </w:rPr>
        <w:t>33</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4.</w:t>
      </w:r>
      <w:r w:rsidRPr="00816949">
        <w:rPr>
          <w:noProof/>
          <w:lang w:val="en-GB" w:eastAsia="ja-JP"/>
        </w:rPr>
        <w:t>3</w:t>
      </w:r>
      <w:r w:rsidRPr="00816949">
        <w:rPr>
          <w:noProof/>
          <w:lang w:val="en-GB"/>
        </w:rPr>
        <w:t>.3</w:t>
      </w:r>
      <w:r>
        <w:rPr>
          <w:rFonts w:asciiTheme="minorHAnsi" w:eastAsiaTheme="minorEastAsia" w:hAnsiTheme="minorHAnsi" w:cstheme="minorBidi"/>
          <w:noProof/>
          <w:sz w:val="22"/>
          <w:szCs w:val="22"/>
          <w:lang w:eastAsia="zh-CN"/>
        </w:rPr>
        <w:tab/>
      </w:r>
      <w:r w:rsidRPr="00816949">
        <w:rPr>
          <w:noProof/>
          <w:lang w:val="en-GB"/>
        </w:rPr>
        <w:t xml:space="preserve">Further evolutionary </w:t>
      </w:r>
      <w:r w:rsidRPr="00320941">
        <w:rPr>
          <w:noProof/>
          <w:lang w:val="en-GB"/>
        </w:rPr>
        <w:t>scenario</w:t>
      </w:r>
      <w:r>
        <w:rPr>
          <w:noProof/>
          <w:lang w:val="en-GB"/>
        </w:rPr>
        <w:tab/>
      </w:r>
      <w:r>
        <w:rPr>
          <w:noProof/>
          <w:lang w:val="en-GB"/>
        </w:rPr>
        <w:tab/>
      </w:r>
      <w:r w:rsidRPr="00320941">
        <w:rPr>
          <w:noProof/>
        </w:rPr>
        <w:t>34</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4.4</w:t>
      </w:r>
      <w:r>
        <w:rPr>
          <w:rFonts w:asciiTheme="minorHAnsi" w:eastAsiaTheme="minorEastAsia" w:hAnsiTheme="minorHAnsi" w:cstheme="minorBidi"/>
          <w:noProof/>
          <w:sz w:val="22"/>
          <w:szCs w:val="22"/>
          <w:lang w:eastAsia="zh-CN"/>
        </w:rPr>
        <w:tab/>
      </w:r>
      <w:r w:rsidRPr="00816949">
        <w:rPr>
          <w:noProof/>
          <w:lang w:val="en-GB"/>
        </w:rPr>
        <w:t xml:space="preserve">Gigabit millimetre-wave </w:t>
      </w:r>
      <w:r w:rsidRPr="00320941">
        <w:rPr>
          <w:noProof/>
          <w:lang w:val="en-GB"/>
        </w:rPr>
        <w:t>links</w:t>
      </w:r>
      <w:r>
        <w:rPr>
          <w:noProof/>
          <w:lang w:val="en-GB"/>
        </w:rPr>
        <w:tab/>
      </w:r>
      <w:r>
        <w:rPr>
          <w:noProof/>
          <w:lang w:val="en-GB"/>
        </w:rPr>
        <w:tab/>
      </w:r>
      <w:r w:rsidRPr="00320941">
        <w:rPr>
          <w:noProof/>
        </w:rPr>
        <w:t>37</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4.4.1</w:t>
      </w:r>
      <w:r>
        <w:rPr>
          <w:rFonts w:asciiTheme="minorHAnsi" w:eastAsiaTheme="minorEastAsia" w:hAnsiTheme="minorHAnsi" w:cstheme="minorBidi"/>
          <w:noProof/>
          <w:sz w:val="22"/>
          <w:szCs w:val="22"/>
          <w:lang w:eastAsia="zh-CN"/>
        </w:rPr>
        <w:tab/>
      </w:r>
      <w:r w:rsidRPr="00816949">
        <w:rPr>
          <w:noProof/>
          <w:lang w:val="en-GB"/>
        </w:rPr>
        <w:t xml:space="preserve">Capacity increase in millimetre-wave </w:t>
      </w:r>
      <w:r w:rsidRPr="00320941">
        <w:rPr>
          <w:noProof/>
          <w:lang w:val="en-GB"/>
        </w:rPr>
        <w:t>bands</w:t>
      </w:r>
      <w:r>
        <w:rPr>
          <w:noProof/>
          <w:lang w:val="en-GB"/>
        </w:rPr>
        <w:tab/>
      </w:r>
      <w:r>
        <w:rPr>
          <w:noProof/>
          <w:lang w:val="en-GB"/>
        </w:rPr>
        <w:tab/>
      </w:r>
      <w:r w:rsidRPr="00320941">
        <w:rPr>
          <w:noProof/>
        </w:rPr>
        <w:t>37</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4.4.2</w:t>
      </w:r>
      <w:r>
        <w:rPr>
          <w:rFonts w:asciiTheme="minorHAnsi" w:eastAsiaTheme="minorEastAsia" w:hAnsiTheme="minorHAnsi" w:cstheme="minorBidi"/>
          <w:noProof/>
          <w:sz w:val="22"/>
          <w:szCs w:val="22"/>
          <w:lang w:eastAsia="zh-CN"/>
        </w:rPr>
        <w:tab/>
      </w:r>
      <w:r w:rsidRPr="00816949">
        <w:rPr>
          <w:noProof/>
          <w:lang w:val="en-GB"/>
        </w:rPr>
        <w:t xml:space="preserve">Equipment simplification technology for high capacity </w:t>
      </w:r>
      <w:r w:rsidRPr="00320941">
        <w:rPr>
          <w:noProof/>
          <w:lang w:val="en-GB"/>
        </w:rPr>
        <w:t>transmission</w:t>
      </w:r>
      <w:r>
        <w:rPr>
          <w:noProof/>
          <w:lang w:val="en-GB"/>
        </w:rPr>
        <w:tab/>
      </w:r>
      <w:r>
        <w:rPr>
          <w:noProof/>
          <w:lang w:val="en-GB"/>
        </w:rPr>
        <w:tab/>
      </w:r>
      <w:r w:rsidRPr="00320941">
        <w:rPr>
          <w:noProof/>
        </w:rPr>
        <w:t>38</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4.5</w:t>
      </w:r>
      <w:r>
        <w:rPr>
          <w:rFonts w:asciiTheme="minorHAnsi" w:eastAsiaTheme="minorEastAsia" w:hAnsiTheme="minorHAnsi" w:cstheme="minorBidi"/>
          <w:noProof/>
          <w:sz w:val="22"/>
          <w:szCs w:val="22"/>
          <w:lang w:eastAsia="zh-CN"/>
        </w:rPr>
        <w:tab/>
      </w:r>
      <w:r w:rsidRPr="00816949">
        <w:rPr>
          <w:noProof/>
          <w:lang w:val="en-GB"/>
        </w:rPr>
        <w:t xml:space="preserve">Propagation </w:t>
      </w:r>
      <w:r w:rsidRPr="00320941">
        <w:rPr>
          <w:noProof/>
          <w:lang w:val="en-GB"/>
        </w:rPr>
        <w:t>considerations</w:t>
      </w:r>
      <w:r>
        <w:rPr>
          <w:noProof/>
          <w:lang w:val="en-GB"/>
        </w:rPr>
        <w:tab/>
      </w:r>
      <w:r>
        <w:rPr>
          <w:noProof/>
          <w:lang w:val="en-GB"/>
        </w:rPr>
        <w:tab/>
      </w:r>
      <w:r w:rsidRPr="00320941">
        <w:rPr>
          <w:noProof/>
        </w:rPr>
        <w:t>38</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rPr>
        <w:t>4.6</w:t>
      </w:r>
      <w:r>
        <w:rPr>
          <w:rFonts w:asciiTheme="minorHAnsi" w:eastAsiaTheme="minorEastAsia" w:hAnsiTheme="minorHAnsi" w:cstheme="minorBidi"/>
          <w:noProof/>
          <w:sz w:val="22"/>
          <w:szCs w:val="22"/>
          <w:lang w:eastAsia="zh-CN"/>
        </w:rPr>
        <w:tab/>
      </w:r>
      <w:r w:rsidRPr="00816949">
        <w:rPr>
          <w:noProof/>
          <w:lang w:val="en-GB"/>
        </w:rPr>
        <w:t xml:space="preserve">Future </w:t>
      </w:r>
      <w:r w:rsidRPr="00320941">
        <w:rPr>
          <w:noProof/>
          <w:lang w:val="en-GB"/>
        </w:rPr>
        <w:t>technologies</w:t>
      </w:r>
      <w:r>
        <w:rPr>
          <w:noProof/>
          <w:lang w:val="en-GB"/>
        </w:rPr>
        <w:tab/>
      </w:r>
      <w:r>
        <w:rPr>
          <w:noProof/>
          <w:lang w:val="en-GB"/>
        </w:rPr>
        <w:tab/>
      </w:r>
      <w:r w:rsidRPr="00320941">
        <w:rPr>
          <w:noProof/>
        </w:rPr>
        <w:t>40</w:t>
      </w:r>
    </w:p>
    <w:p w:rsidR="00320941" w:rsidRDefault="00320941" w:rsidP="00320941">
      <w:pPr>
        <w:pStyle w:val="TOC1"/>
        <w:ind w:right="992"/>
        <w:rPr>
          <w:rFonts w:asciiTheme="minorHAnsi" w:eastAsiaTheme="minorEastAsia" w:hAnsiTheme="minorHAnsi" w:cstheme="minorBidi"/>
          <w:noProof/>
          <w:sz w:val="22"/>
          <w:szCs w:val="22"/>
          <w:lang w:eastAsia="zh-CN"/>
        </w:rPr>
      </w:pPr>
      <w:r w:rsidRPr="00816949">
        <w:rPr>
          <w:noProof/>
          <w:lang w:val="en-GB" w:eastAsia="ja-JP"/>
        </w:rPr>
        <w:t>5</w:t>
      </w:r>
      <w:r>
        <w:rPr>
          <w:rFonts w:asciiTheme="minorHAnsi" w:eastAsiaTheme="minorEastAsia" w:hAnsiTheme="minorHAnsi" w:cstheme="minorBidi"/>
          <w:noProof/>
          <w:sz w:val="22"/>
          <w:szCs w:val="22"/>
          <w:lang w:eastAsia="zh-CN"/>
        </w:rPr>
        <w:tab/>
      </w:r>
      <w:r w:rsidRPr="00816949">
        <w:rPr>
          <w:noProof/>
          <w:lang w:val="en-GB" w:eastAsia="ja-JP"/>
        </w:rPr>
        <w:t xml:space="preserve">Spectrum aspects and </w:t>
      </w:r>
      <w:r w:rsidRPr="00320941">
        <w:rPr>
          <w:noProof/>
          <w:lang w:val="en-GB" w:eastAsia="ja-JP"/>
        </w:rPr>
        <w:t>requirements</w:t>
      </w:r>
      <w:r>
        <w:rPr>
          <w:noProof/>
          <w:lang w:val="en-GB" w:eastAsia="ja-JP"/>
        </w:rPr>
        <w:tab/>
      </w:r>
      <w:r>
        <w:rPr>
          <w:noProof/>
          <w:lang w:val="en-GB" w:eastAsia="ja-JP"/>
        </w:rPr>
        <w:tab/>
      </w:r>
      <w:r w:rsidRPr="00320941">
        <w:rPr>
          <w:noProof/>
        </w:rPr>
        <w:t>42</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eastAsia="ja-JP"/>
        </w:rPr>
        <w:t>5.1</w:t>
      </w:r>
      <w:r>
        <w:rPr>
          <w:rFonts w:asciiTheme="minorHAnsi" w:eastAsiaTheme="minorEastAsia" w:hAnsiTheme="minorHAnsi" w:cstheme="minorBidi"/>
          <w:noProof/>
          <w:sz w:val="22"/>
          <w:szCs w:val="22"/>
          <w:lang w:eastAsia="zh-CN"/>
        </w:rPr>
        <w:tab/>
      </w:r>
      <w:r w:rsidRPr="00816949">
        <w:rPr>
          <w:noProof/>
          <w:lang w:val="en-GB" w:eastAsia="ja-JP"/>
        </w:rPr>
        <w:t xml:space="preserve">Evolving deployment </w:t>
      </w:r>
      <w:r w:rsidRPr="00320941">
        <w:rPr>
          <w:noProof/>
          <w:lang w:val="en-GB" w:eastAsia="ja-JP"/>
        </w:rPr>
        <w:t>scenarios</w:t>
      </w:r>
      <w:r>
        <w:rPr>
          <w:noProof/>
          <w:lang w:val="en-GB" w:eastAsia="ja-JP"/>
        </w:rPr>
        <w:tab/>
      </w:r>
      <w:r>
        <w:rPr>
          <w:noProof/>
          <w:lang w:val="en-GB" w:eastAsia="ja-JP"/>
        </w:rPr>
        <w:tab/>
      </w:r>
      <w:r w:rsidRPr="00320941">
        <w:rPr>
          <w:noProof/>
        </w:rPr>
        <w:t>42</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eastAsia="ja-JP"/>
        </w:rPr>
        <w:t>5.1.1</w:t>
      </w:r>
      <w:r>
        <w:rPr>
          <w:rFonts w:asciiTheme="minorHAnsi" w:eastAsiaTheme="minorEastAsia" w:hAnsiTheme="minorHAnsi" w:cstheme="minorBidi"/>
          <w:noProof/>
          <w:sz w:val="22"/>
          <w:szCs w:val="22"/>
          <w:lang w:eastAsia="zh-CN"/>
        </w:rPr>
        <w:tab/>
      </w:r>
      <w:r w:rsidRPr="00816949">
        <w:rPr>
          <w:noProof/>
          <w:lang w:val="en-GB" w:eastAsia="ja-JP"/>
        </w:rPr>
        <w:t xml:space="preserve">Small Cell </w:t>
      </w:r>
      <w:r w:rsidRPr="00320941">
        <w:rPr>
          <w:noProof/>
          <w:lang w:val="en-GB" w:eastAsia="ja-JP"/>
        </w:rPr>
        <w:t>backhauling</w:t>
      </w:r>
      <w:r>
        <w:rPr>
          <w:noProof/>
          <w:lang w:val="en-GB" w:eastAsia="ja-JP"/>
        </w:rPr>
        <w:tab/>
      </w:r>
      <w:r>
        <w:rPr>
          <w:noProof/>
          <w:lang w:val="en-GB" w:eastAsia="ja-JP"/>
        </w:rPr>
        <w:tab/>
      </w:r>
      <w:r w:rsidRPr="00320941">
        <w:rPr>
          <w:noProof/>
        </w:rPr>
        <w:t>42</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5.1.2</w:t>
      </w:r>
      <w:r>
        <w:rPr>
          <w:rFonts w:asciiTheme="minorHAnsi" w:eastAsiaTheme="minorEastAsia" w:hAnsiTheme="minorHAnsi" w:cstheme="minorBidi"/>
          <w:noProof/>
          <w:sz w:val="22"/>
          <w:szCs w:val="22"/>
          <w:lang w:eastAsia="zh-CN"/>
        </w:rPr>
        <w:tab/>
      </w:r>
      <w:r w:rsidRPr="00816949">
        <w:rPr>
          <w:noProof/>
          <w:lang w:val="en-GB"/>
        </w:rPr>
        <w:t xml:space="preserve">Urban links </w:t>
      </w:r>
      <w:r w:rsidRPr="00320941">
        <w:rPr>
          <w:noProof/>
          <w:lang w:val="en-GB"/>
        </w:rPr>
        <w:t>scenarios</w:t>
      </w:r>
      <w:r>
        <w:rPr>
          <w:noProof/>
          <w:lang w:val="en-GB"/>
        </w:rPr>
        <w:tab/>
      </w:r>
      <w:r>
        <w:rPr>
          <w:noProof/>
          <w:lang w:val="en-GB"/>
        </w:rPr>
        <w:tab/>
      </w:r>
      <w:r w:rsidRPr="00320941">
        <w:rPr>
          <w:noProof/>
        </w:rPr>
        <w:t>43</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5.1.3</w:t>
      </w:r>
      <w:r>
        <w:rPr>
          <w:rFonts w:asciiTheme="minorHAnsi" w:eastAsiaTheme="minorEastAsia" w:hAnsiTheme="minorHAnsi" w:cstheme="minorBidi"/>
          <w:noProof/>
          <w:sz w:val="22"/>
          <w:szCs w:val="22"/>
          <w:lang w:eastAsia="zh-CN"/>
        </w:rPr>
        <w:tab/>
      </w:r>
      <w:r w:rsidRPr="00816949">
        <w:rPr>
          <w:noProof/>
          <w:lang w:val="en-GB"/>
        </w:rPr>
        <w:t>Machine to Machine (M2M)</w:t>
      </w:r>
      <w:r>
        <w:rPr>
          <w:noProof/>
          <w:lang w:val="en-GB"/>
        </w:rPr>
        <w:tab/>
      </w:r>
      <w:r>
        <w:rPr>
          <w:noProof/>
          <w:lang w:val="en-GB"/>
        </w:rPr>
        <w:tab/>
      </w:r>
      <w:r>
        <w:rPr>
          <w:noProof/>
        </w:rPr>
        <w:t>43</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5.1.4</w:t>
      </w:r>
      <w:r>
        <w:rPr>
          <w:rFonts w:asciiTheme="minorHAnsi" w:eastAsiaTheme="minorEastAsia" w:hAnsiTheme="minorHAnsi" w:cstheme="minorBidi"/>
          <w:noProof/>
          <w:sz w:val="22"/>
          <w:szCs w:val="22"/>
          <w:lang w:eastAsia="zh-CN"/>
        </w:rPr>
        <w:tab/>
      </w:r>
      <w:r w:rsidRPr="00816949">
        <w:rPr>
          <w:noProof/>
          <w:lang w:val="en-GB"/>
        </w:rPr>
        <w:t xml:space="preserve">Physical </w:t>
      </w:r>
      <w:r w:rsidRPr="00320941">
        <w:rPr>
          <w:noProof/>
          <w:lang w:val="en-GB"/>
        </w:rPr>
        <w:t>diversity</w:t>
      </w:r>
      <w:r>
        <w:rPr>
          <w:noProof/>
          <w:lang w:val="en-GB"/>
        </w:rPr>
        <w:tab/>
      </w:r>
      <w:r>
        <w:rPr>
          <w:noProof/>
          <w:lang w:val="en-GB"/>
        </w:rPr>
        <w:tab/>
      </w:r>
      <w:r w:rsidRPr="00320941">
        <w:rPr>
          <w:noProof/>
        </w:rPr>
        <w:t>43</w:t>
      </w:r>
    </w:p>
    <w:p w:rsidR="00320941" w:rsidRDefault="00320941" w:rsidP="00320941">
      <w:pPr>
        <w:pStyle w:val="TOC3"/>
        <w:ind w:right="992"/>
        <w:rPr>
          <w:rFonts w:asciiTheme="minorHAnsi" w:eastAsiaTheme="minorEastAsia" w:hAnsiTheme="minorHAnsi" w:cstheme="minorBidi"/>
          <w:noProof/>
          <w:sz w:val="22"/>
          <w:szCs w:val="22"/>
          <w:lang w:eastAsia="zh-CN"/>
        </w:rPr>
      </w:pPr>
      <w:r w:rsidRPr="00816949">
        <w:rPr>
          <w:noProof/>
          <w:lang w:val="en-GB"/>
        </w:rPr>
        <w:t>5.1.5</w:t>
      </w:r>
      <w:r>
        <w:rPr>
          <w:rFonts w:asciiTheme="minorHAnsi" w:eastAsiaTheme="minorEastAsia" w:hAnsiTheme="minorHAnsi" w:cstheme="minorBidi"/>
          <w:noProof/>
          <w:sz w:val="22"/>
          <w:szCs w:val="22"/>
          <w:lang w:eastAsia="zh-CN"/>
        </w:rPr>
        <w:tab/>
      </w:r>
      <w:r w:rsidRPr="00816949">
        <w:rPr>
          <w:noProof/>
          <w:lang w:val="en-GB"/>
        </w:rPr>
        <w:t xml:space="preserve">Long haul </w:t>
      </w:r>
      <w:r w:rsidRPr="00320941">
        <w:rPr>
          <w:noProof/>
          <w:lang w:val="en-GB"/>
        </w:rPr>
        <w:t>broadband</w:t>
      </w:r>
      <w:r>
        <w:rPr>
          <w:noProof/>
          <w:lang w:val="en-GB"/>
        </w:rPr>
        <w:tab/>
      </w:r>
      <w:r>
        <w:rPr>
          <w:noProof/>
          <w:lang w:val="en-GB"/>
        </w:rPr>
        <w:tab/>
      </w:r>
      <w:r w:rsidRPr="00320941">
        <w:rPr>
          <w:noProof/>
        </w:rPr>
        <w:t>43</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eastAsia="ja-JP"/>
        </w:rPr>
        <w:t>5.2</w:t>
      </w:r>
      <w:r>
        <w:rPr>
          <w:rFonts w:asciiTheme="minorHAnsi" w:eastAsiaTheme="minorEastAsia" w:hAnsiTheme="minorHAnsi" w:cstheme="minorBidi"/>
          <w:noProof/>
          <w:sz w:val="22"/>
          <w:szCs w:val="22"/>
          <w:lang w:eastAsia="zh-CN"/>
        </w:rPr>
        <w:tab/>
      </w:r>
      <w:r w:rsidRPr="00816949">
        <w:rPr>
          <w:noProof/>
          <w:lang w:val="en-GB" w:eastAsia="ja-JP"/>
        </w:rPr>
        <w:t xml:space="preserve">Capacity and spectrum </w:t>
      </w:r>
      <w:r w:rsidRPr="00320941">
        <w:rPr>
          <w:noProof/>
          <w:lang w:val="en-GB" w:eastAsia="ja-JP"/>
        </w:rPr>
        <w:t>requirements</w:t>
      </w:r>
      <w:r>
        <w:rPr>
          <w:noProof/>
          <w:lang w:val="en-GB" w:eastAsia="ja-JP"/>
        </w:rPr>
        <w:tab/>
      </w:r>
      <w:r>
        <w:rPr>
          <w:noProof/>
          <w:lang w:val="en-GB" w:eastAsia="ja-JP"/>
        </w:rPr>
        <w:tab/>
      </w:r>
      <w:r w:rsidRPr="00320941">
        <w:rPr>
          <w:noProof/>
        </w:rPr>
        <w:t>43</w:t>
      </w:r>
    </w:p>
    <w:p w:rsidR="00320941" w:rsidRDefault="00320941" w:rsidP="00320941">
      <w:pPr>
        <w:pStyle w:val="TOC2"/>
        <w:ind w:right="992"/>
        <w:rPr>
          <w:rFonts w:asciiTheme="minorHAnsi" w:eastAsiaTheme="minorEastAsia" w:hAnsiTheme="minorHAnsi" w:cstheme="minorBidi"/>
          <w:noProof/>
          <w:sz w:val="22"/>
          <w:szCs w:val="22"/>
          <w:lang w:eastAsia="zh-CN"/>
        </w:rPr>
      </w:pPr>
      <w:r w:rsidRPr="00816949">
        <w:rPr>
          <w:noProof/>
          <w:lang w:val="en-GB" w:eastAsia="ja-JP"/>
        </w:rPr>
        <w:t>5.3</w:t>
      </w:r>
      <w:r>
        <w:rPr>
          <w:rFonts w:asciiTheme="minorHAnsi" w:eastAsiaTheme="minorEastAsia" w:hAnsiTheme="minorHAnsi" w:cstheme="minorBidi"/>
          <w:noProof/>
          <w:sz w:val="22"/>
          <w:szCs w:val="22"/>
          <w:lang w:eastAsia="zh-CN"/>
        </w:rPr>
        <w:tab/>
      </w:r>
      <w:r w:rsidRPr="00816949">
        <w:rPr>
          <w:noProof/>
          <w:lang w:val="en-GB" w:eastAsia="ja-JP"/>
        </w:rPr>
        <w:t xml:space="preserve">Spectrum assignment and economical impact on small cells FS </w:t>
      </w:r>
      <w:r w:rsidRPr="00320941">
        <w:rPr>
          <w:noProof/>
          <w:lang w:val="en-GB" w:eastAsia="ja-JP"/>
        </w:rPr>
        <w:t>backhauling</w:t>
      </w:r>
      <w:r>
        <w:rPr>
          <w:noProof/>
          <w:lang w:val="en-GB" w:eastAsia="ja-JP"/>
        </w:rPr>
        <w:tab/>
      </w:r>
      <w:r>
        <w:rPr>
          <w:noProof/>
          <w:lang w:val="en-GB" w:eastAsia="ja-JP"/>
        </w:rPr>
        <w:tab/>
      </w:r>
      <w:r w:rsidRPr="00320941">
        <w:rPr>
          <w:noProof/>
        </w:rPr>
        <w:t>44</w:t>
      </w:r>
    </w:p>
    <w:p w:rsidR="00320941" w:rsidRDefault="00320941" w:rsidP="00320941">
      <w:pPr>
        <w:pStyle w:val="TOC1"/>
        <w:ind w:right="992"/>
        <w:rPr>
          <w:rFonts w:asciiTheme="minorHAnsi" w:eastAsiaTheme="minorEastAsia" w:hAnsiTheme="minorHAnsi" w:cstheme="minorBidi"/>
          <w:noProof/>
          <w:sz w:val="22"/>
          <w:szCs w:val="22"/>
          <w:lang w:eastAsia="zh-CN"/>
        </w:rPr>
      </w:pPr>
      <w:r w:rsidRPr="00816949">
        <w:rPr>
          <w:noProof/>
          <w:lang w:val="en-GB" w:eastAsia="ja-JP"/>
        </w:rPr>
        <w:t>6</w:t>
      </w:r>
      <w:r>
        <w:rPr>
          <w:rFonts w:asciiTheme="minorHAnsi" w:eastAsiaTheme="minorEastAsia" w:hAnsiTheme="minorHAnsi" w:cstheme="minorBidi"/>
          <w:noProof/>
          <w:sz w:val="22"/>
          <w:szCs w:val="22"/>
          <w:lang w:eastAsia="zh-CN"/>
        </w:rPr>
        <w:tab/>
      </w:r>
      <w:r w:rsidRPr="00816949">
        <w:rPr>
          <w:noProof/>
          <w:lang w:val="en-GB" w:eastAsia="ja-JP"/>
        </w:rPr>
        <w:t xml:space="preserve">Future subjects for the development of FWS </w:t>
      </w:r>
      <w:r w:rsidRPr="00320941">
        <w:rPr>
          <w:noProof/>
          <w:lang w:val="en-GB" w:eastAsia="ja-JP"/>
        </w:rPr>
        <w:t>applications</w:t>
      </w:r>
      <w:r>
        <w:rPr>
          <w:noProof/>
          <w:lang w:val="en-GB" w:eastAsia="ja-JP"/>
        </w:rPr>
        <w:tab/>
      </w:r>
      <w:r>
        <w:rPr>
          <w:noProof/>
          <w:lang w:val="en-GB" w:eastAsia="ja-JP"/>
        </w:rPr>
        <w:tab/>
      </w:r>
      <w:r w:rsidRPr="00320941">
        <w:rPr>
          <w:noProof/>
        </w:rPr>
        <w:t>44</w:t>
      </w:r>
    </w:p>
    <w:p w:rsidR="00320941" w:rsidRPr="00320941" w:rsidRDefault="00320941" w:rsidP="00320941">
      <w:pPr>
        <w:pStyle w:val="TOC2"/>
        <w:ind w:right="992"/>
        <w:rPr>
          <w:rFonts w:asciiTheme="minorHAnsi" w:eastAsiaTheme="minorEastAsia" w:hAnsiTheme="minorHAnsi" w:cstheme="minorBidi"/>
          <w:noProof/>
          <w:sz w:val="22"/>
          <w:szCs w:val="22"/>
          <w:lang w:val="fr-CH" w:eastAsia="zh-CN"/>
        </w:rPr>
      </w:pPr>
      <w:r w:rsidRPr="00320941">
        <w:rPr>
          <w:noProof/>
          <w:lang w:val="fr-CH" w:eastAsia="ja-JP"/>
        </w:rPr>
        <w:t>6.1</w:t>
      </w:r>
      <w:r w:rsidRPr="00320941">
        <w:rPr>
          <w:rFonts w:asciiTheme="minorHAnsi" w:eastAsiaTheme="minorEastAsia" w:hAnsiTheme="minorHAnsi" w:cstheme="minorBidi"/>
          <w:noProof/>
          <w:sz w:val="22"/>
          <w:szCs w:val="22"/>
          <w:lang w:val="fr-CH" w:eastAsia="zh-CN"/>
        </w:rPr>
        <w:tab/>
      </w:r>
      <w:r w:rsidRPr="00320941">
        <w:rPr>
          <w:noProof/>
          <w:lang w:val="fr-CH" w:eastAsia="ja-JP"/>
        </w:rPr>
        <w:t>Applications</w:t>
      </w:r>
      <w:r w:rsidRPr="00320941">
        <w:rPr>
          <w:noProof/>
          <w:lang w:val="fr-CH" w:eastAsia="ja-JP"/>
        </w:rPr>
        <w:tab/>
      </w:r>
      <w:r w:rsidRPr="00320941">
        <w:rPr>
          <w:noProof/>
          <w:lang w:val="fr-CH" w:eastAsia="ja-JP"/>
        </w:rPr>
        <w:tab/>
      </w:r>
      <w:r w:rsidRPr="00320941">
        <w:rPr>
          <w:noProof/>
          <w:lang w:val="fr-CH"/>
        </w:rPr>
        <w:t>44</w:t>
      </w:r>
    </w:p>
    <w:p w:rsidR="00320941" w:rsidRPr="00320941" w:rsidRDefault="00320941" w:rsidP="00320941">
      <w:pPr>
        <w:pStyle w:val="TOC2"/>
        <w:ind w:right="992"/>
        <w:rPr>
          <w:rFonts w:asciiTheme="minorHAnsi" w:eastAsiaTheme="minorEastAsia" w:hAnsiTheme="minorHAnsi" w:cstheme="minorBidi"/>
          <w:noProof/>
          <w:sz w:val="22"/>
          <w:szCs w:val="22"/>
          <w:lang w:val="fr-CH" w:eastAsia="zh-CN"/>
        </w:rPr>
      </w:pPr>
      <w:r w:rsidRPr="00320941">
        <w:rPr>
          <w:noProof/>
          <w:lang w:val="fr-CH" w:eastAsia="ja-JP"/>
        </w:rPr>
        <w:t>6.2</w:t>
      </w:r>
      <w:r w:rsidRPr="00320941">
        <w:rPr>
          <w:rFonts w:asciiTheme="minorHAnsi" w:eastAsiaTheme="minorEastAsia" w:hAnsiTheme="minorHAnsi" w:cstheme="minorBidi"/>
          <w:noProof/>
          <w:sz w:val="22"/>
          <w:szCs w:val="22"/>
          <w:lang w:val="fr-CH" w:eastAsia="zh-CN"/>
        </w:rPr>
        <w:tab/>
      </w:r>
      <w:r w:rsidRPr="00320941">
        <w:rPr>
          <w:noProof/>
          <w:lang w:val="fr-CH" w:eastAsia="ja-JP"/>
        </w:rPr>
        <w:t>Band usage</w:t>
      </w:r>
      <w:r w:rsidRPr="00320941">
        <w:rPr>
          <w:noProof/>
          <w:lang w:val="fr-CH" w:eastAsia="ja-JP"/>
        </w:rPr>
        <w:tab/>
      </w:r>
      <w:r w:rsidRPr="00320941">
        <w:rPr>
          <w:noProof/>
          <w:lang w:val="fr-CH" w:eastAsia="ja-JP"/>
        </w:rPr>
        <w:tab/>
      </w:r>
      <w:r w:rsidRPr="00320941">
        <w:rPr>
          <w:noProof/>
          <w:lang w:val="fr-CH"/>
        </w:rPr>
        <w:t>45</w:t>
      </w:r>
    </w:p>
    <w:p w:rsidR="00320941" w:rsidRPr="00320941" w:rsidRDefault="00320941" w:rsidP="00320941">
      <w:pPr>
        <w:pStyle w:val="TOC2"/>
        <w:ind w:right="992"/>
        <w:rPr>
          <w:rFonts w:asciiTheme="minorHAnsi" w:eastAsiaTheme="minorEastAsia" w:hAnsiTheme="minorHAnsi" w:cstheme="minorBidi"/>
          <w:noProof/>
          <w:sz w:val="22"/>
          <w:szCs w:val="22"/>
          <w:lang w:val="fr-CH" w:eastAsia="zh-CN"/>
        </w:rPr>
      </w:pPr>
      <w:r w:rsidRPr="00320941">
        <w:rPr>
          <w:noProof/>
          <w:lang w:val="fr-CH" w:eastAsia="ja-JP"/>
        </w:rPr>
        <w:t>6.3</w:t>
      </w:r>
      <w:r w:rsidRPr="00320941">
        <w:rPr>
          <w:rFonts w:asciiTheme="minorHAnsi" w:eastAsiaTheme="minorEastAsia" w:hAnsiTheme="minorHAnsi" w:cstheme="minorBidi"/>
          <w:noProof/>
          <w:sz w:val="22"/>
          <w:szCs w:val="22"/>
          <w:lang w:val="fr-CH" w:eastAsia="zh-CN"/>
        </w:rPr>
        <w:tab/>
      </w:r>
      <w:r w:rsidRPr="00320941">
        <w:rPr>
          <w:noProof/>
          <w:lang w:val="fr-CH" w:eastAsia="ja-JP"/>
        </w:rPr>
        <w:t>Technologies</w:t>
      </w:r>
      <w:r w:rsidRPr="00320941">
        <w:rPr>
          <w:noProof/>
          <w:lang w:val="fr-CH" w:eastAsia="ja-JP"/>
        </w:rPr>
        <w:tab/>
      </w:r>
      <w:r w:rsidRPr="00320941">
        <w:rPr>
          <w:noProof/>
          <w:lang w:val="fr-CH" w:eastAsia="ja-JP"/>
        </w:rPr>
        <w:tab/>
      </w:r>
      <w:r w:rsidRPr="00320941">
        <w:rPr>
          <w:noProof/>
          <w:lang w:val="fr-CH"/>
        </w:rPr>
        <w:t>45</w:t>
      </w:r>
    </w:p>
    <w:p w:rsidR="00320941" w:rsidRPr="00320941" w:rsidRDefault="00320941" w:rsidP="00320941">
      <w:pPr>
        <w:pStyle w:val="TOC1"/>
        <w:ind w:right="992"/>
        <w:rPr>
          <w:rFonts w:asciiTheme="minorHAnsi" w:eastAsiaTheme="minorEastAsia" w:hAnsiTheme="minorHAnsi" w:cstheme="minorBidi"/>
          <w:noProof/>
          <w:sz w:val="22"/>
          <w:szCs w:val="22"/>
          <w:lang w:val="fr-CH" w:eastAsia="zh-CN"/>
        </w:rPr>
      </w:pPr>
      <w:r w:rsidRPr="00320941">
        <w:rPr>
          <w:noProof/>
          <w:lang w:val="fr-CH" w:eastAsia="ja-JP"/>
        </w:rPr>
        <w:t>7</w:t>
      </w:r>
      <w:r w:rsidRPr="00320941">
        <w:rPr>
          <w:rFonts w:asciiTheme="minorHAnsi" w:eastAsiaTheme="minorEastAsia" w:hAnsiTheme="minorHAnsi" w:cstheme="minorBidi"/>
          <w:noProof/>
          <w:sz w:val="22"/>
          <w:szCs w:val="22"/>
          <w:lang w:val="fr-CH" w:eastAsia="zh-CN"/>
        </w:rPr>
        <w:tab/>
      </w:r>
      <w:r w:rsidRPr="00320941">
        <w:rPr>
          <w:noProof/>
          <w:lang w:val="fr-CH" w:eastAsia="ja-JP"/>
        </w:rPr>
        <w:t>Conclusions</w:t>
      </w:r>
      <w:r w:rsidRPr="00320941">
        <w:rPr>
          <w:noProof/>
          <w:lang w:val="fr-CH" w:eastAsia="ja-JP"/>
        </w:rPr>
        <w:tab/>
      </w:r>
      <w:r w:rsidRPr="00320941">
        <w:rPr>
          <w:noProof/>
          <w:lang w:val="fr-CH" w:eastAsia="ja-JP"/>
        </w:rPr>
        <w:tab/>
      </w:r>
      <w:r w:rsidRPr="00320941">
        <w:rPr>
          <w:noProof/>
          <w:lang w:val="fr-CH"/>
        </w:rPr>
        <w:t>46</w:t>
      </w:r>
    </w:p>
    <w:p w:rsidR="00320941" w:rsidRDefault="00320941" w:rsidP="00320941">
      <w:pPr>
        <w:pStyle w:val="toc0"/>
        <w:keepNext/>
        <w:keepLines/>
        <w:rPr>
          <w:noProof/>
          <w:lang w:val="en-GB"/>
        </w:rPr>
      </w:pPr>
      <w:r w:rsidRPr="00A06BE6">
        <w:rPr>
          <w:noProof/>
          <w:lang w:val="fr-CH"/>
        </w:rPr>
        <w:lastRenderedPageBreak/>
        <w:tab/>
      </w:r>
      <w:r>
        <w:rPr>
          <w:noProof/>
          <w:lang w:val="en-GB"/>
        </w:rPr>
        <w:t>Page</w:t>
      </w:r>
    </w:p>
    <w:p w:rsidR="00320941" w:rsidRDefault="00320941" w:rsidP="00320941">
      <w:pPr>
        <w:pStyle w:val="TOC1"/>
        <w:keepNext/>
        <w:ind w:right="992"/>
        <w:rPr>
          <w:rFonts w:asciiTheme="minorHAnsi" w:eastAsiaTheme="minorEastAsia" w:hAnsiTheme="minorHAnsi" w:cstheme="minorBidi"/>
          <w:noProof/>
          <w:sz w:val="22"/>
          <w:szCs w:val="22"/>
          <w:lang w:eastAsia="zh-CN"/>
        </w:rPr>
      </w:pPr>
      <w:r>
        <w:rPr>
          <w:noProof/>
          <w:lang w:val="en-GB"/>
        </w:rPr>
        <w:t xml:space="preserve">Annex 1 – </w:t>
      </w:r>
      <w:r w:rsidRPr="00816949">
        <w:rPr>
          <w:noProof/>
          <w:lang w:val="en-GB" w:eastAsia="ja-JP"/>
        </w:rPr>
        <w:t>Applications making use</w:t>
      </w:r>
      <w:r w:rsidRPr="00816949">
        <w:rPr>
          <w:noProof/>
          <w:lang w:val="en-GB"/>
        </w:rPr>
        <w:t xml:space="preserve"> of FWA </w:t>
      </w:r>
      <w:r w:rsidRPr="00320941">
        <w:rPr>
          <w:noProof/>
          <w:lang w:val="en-GB" w:eastAsia="ja-JP"/>
        </w:rPr>
        <w:t>technology</w:t>
      </w:r>
      <w:r>
        <w:rPr>
          <w:noProof/>
          <w:lang w:val="en-GB" w:eastAsia="ja-JP"/>
        </w:rPr>
        <w:tab/>
      </w:r>
      <w:r>
        <w:rPr>
          <w:noProof/>
          <w:lang w:val="en-GB" w:eastAsia="ja-JP"/>
        </w:rPr>
        <w:tab/>
      </w:r>
      <w:r w:rsidRPr="00320941">
        <w:rPr>
          <w:noProof/>
        </w:rPr>
        <w:t>46</w:t>
      </w:r>
    </w:p>
    <w:p w:rsidR="00320941" w:rsidRDefault="00320941" w:rsidP="00320941">
      <w:pPr>
        <w:pStyle w:val="TOC1"/>
        <w:keepNext/>
        <w:ind w:right="992"/>
        <w:rPr>
          <w:rFonts w:asciiTheme="minorHAnsi" w:eastAsiaTheme="minorEastAsia" w:hAnsiTheme="minorHAnsi" w:cstheme="minorBidi"/>
          <w:noProof/>
          <w:sz w:val="22"/>
          <w:szCs w:val="22"/>
          <w:lang w:eastAsia="zh-CN"/>
        </w:rPr>
      </w:pPr>
      <w:r w:rsidRPr="00816949">
        <w:rPr>
          <w:noProof/>
          <w:lang w:val="en-GB"/>
        </w:rPr>
        <w:t xml:space="preserve">Annex </w:t>
      </w:r>
      <w:r w:rsidRPr="00816949">
        <w:rPr>
          <w:noProof/>
          <w:lang w:val="en-GB" w:eastAsia="ja-JP"/>
        </w:rPr>
        <w:t xml:space="preserve">2 </w:t>
      </w:r>
      <w:r>
        <w:rPr>
          <w:noProof/>
          <w:lang w:val="en-GB" w:eastAsia="ja-JP"/>
        </w:rPr>
        <w:t>–</w:t>
      </w:r>
      <w:r w:rsidRPr="00816949">
        <w:rPr>
          <w:noProof/>
          <w:lang w:val="en-GB" w:eastAsia="ja-JP"/>
        </w:rPr>
        <w:t xml:space="preserve"> Example System using the IR technology described in section 4.4.</w:t>
      </w:r>
      <w:r w:rsidRPr="00320941">
        <w:rPr>
          <w:noProof/>
          <w:lang w:val="en-GB" w:eastAsia="ja-JP"/>
        </w:rPr>
        <w:t>2</w:t>
      </w:r>
      <w:r>
        <w:rPr>
          <w:noProof/>
          <w:lang w:val="en-GB" w:eastAsia="ja-JP"/>
        </w:rPr>
        <w:tab/>
      </w:r>
      <w:r>
        <w:rPr>
          <w:noProof/>
          <w:lang w:val="en-GB" w:eastAsia="ja-JP"/>
        </w:rPr>
        <w:tab/>
      </w:r>
      <w:r w:rsidRPr="00320941">
        <w:rPr>
          <w:noProof/>
        </w:rPr>
        <w:t>52</w:t>
      </w:r>
    </w:p>
    <w:p w:rsidR="00320941" w:rsidRDefault="00320941" w:rsidP="00320941">
      <w:pPr>
        <w:pStyle w:val="TOC1"/>
        <w:ind w:right="992"/>
        <w:rPr>
          <w:rFonts w:asciiTheme="minorHAnsi" w:eastAsiaTheme="minorEastAsia" w:hAnsiTheme="minorHAnsi" w:cstheme="minorBidi"/>
          <w:noProof/>
          <w:sz w:val="22"/>
          <w:szCs w:val="22"/>
          <w:lang w:eastAsia="zh-CN"/>
        </w:rPr>
      </w:pPr>
      <w:r w:rsidRPr="00816949">
        <w:rPr>
          <w:noProof/>
          <w:lang w:val="en-GB"/>
        </w:rPr>
        <w:t xml:space="preserve">Annex </w:t>
      </w:r>
      <w:r w:rsidRPr="00816949">
        <w:rPr>
          <w:noProof/>
          <w:lang w:val="en-GB" w:eastAsia="ja-JP"/>
        </w:rPr>
        <w:t xml:space="preserve">3 </w:t>
      </w:r>
      <w:r>
        <w:rPr>
          <w:noProof/>
          <w:lang w:val="en-GB" w:eastAsia="ja-JP"/>
        </w:rPr>
        <w:t>–</w:t>
      </w:r>
      <w:r w:rsidRPr="00816949">
        <w:rPr>
          <w:noProof/>
          <w:lang w:val="en-GB" w:eastAsia="ja-JP"/>
        </w:rPr>
        <w:t xml:space="preserve"> Example of Field-Tr</w:t>
      </w:r>
      <w:r w:rsidR="00115540">
        <w:rPr>
          <w:noProof/>
          <w:lang w:val="en-GB" w:eastAsia="ja-JP"/>
        </w:rPr>
        <w:t>ial on 18 GHz System using MIMO</w:t>
      </w:r>
      <w:r w:rsidRPr="00816949">
        <w:rPr>
          <w:noProof/>
          <w:lang w:val="en-GB" w:eastAsia="ja-JP"/>
        </w:rPr>
        <w:t xml:space="preserve"> (</w:t>
      </w:r>
      <w:r w:rsidRPr="00816949">
        <w:rPr>
          <w:noProof/>
          <w:lang w:val="en-GB"/>
        </w:rPr>
        <w:t>Spatial</w:t>
      </w:r>
      <w:r w:rsidRPr="00816949">
        <w:rPr>
          <w:noProof/>
          <w:lang w:val="en-GB" w:eastAsia="ja-JP"/>
        </w:rPr>
        <w:t xml:space="preserve"> Frequency Reuse) described in section 4.3.</w:t>
      </w:r>
      <w:r w:rsidRPr="00320941">
        <w:rPr>
          <w:noProof/>
          <w:lang w:val="en-GB" w:eastAsia="ja-JP"/>
        </w:rPr>
        <w:t>3</w:t>
      </w:r>
      <w:r>
        <w:rPr>
          <w:noProof/>
          <w:lang w:val="en-GB" w:eastAsia="ja-JP"/>
        </w:rPr>
        <w:tab/>
      </w:r>
      <w:r>
        <w:rPr>
          <w:noProof/>
          <w:lang w:val="en-GB" w:eastAsia="ja-JP"/>
        </w:rPr>
        <w:tab/>
      </w:r>
      <w:r w:rsidRPr="00320941">
        <w:rPr>
          <w:noProof/>
        </w:rPr>
        <w:t>54</w:t>
      </w:r>
    </w:p>
    <w:p w:rsidR="00320941" w:rsidRDefault="00320941" w:rsidP="00320941">
      <w:pPr>
        <w:pStyle w:val="TOC1"/>
        <w:ind w:right="992"/>
        <w:rPr>
          <w:rFonts w:asciiTheme="minorHAnsi" w:eastAsiaTheme="minorEastAsia" w:hAnsiTheme="minorHAnsi" w:cstheme="minorBidi"/>
          <w:noProof/>
          <w:sz w:val="22"/>
          <w:szCs w:val="22"/>
          <w:lang w:eastAsia="zh-CN"/>
        </w:rPr>
      </w:pPr>
      <w:r w:rsidRPr="00320941">
        <w:rPr>
          <w:noProof/>
          <w:lang w:val="en-GB" w:eastAsia="ko-KR"/>
        </w:rPr>
        <w:t>References</w:t>
      </w:r>
      <w:r>
        <w:rPr>
          <w:noProof/>
          <w:lang w:val="en-GB" w:eastAsia="ko-KR"/>
        </w:rPr>
        <w:tab/>
      </w:r>
      <w:r>
        <w:rPr>
          <w:noProof/>
          <w:lang w:val="en-GB" w:eastAsia="ko-KR"/>
        </w:rPr>
        <w:tab/>
      </w:r>
      <w:r w:rsidRPr="00320941">
        <w:rPr>
          <w:noProof/>
        </w:rPr>
        <w:t>57</w:t>
      </w:r>
    </w:p>
    <w:p w:rsidR="00320941" w:rsidRPr="005840E3" w:rsidRDefault="00320941" w:rsidP="005840E3">
      <w:pPr>
        <w:rPr>
          <w:lang w:val="en-GB"/>
        </w:rPr>
      </w:pPr>
      <w:bookmarkStart w:id="5" w:name="_GoBack"/>
      <w:bookmarkEnd w:id="5"/>
    </w:p>
    <w:p w:rsidR="005840E3" w:rsidRDefault="005840E3" w:rsidP="00962EC9">
      <w:pPr>
        <w:rPr>
          <w:lang w:val="en-GB"/>
        </w:rPr>
      </w:pPr>
    </w:p>
    <w:p w:rsidR="005840E3" w:rsidRPr="0019555C" w:rsidRDefault="005840E3" w:rsidP="00962EC9">
      <w:pPr>
        <w:rPr>
          <w:lang w:val="en-GB"/>
        </w:rPr>
      </w:pPr>
    </w:p>
    <w:p w:rsidR="00016D83" w:rsidRPr="0019555C" w:rsidRDefault="00016D83" w:rsidP="00DA5AC1">
      <w:pPr>
        <w:pStyle w:val="Heading1"/>
        <w:rPr>
          <w:lang w:val="en-GB"/>
        </w:rPr>
      </w:pPr>
      <w:bookmarkStart w:id="6" w:name="_Toc414014581"/>
      <w:bookmarkStart w:id="7" w:name="_Toc414014754"/>
      <w:r w:rsidRPr="0019555C">
        <w:rPr>
          <w:lang w:val="en-GB"/>
        </w:rPr>
        <w:t>1</w:t>
      </w:r>
      <w:r w:rsidRPr="0019555C">
        <w:rPr>
          <w:lang w:val="en-GB"/>
        </w:rPr>
        <w:tab/>
        <w:t>Introduction</w:t>
      </w:r>
      <w:bookmarkEnd w:id="6"/>
      <w:bookmarkEnd w:id="7"/>
    </w:p>
    <w:p w:rsidR="00016D83" w:rsidRPr="0019555C" w:rsidRDefault="00016D83" w:rsidP="00B156FC">
      <w:pPr>
        <w:rPr>
          <w:lang w:val="en-GB" w:eastAsia="ja-JP"/>
        </w:rPr>
      </w:pPr>
      <w:r w:rsidRPr="0019555C">
        <w:rPr>
          <w:lang w:val="en-GB" w:eastAsia="ja-JP"/>
        </w:rPr>
        <w:t xml:space="preserve">Significant recent and ongoing </w:t>
      </w:r>
      <w:r w:rsidRPr="0019555C">
        <w:rPr>
          <w:lang w:val="en-GB"/>
        </w:rPr>
        <w:t>increas</w:t>
      </w:r>
      <w:r w:rsidRPr="0019555C">
        <w:rPr>
          <w:lang w:val="en-GB" w:eastAsia="ja-JP"/>
        </w:rPr>
        <w:t>es in</w:t>
      </w:r>
      <w:r w:rsidRPr="0019555C">
        <w:rPr>
          <w:lang w:val="en-GB"/>
        </w:rPr>
        <w:t xml:space="preserve"> </w:t>
      </w:r>
      <w:r w:rsidRPr="0019555C">
        <w:rPr>
          <w:lang w:val="en-GB" w:eastAsia="ja-JP"/>
        </w:rPr>
        <w:t xml:space="preserve">data </w:t>
      </w:r>
      <w:r w:rsidRPr="0019555C">
        <w:rPr>
          <w:lang w:val="en-GB"/>
        </w:rPr>
        <w:t xml:space="preserve">traffic have led to the requirement by users and network operators for </w:t>
      </w:r>
      <w:r w:rsidRPr="0019555C">
        <w:rPr>
          <w:lang w:val="en-GB" w:eastAsia="ja-JP"/>
        </w:rPr>
        <w:t xml:space="preserve">network services capable of supporting very high data rates. Broadband </w:t>
      </w:r>
      <w:r w:rsidRPr="0019555C">
        <w:rPr>
          <w:lang w:val="en-GB"/>
        </w:rPr>
        <w:t>fixed service (FS)</w:t>
      </w:r>
      <w:r w:rsidRPr="0019555C">
        <w:rPr>
          <w:lang w:val="en-GB" w:eastAsia="ja-JP"/>
        </w:rPr>
        <w:t xml:space="preserve"> is one practicable way to fulfil that</w:t>
      </w:r>
      <w:r w:rsidRPr="0019555C">
        <w:rPr>
          <w:lang w:val="en-GB"/>
        </w:rPr>
        <w:t xml:space="preserve"> </w:t>
      </w:r>
      <w:r w:rsidRPr="0019555C">
        <w:rPr>
          <w:lang w:val="en-GB" w:eastAsia="ja-JP"/>
        </w:rPr>
        <w:t>requirement, because FS technology has that capability and is expected to play an important role to provide high quality broadband communication services through high-capacity fixed wireless systems (FWS)</w:t>
      </w:r>
      <w:r w:rsidRPr="0019555C">
        <w:rPr>
          <w:rStyle w:val="FootnoteReference"/>
          <w:lang w:val="en-GB"/>
        </w:rPr>
        <w:footnoteReference w:id="1"/>
      </w:r>
      <w:r w:rsidRPr="0019555C">
        <w:rPr>
          <w:lang w:val="en-GB" w:eastAsia="ja-JP"/>
        </w:rPr>
        <w:t>.</w:t>
      </w:r>
    </w:p>
    <w:p w:rsidR="00016D83" w:rsidRPr="0019555C" w:rsidRDefault="00016D83" w:rsidP="00016D83">
      <w:pPr>
        <w:rPr>
          <w:lang w:val="en-GB" w:eastAsia="ja-JP"/>
        </w:rPr>
      </w:pPr>
      <w:r w:rsidRPr="0019555C">
        <w:rPr>
          <w:lang w:val="en-GB" w:eastAsia="ja-JP"/>
        </w:rPr>
        <w:t>FWS</w:t>
      </w:r>
      <w:r w:rsidRPr="0019555C">
        <w:rPr>
          <w:lang w:val="en-GB"/>
        </w:rPr>
        <w:t xml:space="preserve"> </w:t>
      </w:r>
      <w:r w:rsidRPr="0019555C">
        <w:rPr>
          <w:lang w:val="en-GB" w:eastAsia="ja-JP"/>
        </w:rPr>
        <w:t>have</w:t>
      </w:r>
      <w:r w:rsidRPr="0019555C">
        <w:rPr>
          <w:lang w:val="en-GB"/>
        </w:rPr>
        <w:t xml:space="preserve"> evolved over the years and there is continuing evolution in terms of </w:t>
      </w:r>
      <w:r w:rsidRPr="0019555C">
        <w:rPr>
          <w:lang w:val="en-GB" w:eastAsia="ja-JP"/>
        </w:rPr>
        <w:t>both</w:t>
      </w:r>
      <w:r w:rsidRPr="0019555C">
        <w:rPr>
          <w:lang w:val="en-GB"/>
        </w:rPr>
        <w:t xml:space="preserve"> technolog</w:t>
      </w:r>
      <w:r w:rsidRPr="0019555C">
        <w:rPr>
          <w:lang w:val="en-GB" w:eastAsia="ja-JP"/>
        </w:rPr>
        <w:t>ies</w:t>
      </w:r>
      <w:r w:rsidRPr="0019555C">
        <w:rPr>
          <w:lang w:val="en-GB"/>
        </w:rPr>
        <w:t xml:space="preserve"> and applications</w:t>
      </w:r>
      <w:r w:rsidRPr="0019555C">
        <w:rPr>
          <w:lang w:val="en-GB" w:eastAsia="ja-JP"/>
        </w:rPr>
        <w:t>. This Report offers guidance and information on the medium and long-term vision for the FWS, including key drivers and trends; it will greatly assist administrations, manufacturers, and telecom operators in their operative planning.</w:t>
      </w:r>
    </w:p>
    <w:p w:rsidR="00016D83" w:rsidRPr="0019555C" w:rsidRDefault="00016D83" w:rsidP="00016D83">
      <w:pPr>
        <w:rPr>
          <w:lang w:val="en-GB" w:eastAsia="ja-JP"/>
        </w:rPr>
      </w:pPr>
      <w:r w:rsidRPr="0019555C">
        <w:rPr>
          <w:lang w:val="en-GB" w:eastAsia="ja-JP"/>
        </w:rPr>
        <w:t>This Report addresses the following items in relation to the future development of FS:</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FWS use in telecommunication networks including the following application:</w:t>
      </w:r>
    </w:p>
    <w:p w:rsidR="00016D83" w:rsidRPr="0019555C" w:rsidRDefault="00016D83" w:rsidP="00016D83">
      <w:pPr>
        <w:pStyle w:val="enumlev2"/>
        <w:rPr>
          <w:lang w:val="en-GB" w:eastAsia="ja-JP"/>
        </w:rPr>
      </w:pPr>
      <w:r w:rsidRPr="0019555C">
        <w:rPr>
          <w:lang w:val="en-GB" w:eastAsia="ja-JP"/>
        </w:rPr>
        <w:t>–</w:t>
      </w:r>
      <w:r w:rsidRPr="0019555C">
        <w:rPr>
          <w:lang w:val="en-GB" w:eastAsia="ja-JP"/>
        </w:rPr>
        <w:tab/>
        <w:t>Transport or trunking networks;</w:t>
      </w:r>
    </w:p>
    <w:p w:rsidR="00016D83" w:rsidRPr="0019555C" w:rsidRDefault="00016D83" w:rsidP="00016D83">
      <w:pPr>
        <w:pStyle w:val="enumlev2"/>
        <w:rPr>
          <w:lang w:val="en-GB" w:eastAsia="ja-JP"/>
        </w:rPr>
      </w:pPr>
      <w:r w:rsidRPr="0019555C">
        <w:rPr>
          <w:lang w:val="en-GB" w:eastAsia="ja-JP"/>
        </w:rPr>
        <w:t>–</w:t>
      </w:r>
      <w:r w:rsidRPr="0019555C">
        <w:rPr>
          <w:lang w:val="en-GB" w:eastAsia="ja-JP"/>
        </w:rPr>
        <w:tab/>
        <w:t>Mobile backhaul networks;</w:t>
      </w:r>
    </w:p>
    <w:p w:rsidR="00016D83" w:rsidRPr="0019555C" w:rsidRDefault="00016D83" w:rsidP="00016D83">
      <w:pPr>
        <w:pStyle w:val="enumlev2"/>
        <w:rPr>
          <w:lang w:val="en-GB" w:eastAsia="ja-JP"/>
        </w:rPr>
      </w:pPr>
      <w:r w:rsidRPr="0019555C">
        <w:rPr>
          <w:lang w:val="en-GB" w:eastAsia="ja-JP"/>
        </w:rPr>
        <w:t>–</w:t>
      </w:r>
      <w:r w:rsidRPr="0019555C">
        <w:rPr>
          <w:lang w:val="en-GB" w:eastAsia="ja-JP"/>
        </w:rPr>
        <w:tab/>
        <w:t>Fixed wireless access (FWA)</w:t>
      </w:r>
      <w:r w:rsidRPr="0019555C">
        <w:rPr>
          <w:rStyle w:val="FootnoteReference"/>
          <w:lang w:val="en-GB" w:eastAsia="ja-JP"/>
        </w:rPr>
        <w:footnoteReference w:id="2"/>
      </w:r>
      <w:r w:rsidRPr="0019555C">
        <w:rPr>
          <w:lang w:val="en-GB" w:eastAsia="ja-JP"/>
        </w:rPr>
        <w:t xml:space="preserve"> system;</w:t>
      </w:r>
    </w:p>
    <w:p w:rsidR="00016D83" w:rsidRPr="0019555C" w:rsidRDefault="00016D83" w:rsidP="00016D83">
      <w:pPr>
        <w:pStyle w:val="enumlev2"/>
        <w:rPr>
          <w:lang w:val="en-GB" w:eastAsia="ja-JP"/>
        </w:rPr>
      </w:pPr>
      <w:r w:rsidRPr="0019555C">
        <w:rPr>
          <w:lang w:val="en-GB" w:eastAsia="ja-JP"/>
        </w:rPr>
        <w:t>–</w:t>
      </w:r>
      <w:r w:rsidRPr="0019555C">
        <w:rPr>
          <w:lang w:val="en-GB" w:eastAsia="ja-JP"/>
        </w:rPr>
        <w:tab/>
        <w:t>Temporary networks;</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FWS band usage;</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 xml:space="preserve">FWS technology </w:t>
      </w:r>
      <w:r w:rsidRPr="0019555C">
        <w:rPr>
          <w:lang w:val="en-GB"/>
        </w:rPr>
        <w:t>and trends;</w:t>
      </w:r>
    </w:p>
    <w:p w:rsidR="00016D83" w:rsidRPr="0019555C" w:rsidRDefault="00016D83" w:rsidP="00016D83">
      <w:pPr>
        <w:pStyle w:val="enumlev1"/>
        <w:rPr>
          <w:i/>
          <w:lang w:val="en-GB" w:eastAsia="ja-JP"/>
        </w:rPr>
      </w:pPr>
      <w:r w:rsidRPr="0019555C">
        <w:rPr>
          <w:lang w:val="en-GB" w:eastAsia="ja-JP"/>
        </w:rPr>
        <w:t>–</w:t>
      </w:r>
      <w:r w:rsidRPr="0019555C">
        <w:rPr>
          <w:lang w:val="en-GB" w:eastAsia="ja-JP"/>
        </w:rPr>
        <w:tab/>
        <w:t>Spectrum requirements;</w:t>
      </w:r>
      <w:r w:rsidRPr="0019555C">
        <w:rPr>
          <w:i/>
          <w:lang w:val="en-GB" w:eastAsia="ja-JP"/>
        </w:rPr>
        <w:t xml:space="preserve"> </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Future subjects for the development of FWS applications.</w:t>
      </w:r>
    </w:p>
    <w:p w:rsidR="00016D83" w:rsidRPr="0019555C" w:rsidRDefault="00016D83" w:rsidP="00016D83">
      <w:pPr>
        <w:pStyle w:val="Heading1"/>
        <w:rPr>
          <w:lang w:val="en-GB" w:eastAsia="ja-JP"/>
        </w:rPr>
      </w:pPr>
      <w:bookmarkStart w:id="8" w:name="_Toc353866395"/>
      <w:bookmarkStart w:id="9" w:name="_Toc354769794"/>
      <w:bookmarkStart w:id="10" w:name="_Toc387091554"/>
      <w:bookmarkStart w:id="11" w:name="_Toc388871214"/>
      <w:bookmarkStart w:id="12" w:name="_Toc403043890"/>
      <w:bookmarkStart w:id="13" w:name="_Toc403043994"/>
      <w:bookmarkStart w:id="14" w:name="_Toc414014582"/>
      <w:bookmarkStart w:id="15" w:name="_Toc414014755"/>
      <w:r w:rsidRPr="0019555C">
        <w:rPr>
          <w:lang w:val="en-GB"/>
        </w:rPr>
        <w:t>2</w:t>
      </w:r>
      <w:r w:rsidRPr="0019555C">
        <w:rPr>
          <w:lang w:val="en-GB"/>
        </w:rPr>
        <w:tab/>
        <w:t xml:space="preserve">FWS use </w:t>
      </w:r>
      <w:bookmarkEnd w:id="8"/>
      <w:r w:rsidRPr="0019555C">
        <w:rPr>
          <w:lang w:val="en-GB"/>
        </w:rPr>
        <w:t>in telecommunication networks</w:t>
      </w:r>
      <w:bookmarkStart w:id="16" w:name="_Toc353866396"/>
      <w:bookmarkStart w:id="17" w:name="_Toc354769795"/>
      <w:bookmarkStart w:id="18" w:name="_Toc354770069"/>
      <w:bookmarkEnd w:id="9"/>
      <w:bookmarkEnd w:id="10"/>
      <w:bookmarkEnd w:id="11"/>
      <w:bookmarkEnd w:id="12"/>
      <w:bookmarkEnd w:id="13"/>
      <w:bookmarkEnd w:id="14"/>
      <w:bookmarkEnd w:id="15"/>
      <w:r w:rsidRPr="0019555C">
        <w:rPr>
          <w:lang w:val="en-GB" w:eastAsia="ja-JP"/>
        </w:rPr>
        <w:t xml:space="preserve"> </w:t>
      </w:r>
      <w:bookmarkEnd w:id="16"/>
      <w:bookmarkEnd w:id="17"/>
      <w:bookmarkEnd w:id="18"/>
    </w:p>
    <w:p w:rsidR="00016D83" w:rsidRPr="0019555C" w:rsidRDefault="00016D83" w:rsidP="00016D83">
      <w:pPr>
        <w:rPr>
          <w:lang w:val="en-GB" w:eastAsia="ja-JP"/>
        </w:rPr>
      </w:pPr>
      <w:r w:rsidRPr="0019555C">
        <w:rPr>
          <w:lang w:val="en-GB"/>
        </w:rPr>
        <w:t xml:space="preserve">FWS are used in </w:t>
      </w:r>
      <w:r w:rsidRPr="0019555C">
        <w:rPr>
          <w:lang w:val="en-GB" w:eastAsia="ja-JP"/>
        </w:rPr>
        <w:t>tele</w:t>
      </w:r>
      <w:r w:rsidRPr="0019555C">
        <w:rPr>
          <w:lang w:val="en-GB"/>
        </w:rPr>
        <w:t>communication networks</w:t>
      </w:r>
      <w:r w:rsidRPr="0019555C">
        <w:rPr>
          <w:lang w:val="en-GB" w:eastAsia="ja-JP"/>
        </w:rPr>
        <w:t xml:space="preserve"> in </w:t>
      </w:r>
      <w:r w:rsidRPr="0019555C">
        <w:rPr>
          <w:lang w:val="en-GB"/>
        </w:rPr>
        <w:t xml:space="preserve">various </w:t>
      </w:r>
      <w:r w:rsidRPr="0019555C">
        <w:rPr>
          <w:lang w:val="en-GB" w:eastAsia="ja-JP"/>
        </w:rPr>
        <w:t xml:space="preserve">situations. As shown in </w:t>
      </w:r>
      <w:r w:rsidRPr="0019555C">
        <w:rPr>
          <w:lang w:val="en-GB"/>
        </w:rPr>
        <w:t>Fig</w:t>
      </w:r>
      <w:r w:rsidRPr="0019555C">
        <w:rPr>
          <w:lang w:val="en-GB" w:eastAsia="ja-JP"/>
        </w:rPr>
        <w:t xml:space="preserve">. </w:t>
      </w:r>
      <w:r w:rsidRPr="0019555C">
        <w:rPr>
          <w:lang w:val="en-GB"/>
        </w:rPr>
        <w:t>1</w:t>
      </w:r>
      <w:r w:rsidRPr="0019555C">
        <w:rPr>
          <w:lang w:val="en-GB" w:eastAsia="ja-JP"/>
        </w:rPr>
        <w:t>, FWS are</w:t>
      </w:r>
      <w:r w:rsidRPr="0019555C">
        <w:rPr>
          <w:lang w:val="en-GB"/>
        </w:rPr>
        <w:t xml:space="preserve"> used </w:t>
      </w:r>
      <w:r w:rsidRPr="0019555C">
        <w:rPr>
          <w:lang w:val="en-GB" w:eastAsia="ja-JP"/>
        </w:rPr>
        <w:t xml:space="preserve">for transport </w:t>
      </w:r>
      <w:r w:rsidRPr="0019555C">
        <w:rPr>
          <w:lang w:val="en-GB"/>
        </w:rPr>
        <w:t>networks</w:t>
      </w:r>
      <w:r w:rsidRPr="0019555C">
        <w:rPr>
          <w:lang w:val="en-GB" w:eastAsia="ja-JP"/>
        </w:rPr>
        <w:t xml:space="preserve"> (trunking, multi-hop, long-haul connections)</w:t>
      </w:r>
      <w:r w:rsidRPr="0019555C">
        <w:rPr>
          <w:lang w:val="en-GB"/>
        </w:rPr>
        <w:t xml:space="preserve">, </w:t>
      </w:r>
      <w:r w:rsidRPr="0019555C">
        <w:rPr>
          <w:lang w:val="en-GB" w:eastAsia="ja-JP"/>
        </w:rPr>
        <w:t xml:space="preserve">for mobile backhaul </w:t>
      </w:r>
      <w:r w:rsidRPr="0019555C">
        <w:rPr>
          <w:lang w:val="en-GB"/>
        </w:rPr>
        <w:t>networks, for FWA</w:t>
      </w:r>
      <w:r w:rsidRPr="0019555C">
        <w:rPr>
          <w:rStyle w:val="FootnoteReference"/>
          <w:lang w:val="en-GB" w:eastAsia="ja-JP"/>
        </w:rPr>
        <w:t xml:space="preserve"> </w:t>
      </w:r>
      <w:r w:rsidRPr="0019555C">
        <w:rPr>
          <w:lang w:val="en-GB" w:eastAsia="ja-JP"/>
        </w:rPr>
        <w:t>systems</w:t>
      </w:r>
      <w:r w:rsidRPr="0019555C">
        <w:rPr>
          <w:lang w:val="en-GB"/>
        </w:rPr>
        <w:t xml:space="preserve"> and</w:t>
      </w:r>
      <w:r w:rsidRPr="0019555C">
        <w:rPr>
          <w:lang w:val="en-GB" w:eastAsia="ja-JP"/>
        </w:rPr>
        <w:t xml:space="preserve"> for temporary networks</w:t>
      </w:r>
      <w:r w:rsidRPr="0019555C">
        <w:rPr>
          <w:lang w:val="en-GB"/>
        </w:rPr>
        <w:t>.</w:t>
      </w:r>
    </w:p>
    <w:p w:rsidR="00016D83" w:rsidRPr="0019555C" w:rsidRDefault="00016D83" w:rsidP="00016D83">
      <w:pPr>
        <w:rPr>
          <w:lang w:val="en-GB" w:eastAsia="ja-JP"/>
        </w:rPr>
      </w:pPr>
      <w:r w:rsidRPr="0019555C">
        <w:rPr>
          <w:lang w:val="en-GB" w:eastAsia="ja-JP"/>
        </w:rPr>
        <w:lastRenderedPageBreak/>
        <w:t xml:space="preserve">Typical FS system parameters for the above applications (except for temporary use) in various frequency bands are summarized in </w:t>
      </w:r>
      <w:r w:rsidRPr="0019555C">
        <w:rPr>
          <w:lang w:val="en-GB"/>
        </w:rPr>
        <w:t>Recommendation ITU-R F.</w:t>
      </w:r>
      <w:r w:rsidRPr="0019555C">
        <w:rPr>
          <w:lang w:val="en-GB" w:eastAsia="ja-JP"/>
        </w:rPr>
        <w:t>758.</w:t>
      </w:r>
    </w:p>
    <w:p w:rsidR="00016D83" w:rsidRPr="0019555C" w:rsidRDefault="00016D83" w:rsidP="00016D83">
      <w:pPr>
        <w:rPr>
          <w:lang w:val="en-GB" w:eastAsia="ja-JP"/>
        </w:rPr>
      </w:pPr>
      <w:r w:rsidRPr="0019555C">
        <w:rPr>
          <w:lang w:val="en-GB"/>
        </w:rPr>
        <w:t xml:space="preserve">In the </w:t>
      </w:r>
      <w:r w:rsidRPr="0019555C">
        <w:rPr>
          <w:lang w:val="en-GB" w:eastAsia="ja-JP"/>
        </w:rPr>
        <w:t>1990</w:t>
      </w:r>
      <w:r w:rsidRPr="0019555C">
        <w:rPr>
          <w:lang w:val="en-GB"/>
        </w:rPr>
        <w:t xml:space="preserve">s, the use of FWS found a major market requirement in the backhaul for </w:t>
      </w:r>
      <w:r w:rsidRPr="0019555C">
        <w:rPr>
          <w:lang w:val="en-GB" w:eastAsia="ja-JP"/>
        </w:rPr>
        <w:t>mobile</w:t>
      </w:r>
      <w:r w:rsidRPr="0019555C">
        <w:rPr>
          <w:lang w:val="en-GB"/>
        </w:rPr>
        <w:t xml:space="preserve"> phone systems and for private network systems. </w:t>
      </w:r>
      <w:r w:rsidRPr="0019555C">
        <w:rPr>
          <w:lang w:val="en-GB" w:eastAsia="ja-JP"/>
        </w:rPr>
        <w:t>Since</w:t>
      </w:r>
      <w:r w:rsidRPr="0019555C">
        <w:rPr>
          <w:lang w:val="en-GB"/>
        </w:rPr>
        <w:t xml:space="preserve"> the 2000s, the demand </w:t>
      </w:r>
      <w:r w:rsidRPr="0019555C">
        <w:rPr>
          <w:lang w:val="en-GB" w:eastAsia="ja-JP"/>
        </w:rPr>
        <w:t>for the mobile backhaul further</w:t>
      </w:r>
      <w:r w:rsidRPr="0019555C">
        <w:rPr>
          <w:lang w:val="en-GB"/>
        </w:rPr>
        <w:t xml:space="preserve"> increased rapidly</w:t>
      </w:r>
      <w:r w:rsidRPr="0019555C">
        <w:rPr>
          <w:lang w:val="en-GB" w:eastAsia="ja-JP"/>
        </w:rPr>
        <w:t xml:space="preserve"> in many parts of the world because of the </w:t>
      </w:r>
      <w:r w:rsidRPr="0019555C">
        <w:rPr>
          <w:lang w:val="en-GB"/>
        </w:rPr>
        <w:t xml:space="preserve">far-reaching proliferation of </w:t>
      </w:r>
      <w:r w:rsidRPr="0019555C">
        <w:rPr>
          <w:lang w:val="en-GB" w:eastAsia="ja-JP"/>
        </w:rPr>
        <w:t>mobile</w:t>
      </w:r>
      <w:r w:rsidRPr="0019555C">
        <w:rPr>
          <w:lang w:val="en-GB"/>
        </w:rPr>
        <w:t xml:space="preserve"> phone</w:t>
      </w:r>
      <w:r w:rsidRPr="0019555C">
        <w:rPr>
          <w:lang w:val="en-GB" w:eastAsia="ja-JP"/>
        </w:rPr>
        <w:t>s</w:t>
      </w:r>
      <w:r w:rsidRPr="0019555C">
        <w:rPr>
          <w:lang w:val="en-GB"/>
        </w:rPr>
        <w:t>.</w:t>
      </w:r>
    </w:p>
    <w:p w:rsidR="00016D83" w:rsidRPr="0019555C" w:rsidRDefault="00016D83" w:rsidP="0019555C">
      <w:pPr>
        <w:keepNext/>
        <w:rPr>
          <w:lang w:val="en-GB" w:eastAsia="ja-JP"/>
        </w:rPr>
      </w:pPr>
      <w:r w:rsidRPr="0019555C">
        <w:rPr>
          <w:lang w:val="en-GB"/>
        </w:rPr>
        <w:t>The attractive features of FWS</w:t>
      </w:r>
      <w:r w:rsidRPr="0019555C">
        <w:rPr>
          <w:lang w:val="en-GB" w:eastAsia="ja-JP"/>
        </w:rPr>
        <w:t xml:space="preserve"> compared with wired systems </w:t>
      </w:r>
      <w:r w:rsidRPr="0019555C">
        <w:rPr>
          <w:lang w:val="en-GB"/>
        </w:rPr>
        <w:t xml:space="preserve">are </w:t>
      </w:r>
      <w:r w:rsidRPr="0019555C">
        <w:rPr>
          <w:lang w:val="en-GB" w:eastAsia="ja-JP"/>
        </w:rPr>
        <w:t>as follows:</w:t>
      </w:r>
    </w:p>
    <w:p w:rsidR="00016D83" w:rsidRPr="0019555C" w:rsidRDefault="00016D83" w:rsidP="0019555C">
      <w:pPr>
        <w:pStyle w:val="enumlev1"/>
        <w:keepNext/>
        <w:rPr>
          <w:lang w:val="en-GB" w:eastAsia="ja-JP"/>
        </w:rPr>
      </w:pPr>
      <w:r w:rsidRPr="0019555C">
        <w:rPr>
          <w:lang w:val="en-GB" w:eastAsia="ja-JP"/>
        </w:rPr>
        <w:t>–</w:t>
      </w:r>
      <w:r w:rsidRPr="0019555C">
        <w:rPr>
          <w:lang w:val="en-GB" w:eastAsia="ja-JP"/>
        </w:rPr>
        <w:tab/>
      </w:r>
      <w:r w:rsidRPr="0019555C">
        <w:rPr>
          <w:lang w:val="en-GB"/>
        </w:rPr>
        <w:t>independence from geographical features</w:t>
      </w:r>
      <w:r w:rsidRPr="0019555C">
        <w:rPr>
          <w:lang w:val="en-GB" w:eastAsia="ja-JP"/>
        </w:rPr>
        <w:t>,</w:t>
      </w:r>
      <w:r w:rsidRPr="0019555C">
        <w:rPr>
          <w:lang w:val="en-GB"/>
        </w:rPr>
        <w:t xml:space="preserve"> such as mountains and archipelagos</w:t>
      </w:r>
      <w:r w:rsidRPr="0019555C">
        <w:rPr>
          <w:lang w:val="en-GB" w:eastAsia="ja-JP"/>
        </w:rPr>
        <w:t>;</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r>
      <w:r w:rsidRPr="0019555C">
        <w:rPr>
          <w:lang w:val="en-GB"/>
        </w:rPr>
        <w:t>short</w:t>
      </w:r>
      <w:r w:rsidRPr="0019555C">
        <w:rPr>
          <w:lang w:val="en-GB" w:eastAsia="ja-JP"/>
        </w:rPr>
        <w:t>-</w:t>
      </w:r>
      <w:r w:rsidRPr="0019555C">
        <w:rPr>
          <w:lang w:val="en-GB"/>
        </w:rPr>
        <w:t xml:space="preserve">term system </w:t>
      </w:r>
      <w:r w:rsidRPr="0019555C">
        <w:rPr>
          <w:lang w:val="en-GB" w:eastAsia="ja-JP"/>
        </w:rPr>
        <w:t>implementation</w:t>
      </w:r>
      <w:r w:rsidRPr="0019555C">
        <w:rPr>
          <w:lang w:val="en-GB"/>
        </w:rPr>
        <w:t xml:space="preserve"> period at low cost</w:t>
      </w:r>
      <w:r w:rsidRPr="0019555C">
        <w:rPr>
          <w:lang w:val="en-GB" w:eastAsia="ja-JP"/>
        </w:rPr>
        <w:t>;</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r>
      <w:r w:rsidRPr="0019555C">
        <w:rPr>
          <w:lang w:val="en-GB"/>
        </w:rPr>
        <w:t>robustness against disasters</w:t>
      </w:r>
      <w:r w:rsidRPr="0019555C">
        <w:rPr>
          <w:rFonts w:eastAsiaTheme="minorEastAsia"/>
          <w:lang w:val="en-GB" w:eastAsia="ja-JP"/>
        </w:rPr>
        <w:t xml:space="preserve"> </w:t>
      </w:r>
      <w:r w:rsidRPr="0019555C">
        <w:rPr>
          <w:lang w:val="en-GB"/>
        </w:rPr>
        <w:t xml:space="preserve">and </w:t>
      </w:r>
      <w:r w:rsidRPr="0019555C">
        <w:rPr>
          <w:rFonts w:eastAsiaTheme="minorEastAsia"/>
          <w:lang w:val="en-GB" w:eastAsia="ja-JP"/>
        </w:rPr>
        <w:t>other incidental disruption</w:t>
      </w:r>
      <w:r w:rsidRPr="0019555C">
        <w:rPr>
          <w:lang w:val="en-GB" w:eastAsia="ja-JP"/>
        </w:rPr>
        <w:t>.</w:t>
      </w:r>
    </w:p>
    <w:p w:rsidR="00016D83" w:rsidRPr="0019555C" w:rsidRDefault="00016D83" w:rsidP="00016D83">
      <w:pPr>
        <w:rPr>
          <w:lang w:val="en-GB" w:eastAsia="ja-JP"/>
        </w:rPr>
      </w:pPr>
      <w:r w:rsidRPr="0019555C">
        <w:rPr>
          <w:lang w:val="en-GB"/>
        </w:rPr>
        <w:t xml:space="preserve">These features of FWS </w:t>
      </w:r>
      <w:r w:rsidRPr="0019555C">
        <w:rPr>
          <w:lang w:val="en-GB" w:eastAsia="ja-JP"/>
        </w:rPr>
        <w:t xml:space="preserve">have </w:t>
      </w:r>
      <w:r w:rsidRPr="0019555C">
        <w:rPr>
          <w:lang w:val="en-GB"/>
        </w:rPr>
        <w:t>contribute</w:t>
      </w:r>
      <w:r w:rsidRPr="0019555C">
        <w:rPr>
          <w:lang w:val="en-GB" w:eastAsia="ja-JP"/>
        </w:rPr>
        <w:t>d</w:t>
      </w:r>
      <w:r w:rsidRPr="0019555C">
        <w:rPr>
          <w:lang w:val="en-GB"/>
        </w:rPr>
        <w:t xml:space="preserve"> to fast and large</w:t>
      </w:r>
      <w:r w:rsidRPr="0019555C">
        <w:rPr>
          <w:lang w:val="en-GB" w:eastAsia="ja-JP"/>
        </w:rPr>
        <w:t>-</w:t>
      </w:r>
      <w:r w:rsidRPr="0019555C">
        <w:rPr>
          <w:lang w:val="en-GB"/>
        </w:rPr>
        <w:t>scale network deployment</w:t>
      </w:r>
      <w:r w:rsidRPr="0019555C">
        <w:rPr>
          <w:lang w:val="en-GB" w:eastAsia="ja-JP"/>
        </w:rPr>
        <w:t>s with the aim of</w:t>
      </w:r>
      <w:r w:rsidRPr="0019555C">
        <w:rPr>
          <w:lang w:val="en-GB"/>
        </w:rPr>
        <w:t xml:space="preserve"> quickly acquir</w:t>
      </w:r>
      <w:r w:rsidRPr="0019555C">
        <w:rPr>
          <w:lang w:val="en-GB" w:eastAsia="ja-JP"/>
        </w:rPr>
        <w:t>ing mobile</w:t>
      </w:r>
      <w:r w:rsidRPr="0019555C">
        <w:rPr>
          <w:lang w:val="en-GB"/>
        </w:rPr>
        <w:t xml:space="preserve"> phone subscribers</w:t>
      </w:r>
      <w:r w:rsidRPr="0019555C">
        <w:rPr>
          <w:lang w:val="en-GB" w:eastAsia="ja-JP"/>
        </w:rPr>
        <w:t xml:space="preserve">, which has been a major economic </w:t>
      </w:r>
      <w:r w:rsidRPr="0019555C">
        <w:rPr>
          <w:lang w:val="en-GB"/>
        </w:rPr>
        <w:t xml:space="preserve">factor </w:t>
      </w:r>
      <w:r w:rsidRPr="0019555C">
        <w:rPr>
          <w:lang w:val="en-GB" w:eastAsia="ja-JP"/>
        </w:rPr>
        <w:t>in</w:t>
      </w:r>
      <w:r w:rsidRPr="0019555C">
        <w:rPr>
          <w:lang w:val="en-GB"/>
        </w:rPr>
        <w:t xml:space="preserve"> the rapid growth of the market for FWS.</w:t>
      </w:r>
    </w:p>
    <w:p w:rsidR="00016D83" w:rsidRPr="0019555C" w:rsidRDefault="00016D83" w:rsidP="00016D83">
      <w:pPr>
        <w:pStyle w:val="FigureNo"/>
        <w:rPr>
          <w:lang w:val="en-GB"/>
        </w:rPr>
      </w:pPr>
      <w:r w:rsidRPr="0019555C">
        <w:rPr>
          <w:lang w:val="en-GB"/>
        </w:rPr>
        <w:t>FIGURE 1</w:t>
      </w:r>
    </w:p>
    <w:p w:rsidR="00016D83" w:rsidRPr="0019555C" w:rsidRDefault="00016D83" w:rsidP="00016D83">
      <w:pPr>
        <w:pStyle w:val="Figuretitle"/>
        <w:rPr>
          <w:highlight w:val="cyan"/>
          <w:lang w:val="en-GB" w:eastAsia="ja-JP"/>
        </w:rPr>
      </w:pPr>
      <w:r w:rsidRPr="0019555C">
        <w:rPr>
          <w:lang w:val="en-GB" w:eastAsia="ja-JP"/>
        </w:rPr>
        <w:t xml:space="preserve">Various </w:t>
      </w:r>
      <w:r w:rsidRPr="0019555C">
        <w:rPr>
          <w:lang w:val="en-GB"/>
        </w:rPr>
        <w:t>applications</w:t>
      </w:r>
      <w:r w:rsidRPr="0019555C">
        <w:rPr>
          <w:lang w:val="en-GB" w:eastAsia="ja-JP"/>
        </w:rPr>
        <w:t xml:space="preserve"> of fixed wireless systems</w:t>
      </w:r>
    </w:p>
    <w:p w:rsidR="00016D83" w:rsidRPr="0019555C" w:rsidRDefault="00016D83" w:rsidP="00016D83">
      <w:pPr>
        <w:pStyle w:val="Figure"/>
        <w:rPr>
          <w:lang w:val="en-GB" w:eastAsia="ja-JP"/>
        </w:rPr>
      </w:pPr>
      <w:r w:rsidRPr="0019555C">
        <w:rPr>
          <w:noProof/>
          <w:lang w:val="en-US" w:eastAsia="zh-CN"/>
        </w:rPr>
        <w:drawing>
          <wp:inline distT="0" distB="0" distL="0" distR="0" wp14:anchorId="02DC7F97" wp14:editId="60177BAD">
            <wp:extent cx="3362912" cy="2201666"/>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2782" cy="2201581"/>
                    </a:xfrm>
                    <a:prstGeom prst="rect">
                      <a:avLst/>
                    </a:prstGeom>
                    <a:noFill/>
                    <a:ln>
                      <a:noFill/>
                    </a:ln>
                    <a:effectLst/>
                  </pic:spPr>
                </pic:pic>
              </a:graphicData>
            </a:graphic>
          </wp:inline>
        </w:drawing>
      </w:r>
    </w:p>
    <w:p w:rsidR="00016D83" w:rsidRPr="0019555C" w:rsidRDefault="00016D83" w:rsidP="00016D83">
      <w:pPr>
        <w:pStyle w:val="Heading2"/>
        <w:rPr>
          <w:lang w:val="en-GB"/>
        </w:rPr>
      </w:pPr>
      <w:bookmarkStart w:id="19" w:name="_Toc353866397"/>
      <w:bookmarkStart w:id="20" w:name="_Toc354769796"/>
      <w:bookmarkStart w:id="21" w:name="_Toc387091555"/>
      <w:bookmarkStart w:id="22" w:name="_Toc388871215"/>
      <w:bookmarkStart w:id="23" w:name="_Toc403043891"/>
      <w:bookmarkStart w:id="24" w:name="_Toc403043995"/>
      <w:bookmarkStart w:id="25" w:name="_Toc414014583"/>
      <w:bookmarkStart w:id="26" w:name="_Toc414014756"/>
      <w:r w:rsidRPr="0019555C">
        <w:rPr>
          <w:lang w:val="en-GB"/>
        </w:rPr>
        <w:t>2.1</w:t>
      </w:r>
      <w:r w:rsidRPr="0019555C">
        <w:rPr>
          <w:lang w:val="en-GB"/>
        </w:rPr>
        <w:tab/>
        <w:t>Transport (trunking) networks</w:t>
      </w:r>
      <w:bookmarkEnd w:id="19"/>
      <w:bookmarkEnd w:id="20"/>
      <w:bookmarkEnd w:id="21"/>
      <w:bookmarkEnd w:id="22"/>
      <w:bookmarkEnd w:id="23"/>
      <w:bookmarkEnd w:id="24"/>
      <w:bookmarkEnd w:id="25"/>
      <w:bookmarkEnd w:id="26"/>
    </w:p>
    <w:p w:rsidR="00016D83" w:rsidRPr="0019555C" w:rsidRDefault="00016D83" w:rsidP="00016D83">
      <w:pPr>
        <w:rPr>
          <w:sz w:val="21"/>
          <w:lang w:val="en-GB"/>
        </w:rPr>
      </w:pPr>
      <w:r w:rsidRPr="0019555C">
        <w:rPr>
          <w:lang w:val="en-GB"/>
        </w:rPr>
        <w:t>Traditional transport networks</w:t>
      </w:r>
      <w:r w:rsidRPr="0019555C">
        <w:rPr>
          <w:lang w:val="en-GB" w:eastAsia="ja-JP"/>
        </w:rPr>
        <w:t xml:space="preserve"> for long-haul or inter-exchange in telecommunications infrastructure networks typically </w:t>
      </w:r>
      <w:r w:rsidRPr="0019555C">
        <w:rPr>
          <w:lang w:val="en-GB"/>
        </w:rPr>
        <w:t>operate in frequency bands in the range</w:t>
      </w:r>
      <w:r w:rsidRPr="0019555C">
        <w:rPr>
          <w:lang w:val="en-GB" w:eastAsia="ja-JP"/>
        </w:rPr>
        <w:t xml:space="preserve"> below 15 GHz</w:t>
      </w:r>
      <w:r w:rsidRPr="0019555C">
        <w:rPr>
          <w:lang w:val="en-GB"/>
        </w:rPr>
        <w:t>. With the increase in traffic demand</w:t>
      </w:r>
      <w:r w:rsidRPr="0019555C">
        <w:rPr>
          <w:rStyle w:val="FootnoteReference"/>
          <w:lang w:val="en-GB"/>
        </w:rPr>
        <w:footnoteReference w:id="3"/>
      </w:r>
      <w:r w:rsidRPr="0019555C">
        <w:rPr>
          <w:lang w:val="en-GB"/>
        </w:rPr>
        <w:t>, many service providers are now deploying fibre optic networks rather than build new very-high-capacity radio</w:t>
      </w:r>
      <w:r w:rsidRPr="0019555C">
        <w:rPr>
          <w:lang w:val="en-GB"/>
        </w:rPr>
        <w:noBreakHyphen/>
        <w:t xml:space="preserve">relay networks. </w:t>
      </w:r>
      <w:r w:rsidRPr="0019555C">
        <w:rPr>
          <w:lang w:val="en-GB" w:eastAsia="ja-JP"/>
        </w:rPr>
        <w:t xml:space="preserve">Although this is observed mostly in highly populate areas where major towns are connected by highways that facilitate the </w:t>
      </w:r>
      <w:r w:rsidRPr="0019555C">
        <w:rPr>
          <w:lang w:val="en-GB"/>
        </w:rPr>
        <w:t xml:space="preserve">fibre optic </w:t>
      </w:r>
      <w:r w:rsidRPr="0019555C">
        <w:rPr>
          <w:lang w:val="en-GB" w:eastAsia="ja-JP"/>
        </w:rPr>
        <w:t>deployment alongside, there are still areas where it is difficult to deploy fibre optic networks for geographical or economic reasons or it is economically convenient to upgrade already existing long-haul trunk infrastructures with more spectral efficient equipment. In such cases, radio-relay-networks continue to play an important role.</w:t>
      </w:r>
    </w:p>
    <w:p w:rsidR="00016D83" w:rsidRPr="0019555C" w:rsidRDefault="00016D83" w:rsidP="0019555C">
      <w:pPr>
        <w:rPr>
          <w:lang w:val="en-GB" w:eastAsia="ja-JP"/>
        </w:rPr>
      </w:pPr>
      <w:bookmarkStart w:id="27" w:name="_Toc353866398"/>
      <w:bookmarkStart w:id="28" w:name="_Toc354769797"/>
      <w:r w:rsidRPr="0019555C">
        <w:rPr>
          <w:szCs w:val="24"/>
          <w:lang w:val="en-GB"/>
        </w:rPr>
        <w:t>Quadrature Amplitude Modulation</w:t>
      </w:r>
      <w:r w:rsidRPr="0019555C">
        <w:rPr>
          <w:lang w:val="en-GB" w:eastAsia="ja-JP"/>
        </w:rPr>
        <w:t xml:space="preserve"> (QAM) modulation techniques up to 256-levels are currently adopted for transport networks according to the FWS parameters listed in Recommendation </w:t>
      </w:r>
      <w:r w:rsidR="0019555C" w:rsidRPr="0019555C">
        <w:rPr>
          <w:lang w:val="en-GB" w:eastAsia="ja-JP"/>
        </w:rPr>
        <w:t>ITU</w:t>
      </w:r>
      <w:r w:rsidR="0019555C" w:rsidRPr="0019555C">
        <w:rPr>
          <w:lang w:val="en-GB" w:eastAsia="ja-JP"/>
        </w:rPr>
        <w:noBreakHyphen/>
        <w:t>R </w:t>
      </w:r>
      <w:r w:rsidRPr="0019555C">
        <w:rPr>
          <w:lang w:val="en-GB" w:eastAsia="ja-JP"/>
        </w:rPr>
        <w:t>F.758. Lower modulation level techniques such as 16</w:t>
      </w:r>
      <w:r w:rsidR="0019555C">
        <w:rPr>
          <w:lang w:val="en-GB" w:eastAsia="ja-JP"/>
        </w:rPr>
        <w:t xml:space="preserve"> </w:t>
      </w:r>
      <w:r w:rsidRPr="0019555C">
        <w:rPr>
          <w:lang w:val="en-GB" w:eastAsia="ja-JP"/>
        </w:rPr>
        <w:t xml:space="preserve">QAM or QPSK enable FWS to be applied to transmission links with a longer hop distance which may be required in areas such as far offshore islands. </w:t>
      </w:r>
    </w:p>
    <w:p w:rsidR="00016D83" w:rsidRPr="0019555C" w:rsidRDefault="00016D83" w:rsidP="00016D83">
      <w:pPr>
        <w:pStyle w:val="Heading2"/>
        <w:rPr>
          <w:lang w:val="en-GB"/>
        </w:rPr>
      </w:pPr>
      <w:bookmarkStart w:id="29" w:name="_Toc387091556"/>
      <w:bookmarkStart w:id="30" w:name="_Toc388871216"/>
      <w:bookmarkStart w:id="31" w:name="_Toc403043892"/>
      <w:bookmarkStart w:id="32" w:name="_Toc403043996"/>
      <w:bookmarkStart w:id="33" w:name="_Toc414014584"/>
      <w:bookmarkStart w:id="34" w:name="_Toc414014757"/>
      <w:r w:rsidRPr="0019555C">
        <w:rPr>
          <w:lang w:val="en-GB"/>
        </w:rPr>
        <w:lastRenderedPageBreak/>
        <w:t>2.2</w:t>
      </w:r>
      <w:r w:rsidRPr="0019555C">
        <w:rPr>
          <w:lang w:val="en-GB"/>
        </w:rPr>
        <w:tab/>
        <w:t>Mobile backhaul networks</w:t>
      </w:r>
      <w:bookmarkEnd w:id="27"/>
      <w:bookmarkEnd w:id="28"/>
      <w:bookmarkEnd w:id="29"/>
      <w:bookmarkEnd w:id="30"/>
      <w:bookmarkEnd w:id="31"/>
      <w:bookmarkEnd w:id="32"/>
      <w:bookmarkEnd w:id="33"/>
      <w:bookmarkEnd w:id="34"/>
    </w:p>
    <w:p w:rsidR="00016D83" w:rsidRPr="0019555C" w:rsidRDefault="00016D83" w:rsidP="00016D83">
      <w:pPr>
        <w:rPr>
          <w:lang w:val="en-GB" w:eastAsia="ja-JP"/>
        </w:rPr>
      </w:pPr>
      <w:r w:rsidRPr="0019555C">
        <w:rPr>
          <w:color w:val="000000"/>
          <w:lang w:val="en-GB" w:eastAsia="ja-JP"/>
        </w:rPr>
        <w:t xml:space="preserve">Mobile backhaul networks are </w:t>
      </w:r>
      <w:r w:rsidRPr="0019555C">
        <w:rPr>
          <w:lang w:val="en-GB" w:eastAsia="ja-JP"/>
        </w:rPr>
        <w:t xml:space="preserve">undergoing a transformation due in large part to increasing data volumes by mobile terminals. </w:t>
      </w:r>
      <w:r w:rsidRPr="0019555C">
        <w:rPr>
          <w:lang w:val="en-GB"/>
        </w:rPr>
        <w:t>This increase is</w:t>
      </w:r>
      <w:r w:rsidRPr="0019555C">
        <w:rPr>
          <w:lang w:val="en-GB" w:eastAsia="ja-JP"/>
        </w:rPr>
        <w:t xml:space="preserve"> mainly the result of the</w:t>
      </w:r>
      <w:r w:rsidRPr="0019555C">
        <w:rPr>
          <w:lang w:val="en-GB"/>
        </w:rPr>
        <w:t xml:space="preserve"> introduction of so-</w:t>
      </w:r>
      <w:r w:rsidRPr="0019555C">
        <w:rPr>
          <w:lang w:val="en-GB" w:eastAsia="ja-JP"/>
        </w:rPr>
        <w:t>called “smart phones” and </w:t>
      </w:r>
      <w:r w:rsidRPr="0019555C">
        <w:rPr>
          <w:lang w:val="en-GB"/>
        </w:rPr>
        <w:t xml:space="preserve">in many cases </w:t>
      </w:r>
      <w:r w:rsidRPr="0019555C">
        <w:rPr>
          <w:lang w:val="en-GB" w:eastAsia="ja-JP"/>
        </w:rPr>
        <w:t xml:space="preserve">the adoption </w:t>
      </w:r>
      <w:r w:rsidRPr="0019555C">
        <w:rPr>
          <w:lang w:val="en-GB"/>
        </w:rPr>
        <w:t>of flat rate pricing plans (i.e., fixed prices with no upper limit on the amount of data communication</w:t>
      </w:r>
      <w:r w:rsidRPr="0019555C">
        <w:rPr>
          <w:lang w:val="en-GB" w:eastAsia="ja-JP"/>
        </w:rPr>
        <w:t>s</w:t>
      </w:r>
      <w:r w:rsidRPr="0019555C">
        <w:rPr>
          <w:lang w:val="en-GB"/>
        </w:rPr>
        <w:t xml:space="preserve"> traffic). </w:t>
      </w:r>
      <w:r w:rsidRPr="0019555C">
        <w:rPr>
          <w:lang w:val="en-GB" w:eastAsia="ja-JP"/>
        </w:rPr>
        <w:t xml:space="preserve">Report ITU-R M.2243 refers to UMTS Forum Report 44 that forecasted worldwide mobile traffic of more than 127 Exabytes (EB) in 2020, which represents a 33 times increase compared with that in 2010. According to this Report, </w:t>
      </w:r>
      <w:r w:rsidRPr="0019555C">
        <w:rPr>
          <w:lang w:val="en-GB"/>
        </w:rPr>
        <w:t>Asia will represent 34.3% of total world</w:t>
      </w:r>
      <w:r w:rsidRPr="0019555C">
        <w:rPr>
          <w:lang w:val="en-GB" w:eastAsia="ja-JP"/>
        </w:rPr>
        <w:t>wide</w:t>
      </w:r>
      <w:r w:rsidRPr="0019555C">
        <w:rPr>
          <w:lang w:val="en-GB"/>
        </w:rPr>
        <w:t xml:space="preserve"> mobile traffic while Europe and </w:t>
      </w:r>
      <w:r w:rsidRPr="0019555C">
        <w:rPr>
          <w:lang w:val="en-GB" w:eastAsia="ja-JP"/>
        </w:rPr>
        <w:t>t</w:t>
      </w:r>
      <w:r w:rsidRPr="0019555C">
        <w:rPr>
          <w:lang w:val="en-GB"/>
        </w:rPr>
        <w:t xml:space="preserve">he Americas (including North, Central and South America) </w:t>
      </w:r>
      <w:r w:rsidRPr="0019555C">
        <w:rPr>
          <w:lang w:val="en-GB" w:eastAsia="ja-JP"/>
        </w:rPr>
        <w:t xml:space="preserve">will </w:t>
      </w:r>
      <w:r w:rsidRPr="0019555C">
        <w:rPr>
          <w:lang w:val="en-GB"/>
        </w:rPr>
        <w:t>represent 22% and 21.4%, respectively</w:t>
      </w:r>
      <w:r w:rsidRPr="0019555C">
        <w:rPr>
          <w:lang w:val="en-GB" w:eastAsia="ja-JP"/>
        </w:rPr>
        <w:t>.</w:t>
      </w:r>
      <w:r w:rsidRPr="0019555C">
        <w:rPr>
          <w:lang w:val="en-GB"/>
        </w:rPr>
        <w:t xml:space="preserve"> To support </w:t>
      </w:r>
      <w:r w:rsidRPr="0019555C">
        <w:rPr>
          <w:lang w:val="en-GB" w:eastAsia="ja-JP"/>
        </w:rPr>
        <w:t xml:space="preserve">this </w:t>
      </w:r>
      <w:r w:rsidRPr="0019555C">
        <w:rPr>
          <w:lang w:val="en-GB"/>
        </w:rPr>
        <w:t>i</w:t>
      </w:r>
      <w:r w:rsidRPr="0019555C">
        <w:rPr>
          <w:color w:val="000000"/>
          <w:lang w:val="en-GB"/>
        </w:rPr>
        <w:t>ncrease</w:t>
      </w:r>
      <w:r w:rsidRPr="0019555C">
        <w:rPr>
          <w:color w:val="000000"/>
          <w:lang w:val="en-GB" w:eastAsia="ja-JP"/>
        </w:rPr>
        <w:t xml:space="preserve"> in</w:t>
      </w:r>
      <w:r w:rsidRPr="0019555C">
        <w:rPr>
          <w:color w:val="000000"/>
          <w:lang w:val="en-GB"/>
        </w:rPr>
        <w:t xml:space="preserve"> the amount of data per </w:t>
      </w:r>
      <w:r w:rsidRPr="0019555C">
        <w:rPr>
          <w:color w:val="000000"/>
          <w:lang w:val="en-GB" w:eastAsia="ja-JP"/>
        </w:rPr>
        <w:t xml:space="preserve">mobile </w:t>
      </w:r>
      <w:r w:rsidRPr="0019555C">
        <w:rPr>
          <w:color w:val="000000"/>
          <w:lang w:val="en-GB"/>
        </w:rPr>
        <w:t>terminal,</w:t>
      </w:r>
      <w:r w:rsidRPr="0019555C">
        <w:rPr>
          <w:color w:val="000000"/>
          <w:lang w:val="en-GB" w:eastAsia="ja-JP"/>
        </w:rPr>
        <w:t xml:space="preserve"> it has been necessary to reduce the</w:t>
      </w:r>
      <w:r w:rsidRPr="0019555C">
        <w:rPr>
          <w:color w:val="000000"/>
          <w:lang w:val="en-GB"/>
        </w:rPr>
        <w:t xml:space="preserve"> cell radius of mobile base station</w:t>
      </w:r>
      <w:r w:rsidRPr="0019555C">
        <w:rPr>
          <w:color w:val="000000"/>
          <w:lang w:val="en-GB" w:eastAsia="ja-JP"/>
        </w:rPr>
        <w:t xml:space="preserve">s (BS). </w:t>
      </w:r>
      <w:r w:rsidRPr="0019555C">
        <w:rPr>
          <w:lang w:val="en-GB" w:eastAsia="ja-JP"/>
        </w:rPr>
        <w:t xml:space="preserve">The reduction of cell radius </w:t>
      </w:r>
      <w:r w:rsidRPr="0019555C">
        <w:rPr>
          <w:lang w:val="en-GB"/>
        </w:rPr>
        <w:t>has</w:t>
      </w:r>
      <w:r w:rsidRPr="0019555C">
        <w:rPr>
          <w:lang w:val="en-GB" w:eastAsia="ja-JP"/>
        </w:rPr>
        <w:t>, in turn,</w:t>
      </w:r>
      <w:r w:rsidRPr="0019555C">
        <w:rPr>
          <w:lang w:val="en-GB"/>
        </w:rPr>
        <w:t xml:space="preserve"> resulted in pressures to reduce the cost and physical size of mobile BS and associated backhaul equipment</w:t>
      </w:r>
      <w:r w:rsidRPr="0019555C">
        <w:rPr>
          <w:lang w:val="en-GB" w:eastAsia="ja-JP"/>
        </w:rPr>
        <w:t>.</w:t>
      </w:r>
    </w:p>
    <w:p w:rsidR="00016D83" w:rsidRPr="0019555C" w:rsidRDefault="00016D83" w:rsidP="00016D83">
      <w:pPr>
        <w:rPr>
          <w:lang w:val="en-GB" w:eastAsia="ja-JP"/>
        </w:rPr>
      </w:pPr>
      <w:r w:rsidRPr="0019555C">
        <w:rPr>
          <w:lang w:val="en-GB"/>
        </w:rPr>
        <w:t>The survey conducted by the ECO</w:t>
      </w:r>
      <w:r w:rsidRPr="0019555C">
        <w:rPr>
          <w:lang w:val="en-GB" w:eastAsia="ja-JP"/>
        </w:rPr>
        <w:t xml:space="preserve"> of CEPT/ECC</w:t>
      </w:r>
      <w:r w:rsidRPr="0019555C">
        <w:rPr>
          <w:lang w:val="en-GB"/>
        </w:rPr>
        <w:t xml:space="preserve"> on current use of FWS in Europe and reported in ECC Report </w:t>
      </w:r>
      <w:r w:rsidRPr="0019555C">
        <w:rPr>
          <w:lang w:val="en-GB" w:eastAsia="ja-JP"/>
        </w:rPr>
        <w:t>173 provides</w:t>
      </w:r>
      <w:r w:rsidRPr="0019555C">
        <w:rPr>
          <w:lang w:val="en-GB"/>
        </w:rPr>
        <w:t xml:space="preserve"> evidence for</w:t>
      </w:r>
      <w:r w:rsidRPr="0019555C">
        <w:rPr>
          <w:lang w:val="en-GB" w:eastAsia="ja-JP"/>
        </w:rPr>
        <w:t xml:space="preserve"> </w:t>
      </w:r>
      <w:r w:rsidRPr="0019555C">
        <w:rPr>
          <w:lang w:val="en-GB"/>
        </w:rPr>
        <w:t xml:space="preserve">increasing provision of </w:t>
      </w:r>
      <w:r w:rsidRPr="0019555C">
        <w:rPr>
          <w:lang w:val="en-GB" w:eastAsia="ja-JP"/>
        </w:rPr>
        <w:t xml:space="preserve">very </w:t>
      </w:r>
      <w:r w:rsidRPr="0019555C">
        <w:rPr>
          <w:lang w:val="en-GB"/>
        </w:rPr>
        <w:t>high capacity</w:t>
      </w:r>
      <w:r w:rsidRPr="0019555C">
        <w:rPr>
          <w:lang w:val="en-GB" w:eastAsia="ja-JP"/>
        </w:rPr>
        <w:t xml:space="preserve"> systems</w:t>
      </w:r>
      <w:r w:rsidRPr="0019555C">
        <w:rPr>
          <w:lang w:val="en-GB"/>
        </w:rPr>
        <w:t xml:space="preserve"> for mobile </w:t>
      </w:r>
      <w:r w:rsidRPr="0019555C">
        <w:rPr>
          <w:lang w:val="en-GB" w:eastAsia="ja-JP"/>
        </w:rPr>
        <w:t>backhau</w:t>
      </w:r>
      <w:r w:rsidRPr="0019555C">
        <w:rPr>
          <w:lang w:val="en-GB"/>
        </w:rPr>
        <w:t xml:space="preserve">l. These very high capacity links </w:t>
      </w:r>
      <w:r w:rsidRPr="0019555C">
        <w:rPr>
          <w:lang w:val="en-GB" w:eastAsia="ja-JP"/>
        </w:rPr>
        <w:t>can</w:t>
      </w:r>
      <w:r w:rsidRPr="0019555C">
        <w:rPr>
          <w:lang w:val="en-GB"/>
        </w:rPr>
        <w:t xml:space="preserve"> provide a viable alternative to deploying fibre optic</w:t>
      </w:r>
      <w:r w:rsidRPr="0019555C">
        <w:rPr>
          <w:lang w:val="en-GB" w:eastAsia="ja-JP"/>
        </w:rPr>
        <w:t>s,</w:t>
      </w:r>
      <w:r w:rsidRPr="0019555C">
        <w:rPr>
          <w:lang w:val="en-GB"/>
        </w:rPr>
        <w:t xml:space="preserve"> especially in rural areas</w:t>
      </w:r>
      <w:r w:rsidRPr="0019555C">
        <w:rPr>
          <w:lang w:val="en-GB" w:eastAsia="ja-JP"/>
        </w:rPr>
        <w:t>,</w:t>
      </w:r>
      <w:r w:rsidRPr="0019555C">
        <w:rPr>
          <w:lang w:val="en-GB"/>
        </w:rPr>
        <w:t xml:space="preserve"> </w:t>
      </w:r>
      <w:r w:rsidRPr="0019555C">
        <w:rPr>
          <w:lang w:val="en-GB" w:eastAsia="ja-JP"/>
        </w:rPr>
        <w:t>and</w:t>
      </w:r>
      <w:r w:rsidRPr="0019555C">
        <w:rPr>
          <w:lang w:val="en-GB"/>
        </w:rPr>
        <w:t xml:space="preserve"> equally in high</w:t>
      </w:r>
      <w:r w:rsidRPr="0019555C">
        <w:rPr>
          <w:lang w:val="en-GB" w:eastAsia="ja-JP"/>
        </w:rPr>
        <w:t>-</w:t>
      </w:r>
      <w:r w:rsidRPr="0019555C">
        <w:rPr>
          <w:lang w:val="en-GB"/>
        </w:rPr>
        <w:t xml:space="preserve">density urban areas where it would be not physically or economically feasible to deploy fibre optic or where there would be severe disruption caused, for example, by digging up roads to lay down fibre. </w:t>
      </w:r>
    </w:p>
    <w:p w:rsidR="00016D83" w:rsidRPr="0019555C" w:rsidRDefault="00016D83" w:rsidP="0019555C">
      <w:pPr>
        <w:rPr>
          <w:lang w:val="en-GB" w:eastAsia="ja-JP"/>
        </w:rPr>
      </w:pPr>
      <w:r w:rsidRPr="0019555C">
        <w:rPr>
          <w:lang w:val="en-GB"/>
        </w:rPr>
        <w:t>A consequence of these trend</w:t>
      </w:r>
      <w:r w:rsidRPr="0019555C">
        <w:rPr>
          <w:lang w:val="en-GB" w:eastAsia="ja-JP"/>
        </w:rPr>
        <w:t>s</w:t>
      </w:r>
      <w:r w:rsidRPr="0019555C">
        <w:rPr>
          <w:lang w:val="en-GB"/>
        </w:rPr>
        <w:t xml:space="preserve"> has been </w:t>
      </w:r>
      <w:r w:rsidRPr="0019555C">
        <w:rPr>
          <w:lang w:val="en-GB" w:eastAsia="ja-JP"/>
        </w:rPr>
        <w:t>an increased</w:t>
      </w:r>
      <w:r w:rsidRPr="0019555C">
        <w:rPr>
          <w:lang w:val="en-GB"/>
        </w:rPr>
        <w:t xml:space="preserve"> </w:t>
      </w:r>
      <w:r w:rsidRPr="0019555C">
        <w:rPr>
          <w:lang w:val="en-GB" w:eastAsia="ja-JP"/>
        </w:rPr>
        <w:t xml:space="preserve">use of </w:t>
      </w:r>
      <w:r w:rsidRPr="0019555C">
        <w:rPr>
          <w:lang w:val="en-GB"/>
        </w:rPr>
        <w:t>new higher frequency bands by FWS</w:t>
      </w:r>
      <w:r w:rsidRPr="0019555C">
        <w:rPr>
          <w:lang w:val="en-GB" w:eastAsia="ja-JP"/>
        </w:rPr>
        <w:t xml:space="preserve"> for shorter distances since higher frequencies are associated with wider bandwidths, higher capacity and smaller antenna dimensions. </w:t>
      </w:r>
      <w:r w:rsidRPr="0019555C">
        <w:rPr>
          <w:lang w:val="en-GB"/>
        </w:rPr>
        <w:t>For example,</w:t>
      </w:r>
      <w:r w:rsidRPr="0019555C">
        <w:rPr>
          <w:lang w:val="en-GB" w:eastAsia="ja-JP"/>
        </w:rPr>
        <w:t xml:space="preserve"> the bands from 42 to </w:t>
      </w:r>
      <w:r w:rsidRPr="0019555C">
        <w:rPr>
          <w:lang w:val="en-GB"/>
        </w:rPr>
        <w:t>5</w:t>
      </w:r>
      <w:r w:rsidRPr="0019555C">
        <w:rPr>
          <w:lang w:val="en-GB" w:eastAsia="ja-JP"/>
        </w:rPr>
        <w:t xml:space="preserve">2 </w:t>
      </w:r>
      <w:r w:rsidRPr="0019555C">
        <w:rPr>
          <w:lang w:val="en-GB"/>
        </w:rPr>
        <w:t xml:space="preserve">GHz </w:t>
      </w:r>
      <w:r w:rsidRPr="0019555C">
        <w:rPr>
          <w:lang w:val="en-GB" w:eastAsia="ja-JP"/>
        </w:rPr>
        <w:t>are</w:t>
      </w:r>
      <w:r w:rsidRPr="0019555C">
        <w:rPr>
          <w:lang w:val="en-GB"/>
        </w:rPr>
        <w:t xml:space="preserve"> newly employed in addition to existing </w:t>
      </w:r>
      <w:r w:rsidRPr="0019555C">
        <w:rPr>
          <w:lang w:val="en-GB" w:eastAsia="ja-JP"/>
        </w:rPr>
        <w:t>frequency</w:t>
      </w:r>
      <w:r w:rsidRPr="0019555C">
        <w:rPr>
          <w:lang w:val="en-GB"/>
        </w:rPr>
        <w:t xml:space="preserve"> band</w:t>
      </w:r>
      <w:r w:rsidRPr="0019555C">
        <w:rPr>
          <w:lang w:val="en-GB" w:eastAsia="ja-JP"/>
        </w:rPr>
        <w:t>s below 40 GHz</w:t>
      </w:r>
      <w:r w:rsidRPr="0019555C">
        <w:rPr>
          <w:lang w:val="en-GB"/>
        </w:rPr>
        <w:t xml:space="preserve">. </w:t>
      </w:r>
      <w:r w:rsidRPr="0019555C">
        <w:rPr>
          <w:lang w:val="en-GB" w:eastAsia="ja-JP"/>
        </w:rPr>
        <w:t xml:space="preserve">There is also increasing interest in the </w:t>
      </w:r>
      <w:r w:rsidRPr="0019555C">
        <w:rPr>
          <w:lang w:val="en-GB"/>
        </w:rPr>
        <w:t>60 GHz</w:t>
      </w:r>
      <w:r w:rsidRPr="0019555C">
        <w:rPr>
          <w:lang w:val="en-GB" w:eastAsia="ja-JP"/>
        </w:rPr>
        <w:t xml:space="preserve"> (57-64 GHz) and the </w:t>
      </w:r>
      <w:r w:rsidRPr="0019555C">
        <w:rPr>
          <w:lang w:val="en-GB"/>
        </w:rPr>
        <w:t>70</w:t>
      </w:r>
      <w:r w:rsidRPr="0019555C">
        <w:rPr>
          <w:lang w:val="en-GB" w:eastAsia="ja-JP"/>
        </w:rPr>
        <w:t xml:space="preserve"> to </w:t>
      </w:r>
      <w:r w:rsidRPr="0019555C">
        <w:rPr>
          <w:lang w:val="en-GB"/>
        </w:rPr>
        <w:t xml:space="preserve">80 GHz </w:t>
      </w:r>
      <w:r w:rsidRPr="0019555C">
        <w:rPr>
          <w:lang w:val="en-GB" w:eastAsia="ja-JP"/>
        </w:rPr>
        <w:t xml:space="preserve">(71-76 GHz and 81-86 GHz) </w:t>
      </w:r>
      <w:r w:rsidRPr="0019555C">
        <w:rPr>
          <w:lang w:val="en-GB"/>
        </w:rPr>
        <w:t>band</w:t>
      </w:r>
      <w:r w:rsidRPr="0019555C">
        <w:rPr>
          <w:lang w:val="en-GB" w:eastAsia="ja-JP"/>
        </w:rPr>
        <w:t>s.</w:t>
      </w:r>
    </w:p>
    <w:p w:rsidR="00016D83" w:rsidRPr="0019555C" w:rsidRDefault="00016D83" w:rsidP="0019555C">
      <w:pPr>
        <w:rPr>
          <w:lang w:val="en-GB" w:eastAsia="ja-JP"/>
        </w:rPr>
      </w:pPr>
      <w:r w:rsidRPr="0019555C">
        <w:rPr>
          <w:lang w:val="en-GB" w:eastAsia="ja-JP"/>
        </w:rPr>
        <w:t>Reflecting this tendency, ITU-R Recommendations on RF channel arrangements have been developed for these high frequency bands, e.g. Recommendations ITU-R F.2005, ITU-R F.2006; Recommendation ITU-R M.2003</w:t>
      </w:r>
      <w:r w:rsidRPr="0019555C">
        <w:rPr>
          <w:position w:val="6"/>
          <w:sz w:val="18"/>
          <w:lang w:val="en-GB" w:eastAsia="ja-JP"/>
        </w:rPr>
        <w:footnoteReference w:id="4"/>
      </w:r>
      <w:r w:rsidRPr="0019555C">
        <w:rPr>
          <w:lang w:val="en-GB" w:eastAsia="ja-JP"/>
        </w:rPr>
        <w:t xml:space="preserve"> describe typical gigabytes RLAN applications that may need point</w:t>
      </w:r>
      <w:r w:rsidRPr="0019555C">
        <w:rPr>
          <w:lang w:val="en-GB" w:eastAsia="ja-JP"/>
        </w:rPr>
        <w:noBreakHyphen/>
        <w:t>to-point outdoor (roof-to-roof buildings links) Fixed LAN Extensions (FLANE) described in ECC Report 114 and ECC/REC(09)01 (see Table 1 in § 3.2 below).</w:t>
      </w:r>
    </w:p>
    <w:p w:rsidR="00016D83" w:rsidRPr="0019555C" w:rsidRDefault="00016D83" w:rsidP="00016D83">
      <w:pPr>
        <w:rPr>
          <w:lang w:val="en-GB" w:eastAsia="ja-JP"/>
        </w:rPr>
      </w:pPr>
      <w:r w:rsidRPr="0019555C">
        <w:rPr>
          <w:lang w:val="en-GB" w:eastAsia="ja-JP"/>
        </w:rPr>
        <w:t>In access networks including mobile communications, downlink traffic capacity requirements (from BS towards subscribers) is generally higher than the uplink. Therefore, asymmetric frequency assignment plans are considered in some mobile applications. This point may affect future frequency assignment plans for FWS providing mobile backhaul networks in various frequency bands.</w:t>
      </w:r>
    </w:p>
    <w:p w:rsidR="00016D83" w:rsidRPr="0019555C" w:rsidRDefault="00016D83" w:rsidP="00016D83">
      <w:pPr>
        <w:rPr>
          <w:lang w:val="en-GB" w:eastAsia="ja-JP"/>
        </w:rPr>
      </w:pPr>
      <w:r w:rsidRPr="0019555C">
        <w:rPr>
          <w:lang w:val="en-GB" w:eastAsia="ja-JP"/>
        </w:rPr>
        <w:t>In order to achieve gigabit per second class capacity for FWS for mobile backhaul, several technologies have been introduced for commonly available frequency bands from 6 to 40 GHz, including v</w:t>
      </w:r>
      <w:r w:rsidRPr="0019555C">
        <w:rPr>
          <w:lang w:val="en-GB"/>
        </w:rPr>
        <w:t>ery high order modulation, adaptive modulation, radio-link</w:t>
      </w:r>
      <w:r w:rsidRPr="0019555C">
        <w:rPr>
          <w:lang w:val="en-GB" w:eastAsia="ja-JP"/>
        </w:rPr>
        <w:t xml:space="preserve"> aggregation</w:t>
      </w:r>
      <w:r w:rsidRPr="0019555C">
        <w:rPr>
          <w:lang w:val="en-GB"/>
        </w:rPr>
        <w:t xml:space="preserve">, polarization multiplexing and </w:t>
      </w:r>
      <w:r w:rsidRPr="0019555C">
        <w:rPr>
          <w:lang w:val="en-GB" w:eastAsia="ja-JP"/>
        </w:rPr>
        <w:t>line-of-sight</w:t>
      </w:r>
      <w:r w:rsidRPr="0019555C">
        <w:rPr>
          <w:lang w:val="en-GB"/>
        </w:rPr>
        <w:t xml:space="preserve"> MIMO</w:t>
      </w:r>
      <w:r w:rsidRPr="0019555C">
        <w:rPr>
          <w:lang w:val="en-GB" w:eastAsia="ja-JP"/>
        </w:rPr>
        <w:t>. It is also reported that applying these technologies to the higher bands from the newly available 42 GHz to those in the 50-55 GHz range or to the even wider channels of in the 70/80 GHz frequency bands would make it possible to achieve backhaul capacities approaching 10 Gbit/s and 40 Gbit/s, [J. Hansryd and J. Edstam, 2011].</w:t>
      </w:r>
    </w:p>
    <w:p w:rsidR="00016D83" w:rsidRPr="0019555C" w:rsidRDefault="00016D83" w:rsidP="00016D83">
      <w:pPr>
        <w:rPr>
          <w:lang w:val="en-GB" w:eastAsia="ja-JP"/>
        </w:rPr>
      </w:pPr>
      <w:r w:rsidRPr="0019555C">
        <w:rPr>
          <w:lang w:val="en-GB" w:eastAsia="ja-JP"/>
        </w:rPr>
        <w:t>ITU-R has started studies to develop a new Report to address the use of the fixed service to support the different hierarchical levels of the transport network of IMT systems (i.e. IMT-2000 and IMT</w:t>
      </w:r>
      <w:r w:rsidRPr="0019555C">
        <w:rPr>
          <w:lang w:val="en-GB" w:eastAsia="ja-JP"/>
        </w:rPr>
        <w:noBreakHyphen/>
        <w:t>Advanced), taking into account the above new technologies.</w:t>
      </w:r>
    </w:p>
    <w:p w:rsidR="00016D83" w:rsidRPr="0019555C" w:rsidRDefault="00016D83" w:rsidP="00016D83">
      <w:pPr>
        <w:rPr>
          <w:lang w:val="en-GB" w:eastAsia="ja-JP"/>
        </w:rPr>
      </w:pPr>
      <w:r w:rsidRPr="0019555C">
        <w:rPr>
          <w:lang w:val="en-GB" w:eastAsia="ja-JP"/>
        </w:rPr>
        <w:lastRenderedPageBreak/>
        <w:t xml:space="preserve">As IP (Internet protocol)-based techniques spread up in core networks, the requirements for FWS used in mobile backhaul are progressively updated in the aspect of the interface to the core networks and to mobile BSs. </w:t>
      </w:r>
    </w:p>
    <w:p w:rsidR="00016D83" w:rsidRPr="0019555C" w:rsidRDefault="00016D83" w:rsidP="00016D83">
      <w:pPr>
        <w:rPr>
          <w:lang w:val="en-GB" w:eastAsia="ja-JP"/>
        </w:rPr>
      </w:pPr>
      <w:r w:rsidRPr="0019555C">
        <w:rPr>
          <w:lang w:val="en-GB" w:eastAsia="ja-JP"/>
        </w:rPr>
        <w:t xml:space="preserve">In the next generation of mobile systems, cell sizes of a BS are expected to be smaller. About 5 to 20 small cells are expected to be deployed for every current macro cell BS </w:t>
      </w:r>
      <w:r w:rsidRPr="0019555C">
        <w:rPr>
          <w:szCs w:val="24"/>
          <w:lang w:val="en-GB"/>
        </w:rPr>
        <w:t>[</w:t>
      </w:r>
      <w:r w:rsidRPr="0019555C">
        <w:rPr>
          <w:szCs w:val="24"/>
          <w:lang w:val="en-GB" w:eastAsia="ja-JP"/>
        </w:rPr>
        <w:t xml:space="preserve">ADELSTEIN, J., </w:t>
      </w:r>
      <w:r w:rsidRPr="0019555C">
        <w:rPr>
          <w:i/>
          <w:iCs/>
          <w:szCs w:val="24"/>
          <w:lang w:val="en-GB" w:eastAsia="ja-JP"/>
        </w:rPr>
        <w:t>et al.</w:t>
      </w:r>
      <w:r w:rsidRPr="0019555C">
        <w:rPr>
          <w:szCs w:val="24"/>
          <w:lang w:val="en-GB" w:eastAsia="ja-JP"/>
        </w:rPr>
        <w:t>, 2013</w:t>
      </w:r>
      <w:r w:rsidRPr="0019555C">
        <w:rPr>
          <w:szCs w:val="24"/>
          <w:lang w:val="en-GB"/>
        </w:rPr>
        <w:t>]</w:t>
      </w:r>
      <w:r w:rsidR="001C62B4" w:rsidRPr="0019555C">
        <w:rPr>
          <w:lang w:val="en-GB" w:eastAsia="ja-JP"/>
        </w:rPr>
        <w:t xml:space="preserve">. </w:t>
      </w:r>
      <w:r w:rsidRPr="0019555C">
        <w:rPr>
          <w:lang w:val="en-GB" w:eastAsia="ja-JP"/>
        </w:rPr>
        <w:t>Consequently, a greater number of BSs (small cells) will be required, with consequent higher demand for backhauling connections; some could use FO likely available (but to the curb) in urban area, but a number of them would still benefit of quick and cheap deployment of fixed radio technology. The capacity of the macro BS backhauling links may need to grow greater than 10 Gbit/s. In order to meet the requirement for next generation of mobile backhaul, many more broadband short-distance FWS links will be required.</w:t>
      </w:r>
    </w:p>
    <w:p w:rsidR="00016D83" w:rsidRPr="0019555C" w:rsidRDefault="00016D83" w:rsidP="00016D83">
      <w:pPr>
        <w:rPr>
          <w:i/>
          <w:lang w:val="en-GB" w:eastAsia="ja-JP"/>
        </w:rPr>
      </w:pPr>
      <w:r w:rsidRPr="0019555C">
        <w:rPr>
          <w:lang w:val="en-GB" w:eastAsia="ja-JP"/>
        </w:rPr>
        <w:t>It is important to note that, standing the large number of small cells BS, with very limited covering range and of relatively low power, also their cost objective, for an effective business case, will be significantly lower than that of present size BS technology. Consequently, also the backhauling cost objective (both from equipment and frequency use rights point of view) should comparably be reduced.</w:t>
      </w:r>
    </w:p>
    <w:p w:rsidR="00016D83" w:rsidRPr="0019555C" w:rsidRDefault="00016D83" w:rsidP="00016D83">
      <w:pPr>
        <w:pStyle w:val="Heading2"/>
        <w:rPr>
          <w:lang w:val="en-GB"/>
        </w:rPr>
      </w:pPr>
      <w:bookmarkStart w:id="35" w:name="_Toc353866399"/>
      <w:bookmarkStart w:id="36" w:name="_Toc354769798"/>
      <w:bookmarkStart w:id="37" w:name="_Toc387091557"/>
      <w:bookmarkStart w:id="38" w:name="_Toc388871217"/>
      <w:bookmarkStart w:id="39" w:name="_Toc403043893"/>
      <w:bookmarkStart w:id="40" w:name="_Toc403043997"/>
      <w:bookmarkStart w:id="41" w:name="_Toc414014585"/>
      <w:bookmarkStart w:id="42" w:name="_Toc414014758"/>
      <w:r w:rsidRPr="0019555C">
        <w:rPr>
          <w:lang w:val="en-GB"/>
        </w:rPr>
        <w:t>2.3</w:t>
      </w:r>
      <w:r w:rsidRPr="0019555C">
        <w:rPr>
          <w:lang w:val="en-GB"/>
        </w:rPr>
        <w:tab/>
        <w:t>Fixed wireless access (FWA) systems</w:t>
      </w:r>
      <w:bookmarkEnd w:id="35"/>
      <w:bookmarkEnd w:id="36"/>
      <w:bookmarkEnd w:id="37"/>
      <w:bookmarkEnd w:id="38"/>
      <w:bookmarkEnd w:id="39"/>
      <w:bookmarkEnd w:id="40"/>
      <w:bookmarkEnd w:id="41"/>
      <w:bookmarkEnd w:id="42"/>
    </w:p>
    <w:p w:rsidR="00016D83" w:rsidRPr="0019555C" w:rsidRDefault="00016D83" w:rsidP="00016D83">
      <w:pPr>
        <w:rPr>
          <w:lang w:val="en-GB" w:eastAsia="ja-JP"/>
        </w:rPr>
      </w:pPr>
      <w:r w:rsidRPr="0019555C">
        <w:rPr>
          <w:lang w:val="en-GB" w:eastAsia="ja-JP"/>
        </w:rPr>
        <w:t>FWA systems are intended to provide connections between a network station (network access point) and terminal stations (end-user terminations) whose both locations are fixed. FWA systems are categorized as either P-P or P-MP according to their topology as depicted in Fig. 2. In P-MP systems, a single central station can provide coverage to a number of terminal stations although requiring higher gain antenna and/or higher transmission power of terminal stations compared with P-P systems to achieve the same hop distance.</w:t>
      </w:r>
      <w:r w:rsidRPr="0019555C">
        <w:rPr>
          <w:sz w:val="21"/>
          <w:szCs w:val="21"/>
          <w:lang w:val="en-GB" w:eastAsia="ja-JP"/>
        </w:rPr>
        <w:t xml:space="preserve"> </w:t>
      </w:r>
      <w:r w:rsidRPr="0019555C">
        <w:rPr>
          <w:lang w:val="en-GB" w:eastAsia="ja-JP"/>
        </w:rPr>
        <w:t xml:space="preserve">As demand for data and video telecommunications increases and these telecommunications links require a much higher data rate than voice, FWA systems are also adopting broadband services. Moreover, the </w:t>
      </w:r>
      <w:r w:rsidRPr="0019555C">
        <w:rPr>
          <w:lang w:val="en-GB"/>
        </w:rPr>
        <w:t>demand</w:t>
      </w:r>
      <w:r w:rsidRPr="0019555C">
        <w:rPr>
          <w:lang w:val="en-GB" w:eastAsia="ja-JP"/>
        </w:rPr>
        <w:t xml:space="preserve"> for broadband telecommunications is </w:t>
      </w:r>
      <w:r w:rsidRPr="0019555C">
        <w:rPr>
          <w:lang w:val="en-GB"/>
        </w:rPr>
        <w:t>currently rising all over the world</w:t>
      </w:r>
      <w:r w:rsidRPr="0019555C">
        <w:rPr>
          <w:lang w:val="en-GB" w:eastAsia="ja-JP"/>
        </w:rPr>
        <w:t xml:space="preserve"> and FWA </w:t>
      </w:r>
      <w:r w:rsidRPr="0019555C">
        <w:rPr>
          <w:lang w:val="en-GB"/>
        </w:rPr>
        <w:t xml:space="preserve">systems are superior to wired systems for providing broadband </w:t>
      </w:r>
      <w:r w:rsidRPr="0019555C">
        <w:rPr>
          <w:lang w:val="en-GB" w:eastAsia="ja-JP"/>
        </w:rPr>
        <w:t>telecommunications</w:t>
      </w:r>
      <w:r w:rsidRPr="0019555C">
        <w:rPr>
          <w:lang w:val="en-GB"/>
        </w:rPr>
        <w:t xml:space="preserve"> economically and quickly in regions where the telecommunications infrastructure </w:t>
      </w:r>
      <w:r w:rsidRPr="0019555C">
        <w:rPr>
          <w:lang w:val="en-GB" w:eastAsia="ja-JP"/>
        </w:rPr>
        <w:t>is not</w:t>
      </w:r>
      <w:r w:rsidRPr="0019555C">
        <w:rPr>
          <w:lang w:val="en-GB"/>
        </w:rPr>
        <w:t xml:space="preserve"> well developed. FWA systems operating in </w:t>
      </w:r>
      <w:r w:rsidRPr="0019555C">
        <w:rPr>
          <w:lang w:val="en-GB" w:eastAsia="ja-JP"/>
        </w:rPr>
        <w:t xml:space="preserve">higher </w:t>
      </w:r>
      <w:r w:rsidRPr="0019555C">
        <w:rPr>
          <w:lang w:val="en-GB"/>
        </w:rPr>
        <w:t xml:space="preserve">bands </w:t>
      </w:r>
      <w:r w:rsidRPr="0019555C">
        <w:rPr>
          <w:lang w:val="en-GB" w:eastAsia="ja-JP"/>
        </w:rPr>
        <w:t xml:space="preserve">(e.g. </w:t>
      </w:r>
      <w:r w:rsidRPr="0019555C">
        <w:rPr>
          <w:lang w:val="en-GB"/>
        </w:rPr>
        <w:t xml:space="preserve">above </w:t>
      </w:r>
      <w:r w:rsidRPr="0019555C">
        <w:rPr>
          <w:lang w:val="en-GB" w:eastAsia="ja-JP"/>
        </w:rPr>
        <w:t>17</w:t>
      </w:r>
      <w:r w:rsidRPr="0019555C">
        <w:rPr>
          <w:lang w:val="en-GB"/>
        </w:rPr>
        <w:t xml:space="preserve"> GHz</w:t>
      </w:r>
      <w:r w:rsidRPr="0019555C">
        <w:rPr>
          <w:lang w:val="en-GB" w:eastAsia="ja-JP"/>
        </w:rPr>
        <w:t>)</w:t>
      </w:r>
      <w:r w:rsidRPr="0019555C">
        <w:rPr>
          <w:sz w:val="21"/>
          <w:szCs w:val="21"/>
          <w:lang w:val="en-GB" w:eastAsia="ja-JP"/>
        </w:rPr>
        <w:t xml:space="preserve"> </w:t>
      </w:r>
      <w:r w:rsidRPr="0019555C">
        <w:rPr>
          <w:lang w:val="en-GB" w:eastAsia="ja-JP"/>
        </w:rPr>
        <w:t>may be able to</w:t>
      </w:r>
      <w:r w:rsidRPr="0019555C">
        <w:rPr>
          <w:lang w:val="en-GB"/>
        </w:rPr>
        <w:t xml:space="preserve"> provide </w:t>
      </w:r>
      <w:r w:rsidRPr="0019555C">
        <w:rPr>
          <w:lang w:val="en-GB" w:eastAsia="ja-JP"/>
        </w:rPr>
        <w:t xml:space="preserve">broadband data rates similar </w:t>
      </w:r>
      <w:r w:rsidRPr="0019555C">
        <w:rPr>
          <w:lang w:val="en-GB"/>
        </w:rPr>
        <w:t xml:space="preserve">to fibre to the home (FTTH) service </w:t>
      </w:r>
      <w:r w:rsidRPr="0019555C">
        <w:rPr>
          <w:lang w:val="en-GB" w:eastAsia="ja-JP"/>
        </w:rPr>
        <w:t>on account of the wide bandwidth available in these frequency bands</w:t>
      </w:r>
      <w:r w:rsidRPr="0019555C">
        <w:rPr>
          <w:lang w:val="en-GB"/>
        </w:rPr>
        <w:t>.</w:t>
      </w:r>
    </w:p>
    <w:p w:rsidR="00016D83" w:rsidRPr="0019555C" w:rsidRDefault="00016D83" w:rsidP="00016D83">
      <w:pPr>
        <w:rPr>
          <w:lang w:val="en-GB" w:eastAsia="ja-JP"/>
        </w:rPr>
      </w:pPr>
      <w:r w:rsidRPr="0019555C">
        <w:rPr>
          <w:lang w:val="en-GB" w:eastAsia="ja-JP"/>
        </w:rPr>
        <w:t>Other applications may be included in the definition of FWA specified in Recommendation ITU</w:t>
      </w:r>
      <w:r w:rsidRPr="0019555C">
        <w:rPr>
          <w:lang w:val="en-GB" w:eastAsia="ja-JP"/>
        </w:rPr>
        <w:noBreakHyphen/>
        <w:t xml:space="preserve">R F.1399, these are considered as extensions of FWA and might be realised with equipment derived, in same or appropriate close-by bands, from the relevant mobile backhauled technology: </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Bridging two local/private area networks between separate buildings.</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P-MP backhaul.</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Links for machine-to-machine type communication.</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Home networks.</w:t>
      </w:r>
    </w:p>
    <w:p w:rsidR="00016D83" w:rsidRPr="0019555C" w:rsidRDefault="00016D83" w:rsidP="00016D83">
      <w:pPr>
        <w:pStyle w:val="ListParagraph"/>
        <w:spacing w:before="120"/>
        <w:ind w:left="0"/>
        <w:rPr>
          <w:rFonts w:eastAsia="MS Mincho"/>
          <w:lang w:eastAsia="ja-JP"/>
        </w:rPr>
      </w:pPr>
      <w:r w:rsidRPr="0019555C">
        <w:rPr>
          <w:rFonts w:eastAsia="MS Mincho"/>
          <w:lang w:eastAsia="ja-JP"/>
        </w:rPr>
        <w:t>Examples of these applications are shown in Annex 1.</w:t>
      </w:r>
    </w:p>
    <w:p w:rsidR="00016D83" w:rsidRPr="0019555C" w:rsidRDefault="00016D83" w:rsidP="00016D83">
      <w:pPr>
        <w:pStyle w:val="FigureNo"/>
        <w:rPr>
          <w:lang w:val="en-GB"/>
        </w:rPr>
      </w:pPr>
      <w:r w:rsidRPr="0019555C">
        <w:rPr>
          <w:lang w:val="en-GB"/>
        </w:rPr>
        <w:lastRenderedPageBreak/>
        <w:t>FIGURE 2</w:t>
      </w:r>
    </w:p>
    <w:p w:rsidR="00016D83" w:rsidRPr="0019555C" w:rsidRDefault="00016D83" w:rsidP="00016D83">
      <w:pPr>
        <w:pStyle w:val="Figuretitle"/>
        <w:rPr>
          <w:lang w:val="en-GB"/>
        </w:rPr>
      </w:pPr>
      <w:r w:rsidRPr="0019555C">
        <w:rPr>
          <w:lang w:val="en-GB"/>
        </w:rPr>
        <w:t>Fixed wireless access systems</w:t>
      </w:r>
    </w:p>
    <w:p w:rsidR="00016D83" w:rsidRPr="0019555C" w:rsidRDefault="00016D83" w:rsidP="00016D83">
      <w:pPr>
        <w:pStyle w:val="Figure"/>
        <w:rPr>
          <w:lang w:val="en-GB" w:eastAsia="ja-JP"/>
        </w:rPr>
      </w:pPr>
      <w:r w:rsidRPr="0019555C">
        <w:rPr>
          <w:noProof/>
          <w:lang w:val="en-US" w:eastAsia="zh-CN"/>
        </w:rPr>
        <w:drawing>
          <wp:inline distT="0" distB="0" distL="0" distR="0" wp14:anchorId="7FF0820C" wp14:editId="48BA1446">
            <wp:extent cx="4959705" cy="2237758"/>
            <wp:effectExtent l="0" t="0" r="0" b="0"/>
            <wp:docPr id="12"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9705" cy="2237758"/>
                    </a:xfrm>
                    <a:prstGeom prst="rect">
                      <a:avLst/>
                    </a:prstGeom>
                    <a:noFill/>
                    <a:ln>
                      <a:noFill/>
                    </a:ln>
                  </pic:spPr>
                </pic:pic>
              </a:graphicData>
            </a:graphic>
          </wp:inline>
        </w:drawing>
      </w:r>
    </w:p>
    <w:p w:rsidR="00016D83" w:rsidRPr="0019555C" w:rsidRDefault="00016D83" w:rsidP="00016D83">
      <w:pPr>
        <w:pStyle w:val="Heading2"/>
        <w:rPr>
          <w:lang w:val="en-GB"/>
        </w:rPr>
      </w:pPr>
      <w:bookmarkStart w:id="43" w:name="_Toc353866400"/>
      <w:bookmarkStart w:id="44" w:name="_Toc354769799"/>
      <w:bookmarkStart w:id="45" w:name="_Toc387091558"/>
      <w:bookmarkStart w:id="46" w:name="_Toc388871218"/>
      <w:bookmarkStart w:id="47" w:name="_Toc403043894"/>
      <w:bookmarkStart w:id="48" w:name="_Toc403043998"/>
      <w:bookmarkStart w:id="49" w:name="_Toc414014586"/>
      <w:bookmarkStart w:id="50" w:name="_Toc414014759"/>
      <w:r w:rsidRPr="0019555C">
        <w:rPr>
          <w:lang w:val="en-GB"/>
        </w:rPr>
        <w:t>2.4</w:t>
      </w:r>
      <w:r w:rsidRPr="0019555C">
        <w:rPr>
          <w:lang w:val="en-GB"/>
        </w:rPr>
        <w:tab/>
        <w:t>Temporary FS</w:t>
      </w:r>
      <w:bookmarkEnd w:id="43"/>
      <w:bookmarkEnd w:id="44"/>
      <w:bookmarkEnd w:id="45"/>
      <w:bookmarkEnd w:id="46"/>
      <w:bookmarkEnd w:id="47"/>
      <w:bookmarkEnd w:id="48"/>
      <w:bookmarkEnd w:id="49"/>
      <w:bookmarkEnd w:id="50"/>
    </w:p>
    <w:p w:rsidR="00016D83" w:rsidRPr="0019555C" w:rsidRDefault="00016D83" w:rsidP="00016D83">
      <w:pPr>
        <w:pStyle w:val="Heading3"/>
        <w:rPr>
          <w:lang w:val="en-GB" w:eastAsia="ja-JP"/>
        </w:rPr>
      </w:pPr>
      <w:bookmarkStart w:id="51" w:name="_Toc353866401"/>
      <w:bookmarkStart w:id="52" w:name="_Toc354769800"/>
      <w:bookmarkStart w:id="53" w:name="_Toc387091559"/>
      <w:bookmarkStart w:id="54" w:name="_Toc388871219"/>
      <w:bookmarkStart w:id="55" w:name="_Toc403043895"/>
      <w:bookmarkStart w:id="56" w:name="_Toc403043999"/>
      <w:bookmarkStart w:id="57" w:name="_Toc414014587"/>
      <w:bookmarkStart w:id="58" w:name="_Toc414014760"/>
      <w:r w:rsidRPr="0019555C">
        <w:rPr>
          <w:lang w:val="en-GB"/>
        </w:rPr>
        <w:t>2.4.1</w:t>
      </w:r>
      <w:r w:rsidRPr="0019555C">
        <w:rPr>
          <w:lang w:val="en-GB"/>
        </w:rPr>
        <w:tab/>
        <w:t xml:space="preserve">Disaster recovery </w:t>
      </w:r>
      <w:r w:rsidRPr="0019555C">
        <w:rPr>
          <w:lang w:val="en-GB" w:eastAsia="ja-JP"/>
        </w:rPr>
        <w:t xml:space="preserve">and physical diversity </w:t>
      </w:r>
      <w:r w:rsidRPr="0019555C">
        <w:rPr>
          <w:lang w:val="en-GB"/>
        </w:rPr>
        <w:t>link</w:t>
      </w:r>
      <w:bookmarkEnd w:id="51"/>
      <w:bookmarkEnd w:id="52"/>
      <w:r w:rsidRPr="0019555C">
        <w:rPr>
          <w:lang w:val="en-GB" w:eastAsia="ja-JP"/>
        </w:rPr>
        <w:t>s</w:t>
      </w:r>
      <w:bookmarkEnd w:id="53"/>
      <w:bookmarkEnd w:id="54"/>
      <w:bookmarkEnd w:id="55"/>
      <w:bookmarkEnd w:id="56"/>
      <w:bookmarkEnd w:id="57"/>
      <w:bookmarkEnd w:id="58"/>
    </w:p>
    <w:p w:rsidR="00016D83" w:rsidRPr="0019555C" w:rsidRDefault="00016D83" w:rsidP="00016D83">
      <w:pPr>
        <w:rPr>
          <w:lang w:val="en-GB" w:eastAsia="ja-JP"/>
        </w:rPr>
      </w:pPr>
      <w:r w:rsidRPr="0019555C">
        <w:rPr>
          <w:lang w:val="en-GB" w:eastAsia="ja-JP"/>
        </w:rPr>
        <w:t>One of the advantages of wireless systems is short installation time. Another is that the systems can be pre-deployed with independent (or backed-up) power source, as physical-diversity configuration that supplements or substitute fibre networks. These features make them suitable for recovery when existing fibre networks are damaged in disasters, such as earthquakes and tsunamis. Following the earthquake that occurred in Japan in 2011, many cable</w:t>
      </w:r>
      <w:r w:rsidRPr="0019555C">
        <w:rPr>
          <w:lang w:val="en-GB"/>
        </w:rPr>
        <w:t xml:space="preserve"> links </w:t>
      </w:r>
      <w:r w:rsidRPr="0019555C">
        <w:rPr>
          <w:lang w:val="en-GB" w:eastAsia="ja-JP"/>
        </w:rPr>
        <w:t xml:space="preserve">used for transport/trunking and mobile backhaul were damaged. Transportable FS equipment </w:t>
      </w:r>
      <w:r w:rsidRPr="0019555C">
        <w:rPr>
          <w:lang w:val="en-GB"/>
        </w:rPr>
        <w:t xml:space="preserve">using the 11 GHz-band </w:t>
      </w:r>
      <w:r w:rsidRPr="0019555C">
        <w:rPr>
          <w:lang w:val="en-GB" w:eastAsia="ja-JP"/>
        </w:rPr>
        <w:t>was</w:t>
      </w:r>
      <w:r w:rsidRPr="0019555C">
        <w:rPr>
          <w:lang w:val="en-GB"/>
        </w:rPr>
        <w:t xml:space="preserve"> used to recover damaged networks (see Table 2 in Annex 1 to Recommendation ITU-R F.1105).</w:t>
      </w:r>
      <w:r w:rsidRPr="0019555C">
        <w:rPr>
          <w:lang w:val="en-GB" w:eastAsia="ja-JP"/>
        </w:rPr>
        <w:t xml:space="preserve"> Moreover, during this earthquake, fifteen percent of damaged mobile base stations were recovered by using transportable FS equipment for temporary backhaul provision. During and after Hurricane Sandy in the United States in 2012, the physical-diversity made by independently-powerable fixed wireless backhaul systems continued to perform in areas where fibre backhaul had failed. Future challenges for disaster recovery links are (1) to increase the capacity/data rate, (2) to offer compatibility with the latest network interfaces</w:t>
      </w:r>
      <w:r w:rsidRPr="0019555C">
        <w:rPr>
          <w:lang w:val="en-GB"/>
        </w:rPr>
        <w:t>,</w:t>
      </w:r>
      <w:r w:rsidRPr="0019555C">
        <w:rPr>
          <w:lang w:val="en-GB" w:eastAsia="ja-JP"/>
        </w:rPr>
        <w:t xml:space="preserve"> and (3) to decrease power consumption, since these disaster recovery links should be operated by portable batteries or portable generators until power supplies are recovered.</w:t>
      </w:r>
    </w:p>
    <w:p w:rsidR="00016D83" w:rsidRPr="0019555C" w:rsidRDefault="00016D83" w:rsidP="00016D83">
      <w:pPr>
        <w:pStyle w:val="Heading3"/>
        <w:rPr>
          <w:lang w:val="en-GB"/>
        </w:rPr>
      </w:pPr>
      <w:bookmarkStart w:id="59" w:name="_Toc353866402"/>
      <w:bookmarkStart w:id="60" w:name="_Toc354769801"/>
      <w:bookmarkStart w:id="61" w:name="_Toc387091560"/>
      <w:bookmarkStart w:id="62" w:name="_Toc388871220"/>
      <w:bookmarkStart w:id="63" w:name="_Toc403043896"/>
      <w:bookmarkStart w:id="64" w:name="_Toc403044000"/>
      <w:bookmarkStart w:id="65" w:name="_Toc414014588"/>
      <w:bookmarkStart w:id="66" w:name="_Toc414014761"/>
      <w:r w:rsidRPr="0019555C">
        <w:rPr>
          <w:lang w:val="en-GB"/>
        </w:rPr>
        <w:t>2.4.2</w:t>
      </w:r>
      <w:r w:rsidRPr="0019555C">
        <w:rPr>
          <w:lang w:val="en-GB"/>
        </w:rPr>
        <w:tab/>
        <w:t>Electronic news gathering</w:t>
      </w:r>
      <w:bookmarkEnd w:id="59"/>
      <w:bookmarkEnd w:id="60"/>
      <w:bookmarkEnd w:id="61"/>
      <w:bookmarkEnd w:id="62"/>
      <w:bookmarkEnd w:id="63"/>
      <w:bookmarkEnd w:id="64"/>
      <w:bookmarkEnd w:id="65"/>
      <w:bookmarkEnd w:id="66"/>
    </w:p>
    <w:p w:rsidR="00016D83" w:rsidRPr="0019555C" w:rsidRDefault="00016D83" w:rsidP="00016D83">
      <w:pPr>
        <w:rPr>
          <w:lang w:val="en-GB" w:eastAsia="ja-JP"/>
        </w:rPr>
      </w:pPr>
      <w:r w:rsidRPr="0019555C">
        <w:rPr>
          <w:lang w:val="en-GB" w:eastAsia="ja-JP"/>
        </w:rPr>
        <w:t>Electronic news gathering (ENG) is another example of temporary use applications of FWS. System characteristics and user requirements for ENG and other broadcasting auxiliary services (BAS) in the fixed service are specified in Recommendation ITU-R F.1777. Report ITU-R BT.2069 provides information on the current status of ENG. ENG enables the relay of a live TV broadcast from various places where a wired network has not been installed. Existing wireless ENG links transmit digital high-definition (HD) videos using video signal compression, because the bandwidth of the wireless link is below 100 Mbit/s while the digital HD video standard for high definition serial digital interface (HD-SDI) signal has a data rate of 1.485 Gbit/s. The latency due to the video signal compression has made live TV program production difficult when the</w:t>
      </w:r>
      <w:r w:rsidRPr="0019555C">
        <w:rPr>
          <w:szCs w:val="24"/>
          <w:lang w:val="en-GB" w:eastAsia="ja-JP"/>
        </w:rPr>
        <w:t xml:space="preserve"> moving picture experts group </w:t>
      </w:r>
      <w:r w:rsidRPr="0019555C">
        <w:rPr>
          <w:lang w:val="en-GB" w:eastAsia="ja-JP"/>
        </w:rPr>
        <w:t xml:space="preserve">2 (MPEG-2) standard is used for video signal compression. Recent progress in video compression technologies, such as H.264/MPEG4 that is one of the most commonly used video compression format, reduces the latency due to video compression below 30 msec. Nonetheless, there is still a strong requirement for wireless links that can transmit HD-SDI signals without compression, because video compression deteriorates the video quality. The 60, 70 and 80 GHz </w:t>
      </w:r>
      <w:r w:rsidRPr="0019555C">
        <w:rPr>
          <w:lang w:val="en-GB" w:eastAsia="ja-JP"/>
        </w:rPr>
        <w:lastRenderedPageBreak/>
        <w:t xml:space="preserve">bands can support transmission of uncompressed HD-SDI signals and TV program material has already been transmitted using these bands. </w:t>
      </w:r>
    </w:p>
    <w:p w:rsidR="00016D83" w:rsidRPr="0019555C" w:rsidRDefault="00016D83" w:rsidP="00016D83">
      <w:pPr>
        <w:rPr>
          <w:i/>
          <w:lang w:val="en-GB" w:eastAsia="ja-JP"/>
        </w:rPr>
      </w:pPr>
      <w:r w:rsidRPr="0019555C">
        <w:rPr>
          <w:lang w:val="en-GB" w:eastAsia="ja-JP"/>
        </w:rPr>
        <w:t>New video standards, such as 3-dimentional television (3D-TV) (uncompressed transmission rate over 3 Gbit/s) and “4K” resolution videos (uncompressed transmission rate: over 6 Gbit/s) will need to be supported in the near future by wireless ENG links. Moreover, 8K resolution videos (uncompressed transmission rate: over 24 Gbit/s) that are called ultrahigh-definition television have been developed. In order to meet the increase in the data rate of the new video standard, the development of broadband ENG is required. Uncompressed transmission of 4K resolution videos has already been experimentally demonstrated using 60 GHz band and 120 GHz band wireless links.</w:t>
      </w:r>
    </w:p>
    <w:p w:rsidR="00016D83" w:rsidRPr="0019555C" w:rsidRDefault="00016D83" w:rsidP="00016D83">
      <w:pPr>
        <w:pStyle w:val="Heading2"/>
        <w:rPr>
          <w:lang w:val="en-GB" w:eastAsia="ja-JP"/>
        </w:rPr>
      </w:pPr>
      <w:bookmarkStart w:id="67" w:name="_Toc367780701"/>
      <w:bookmarkStart w:id="68" w:name="_Toc371585728"/>
      <w:bookmarkStart w:id="69" w:name="_Toc371585959"/>
      <w:bookmarkStart w:id="70" w:name="_Toc371586090"/>
      <w:bookmarkStart w:id="71" w:name="_Toc387091561"/>
      <w:bookmarkStart w:id="72" w:name="_Toc388871221"/>
      <w:bookmarkStart w:id="73" w:name="_Toc403043897"/>
      <w:bookmarkStart w:id="74" w:name="_Toc403044001"/>
      <w:bookmarkStart w:id="75" w:name="_Toc414014589"/>
      <w:bookmarkStart w:id="76" w:name="_Toc414014762"/>
      <w:r w:rsidRPr="0019555C">
        <w:rPr>
          <w:lang w:val="en-GB" w:eastAsia="ja-JP"/>
        </w:rPr>
        <w:t>2.5</w:t>
      </w:r>
      <w:r w:rsidRPr="0019555C">
        <w:rPr>
          <w:lang w:val="en-GB" w:eastAsia="ja-JP"/>
        </w:rPr>
        <w:tab/>
        <w:t>Low latency microwave applications</w:t>
      </w:r>
      <w:bookmarkEnd w:id="67"/>
      <w:bookmarkEnd w:id="68"/>
      <w:bookmarkEnd w:id="69"/>
      <w:bookmarkEnd w:id="70"/>
      <w:bookmarkEnd w:id="71"/>
      <w:bookmarkEnd w:id="72"/>
      <w:bookmarkEnd w:id="73"/>
      <w:bookmarkEnd w:id="74"/>
      <w:bookmarkEnd w:id="75"/>
      <w:bookmarkEnd w:id="76"/>
    </w:p>
    <w:p w:rsidR="00016D83" w:rsidRPr="0019555C" w:rsidRDefault="00016D83" w:rsidP="00016D83">
      <w:pPr>
        <w:rPr>
          <w:lang w:val="en-GB" w:eastAsia="ja-JP"/>
        </w:rPr>
      </w:pPr>
      <w:r w:rsidRPr="0019555C">
        <w:rPr>
          <w:lang w:val="en-GB" w:eastAsia="ja-JP"/>
        </w:rPr>
        <w:t>High-Speed Trading, also known as High Frequency Trading (HFT) in the financial sector, is a recent and growing addition to the list of applications supported by FWS. The concept behind this application is simple; reduce the time taken for financial trading instructions to be transmitted between major financial centres.</w:t>
      </w:r>
      <w:r w:rsidRPr="0019555C">
        <w:rPr>
          <w:lang w:val="en-GB"/>
        </w:rPr>
        <w:t xml:space="preserve"> The key is low latency point-to-point FWS. </w:t>
      </w:r>
      <w:r w:rsidRPr="0019555C">
        <w:rPr>
          <w:lang w:val="en-GB" w:eastAsia="ja-JP"/>
        </w:rPr>
        <w:t>Typically, low latency private microwave links are used to “replace” traditional fibre based networks linking financial centers. The business driver for microwave-instead-of-fibre in low latency is the time it takes to transmit trading instructions. With microwave, latency is reduced by a few milliseconds as compared to fibre. Nevertheless, those few milliseconds can translate into a trading edge over rival investors, which translate into increased revenue. It is this increased revenue that is driving investment in this applications.</w:t>
      </w:r>
    </w:p>
    <w:p w:rsidR="00016D83" w:rsidRPr="0019555C" w:rsidRDefault="00016D83" w:rsidP="00016D83">
      <w:pPr>
        <w:rPr>
          <w:lang w:val="en-GB" w:eastAsia="ja-JP"/>
        </w:rPr>
      </w:pPr>
      <w:r w:rsidRPr="0019555C">
        <w:rPr>
          <w:lang w:val="en-GB" w:eastAsia="ja-JP"/>
        </w:rPr>
        <w:t>There are challenges to building these networks, especially as the single most important factor to the users is “speed”. This user emphasis on speed may have an impact on operators’ deployment decisions. For example, link capacity may be sacrificed in order to achieve the lowest possible latency through the network by use of lower order modulation (16/32 QAM) schemes in preference to the current industry trend of moving to ever higher modulation schemes such at 256/512 QAM. Network availability can be sacrificed to some degree because the pre-low latency fibre network is still operational, meaning that four 9’s availability is often acceptable in this application whereas in many other networks five 9’s availability is part of the design criteria. The rationale behind this is to “stretch” the length link in order to keep the number of regenerators to an absolute minimum as each regenerator will add to the overall latency of the network.</w:t>
      </w:r>
    </w:p>
    <w:p w:rsidR="00016D83" w:rsidRPr="0019555C" w:rsidRDefault="00016D83" w:rsidP="00016D83">
      <w:pPr>
        <w:rPr>
          <w:lang w:val="en-GB" w:eastAsia="ja-JP"/>
        </w:rPr>
      </w:pPr>
      <w:r w:rsidRPr="0019555C">
        <w:rPr>
          <w:lang w:val="en-GB" w:eastAsia="ja-JP"/>
        </w:rPr>
        <w:t>In addition, the latency in IP/Ethernet based networks of new generation of mobile systems plays a significant role (certainly for VoIP, but also for other system considerations) and it is commonly understood that it should be kept under control and as low as possible. Therefore, the lower latency of radio links versus fibre optic links remains an advantage for Fixed links applications.</w:t>
      </w:r>
      <w:bookmarkStart w:id="77" w:name="_Toc353866403"/>
      <w:bookmarkStart w:id="78" w:name="_Toc354769802"/>
      <w:bookmarkStart w:id="79" w:name="_Toc387091562"/>
    </w:p>
    <w:p w:rsidR="00016D83" w:rsidRPr="0019555C" w:rsidRDefault="00016D83" w:rsidP="00016D83">
      <w:pPr>
        <w:pStyle w:val="Heading1"/>
        <w:rPr>
          <w:lang w:val="en-GB" w:eastAsia="ja-JP"/>
        </w:rPr>
      </w:pPr>
      <w:bookmarkStart w:id="80" w:name="_Toc388871222"/>
      <w:bookmarkStart w:id="81" w:name="_Toc403043898"/>
      <w:bookmarkStart w:id="82" w:name="_Toc403044002"/>
      <w:bookmarkStart w:id="83" w:name="_Toc414014590"/>
      <w:bookmarkStart w:id="84" w:name="_Toc414014763"/>
      <w:r w:rsidRPr="0019555C">
        <w:rPr>
          <w:lang w:val="en-GB" w:eastAsia="ja-JP"/>
        </w:rPr>
        <w:t>3</w:t>
      </w:r>
      <w:r w:rsidRPr="0019555C">
        <w:rPr>
          <w:lang w:val="en-GB"/>
        </w:rPr>
        <w:tab/>
        <w:t>FWS band usage</w:t>
      </w:r>
      <w:bookmarkEnd w:id="77"/>
      <w:bookmarkEnd w:id="78"/>
      <w:bookmarkEnd w:id="79"/>
      <w:bookmarkEnd w:id="80"/>
      <w:bookmarkEnd w:id="81"/>
      <w:bookmarkEnd w:id="82"/>
      <w:bookmarkEnd w:id="83"/>
      <w:bookmarkEnd w:id="84"/>
    </w:p>
    <w:p w:rsidR="00016D83" w:rsidRPr="0019555C" w:rsidRDefault="00016D83" w:rsidP="00016D83">
      <w:pPr>
        <w:pStyle w:val="Heading2"/>
        <w:rPr>
          <w:lang w:val="en-GB"/>
        </w:rPr>
      </w:pPr>
      <w:bookmarkStart w:id="85" w:name="_Toc353866404"/>
      <w:bookmarkStart w:id="86" w:name="_Toc354769803"/>
      <w:bookmarkStart w:id="87" w:name="_Toc387091563"/>
      <w:bookmarkStart w:id="88" w:name="_Toc388871223"/>
      <w:bookmarkStart w:id="89" w:name="_Toc403043899"/>
      <w:bookmarkStart w:id="90" w:name="_Toc403044003"/>
      <w:bookmarkStart w:id="91" w:name="_Toc414014591"/>
      <w:bookmarkStart w:id="92" w:name="_Toc414014764"/>
      <w:r w:rsidRPr="0019555C">
        <w:rPr>
          <w:lang w:val="en-GB"/>
        </w:rPr>
        <w:t>3.1</w:t>
      </w:r>
      <w:r w:rsidRPr="0019555C">
        <w:rPr>
          <w:lang w:val="en-GB"/>
        </w:rPr>
        <w:tab/>
        <w:t>General consideration</w:t>
      </w:r>
      <w:bookmarkEnd w:id="85"/>
      <w:bookmarkEnd w:id="86"/>
      <w:bookmarkEnd w:id="87"/>
      <w:bookmarkEnd w:id="88"/>
      <w:bookmarkEnd w:id="89"/>
      <w:bookmarkEnd w:id="90"/>
      <w:bookmarkEnd w:id="91"/>
      <w:bookmarkEnd w:id="92"/>
    </w:p>
    <w:p w:rsidR="00016D83" w:rsidRPr="0019555C" w:rsidRDefault="00016D83" w:rsidP="00016D83">
      <w:pPr>
        <w:rPr>
          <w:lang w:val="en-GB" w:eastAsia="ja-JP"/>
        </w:rPr>
      </w:pPr>
      <w:r w:rsidRPr="0019555C">
        <w:rPr>
          <w:lang w:val="en-GB"/>
        </w:rPr>
        <w:t xml:space="preserve">Figure </w:t>
      </w:r>
      <w:r w:rsidRPr="0019555C">
        <w:rPr>
          <w:lang w:val="en-GB" w:eastAsia="ja-JP"/>
        </w:rPr>
        <w:t>3 shows the trend in the use of higher frequency bands by the FS, which can be seen from the approval years of ITU-R F-Series Recommendations on RF frequency arrangements. In 2012, ITU</w:t>
      </w:r>
      <w:r w:rsidRPr="0019555C">
        <w:rPr>
          <w:lang w:val="en-GB" w:eastAsia="ja-JP"/>
        </w:rPr>
        <w:noBreakHyphen/>
        <w:t xml:space="preserve">R F-Series Recommendations for radio-frequency channel and block arrangements were approved for the 71-76 and 81-86 GHz bands (Recommendation </w:t>
      </w:r>
      <w:hyperlink r:id="rId17" w:history="1">
        <w:r w:rsidRPr="0019555C">
          <w:rPr>
            <w:rStyle w:val="Hyperlink"/>
            <w:lang w:val="en-GB" w:eastAsia="ja-JP"/>
          </w:rPr>
          <w:t>ITU-R F.2006</w:t>
        </w:r>
      </w:hyperlink>
      <w:r w:rsidRPr="0019555C">
        <w:rPr>
          <w:lang w:val="en-GB" w:eastAsia="ja-JP"/>
        </w:rPr>
        <w:t xml:space="preserve">) and the 92-95 GHz band (Recommendation </w:t>
      </w:r>
      <w:hyperlink r:id="rId18" w:history="1">
        <w:r w:rsidRPr="0019555C">
          <w:rPr>
            <w:rStyle w:val="Hyperlink"/>
            <w:lang w:val="en-GB" w:eastAsia="ja-JP"/>
          </w:rPr>
          <w:t>ITU-R F.2004</w:t>
        </w:r>
      </w:hyperlink>
      <w:r w:rsidRPr="0019555C">
        <w:rPr>
          <w:lang w:val="en-GB" w:eastAsia="ja-JP"/>
        </w:rPr>
        <w:t>). Moreover Report ITU-R F.2107-2 that covers bands up to 134 GHz was approved in 2011.</w:t>
      </w:r>
    </w:p>
    <w:p w:rsidR="00016D83" w:rsidRPr="0019555C" w:rsidRDefault="00016D83" w:rsidP="00016D83">
      <w:pPr>
        <w:rPr>
          <w:lang w:val="en-GB" w:eastAsia="ja-JP"/>
        </w:rPr>
      </w:pPr>
      <w:r w:rsidRPr="0019555C">
        <w:rPr>
          <w:lang w:val="en-GB" w:eastAsia="ja-JP"/>
        </w:rPr>
        <w:t xml:space="preserve">This trend indicates that studies in </w:t>
      </w:r>
      <w:r w:rsidRPr="0019555C">
        <w:rPr>
          <w:lang w:val="en-GB"/>
        </w:rPr>
        <w:t>ITU-R </w:t>
      </w:r>
      <w:r w:rsidRPr="0019555C">
        <w:rPr>
          <w:lang w:val="en-GB" w:eastAsia="ja-JP"/>
        </w:rPr>
        <w:t>on</w:t>
      </w:r>
      <w:r w:rsidRPr="0019555C">
        <w:rPr>
          <w:lang w:val="en-GB"/>
        </w:rPr>
        <w:t xml:space="preserve"> frequencies over 100 GHz will likely be required before 2020.</w:t>
      </w:r>
    </w:p>
    <w:p w:rsidR="00016D83" w:rsidRPr="0019555C" w:rsidRDefault="00016D83" w:rsidP="0003708E">
      <w:pPr>
        <w:pStyle w:val="FigureNo"/>
        <w:rPr>
          <w:lang w:val="en-GB"/>
        </w:rPr>
      </w:pPr>
      <w:r w:rsidRPr="005840E3">
        <w:rPr>
          <w:lang w:val="en-US"/>
        </w:rPr>
        <w:lastRenderedPageBreak/>
        <w:t>FIGURE</w:t>
      </w:r>
      <w:r w:rsidRPr="0019555C">
        <w:rPr>
          <w:lang w:val="en-GB"/>
        </w:rPr>
        <w:t xml:space="preserve"> 3</w:t>
      </w:r>
    </w:p>
    <w:p w:rsidR="00016D83" w:rsidRPr="0019555C" w:rsidRDefault="00016D83" w:rsidP="0003708E">
      <w:pPr>
        <w:pStyle w:val="Figuretitle"/>
        <w:rPr>
          <w:lang w:val="en-GB" w:eastAsia="ja-JP"/>
        </w:rPr>
      </w:pPr>
      <w:r w:rsidRPr="0019555C">
        <w:rPr>
          <w:lang w:val="en-GB" w:eastAsia="ja-JP"/>
        </w:rPr>
        <w:t xml:space="preserve">Exploitation of </w:t>
      </w:r>
      <w:r w:rsidRPr="0019555C">
        <w:rPr>
          <w:lang w:val="en-GB"/>
        </w:rPr>
        <w:t>higher</w:t>
      </w:r>
      <w:r w:rsidRPr="0019555C">
        <w:rPr>
          <w:lang w:val="en-GB" w:eastAsia="ja-JP"/>
        </w:rPr>
        <w:t xml:space="preserve"> </w:t>
      </w:r>
      <w:r w:rsidRPr="0019555C">
        <w:rPr>
          <w:lang w:val="en-GB"/>
        </w:rPr>
        <w:t>frequency</w:t>
      </w:r>
      <w:r w:rsidRPr="0019555C">
        <w:rPr>
          <w:lang w:val="en-GB" w:eastAsia="ja-JP"/>
        </w:rPr>
        <w:t xml:space="preserve"> bands in FS</w:t>
      </w:r>
    </w:p>
    <w:p w:rsidR="00016D83" w:rsidRPr="0019555C" w:rsidRDefault="00016D83" w:rsidP="0003708E">
      <w:pPr>
        <w:pStyle w:val="Figure"/>
        <w:rPr>
          <w:lang w:val="en-GB" w:eastAsia="ja-JP"/>
        </w:rPr>
      </w:pPr>
      <w:r w:rsidRPr="0003708E">
        <w:rPr>
          <w:noProof/>
          <w:lang w:val="en-US" w:eastAsia="zh-CN"/>
        </w:rPr>
        <w:drawing>
          <wp:inline distT="0" distB="0" distL="0" distR="0" wp14:anchorId="25A89C78" wp14:editId="508775AB">
            <wp:extent cx="4725289" cy="2698940"/>
            <wp:effectExtent l="0" t="0" r="0" b="0"/>
            <wp:docPr id="2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周波数_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4686" cy="2704307"/>
                    </a:xfrm>
                    <a:prstGeom prst="rect">
                      <a:avLst/>
                    </a:prstGeom>
                  </pic:spPr>
                </pic:pic>
              </a:graphicData>
            </a:graphic>
          </wp:inline>
        </w:drawing>
      </w:r>
    </w:p>
    <w:p w:rsidR="00016D83" w:rsidRPr="0019555C" w:rsidRDefault="00016D83" w:rsidP="00016D83">
      <w:pPr>
        <w:rPr>
          <w:lang w:val="en-GB"/>
        </w:rPr>
      </w:pPr>
      <w:r w:rsidRPr="0019555C">
        <w:rPr>
          <w:lang w:val="en-GB"/>
        </w:rPr>
        <w:t xml:space="preserve">Figure </w:t>
      </w:r>
      <w:r w:rsidRPr="0019555C">
        <w:rPr>
          <w:lang w:val="en-GB" w:eastAsia="ja-JP"/>
        </w:rPr>
        <w:t>4 shows the trend of the bandwidth of FS, which is reflected from the approval</w:t>
      </w:r>
      <w:r w:rsidRPr="0019555C">
        <w:rPr>
          <w:lang w:val="en-GB"/>
        </w:rPr>
        <w:t xml:space="preserve"> </w:t>
      </w:r>
      <w:r w:rsidRPr="0019555C">
        <w:rPr>
          <w:lang w:val="en-GB" w:eastAsia="ja-JP"/>
        </w:rPr>
        <w:t>years of ITU</w:t>
      </w:r>
      <w:r w:rsidRPr="0019555C">
        <w:rPr>
          <w:lang w:val="en-GB" w:eastAsia="ja-JP"/>
        </w:rPr>
        <w:noBreakHyphen/>
        <w:t>R F-Series Recommendations on RF frequency arrangements. Before 2002, the maximum RF bandwidth per channel and total bandwidth in the 18 GHz band were 220 MHz and 2 000 MHz, respectively. The 38 GHz band, which is sometimes licensed in wide-area blocks, was capable in 2002 of supporting 200 links per square km</w:t>
      </w:r>
      <w:r w:rsidRPr="0019555C">
        <w:rPr>
          <w:rStyle w:val="FootnoteReference"/>
          <w:lang w:val="en-GB"/>
        </w:rPr>
        <w:footnoteReference w:id="5"/>
      </w:r>
      <w:r w:rsidRPr="0019555C">
        <w:rPr>
          <w:szCs w:val="24"/>
          <w:lang w:val="en-GB" w:eastAsia="ja-JP"/>
        </w:rPr>
        <w:t xml:space="preserve">. </w:t>
      </w:r>
      <w:r w:rsidRPr="0019555C">
        <w:rPr>
          <w:lang w:val="en-GB" w:eastAsia="ja-JP"/>
        </w:rPr>
        <w:t xml:space="preserve">In 2012, the ITU-R F-Series Recommendation for radio-frequency channel and block arrangements in the 71-76 and 81-86 GHz bands (Recommendation ITU-R F.2006) provides a bandwidth per channel up to 5 GHz, enabling 10 Gbit/s data transmission. The maximum transmission distance of </w:t>
      </w:r>
      <w:r w:rsidRPr="0019555C">
        <w:rPr>
          <w:lang w:val="en-GB"/>
        </w:rPr>
        <w:t>FWS in the 71-76 and 81</w:t>
      </w:r>
      <w:r w:rsidRPr="0019555C">
        <w:rPr>
          <w:lang w:val="en-GB"/>
        </w:rPr>
        <w:noBreakHyphen/>
        <w:t xml:space="preserve">86 GHz bands </w:t>
      </w:r>
      <w:r w:rsidRPr="0019555C">
        <w:rPr>
          <w:lang w:val="en-GB" w:eastAsia="ja-JP"/>
        </w:rPr>
        <w:t>is only a few kilometres (depending on channel bandwidth, rain intensity and modulation format). Therefore, the frequency reuse efficiency is</w:t>
      </w:r>
      <w:r w:rsidRPr="0019555C">
        <w:rPr>
          <w:lang w:val="en-GB"/>
        </w:rPr>
        <w:t xml:space="preserve"> expected to be very high </w:t>
      </w:r>
      <w:r w:rsidRPr="0019555C">
        <w:rPr>
          <w:lang w:val="en-GB" w:eastAsia="ja-JP"/>
        </w:rPr>
        <w:t>in the case of FWS in the 71-76</w:t>
      </w:r>
      <w:r w:rsidRPr="0019555C">
        <w:rPr>
          <w:lang w:val="en-GB"/>
        </w:rPr>
        <w:t xml:space="preserve"> and </w:t>
      </w:r>
      <w:r w:rsidRPr="0019555C">
        <w:rPr>
          <w:lang w:val="en-GB" w:eastAsia="ja-JP"/>
        </w:rPr>
        <w:t>81-86 GHz</w:t>
      </w:r>
      <w:r w:rsidRPr="0019555C">
        <w:rPr>
          <w:lang w:val="en-GB"/>
        </w:rPr>
        <w:t xml:space="preserve"> bands</w:t>
      </w:r>
      <w:r w:rsidRPr="0019555C">
        <w:rPr>
          <w:lang w:val="en-GB" w:eastAsia="ja-JP"/>
        </w:rPr>
        <w:t>.</w:t>
      </w:r>
      <w:r w:rsidRPr="0019555C" w:rsidDel="001F0A42">
        <w:rPr>
          <w:lang w:val="en-GB" w:eastAsia="ja-JP"/>
        </w:rPr>
        <w:t xml:space="preserve"> </w:t>
      </w:r>
    </w:p>
    <w:p w:rsidR="00016D83" w:rsidRPr="0019555C" w:rsidRDefault="00016D83" w:rsidP="00016D83">
      <w:pPr>
        <w:pStyle w:val="FigureNo"/>
        <w:rPr>
          <w:szCs w:val="18"/>
          <w:lang w:val="en-GB" w:eastAsia="ja-JP"/>
        </w:rPr>
      </w:pPr>
      <w:r w:rsidRPr="0019555C">
        <w:rPr>
          <w:lang w:val="en-GB"/>
        </w:rPr>
        <w:t>FIGURE</w:t>
      </w:r>
      <w:r w:rsidRPr="0019555C">
        <w:rPr>
          <w:szCs w:val="18"/>
          <w:lang w:val="en-GB"/>
        </w:rPr>
        <w:t xml:space="preserve"> </w:t>
      </w:r>
      <w:r w:rsidRPr="0019555C">
        <w:rPr>
          <w:szCs w:val="18"/>
          <w:lang w:val="en-GB" w:eastAsia="ja-JP"/>
        </w:rPr>
        <w:t>4</w:t>
      </w:r>
    </w:p>
    <w:p w:rsidR="00016D83" w:rsidRPr="0019555C" w:rsidRDefault="00016D83" w:rsidP="00016D83">
      <w:pPr>
        <w:pStyle w:val="Figuretitle"/>
        <w:rPr>
          <w:lang w:val="en-GB" w:eastAsia="ja-JP"/>
        </w:rPr>
      </w:pPr>
      <w:r w:rsidRPr="0019555C">
        <w:rPr>
          <w:lang w:val="en-GB" w:eastAsia="ja-JP"/>
        </w:rPr>
        <w:t xml:space="preserve">Bandwidth </w:t>
      </w:r>
      <w:r w:rsidRPr="0019555C">
        <w:rPr>
          <w:lang w:val="en-GB"/>
        </w:rPr>
        <w:t>of</w:t>
      </w:r>
      <w:r w:rsidRPr="0019555C">
        <w:rPr>
          <w:lang w:val="en-GB" w:eastAsia="ja-JP"/>
        </w:rPr>
        <w:t xml:space="preserve"> the FS</w:t>
      </w:r>
    </w:p>
    <w:p w:rsidR="00016D83" w:rsidRPr="0019555C" w:rsidRDefault="00016D83" w:rsidP="00016D83">
      <w:pPr>
        <w:pStyle w:val="Figure"/>
        <w:rPr>
          <w:sz w:val="22"/>
          <w:szCs w:val="22"/>
          <w:lang w:val="en-GB" w:eastAsia="ja-JP"/>
        </w:rPr>
      </w:pPr>
      <w:r w:rsidRPr="0019555C">
        <w:rPr>
          <w:noProof/>
          <w:lang w:val="en-US" w:eastAsia="zh-CN"/>
        </w:rPr>
        <w:drawing>
          <wp:inline distT="0" distB="0" distL="0" distR="0" wp14:anchorId="77BA054C" wp14:editId="366A2F31">
            <wp:extent cx="4586631" cy="2619743"/>
            <wp:effectExtent l="0" t="0" r="0" b="0"/>
            <wp:docPr id="1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周波数チャネル.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94155" cy="2624041"/>
                    </a:xfrm>
                    <a:prstGeom prst="rect">
                      <a:avLst/>
                    </a:prstGeom>
                  </pic:spPr>
                </pic:pic>
              </a:graphicData>
            </a:graphic>
          </wp:inline>
        </w:drawing>
      </w:r>
    </w:p>
    <w:p w:rsidR="00016D83" w:rsidRPr="0019555C" w:rsidRDefault="00016D83" w:rsidP="00016D83">
      <w:pPr>
        <w:pStyle w:val="Heading2"/>
        <w:rPr>
          <w:lang w:val="en-GB"/>
        </w:rPr>
      </w:pPr>
      <w:bookmarkStart w:id="93" w:name="_Toc353866405"/>
      <w:bookmarkStart w:id="94" w:name="_Toc354769804"/>
      <w:bookmarkStart w:id="95" w:name="_Toc387091564"/>
      <w:bookmarkStart w:id="96" w:name="_Toc388871224"/>
      <w:bookmarkStart w:id="97" w:name="_Toc403043900"/>
      <w:bookmarkStart w:id="98" w:name="_Toc403044004"/>
      <w:bookmarkStart w:id="99" w:name="_Toc414014592"/>
      <w:bookmarkStart w:id="100" w:name="_Toc414014765"/>
      <w:r w:rsidRPr="0019555C">
        <w:rPr>
          <w:lang w:val="en-GB"/>
        </w:rPr>
        <w:lastRenderedPageBreak/>
        <w:t>3.2</w:t>
      </w:r>
      <w:r w:rsidRPr="0019555C">
        <w:rPr>
          <w:lang w:val="en-GB"/>
        </w:rPr>
        <w:tab/>
        <w:t>Spectrum use in each band</w:t>
      </w:r>
      <w:bookmarkEnd w:id="93"/>
      <w:bookmarkEnd w:id="94"/>
      <w:bookmarkEnd w:id="95"/>
      <w:bookmarkEnd w:id="96"/>
      <w:bookmarkEnd w:id="97"/>
      <w:bookmarkEnd w:id="98"/>
      <w:bookmarkEnd w:id="99"/>
      <w:bookmarkEnd w:id="100"/>
    </w:p>
    <w:p w:rsidR="00016D83" w:rsidRPr="0019555C" w:rsidRDefault="00016D83" w:rsidP="00016D83">
      <w:pPr>
        <w:rPr>
          <w:lang w:val="en-GB" w:eastAsia="ja-JP"/>
        </w:rPr>
      </w:pPr>
      <w:r w:rsidRPr="0019555C">
        <w:rPr>
          <w:lang w:val="en-GB" w:eastAsia="ja-JP"/>
        </w:rPr>
        <w:t>As an</w:t>
      </w:r>
      <w:r w:rsidRPr="0019555C">
        <w:rPr>
          <w:lang w:val="en-GB"/>
        </w:rPr>
        <w:t xml:space="preserve"> overview </w:t>
      </w:r>
      <w:r w:rsidRPr="0019555C">
        <w:rPr>
          <w:lang w:val="en-GB" w:eastAsia="ja-JP"/>
        </w:rPr>
        <w:t xml:space="preserve">of </w:t>
      </w:r>
      <w:r w:rsidRPr="0019555C">
        <w:rPr>
          <w:lang w:val="en-GB"/>
        </w:rPr>
        <w:t>the trend of FS bands in detail, Table 1 summarizes characteristics and applications of the fixed service described in the ITU-R F-</w:t>
      </w:r>
      <w:r w:rsidRPr="0019555C">
        <w:rPr>
          <w:lang w:val="en-GB" w:eastAsia="ja-JP"/>
        </w:rPr>
        <w:t>s</w:t>
      </w:r>
      <w:r w:rsidRPr="0019555C">
        <w:rPr>
          <w:lang w:val="en-GB"/>
        </w:rPr>
        <w:t>eries Recommendations on RF channel arrangements above 1 GHz. All the ITU-R F-</w:t>
      </w:r>
      <w:r w:rsidRPr="0019555C">
        <w:rPr>
          <w:lang w:val="en-GB" w:eastAsia="ja-JP"/>
        </w:rPr>
        <w:t>s</w:t>
      </w:r>
      <w:r w:rsidRPr="0019555C">
        <w:rPr>
          <w:lang w:val="en-GB"/>
        </w:rPr>
        <w:t xml:space="preserve">eries Recommendations for the bands above 40 GHz were </w:t>
      </w:r>
      <w:r w:rsidRPr="0019555C">
        <w:rPr>
          <w:lang w:val="en-GB" w:eastAsia="ja-JP"/>
        </w:rPr>
        <w:t>approved</w:t>
      </w:r>
      <w:r w:rsidRPr="0019555C">
        <w:rPr>
          <w:lang w:val="en-GB"/>
        </w:rPr>
        <w:t xml:space="preserve"> after 2000.</w:t>
      </w:r>
    </w:p>
    <w:p w:rsidR="00016D83" w:rsidRPr="0019555C" w:rsidRDefault="00016D83" w:rsidP="00016D83">
      <w:pPr>
        <w:rPr>
          <w:lang w:val="en-GB"/>
        </w:rPr>
      </w:pPr>
      <w:r w:rsidRPr="0019555C">
        <w:rPr>
          <w:lang w:val="en-GB" w:eastAsia="ja-JP"/>
        </w:rPr>
        <w:t>It is noted that the</w:t>
      </w:r>
      <w:r w:rsidRPr="0019555C">
        <w:rPr>
          <w:lang w:val="en-GB"/>
        </w:rPr>
        <w:t xml:space="preserve"> bandwidths of several FS band</w:t>
      </w:r>
      <w:r w:rsidRPr="0019555C">
        <w:rPr>
          <w:lang w:val="en-GB" w:eastAsia="ja-JP"/>
        </w:rPr>
        <w:t xml:space="preserve"> segment</w:t>
      </w:r>
      <w:r w:rsidRPr="0019555C">
        <w:rPr>
          <w:lang w:val="en-GB"/>
        </w:rPr>
        <w:t xml:space="preserve">s above 40 GHz exceed 3 GHz, and </w:t>
      </w:r>
      <w:r w:rsidRPr="0019555C">
        <w:rPr>
          <w:lang w:val="en-GB" w:eastAsia="ja-JP"/>
        </w:rPr>
        <w:t>that, according to the relevant Recommendations on RF channel arrangements,</w:t>
      </w:r>
      <w:r w:rsidRPr="0019555C">
        <w:rPr>
          <w:lang w:val="en-GB"/>
        </w:rPr>
        <w:t xml:space="preserve"> the bandwidth</w:t>
      </w:r>
      <w:r w:rsidRPr="0019555C">
        <w:rPr>
          <w:lang w:val="en-GB" w:eastAsia="ja-JP"/>
        </w:rPr>
        <w:t>s</w:t>
      </w:r>
      <w:r w:rsidRPr="0019555C">
        <w:rPr>
          <w:lang w:val="en-GB"/>
        </w:rPr>
        <w:t xml:space="preserve"> per channel </w:t>
      </w:r>
      <w:r w:rsidRPr="0019555C">
        <w:rPr>
          <w:lang w:val="en-GB" w:eastAsia="ja-JP"/>
        </w:rPr>
        <w:t>are also increasing in the higher frequency bands (e.g. in</w:t>
      </w:r>
      <w:r w:rsidRPr="0019555C">
        <w:rPr>
          <w:lang w:val="en-GB"/>
        </w:rPr>
        <w:t xml:space="preserve"> </w:t>
      </w:r>
      <w:r w:rsidRPr="0019555C">
        <w:rPr>
          <w:lang w:val="en-GB" w:eastAsia="ja-JP"/>
        </w:rPr>
        <w:t>the</w:t>
      </w:r>
      <w:r w:rsidRPr="0019555C">
        <w:rPr>
          <w:lang w:val="en-GB"/>
        </w:rPr>
        <w:t xml:space="preserve"> 70 and 80 GHz </w:t>
      </w:r>
      <w:r w:rsidRPr="0019555C">
        <w:rPr>
          <w:lang w:val="en-GB" w:eastAsia="ja-JP"/>
        </w:rPr>
        <w:t>band it becomes</w:t>
      </w:r>
      <w:r w:rsidRPr="0019555C">
        <w:rPr>
          <w:lang w:val="en-GB"/>
        </w:rPr>
        <w:t xml:space="preserve"> over 1 GHz</w:t>
      </w:r>
      <w:r w:rsidRPr="0019555C">
        <w:rPr>
          <w:lang w:val="en-GB" w:eastAsia="ja-JP"/>
        </w:rPr>
        <w:t>)</w:t>
      </w:r>
      <w:r w:rsidRPr="0019555C">
        <w:rPr>
          <w:lang w:val="en-GB"/>
        </w:rPr>
        <w:t xml:space="preserve">. This trend </w:t>
      </w:r>
      <w:r w:rsidRPr="0019555C">
        <w:rPr>
          <w:lang w:val="en-GB" w:eastAsia="ja-JP"/>
        </w:rPr>
        <w:t>is a result of</w:t>
      </w:r>
      <w:r w:rsidRPr="0019555C">
        <w:rPr>
          <w:lang w:val="en-GB"/>
        </w:rPr>
        <w:t xml:space="preserve"> the </w:t>
      </w:r>
      <w:r w:rsidRPr="0019555C">
        <w:rPr>
          <w:lang w:val="en-GB" w:eastAsia="ja-JP"/>
        </w:rPr>
        <w:t>congestions</w:t>
      </w:r>
      <w:r w:rsidRPr="0019555C">
        <w:rPr>
          <w:lang w:val="en-GB"/>
        </w:rPr>
        <w:t xml:space="preserve"> of certain frequency resources below 40 GHz and the increase in the demands for broadband FS.</w:t>
      </w:r>
    </w:p>
    <w:p w:rsidR="00016D83" w:rsidRPr="0019555C" w:rsidRDefault="00016D83" w:rsidP="0003708E">
      <w:pPr>
        <w:pStyle w:val="TableNo"/>
        <w:rPr>
          <w:szCs w:val="18"/>
          <w:lang w:val="en-GB"/>
        </w:rPr>
      </w:pPr>
      <w:r w:rsidRPr="0019555C">
        <w:rPr>
          <w:lang w:val="en-GB" w:eastAsia="ja-JP"/>
        </w:rPr>
        <w:t>TABLE</w:t>
      </w:r>
      <w:r w:rsidRPr="0019555C">
        <w:rPr>
          <w:szCs w:val="18"/>
          <w:lang w:val="en-GB"/>
        </w:rPr>
        <w:t xml:space="preserve"> 1</w:t>
      </w:r>
    </w:p>
    <w:p w:rsidR="00016D83" w:rsidRPr="0019555C" w:rsidRDefault="00016D83" w:rsidP="0003708E">
      <w:pPr>
        <w:pStyle w:val="Tabletitle"/>
        <w:rPr>
          <w:lang w:val="en-GB" w:eastAsia="ja-JP"/>
        </w:rPr>
      </w:pPr>
      <w:r w:rsidRPr="0019555C">
        <w:rPr>
          <w:lang w:val="en-GB" w:eastAsia="ja-JP"/>
        </w:rPr>
        <w:t>Example of c</w:t>
      </w:r>
      <w:r w:rsidRPr="0019555C">
        <w:rPr>
          <w:lang w:val="en-GB"/>
        </w:rPr>
        <w:t xml:space="preserve">haracteristics and applications of frequency bands for the Fixed Service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2569"/>
        <w:gridCol w:w="2062"/>
        <w:gridCol w:w="2035"/>
        <w:gridCol w:w="1495"/>
      </w:tblGrid>
      <w:tr w:rsidR="00016D83" w:rsidRPr="0019555C" w:rsidTr="0003708E">
        <w:trPr>
          <w:cantSplit/>
          <w:tblHeader/>
          <w:jc w:val="center"/>
        </w:trPr>
        <w:tc>
          <w:tcPr>
            <w:tcW w:w="1478" w:type="dxa"/>
            <w:shd w:val="clear" w:color="auto" w:fill="FFFFFF"/>
            <w:vAlign w:val="center"/>
          </w:tcPr>
          <w:p w:rsidR="00016D83" w:rsidRPr="0019555C" w:rsidRDefault="00016D83" w:rsidP="00A330D0">
            <w:pPr>
              <w:pStyle w:val="Tablehead"/>
              <w:rPr>
                <w:lang w:val="en-GB"/>
              </w:rPr>
            </w:pPr>
            <w:r w:rsidRPr="0019555C">
              <w:rPr>
                <w:lang w:val="en-GB"/>
              </w:rPr>
              <w:t>Band</w:t>
            </w:r>
            <w:r w:rsidRPr="0019555C">
              <w:rPr>
                <w:lang w:val="en-GB"/>
              </w:rPr>
              <w:br/>
              <w:t>(GHz)</w:t>
            </w:r>
          </w:p>
        </w:tc>
        <w:tc>
          <w:tcPr>
            <w:tcW w:w="2569" w:type="dxa"/>
            <w:shd w:val="clear" w:color="auto" w:fill="FFFFFF"/>
            <w:vAlign w:val="center"/>
          </w:tcPr>
          <w:p w:rsidR="00016D83" w:rsidRPr="0019555C" w:rsidRDefault="00016D83" w:rsidP="00A330D0">
            <w:pPr>
              <w:pStyle w:val="Tablehead"/>
              <w:rPr>
                <w:lang w:val="en-GB"/>
              </w:rPr>
            </w:pPr>
            <w:r w:rsidRPr="0019555C">
              <w:rPr>
                <w:lang w:val="en-GB"/>
              </w:rPr>
              <w:t>Typical applications</w:t>
            </w:r>
          </w:p>
        </w:tc>
        <w:tc>
          <w:tcPr>
            <w:tcW w:w="2062" w:type="dxa"/>
            <w:shd w:val="clear" w:color="auto" w:fill="FFFFFF"/>
            <w:vAlign w:val="center"/>
          </w:tcPr>
          <w:p w:rsidR="00016D83" w:rsidRPr="0019555C" w:rsidRDefault="00016D83" w:rsidP="00A330D0">
            <w:pPr>
              <w:pStyle w:val="Tablehead"/>
              <w:rPr>
                <w:lang w:val="en-GB"/>
              </w:rPr>
            </w:pPr>
            <w:r w:rsidRPr="0019555C">
              <w:rPr>
                <w:lang w:val="en-GB"/>
              </w:rPr>
              <w:t>Recommendation ITU-R</w:t>
            </w:r>
          </w:p>
        </w:tc>
        <w:tc>
          <w:tcPr>
            <w:tcW w:w="2035" w:type="dxa"/>
            <w:shd w:val="clear" w:color="auto" w:fill="FFFFFF"/>
            <w:vAlign w:val="center"/>
          </w:tcPr>
          <w:p w:rsidR="00016D83" w:rsidRPr="0019555C" w:rsidRDefault="00016D83" w:rsidP="00A330D0">
            <w:pPr>
              <w:pStyle w:val="Tablehead"/>
              <w:rPr>
                <w:lang w:val="en-GB"/>
              </w:rPr>
            </w:pPr>
            <w:r w:rsidRPr="0019555C">
              <w:rPr>
                <w:lang w:val="en-GB"/>
              </w:rPr>
              <w:t>Bandwidth per channel (MHz)</w:t>
            </w:r>
          </w:p>
        </w:tc>
        <w:tc>
          <w:tcPr>
            <w:tcW w:w="1495" w:type="dxa"/>
            <w:shd w:val="clear" w:color="auto" w:fill="FFFFFF"/>
            <w:vAlign w:val="center"/>
          </w:tcPr>
          <w:p w:rsidR="00016D83" w:rsidRPr="0019555C" w:rsidRDefault="00016D83" w:rsidP="00A330D0">
            <w:pPr>
              <w:pStyle w:val="Tablehead"/>
              <w:rPr>
                <w:lang w:val="en-GB"/>
              </w:rPr>
            </w:pPr>
            <w:r w:rsidRPr="0019555C">
              <w:rPr>
                <w:lang w:val="en-GB"/>
              </w:rPr>
              <w:t>Typical data rates</w:t>
            </w:r>
          </w:p>
        </w:tc>
      </w:tr>
      <w:tr w:rsidR="00016D83" w:rsidRPr="0019555C" w:rsidTr="0003708E">
        <w:trPr>
          <w:cantSplit/>
          <w:tblHeader/>
          <w:jc w:val="center"/>
        </w:trPr>
        <w:tc>
          <w:tcPr>
            <w:tcW w:w="1478" w:type="dxa"/>
            <w:vAlign w:val="center"/>
          </w:tcPr>
          <w:p w:rsidR="00016D83" w:rsidRPr="0019555C" w:rsidRDefault="00016D83" w:rsidP="00A330D0">
            <w:pPr>
              <w:pStyle w:val="Tabletext"/>
              <w:jc w:val="center"/>
              <w:rPr>
                <w:lang w:val="en-GB"/>
              </w:rPr>
            </w:pPr>
            <w:r w:rsidRPr="0019555C">
              <w:rPr>
                <w:lang w:val="en-GB"/>
              </w:rPr>
              <w:t>1.35-1.53</w:t>
            </w:r>
          </w:p>
        </w:tc>
        <w:tc>
          <w:tcPr>
            <w:tcW w:w="2569" w:type="dxa"/>
            <w:vAlign w:val="center"/>
          </w:tcPr>
          <w:p w:rsidR="00016D83" w:rsidRPr="0019555C" w:rsidRDefault="00016D83" w:rsidP="00A330D0">
            <w:pPr>
              <w:pStyle w:val="Tabletext"/>
              <w:jc w:val="left"/>
              <w:rPr>
                <w:lang w:val="en-GB" w:eastAsia="ja-JP"/>
              </w:rPr>
            </w:pPr>
            <w:r w:rsidRPr="0019555C">
              <w:rPr>
                <w:lang w:val="en-GB"/>
              </w:rPr>
              <w:t>Transport</w:t>
            </w:r>
            <w:r w:rsidRPr="0019555C">
              <w:rPr>
                <w:lang w:val="en-GB" w:eastAsia="ja-JP"/>
              </w:rPr>
              <w:t>, utilities</w:t>
            </w:r>
          </w:p>
        </w:tc>
        <w:tc>
          <w:tcPr>
            <w:tcW w:w="2062" w:type="dxa"/>
            <w:vAlign w:val="center"/>
          </w:tcPr>
          <w:p w:rsidR="00016D83" w:rsidRPr="0019555C" w:rsidRDefault="00016D83" w:rsidP="00A330D0">
            <w:pPr>
              <w:pStyle w:val="Tabletext"/>
              <w:spacing w:before="0" w:after="0" w:line="300" w:lineRule="exact"/>
              <w:jc w:val="center"/>
              <w:rPr>
                <w:lang w:val="en-GB" w:eastAsia="ja-JP"/>
              </w:rPr>
            </w:pPr>
            <w:r w:rsidRPr="0019555C">
              <w:rPr>
                <w:lang w:val="en-GB" w:eastAsia="ja-JP"/>
              </w:rPr>
              <w:t>F.</w:t>
            </w:r>
            <w:r w:rsidRPr="0019555C">
              <w:rPr>
                <w:lang w:val="en-GB"/>
              </w:rPr>
              <w:t>1242</w:t>
            </w:r>
          </w:p>
        </w:tc>
        <w:tc>
          <w:tcPr>
            <w:tcW w:w="2035" w:type="dxa"/>
            <w:vAlign w:val="center"/>
          </w:tcPr>
          <w:p w:rsidR="00016D83" w:rsidRPr="0019555C" w:rsidRDefault="00016D83" w:rsidP="00A330D0">
            <w:pPr>
              <w:pStyle w:val="Tabletext"/>
              <w:jc w:val="left"/>
              <w:rPr>
                <w:lang w:val="en-GB"/>
              </w:rPr>
            </w:pPr>
            <w:r w:rsidRPr="0019555C">
              <w:rPr>
                <w:lang w:val="en-GB"/>
              </w:rPr>
              <w:t>0.25, 0.5, 1, 2, 3.5</w:t>
            </w:r>
          </w:p>
        </w:tc>
        <w:tc>
          <w:tcPr>
            <w:tcW w:w="1495" w:type="dxa"/>
            <w:vAlign w:val="center"/>
          </w:tcPr>
          <w:p w:rsidR="00016D83" w:rsidRPr="0019555C" w:rsidRDefault="00016D83" w:rsidP="00A330D0">
            <w:pPr>
              <w:pStyle w:val="Tabletext"/>
              <w:jc w:val="left"/>
              <w:rPr>
                <w:lang w:val="en-GB"/>
              </w:rPr>
            </w:pPr>
            <w:r w:rsidRPr="0019555C">
              <w:rPr>
                <w:lang w:val="en-GB"/>
              </w:rPr>
              <w:t>64-4000 Kbit/s</w:t>
            </w:r>
          </w:p>
        </w:tc>
      </w:tr>
      <w:tr w:rsidR="00016D83" w:rsidRPr="0019555C" w:rsidTr="0003708E">
        <w:trPr>
          <w:cantSplit/>
          <w:tblHeader/>
          <w:jc w:val="center"/>
        </w:trPr>
        <w:tc>
          <w:tcPr>
            <w:tcW w:w="1478" w:type="dxa"/>
            <w:vAlign w:val="center"/>
          </w:tcPr>
          <w:p w:rsidR="00016D83" w:rsidRPr="0019555C" w:rsidRDefault="00016D83" w:rsidP="00A330D0">
            <w:pPr>
              <w:pStyle w:val="Tabletext"/>
              <w:jc w:val="center"/>
              <w:rPr>
                <w:lang w:val="en-GB"/>
              </w:rPr>
            </w:pPr>
            <w:r w:rsidRPr="0019555C">
              <w:rPr>
                <w:lang w:val="en-GB"/>
              </w:rPr>
              <w:t>3.6-4.2</w:t>
            </w:r>
          </w:p>
        </w:tc>
        <w:tc>
          <w:tcPr>
            <w:tcW w:w="2569" w:type="dxa"/>
            <w:vAlign w:val="center"/>
          </w:tcPr>
          <w:p w:rsidR="00016D83" w:rsidRPr="0019555C" w:rsidRDefault="00016D83" w:rsidP="00A330D0">
            <w:pPr>
              <w:pStyle w:val="Tabletext"/>
              <w:jc w:val="left"/>
              <w:rPr>
                <w:caps/>
                <w:szCs w:val="18"/>
                <w:lang w:val="en-GB"/>
              </w:rPr>
            </w:pPr>
            <w:r w:rsidRPr="0019555C">
              <w:rPr>
                <w:lang w:val="en-GB"/>
              </w:rPr>
              <w:t>Transport</w:t>
            </w:r>
          </w:p>
        </w:tc>
        <w:tc>
          <w:tcPr>
            <w:tcW w:w="2062" w:type="dxa"/>
            <w:vAlign w:val="center"/>
          </w:tcPr>
          <w:p w:rsidR="00016D83" w:rsidRPr="0019555C" w:rsidRDefault="00016D83" w:rsidP="00A330D0">
            <w:pPr>
              <w:pStyle w:val="Tabletext"/>
              <w:spacing w:before="0" w:after="0" w:line="300" w:lineRule="exact"/>
              <w:jc w:val="center"/>
              <w:rPr>
                <w:caps/>
                <w:szCs w:val="18"/>
                <w:lang w:val="en-GB" w:eastAsia="ja-JP"/>
              </w:rPr>
            </w:pPr>
            <w:r w:rsidRPr="0019555C">
              <w:rPr>
                <w:lang w:val="en-GB" w:eastAsia="ja-JP"/>
              </w:rPr>
              <w:t>F.</w:t>
            </w:r>
            <w:r w:rsidRPr="0019555C">
              <w:rPr>
                <w:lang w:val="en-GB"/>
              </w:rPr>
              <w:t>635</w:t>
            </w:r>
          </w:p>
        </w:tc>
        <w:tc>
          <w:tcPr>
            <w:tcW w:w="2035" w:type="dxa"/>
            <w:vAlign w:val="center"/>
          </w:tcPr>
          <w:p w:rsidR="00016D83" w:rsidRPr="0019555C" w:rsidRDefault="00016D83" w:rsidP="00A330D0">
            <w:pPr>
              <w:pStyle w:val="Tabletext"/>
              <w:jc w:val="left"/>
              <w:rPr>
                <w:lang w:val="en-GB"/>
              </w:rPr>
            </w:pPr>
            <w:r w:rsidRPr="0019555C">
              <w:rPr>
                <w:lang w:val="en-GB"/>
              </w:rPr>
              <w:t>30, 40, 80</w:t>
            </w:r>
          </w:p>
        </w:tc>
        <w:tc>
          <w:tcPr>
            <w:tcW w:w="1495" w:type="dxa"/>
            <w:vAlign w:val="center"/>
          </w:tcPr>
          <w:p w:rsidR="00016D83" w:rsidRPr="0019555C" w:rsidRDefault="00016D83" w:rsidP="00A330D0">
            <w:pPr>
              <w:pStyle w:val="Tabletext"/>
              <w:jc w:val="left"/>
              <w:rPr>
                <w:lang w:val="en-GB"/>
              </w:rPr>
            </w:pPr>
            <w:r w:rsidRPr="0019555C">
              <w:rPr>
                <w:lang w:val="en-GB"/>
              </w:rPr>
              <w:t>155 Mbit/s</w:t>
            </w:r>
          </w:p>
        </w:tc>
      </w:tr>
      <w:tr w:rsidR="00016D83" w:rsidRPr="0019555C" w:rsidTr="0003708E">
        <w:trPr>
          <w:cantSplit/>
          <w:tblHeader/>
          <w:jc w:val="center"/>
        </w:trPr>
        <w:tc>
          <w:tcPr>
            <w:tcW w:w="1478" w:type="dxa"/>
            <w:vAlign w:val="center"/>
          </w:tcPr>
          <w:p w:rsidR="00016D83" w:rsidRPr="0019555C" w:rsidRDefault="0003708E" w:rsidP="00A330D0">
            <w:pPr>
              <w:pStyle w:val="Tabletext"/>
              <w:jc w:val="center"/>
              <w:rPr>
                <w:lang w:val="en-GB"/>
              </w:rPr>
            </w:pPr>
            <w:r>
              <w:rPr>
                <w:lang w:val="en-GB"/>
              </w:rPr>
              <w:t>5.925-</w:t>
            </w:r>
            <w:r w:rsidR="00016D83" w:rsidRPr="0019555C">
              <w:rPr>
                <w:lang w:val="en-GB"/>
              </w:rPr>
              <w:t>6.425</w:t>
            </w:r>
          </w:p>
        </w:tc>
        <w:tc>
          <w:tcPr>
            <w:tcW w:w="2569" w:type="dxa"/>
            <w:vAlign w:val="center"/>
          </w:tcPr>
          <w:p w:rsidR="00016D83" w:rsidRPr="0019555C" w:rsidRDefault="00016D83" w:rsidP="00A330D0">
            <w:pPr>
              <w:pStyle w:val="Tabletext"/>
              <w:jc w:val="left"/>
              <w:rPr>
                <w:lang w:val="en-GB"/>
              </w:rPr>
            </w:pPr>
            <w:r w:rsidRPr="0019555C">
              <w:rPr>
                <w:lang w:val="en-GB"/>
              </w:rPr>
              <w:t>Transport, mobile backhaul</w:t>
            </w:r>
          </w:p>
        </w:tc>
        <w:tc>
          <w:tcPr>
            <w:tcW w:w="2062" w:type="dxa"/>
            <w:vAlign w:val="center"/>
          </w:tcPr>
          <w:p w:rsidR="00016D83" w:rsidRPr="0019555C" w:rsidRDefault="00016D83" w:rsidP="00A330D0">
            <w:pPr>
              <w:pStyle w:val="Tabletext"/>
              <w:spacing w:before="0" w:after="0" w:line="300" w:lineRule="exact"/>
              <w:jc w:val="center"/>
              <w:rPr>
                <w:caps/>
                <w:szCs w:val="18"/>
                <w:lang w:val="en-GB" w:eastAsia="ja-JP"/>
              </w:rPr>
            </w:pPr>
            <w:r w:rsidRPr="0019555C">
              <w:rPr>
                <w:lang w:val="en-GB" w:eastAsia="ja-JP"/>
              </w:rPr>
              <w:t>F.</w:t>
            </w:r>
            <w:r w:rsidRPr="0019555C">
              <w:rPr>
                <w:lang w:val="en-GB"/>
              </w:rPr>
              <w:t>383</w:t>
            </w:r>
          </w:p>
        </w:tc>
        <w:tc>
          <w:tcPr>
            <w:tcW w:w="2035" w:type="dxa"/>
            <w:vAlign w:val="center"/>
          </w:tcPr>
          <w:p w:rsidR="00016D83" w:rsidRPr="0019555C" w:rsidRDefault="00016D83" w:rsidP="00A330D0">
            <w:pPr>
              <w:pStyle w:val="Tabletext"/>
              <w:jc w:val="left"/>
              <w:rPr>
                <w:lang w:val="en-GB"/>
              </w:rPr>
            </w:pPr>
            <w:r w:rsidRPr="0019555C">
              <w:rPr>
                <w:lang w:val="en-GB"/>
              </w:rPr>
              <w:t xml:space="preserve">5, 10, 20, 28, 29.65, 40, </w:t>
            </w:r>
            <w:r w:rsidRPr="0019555C">
              <w:rPr>
                <w:rFonts w:eastAsiaTheme="minorEastAsia"/>
                <w:lang w:val="en-GB"/>
              </w:rPr>
              <w:t>80</w:t>
            </w:r>
          </w:p>
        </w:tc>
        <w:tc>
          <w:tcPr>
            <w:tcW w:w="1495" w:type="dxa"/>
            <w:vAlign w:val="center"/>
          </w:tcPr>
          <w:p w:rsidR="00016D83" w:rsidRPr="0019555C" w:rsidRDefault="00016D83" w:rsidP="00A330D0">
            <w:pPr>
              <w:pStyle w:val="Tabletext"/>
              <w:jc w:val="left"/>
              <w:rPr>
                <w:lang w:val="en-GB"/>
              </w:rPr>
            </w:pPr>
            <w:r w:rsidRPr="0019555C">
              <w:rPr>
                <w:lang w:val="en-GB"/>
              </w:rPr>
              <w:t>155 Mbit/s</w:t>
            </w:r>
          </w:p>
        </w:tc>
      </w:tr>
      <w:tr w:rsidR="00016D83" w:rsidRPr="0019555C" w:rsidTr="0003708E">
        <w:trPr>
          <w:cantSplit/>
          <w:tblHeader/>
          <w:jc w:val="center"/>
        </w:trPr>
        <w:tc>
          <w:tcPr>
            <w:tcW w:w="1478" w:type="dxa"/>
            <w:vAlign w:val="center"/>
          </w:tcPr>
          <w:p w:rsidR="00016D83" w:rsidRPr="0019555C" w:rsidRDefault="00016D83" w:rsidP="00A330D0">
            <w:pPr>
              <w:pStyle w:val="Tabletext"/>
              <w:jc w:val="center"/>
              <w:rPr>
                <w:lang w:val="en-GB"/>
              </w:rPr>
            </w:pPr>
            <w:r w:rsidRPr="0019555C">
              <w:rPr>
                <w:lang w:val="en-GB"/>
              </w:rPr>
              <w:t>6.425-7.125</w:t>
            </w:r>
          </w:p>
        </w:tc>
        <w:tc>
          <w:tcPr>
            <w:tcW w:w="2569" w:type="dxa"/>
            <w:vAlign w:val="center"/>
          </w:tcPr>
          <w:p w:rsidR="00016D83" w:rsidRPr="0019555C" w:rsidRDefault="00016D83" w:rsidP="00A330D0">
            <w:pPr>
              <w:pStyle w:val="Tabletext"/>
              <w:jc w:val="left"/>
              <w:rPr>
                <w:lang w:val="en-GB"/>
              </w:rPr>
            </w:pPr>
            <w:r w:rsidRPr="0019555C">
              <w:rPr>
                <w:lang w:val="en-GB"/>
              </w:rPr>
              <w:t>Transport, mobile backhaul</w:t>
            </w:r>
          </w:p>
        </w:tc>
        <w:tc>
          <w:tcPr>
            <w:tcW w:w="2062" w:type="dxa"/>
            <w:vAlign w:val="center"/>
          </w:tcPr>
          <w:p w:rsidR="00016D83" w:rsidRPr="0019555C" w:rsidRDefault="00016D83" w:rsidP="00A330D0">
            <w:pPr>
              <w:pStyle w:val="Tabletext"/>
              <w:spacing w:before="0" w:after="0" w:line="300" w:lineRule="exact"/>
              <w:jc w:val="center"/>
              <w:rPr>
                <w:caps/>
                <w:szCs w:val="18"/>
                <w:lang w:val="en-GB" w:eastAsia="ja-JP"/>
              </w:rPr>
            </w:pPr>
            <w:r w:rsidRPr="0019555C">
              <w:rPr>
                <w:lang w:val="en-GB" w:eastAsia="ja-JP"/>
              </w:rPr>
              <w:t>F.</w:t>
            </w:r>
            <w:r w:rsidRPr="0019555C">
              <w:rPr>
                <w:lang w:val="en-GB"/>
              </w:rPr>
              <w:t>384</w:t>
            </w:r>
          </w:p>
        </w:tc>
        <w:tc>
          <w:tcPr>
            <w:tcW w:w="2035" w:type="dxa"/>
            <w:vAlign w:val="center"/>
          </w:tcPr>
          <w:p w:rsidR="00016D83" w:rsidRPr="0019555C" w:rsidRDefault="00016D83" w:rsidP="00A330D0">
            <w:pPr>
              <w:pStyle w:val="Tabletext"/>
              <w:jc w:val="left"/>
              <w:rPr>
                <w:lang w:val="en-GB"/>
              </w:rPr>
            </w:pPr>
            <w:r w:rsidRPr="0019555C">
              <w:rPr>
                <w:lang w:val="en-GB"/>
              </w:rPr>
              <w:t>5, 10, 20, 30, 40</w:t>
            </w:r>
          </w:p>
        </w:tc>
        <w:tc>
          <w:tcPr>
            <w:tcW w:w="1495" w:type="dxa"/>
            <w:vAlign w:val="center"/>
          </w:tcPr>
          <w:p w:rsidR="00016D83" w:rsidRPr="0019555C" w:rsidRDefault="00016D83" w:rsidP="00A330D0">
            <w:pPr>
              <w:pStyle w:val="Tabletext"/>
              <w:jc w:val="left"/>
              <w:rPr>
                <w:lang w:val="en-GB"/>
              </w:rPr>
            </w:pPr>
            <w:r w:rsidRPr="0019555C">
              <w:rPr>
                <w:lang w:val="en-GB"/>
              </w:rPr>
              <w:t>34-311 Mbit/s</w:t>
            </w:r>
          </w:p>
        </w:tc>
      </w:tr>
      <w:tr w:rsidR="00016D83" w:rsidRPr="0019555C" w:rsidTr="0003708E">
        <w:trPr>
          <w:cantSplit/>
          <w:tblHeader/>
          <w:jc w:val="center"/>
        </w:trPr>
        <w:tc>
          <w:tcPr>
            <w:tcW w:w="1478" w:type="dxa"/>
            <w:vAlign w:val="center"/>
          </w:tcPr>
          <w:p w:rsidR="00016D83" w:rsidRPr="0019555C" w:rsidRDefault="00016D83" w:rsidP="00A330D0">
            <w:pPr>
              <w:pStyle w:val="Tabletext"/>
              <w:jc w:val="center"/>
              <w:rPr>
                <w:lang w:val="en-GB"/>
              </w:rPr>
            </w:pPr>
            <w:r w:rsidRPr="0019555C">
              <w:rPr>
                <w:lang w:val="en-GB"/>
              </w:rPr>
              <w:t>7.11-7.9</w:t>
            </w:r>
          </w:p>
        </w:tc>
        <w:tc>
          <w:tcPr>
            <w:tcW w:w="2569" w:type="dxa"/>
            <w:vAlign w:val="center"/>
          </w:tcPr>
          <w:p w:rsidR="00016D83" w:rsidRPr="0019555C" w:rsidRDefault="00016D83" w:rsidP="00A330D0">
            <w:pPr>
              <w:pStyle w:val="Tabletext"/>
              <w:jc w:val="left"/>
              <w:rPr>
                <w:caps/>
                <w:szCs w:val="18"/>
                <w:lang w:val="en-GB"/>
              </w:rPr>
            </w:pPr>
            <w:r w:rsidRPr="0019555C">
              <w:rPr>
                <w:lang w:val="en-GB"/>
              </w:rPr>
              <w:t>Transport, mobile backhaul</w:t>
            </w:r>
          </w:p>
        </w:tc>
        <w:tc>
          <w:tcPr>
            <w:tcW w:w="2062" w:type="dxa"/>
            <w:vAlign w:val="center"/>
          </w:tcPr>
          <w:p w:rsidR="00016D83" w:rsidRPr="0019555C" w:rsidRDefault="00016D83" w:rsidP="00A330D0">
            <w:pPr>
              <w:pStyle w:val="Tabletext"/>
              <w:spacing w:before="0" w:after="0" w:line="300" w:lineRule="exact"/>
              <w:jc w:val="center"/>
              <w:rPr>
                <w:lang w:val="en-GB" w:eastAsia="ja-JP"/>
              </w:rPr>
            </w:pPr>
            <w:r w:rsidRPr="0019555C">
              <w:rPr>
                <w:lang w:val="en-GB" w:eastAsia="ja-JP"/>
              </w:rPr>
              <w:t>F.</w:t>
            </w:r>
            <w:r w:rsidRPr="0019555C">
              <w:rPr>
                <w:lang w:val="en-GB"/>
              </w:rPr>
              <w:t>385</w:t>
            </w:r>
          </w:p>
        </w:tc>
        <w:tc>
          <w:tcPr>
            <w:tcW w:w="2035" w:type="dxa"/>
            <w:vAlign w:val="center"/>
          </w:tcPr>
          <w:p w:rsidR="00016D83" w:rsidRPr="0019555C" w:rsidRDefault="00016D83" w:rsidP="00A330D0">
            <w:pPr>
              <w:pStyle w:val="Tabletext"/>
              <w:jc w:val="left"/>
              <w:rPr>
                <w:lang w:val="en-GB"/>
              </w:rPr>
            </w:pPr>
            <w:r w:rsidRPr="0019555C">
              <w:rPr>
                <w:lang w:val="en-GB"/>
              </w:rPr>
              <w:t>3.5, 5, 7, 14, 28</w:t>
            </w:r>
          </w:p>
        </w:tc>
        <w:tc>
          <w:tcPr>
            <w:tcW w:w="1495" w:type="dxa"/>
            <w:vAlign w:val="center"/>
          </w:tcPr>
          <w:p w:rsidR="00016D83" w:rsidRPr="0019555C" w:rsidRDefault="00016D83" w:rsidP="00A330D0">
            <w:pPr>
              <w:pStyle w:val="Tabletext"/>
              <w:jc w:val="left"/>
              <w:rPr>
                <w:lang w:val="en-GB"/>
              </w:rPr>
            </w:pPr>
            <w:r w:rsidRPr="0019555C">
              <w:rPr>
                <w:lang w:val="en-GB"/>
              </w:rPr>
              <w:t>8-155 Mbit/s</w:t>
            </w: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10.0-10.68</w:t>
            </w:r>
          </w:p>
        </w:tc>
        <w:tc>
          <w:tcPr>
            <w:tcW w:w="2569" w:type="dxa"/>
          </w:tcPr>
          <w:p w:rsidR="00016D83" w:rsidRPr="0019555C" w:rsidRDefault="00016D83" w:rsidP="00A330D0">
            <w:pPr>
              <w:pStyle w:val="Tabletext"/>
              <w:jc w:val="left"/>
              <w:rPr>
                <w:caps/>
                <w:szCs w:val="18"/>
                <w:lang w:val="en-GB"/>
              </w:rPr>
            </w:pPr>
            <w:r w:rsidRPr="0019555C">
              <w:rPr>
                <w:lang w:val="en-GB"/>
              </w:rPr>
              <w:t>ENG</w:t>
            </w:r>
          </w:p>
        </w:tc>
        <w:tc>
          <w:tcPr>
            <w:tcW w:w="2062" w:type="dxa"/>
          </w:tcPr>
          <w:p w:rsidR="00016D83" w:rsidRPr="0019555C" w:rsidRDefault="00016D83" w:rsidP="00A330D0">
            <w:pPr>
              <w:pStyle w:val="Tabletext"/>
              <w:jc w:val="center"/>
              <w:rPr>
                <w:caps/>
                <w:szCs w:val="18"/>
                <w:lang w:val="en-GB"/>
              </w:rPr>
            </w:pPr>
            <w:r w:rsidRPr="0019555C">
              <w:rPr>
                <w:lang w:val="en-GB"/>
              </w:rPr>
              <w:t>F.747</w:t>
            </w:r>
          </w:p>
        </w:tc>
        <w:tc>
          <w:tcPr>
            <w:tcW w:w="2035" w:type="dxa"/>
          </w:tcPr>
          <w:p w:rsidR="00016D83" w:rsidRPr="0019555C" w:rsidRDefault="00016D83" w:rsidP="00A330D0">
            <w:pPr>
              <w:pStyle w:val="Tabletext"/>
              <w:jc w:val="left"/>
              <w:rPr>
                <w:lang w:val="en-GB"/>
              </w:rPr>
            </w:pPr>
            <w:r w:rsidRPr="0019555C">
              <w:rPr>
                <w:lang w:val="en-GB"/>
              </w:rPr>
              <w:t>1.25, 2.5, 3.5, 5, 7, 14, 28</w:t>
            </w:r>
          </w:p>
        </w:tc>
        <w:tc>
          <w:tcPr>
            <w:tcW w:w="1495" w:type="dxa"/>
          </w:tcPr>
          <w:p w:rsidR="00016D83" w:rsidRPr="0019555C" w:rsidRDefault="00016D83" w:rsidP="00A330D0">
            <w:pPr>
              <w:pStyle w:val="Tabletext"/>
              <w:jc w:val="left"/>
              <w:rPr>
                <w:lang w:val="en-GB"/>
              </w:rPr>
            </w:pPr>
          </w:p>
        </w:tc>
      </w:tr>
      <w:tr w:rsidR="00016D83" w:rsidRPr="0019555C" w:rsidTr="0003708E">
        <w:trPr>
          <w:cantSplit/>
          <w:tblHeader/>
          <w:jc w:val="center"/>
        </w:trPr>
        <w:tc>
          <w:tcPr>
            <w:tcW w:w="1478" w:type="dxa"/>
          </w:tcPr>
          <w:p w:rsidR="00016D83" w:rsidRPr="0019555C" w:rsidRDefault="00016D83" w:rsidP="00021686">
            <w:pPr>
              <w:pStyle w:val="Tabletext"/>
              <w:jc w:val="center"/>
              <w:rPr>
                <w:lang w:val="en-GB"/>
              </w:rPr>
            </w:pPr>
            <w:r w:rsidRPr="0019555C">
              <w:rPr>
                <w:lang w:val="en-GB"/>
              </w:rPr>
              <w:t>10.15-10.3</w:t>
            </w:r>
            <w:r w:rsidR="00021686" w:rsidRPr="0019555C">
              <w:rPr>
                <w:lang w:val="en-GB"/>
              </w:rPr>
              <w:t>/</w:t>
            </w:r>
            <w:r w:rsidRPr="0019555C">
              <w:rPr>
                <w:lang w:val="en-GB"/>
              </w:rPr>
              <w:t xml:space="preserve"> 10.5-10.65</w:t>
            </w:r>
          </w:p>
        </w:tc>
        <w:tc>
          <w:tcPr>
            <w:tcW w:w="2569" w:type="dxa"/>
          </w:tcPr>
          <w:p w:rsidR="00016D83" w:rsidRPr="0019555C" w:rsidRDefault="00016D83" w:rsidP="00A330D0">
            <w:pPr>
              <w:pStyle w:val="Tabletext"/>
              <w:jc w:val="left"/>
              <w:rPr>
                <w:lang w:val="en-GB"/>
              </w:rPr>
            </w:pPr>
            <w:r w:rsidRPr="0019555C">
              <w:rPr>
                <w:lang w:val="en-GB"/>
              </w:rPr>
              <w:t>ENG</w:t>
            </w:r>
          </w:p>
        </w:tc>
        <w:tc>
          <w:tcPr>
            <w:tcW w:w="2062" w:type="dxa"/>
          </w:tcPr>
          <w:p w:rsidR="00016D83" w:rsidRPr="0019555C" w:rsidRDefault="00016D83" w:rsidP="00A330D0">
            <w:pPr>
              <w:pStyle w:val="Tabletext"/>
              <w:jc w:val="center"/>
              <w:rPr>
                <w:caps/>
                <w:szCs w:val="18"/>
                <w:lang w:val="en-GB"/>
              </w:rPr>
            </w:pPr>
            <w:r w:rsidRPr="0019555C">
              <w:rPr>
                <w:lang w:val="en-GB"/>
              </w:rPr>
              <w:t>F.1568</w:t>
            </w:r>
          </w:p>
        </w:tc>
        <w:tc>
          <w:tcPr>
            <w:tcW w:w="2035" w:type="dxa"/>
          </w:tcPr>
          <w:p w:rsidR="00016D83" w:rsidRPr="0019555C" w:rsidRDefault="00016D83" w:rsidP="00A330D0">
            <w:pPr>
              <w:pStyle w:val="Tabletext"/>
              <w:jc w:val="left"/>
              <w:rPr>
                <w:lang w:val="en-GB"/>
              </w:rPr>
            </w:pPr>
            <w:r w:rsidRPr="0019555C">
              <w:rPr>
                <w:lang w:val="en-GB"/>
              </w:rPr>
              <w:t>28, 30</w:t>
            </w:r>
          </w:p>
        </w:tc>
        <w:tc>
          <w:tcPr>
            <w:tcW w:w="1495" w:type="dxa"/>
          </w:tcPr>
          <w:p w:rsidR="00016D83" w:rsidRPr="0019555C" w:rsidRDefault="00016D83" w:rsidP="00A330D0">
            <w:pPr>
              <w:pStyle w:val="Tabletext"/>
              <w:jc w:val="left"/>
              <w:rPr>
                <w:lang w:val="en-GB"/>
              </w:rPr>
            </w:pP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10.7-11.7</w:t>
            </w:r>
          </w:p>
        </w:tc>
        <w:tc>
          <w:tcPr>
            <w:tcW w:w="2569" w:type="dxa"/>
          </w:tcPr>
          <w:p w:rsidR="00016D83" w:rsidRPr="0019555C" w:rsidRDefault="00016D83" w:rsidP="00A330D0">
            <w:pPr>
              <w:pStyle w:val="Tabletext"/>
              <w:jc w:val="left"/>
              <w:rPr>
                <w:caps/>
                <w:szCs w:val="18"/>
                <w:lang w:val="en-GB"/>
              </w:rPr>
            </w:pPr>
            <w:r w:rsidRPr="0019555C">
              <w:rPr>
                <w:lang w:val="en-GB"/>
              </w:rPr>
              <w:t>Transport, trunk networks, mobile backhaul, disaster recovery, ENG</w:t>
            </w:r>
          </w:p>
        </w:tc>
        <w:tc>
          <w:tcPr>
            <w:tcW w:w="2062" w:type="dxa"/>
          </w:tcPr>
          <w:p w:rsidR="00016D83" w:rsidRPr="0019555C" w:rsidRDefault="00016D83" w:rsidP="00A330D0">
            <w:pPr>
              <w:pStyle w:val="Tabletext"/>
              <w:jc w:val="center"/>
              <w:rPr>
                <w:caps/>
                <w:szCs w:val="18"/>
                <w:lang w:val="en-GB"/>
              </w:rPr>
            </w:pPr>
            <w:r w:rsidRPr="0019555C">
              <w:rPr>
                <w:lang w:val="en-GB"/>
              </w:rPr>
              <w:t>F.387</w:t>
            </w:r>
          </w:p>
        </w:tc>
        <w:tc>
          <w:tcPr>
            <w:tcW w:w="2035" w:type="dxa"/>
          </w:tcPr>
          <w:p w:rsidR="00016D83" w:rsidRPr="0019555C" w:rsidRDefault="00016D83" w:rsidP="00A330D0">
            <w:pPr>
              <w:pStyle w:val="Tabletext"/>
              <w:jc w:val="left"/>
              <w:rPr>
                <w:lang w:val="en-GB"/>
              </w:rPr>
            </w:pPr>
            <w:r w:rsidRPr="0019555C">
              <w:rPr>
                <w:lang w:val="en-GB"/>
              </w:rPr>
              <w:t>5, 7, 10, 14, 20, 28, 40, 60, 80</w:t>
            </w:r>
          </w:p>
        </w:tc>
        <w:tc>
          <w:tcPr>
            <w:tcW w:w="1495" w:type="dxa"/>
          </w:tcPr>
          <w:p w:rsidR="00016D83" w:rsidRPr="0019555C" w:rsidRDefault="00016D83" w:rsidP="00A330D0">
            <w:pPr>
              <w:pStyle w:val="Tabletext"/>
              <w:jc w:val="left"/>
              <w:rPr>
                <w:lang w:val="en-GB"/>
              </w:rPr>
            </w:pPr>
            <w:r w:rsidRPr="0019555C">
              <w:rPr>
                <w:lang w:val="en-GB"/>
              </w:rPr>
              <w:t>140 Mbit/s, 155.52 Mbit/s</w:t>
            </w: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11.7-12.5/ 12.2 12.7</w:t>
            </w:r>
          </w:p>
        </w:tc>
        <w:tc>
          <w:tcPr>
            <w:tcW w:w="2569" w:type="dxa"/>
          </w:tcPr>
          <w:p w:rsidR="00016D83" w:rsidRPr="0019555C" w:rsidRDefault="00016D83" w:rsidP="00A330D0">
            <w:pPr>
              <w:pStyle w:val="Tabletext"/>
              <w:jc w:val="left"/>
              <w:rPr>
                <w:caps/>
                <w:szCs w:val="18"/>
                <w:lang w:val="en-GB"/>
              </w:rPr>
            </w:pPr>
            <w:r w:rsidRPr="0019555C">
              <w:rPr>
                <w:lang w:val="en-GB"/>
              </w:rPr>
              <w:t>Transport, trunk networks, ENG</w:t>
            </w:r>
          </w:p>
        </w:tc>
        <w:tc>
          <w:tcPr>
            <w:tcW w:w="2062" w:type="dxa"/>
          </w:tcPr>
          <w:p w:rsidR="00016D83" w:rsidRPr="0019555C" w:rsidRDefault="00016D83" w:rsidP="00A330D0">
            <w:pPr>
              <w:pStyle w:val="Tabletext"/>
              <w:jc w:val="center"/>
              <w:rPr>
                <w:lang w:val="en-GB"/>
              </w:rPr>
            </w:pPr>
            <w:r w:rsidRPr="0019555C">
              <w:rPr>
                <w:lang w:val="en-GB"/>
              </w:rPr>
              <w:t>F.746</w:t>
            </w:r>
            <w:r w:rsidRPr="0019555C">
              <w:rPr>
                <w:rStyle w:val="Hyperlink"/>
                <w:lang w:val="en-GB"/>
              </w:rPr>
              <w:br/>
            </w:r>
            <w:r w:rsidRPr="0019555C">
              <w:rPr>
                <w:lang w:val="en-GB"/>
              </w:rPr>
              <w:t>Annex 2 § 2, § 3</w:t>
            </w:r>
          </w:p>
        </w:tc>
        <w:tc>
          <w:tcPr>
            <w:tcW w:w="2035" w:type="dxa"/>
          </w:tcPr>
          <w:p w:rsidR="00016D83" w:rsidRPr="0019555C" w:rsidRDefault="00016D83" w:rsidP="00A330D0">
            <w:pPr>
              <w:pStyle w:val="Tabletext"/>
              <w:jc w:val="left"/>
              <w:rPr>
                <w:lang w:val="en-GB"/>
              </w:rPr>
            </w:pPr>
            <w:r w:rsidRPr="0019555C">
              <w:rPr>
                <w:lang w:val="en-GB"/>
              </w:rPr>
              <w:t>12.5, 19.18, 20, 25</w:t>
            </w:r>
          </w:p>
        </w:tc>
        <w:tc>
          <w:tcPr>
            <w:tcW w:w="1495" w:type="dxa"/>
          </w:tcPr>
          <w:p w:rsidR="00016D83" w:rsidRPr="0019555C" w:rsidRDefault="00016D83" w:rsidP="00A330D0">
            <w:pPr>
              <w:pStyle w:val="Tabletext"/>
              <w:jc w:val="left"/>
              <w:rPr>
                <w:lang w:val="en-GB"/>
              </w:rPr>
            </w:pPr>
            <w:r w:rsidRPr="0019555C">
              <w:rPr>
                <w:lang w:val="en-GB"/>
              </w:rPr>
              <w:t>40 Mbit/s</w:t>
            </w: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12.75-13.25</w:t>
            </w:r>
          </w:p>
        </w:tc>
        <w:tc>
          <w:tcPr>
            <w:tcW w:w="2569" w:type="dxa"/>
          </w:tcPr>
          <w:p w:rsidR="00016D83" w:rsidRPr="0019555C" w:rsidRDefault="00016D83" w:rsidP="00A330D0">
            <w:pPr>
              <w:pStyle w:val="Tabletext"/>
              <w:jc w:val="left"/>
              <w:rPr>
                <w:caps/>
                <w:szCs w:val="18"/>
                <w:lang w:val="en-GB"/>
              </w:rPr>
            </w:pPr>
            <w:r w:rsidRPr="0019555C">
              <w:rPr>
                <w:lang w:val="en-GB"/>
              </w:rPr>
              <w:t>Transport, trunk networks, ENG</w:t>
            </w:r>
          </w:p>
        </w:tc>
        <w:tc>
          <w:tcPr>
            <w:tcW w:w="2062" w:type="dxa"/>
          </w:tcPr>
          <w:p w:rsidR="00016D83" w:rsidRPr="0019555C" w:rsidRDefault="00016D83" w:rsidP="00A330D0">
            <w:pPr>
              <w:pStyle w:val="Tabletext"/>
              <w:jc w:val="center"/>
              <w:rPr>
                <w:caps/>
                <w:szCs w:val="18"/>
                <w:lang w:val="en-GB"/>
              </w:rPr>
            </w:pPr>
            <w:r w:rsidRPr="0019555C">
              <w:rPr>
                <w:lang w:val="en-GB"/>
              </w:rPr>
              <w:t xml:space="preserve">F.497 </w:t>
            </w:r>
          </w:p>
        </w:tc>
        <w:tc>
          <w:tcPr>
            <w:tcW w:w="2035" w:type="dxa"/>
          </w:tcPr>
          <w:p w:rsidR="00016D83" w:rsidRPr="0019555C" w:rsidRDefault="00016D83" w:rsidP="00A330D0">
            <w:pPr>
              <w:pStyle w:val="Tabletext"/>
              <w:jc w:val="left"/>
              <w:rPr>
                <w:lang w:val="en-GB"/>
              </w:rPr>
            </w:pPr>
            <w:r w:rsidRPr="0019555C">
              <w:rPr>
                <w:lang w:val="en-GB"/>
              </w:rPr>
              <w:t>3.5, 7, 14, 28</w:t>
            </w:r>
          </w:p>
        </w:tc>
        <w:tc>
          <w:tcPr>
            <w:tcW w:w="1495" w:type="dxa"/>
          </w:tcPr>
          <w:p w:rsidR="00016D83" w:rsidRPr="0019555C" w:rsidRDefault="00016D83" w:rsidP="00A330D0">
            <w:pPr>
              <w:pStyle w:val="Tabletext"/>
              <w:jc w:val="left"/>
              <w:rPr>
                <w:lang w:val="en-GB"/>
              </w:rPr>
            </w:pPr>
            <w:r w:rsidRPr="0019555C">
              <w:rPr>
                <w:lang w:val="en-GB"/>
              </w:rPr>
              <w:t>34-140 Mbit/s</w:t>
            </w: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14.25-14.5</w:t>
            </w:r>
          </w:p>
        </w:tc>
        <w:tc>
          <w:tcPr>
            <w:tcW w:w="2569" w:type="dxa"/>
          </w:tcPr>
          <w:p w:rsidR="00016D83" w:rsidRPr="0019555C" w:rsidRDefault="00016D83" w:rsidP="00A330D0">
            <w:pPr>
              <w:pStyle w:val="Tabletext"/>
              <w:jc w:val="left"/>
              <w:rPr>
                <w:lang w:val="en-GB"/>
              </w:rPr>
            </w:pPr>
          </w:p>
        </w:tc>
        <w:tc>
          <w:tcPr>
            <w:tcW w:w="2062" w:type="dxa"/>
          </w:tcPr>
          <w:p w:rsidR="00016D83" w:rsidRPr="0019555C" w:rsidRDefault="00016D83" w:rsidP="00A330D0">
            <w:pPr>
              <w:pStyle w:val="Tabletext"/>
              <w:jc w:val="center"/>
              <w:rPr>
                <w:lang w:val="en-GB"/>
              </w:rPr>
            </w:pPr>
            <w:r w:rsidRPr="0019555C">
              <w:rPr>
                <w:lang w:val="en-GB"/>
              </w:rPr>
              <w:t>F.746</w:t>
            </w:r>
            <w:r w:rsidRPr="0019555C">
              <w:rPr>
                <w:caps/>
                <w:szCs w:val="18"/>
                <w:lang w:val="en-GB"/>
              </w:rPr>
              <w:br/>
            </w:r>
            <w:r w:rsidRPr="0019555C">
              <w:rPr>
                <w:lang w:val="en-GB"/>
              </w:rPr>
              <w:t>Annex 3</w:t>
            </w:r>
            <w:r w:rsidRPr="0019555C">
              <w:rPr>
                <w:lang w:val="en-GB"/>
              </w:rPr>
              <w:br/>
              <w:t>Annex 4</w:t>
            </w:r>
          </w:p>
        </w:tc>
        <w:tc>
          <w:tcPr>
            <w:tcW w:w="2035" w:type="dxa"/>
          </w:tcPr>
          <w:p w:rsidR="00016D83" w:rsidRPr="0019555C" w:rsidRDefault="00016D83" w:rsidP="00A330D0">
            <w:pPr>
              <w:pStyle w:val="Tabletext"/>
              <w:jc w:val="left"/>
              <w:rPr>
                <w:lang w:val="en-GB"/>
              </w:rPr>
            </w:pPr>
            <w:r w:rsidRPr="0019555C">
              <w:rPr>
                <w:lang w:val="en-GB"/>
              </w:rPr>
              <w:t>3.5, 7, 14, 28</w:t>
            </w:r>
          </w:p>
        </w:tc>
        <w:tc>
          <w:tcPr>
            <w:tcW w:w="1495" w:type="dxa"/>
          </w:tcPr>
          <w:p w:rsidR="00016D83" w:rsidRPr="0019555C" w:rsidRDefault="00016D83" w:rsidP="00A330D0">
            <w:pPr>
              <w:pStyle w:val="Tabletext"/>
              <w:jc w:val="left"/>
              <w:rPr>
                <w:lang w:val="en-GB"/>
              </w:rPr>
            </w:pPr>
            <w:r w:rsidRPr="0019555C">
              <w:rPr>
                <w:lang w:val="en-GB"/>
              </w:rPr>
              <w:t>34 Mbit/s</w:t>
            </w: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14.4-15.35</w:t>
            </w:r>
          </w:p>
        </w:tc>
        <w:tc>
          <w:tcPr>
            <w:tcW w:w="2569" w:type="dxa"/>
          </w:tcPr>
          <w:p w:rsidR="00016D83" w:rsidRPr="0019555C" w:rsidRDefault="00016D83" w:rsidP="00A330D0">
            <w:pPr>
              <w:pStyle w:val="Tabletext"/>
              <w:jc w:val="left"/>
              <w:rPr>
                <w:caps/>
                <w:szCs w:val="18"/>
                <w:lang w:val="en-GB"/>
              </w:rPr>
            </w:pPr>
            <w:r w:rsidRPr="0019555C">
              <w:rPr>
                <w:lang w:val="en-GB"/>
              </w:rPr>
              <w:t>Transport, , mobile backhaul, ENG</w:t>
            </w:r>
          </w:p>
        </w:tc>
        <w:tc>
          <w:tcPr>
            <w:tcW w:w="2062" w:type="dxa"/>
          </w:tcPr>
          <w:p w:rsidR="00016D83" w:rsidRPr="0019555C" w:rsidRDefault="00016D83" w:rsidP="00A330D0">
            <w:pPr>
              <w:pStyle w:val="Tabletext"/>
              <w:jc w:val="center"/>
              <w:rPr>
                <w:caps/>
                <w:szCs w:val="18"/>
                <w:lang w:val="en-GB"/>
              </w:rPr>
            </w:pPr>
            <w:r w:rsidRPr="0019555C">
              <w:rPr>
                <w:lang w:val="en-GB"/>
              </w:rPr>
              <w:t>F.636</w:t>
            </w:r>
          </w:p>
        </w:tc>
        <w:tc>
          <w:tcPr>
            <w:tcW w:w="2035" w:type="dxa"/>
          </w:tcPr>
          <w:p w:rsidR="00016D83" w:rsidRPr="0019555C" w:rsidRDefault="00016D83" w:rsidP="00A330D0">
            <w:pPr>
              <w:pStyle w:val="Tabletext"/>
              <w:jc w:val="left"/>
              <w:rPr>
                <w:lang w:val="en-GB"/>
              </w:rPr>
            </w:pPr>
            <w:r w:rsidRPr="0019555C">
              <w:rPr>
                <w:lang w:val="en-GB"/>
              </w:rPr>
              <w:t>2.5, 3.5, 5, 7, 10, 14, 20, 28, 30, 40, 50, 56</w:t>
            </w:r>
          </w:p>
        </w:tc>
        <w:tc>
          <w:tcPr>
            <w:tcW w:w="1495" w:type="dxa"/>
          </w:tcPr>
          <w:p w:rsidR="00016D83" w:rsidRPr="0019555C" w:rsidRDefault="00016D83" w:rsidP="00A330D0">
            <w:pPr>
              <w:pStyle w:val="Tabletext"/>
              <w:jc w:val="left"/>
              <w:rPr>
                <w:lang w:val="en-GB"/>
              </w:rPr>
            </w:pP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17.7-19.7</w:t>
            </w:r>
          </w:p>
        </w:tc>
        <w:tc>
          <w:tcPr>
            <w:tcW w:w="2569" w:type="dxa"/>
          </w:tcPr>
          <w:p w:rsidR="00016D83" w:rsidRPr="0019555C" w:rsidRDefault="00016D83" w:rsidP="00A330D0">
            <w:pPr>
              <w:pStyle w:val="Tabletext"/>
              <w:jc w:val="left"/>
              <w:rPr>
                <w:caps/>
                <w:szCs w:val="18"/>
                <w:lang w:val="en-GB"/>
              </w:rPr>
            </w:pPr>
            <w:r w:rsidRPr="0019555C">
              <w:rPr>
                <w:lang w:val="en-GB"/>
              </w:rPr>
              <w:t>Mobile backhaul, FWA</w:t>
            </w:r>
          </w:p>
        </w:tc>
        <w:tc>
          <w:tcPr>
            <w:tcW w:w="2062" w:type="dxa"/>
          </w:tcPr>
          <w:p w:rsidR="00016D83" w:rsidRPr="0019555C" w:rsidRDefault="00016D83" w:rsidP="00A330D0">
            <w:pPr>
              <w:pStyle w:val="Tabletext"/>
              <w:jc w:val="center"/>
              <w:rPr>
                <w:caps/>
                <w:szCs w:val="18"/>
                <w:lang w:val="en-GB"/>
              </w:rPr>
            </w:pPr>
            <w:r w:rsidRPr="0019555C">
              <w:rPr>
                <w:lang w:val="en-GB"/>
              </w:rPr>
              <w:t>F.595</w:t>
            </w:r>
          </w:p>
        </w:tc>
        <w:tc>
          <w:tcPr>
            <w:tcW w:w="2035" w:type="dxa"/>
          </w:tcPr>
          <w:p w:rsidR="00016D83" w:rsidRPr="0019555C" w:rsidRDefault="00016D83" w:rsidP="00A330D0">
            <w:pPr>
              <w:pStyle w:val="Tabletext"/>
              <w:jc w:val="left"/>
              <w:rPr>
                <w:lang w:val="en-GB"/>
              </w:rPr>
            </w:pPr>
            <w:r w:rsidRPr="0019555C">
              <w:rPr>
                <w:lang w:val="en-GB"/>
              </w:rPr>
              <w:t>1.75, 2.5, 3.5, 5, 7, 7.5, 10, 13.75, 20, 27.5, 30, 40, 50, 55, 60, 110, 220</w:t>
            </w:r>
          </w:p>
        </w:tc>
        <w:tc>
          <w:tcPr>
            <w:tcW w:w="1495" w:type="dxa"/>
          </w:tcPr>
          <w:p w:rsidR="00016D83" w:rsidRPr="0019555C" w:rsidRDefault="00016D83" w:rsidP="00A330D0">
            <w:pPr>
              <w:pStyle w:val="Tabletext"/>
              <w:jc w:val="left"/>
              <w:rPr>
                <w:lang w:val="en-GB"/>
              </w:rPr>
            </w:pPr>
            <w:r w:rsidRPr="0019555C">
              <w:rPr>
                <w:lang w:val="en-GB"/>
              </w:rPr>
              <w:t>&lt;10 Mbit/s,</w:t>
            </w:r>
            <w:r w:rsidRPr="0019555C">
              <w:rPr>
                <w:lang w:val="en-GB"/>
              </w:rPr>
              <w:br/>
              <w:t>34, 140, 280 Mbit/s</w:t>
            </w:r>
          </w:p>
        </w:tc>
      </w:tr>
    </w:tbl>
    <w:p w:rsidR="00021686" w:rsidRPr="0019555C" w:rsidRDefault="00021686" w:rsidP="00021686">
      <w:pPr>
        <w:pStyle w:val="TableNo"/>
        <w:spacing w:before="240"/>
        <w:rPr>
          <w:i/>
          <w:iCs/>
          <w:szCs w:val="18"/>
          <w:lang w:val="en-GB"/>
        </w:rPr>
      </w:pPr>
      <w:r w:rsidRPr="0019555C">
        <w:rPr>
          <w:lang w:val="en-GB" w:eastAsia="ja-JP"/>
        </w:rPr>
        <w:lastRenderedPageBreak/>
        <w:t>TABLE</w:t>
      </w:r>
      <w:r w:rsidRPr="0019555C">
        <w:rPr>
          <w:szCs w:val="18"/>
          <w:lang w:val="en-GB"/>
        </w:rPr>
        <w:t xml:space="preserve"> 1 (</w:t>
      </w:r>
      <w:r w:rsidRPr="0019555C">
        <w:rPr>
          <w:i/>
          <w:iCs/>
          <w:szCs w:val="18"/>
          <w:lang w:val="en-GB"/>
        </w:rPr>
        <w:t>end</w:t>
      </w:r>
      <w:r w:rsidRPr="0003708E">
        <w:rPr>
          <w:szCs w:val="18"/>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8"/>
        <w:gridCol w:w="2569"/>
        <w:gridCol w:w="2062"/>
        <w:gridCol w:w="2035"/>
        <w:gridCol w:w="1495"/>
      </w:tblGrid>
      <w:tr w:rsidR="00021686" w:rsidRPr="0019555C" w:rsidTr="00A330D0">
        <w:trPr>
          <w:cantSplit/>
          <w:tblHeader/>
          <w:jc w:val="center"/>
        </w:trPr>
        <w:tc>
          <w:tcPr>
            <w:tcW w:w="1478" w:type="dxa"/>
            <w:tcBorders>
              <w:top w:val="single" w:sz="4" w:space="0" w:color="auto"/>
              <w:left w:val="single" w:sz="4" w:space="0" w:color="auto"/>
              <w:bottom w:val="single" w:sz="4" w:space="0" w:color="auto"/>
              <w:right w:val="single" w:sz="4" w:space="0" w:color="auto"/>
            </w:tcBorders>
            <w:shd w:val="clear" w:color="auto" w:fill="FFFFFF"/>
          </w:tcPr>
          <w:p w:rsidR="00021686" w:rsidRPr="0019555C" w:rsidRDefault="00021686" w:rsidP="00A330D0">
            <w:pPr>
              <w:pStyle w:val="Tablehead"/>
              <w:rPr>
                <w:lang w:val="en-GB"/>
              </w:rPr>
            </w:pPr>
            <w:r w:rsidRPr="0019555C">
              <w:rPr>
                <w:lang w:val="en-GB"/>
              </w:rPr>
              <w:t>Band</w:t>
            </w:r>
            <w:r w:rsidRPr="0019555C">
              <w:rPr>
                <w:lang w:val="en-GB"/>
              </w:rPr>
              <w:br/>
              <w:t>(GHz)</w:t>
            </w:r>
          </w:p>
        </w:tc>
        <w:tc>
          <w:tcPr>
            <w:tcW w:w="2569" w:type="dxa"/>
            <w:tcBorders>
              <w:top w:val="single" w:sz="4" w:space="0" w:color="auto"/>
              <w:left w:val="single" w:sz="4" w:space="0" w:color="auto"/>
              <w:bottom w:val="single" w:sz="4" w:space="0" w:color="auto"/>
              <w:right w:val="single" w:sz="4" w:space="0" w:color="auto"/>
            </w:tcBorders>
            <w:shd w:val="clear" w:color="auto" w:fill="FFFFFF"/>
          </w:tcPr>
          <w:p w:rsidR="00021686" w:rsidRPr="0019555C" w:rsidRDefault="00021686" w:rsidP="00A330D0">
            <w:pPr>
              <w:pStyle w:val="Tablehead"/>
              <w:rPr>
                <w:lang w:val="en-GB"/>
              </w:rPr>
            </w:pPr>
            <w:r w:rsidRPr="0019555C">
              <w:rPr>
                <w:lang w:val="en-GB"/>
              </w:rPr>
              <w:t>Typical applications</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021686" w:rsidRPr="0019555C" w:rsidRDefault="00021686" w:rsidP="00A330D0">
            <w:pPr>
              <w:pStyle w:val="Tablehead"/>
              <w:rPr>
                <w:lang w:val="en-GB"/>
              </w:rPr>
            </w:pPr>
            <w:r w:rsidRPr="0019555C">
              <w:rPr>
                <w:lang w:val="en-GB"/>
              </w:rPr>
              <w:t>Recommendation ITU-R</w:t>
            </w:r>
          </w:p>
        </w:tc>
        <w:tc>
          <w:tcPr>
            <w:tcW w:w="2035" w:type="dxa"/>
            <w:tcBorders>
              <w:top w:val="single" w:sz="4" w:space="0" w:color="auto"/>
              <w:left w:val="single" w:sz="4" w:space="0" w:color="auto"/>
              <w:bottom w:val="single" w:sz="4" w:space="0" w:color="auto"/>
              <w:right w:val="single" w:sz="4" w:space="0" w:color="auto"/>
            </w:tcBorders>
            <w:shd w:val="clear" w:color="auto" w:fill="FFFFFF"/>
          </w:tcPr>
          <w:p w:rsidR="00021686" w:rsidRPr="0019555C" w:rsidRDefault="00021686" w:rsidP="00A330D0">
            <w:pPr>
              <w:pStyle w:val="Tablehead"/>
              <w:rPr>
                <w:lang w:val="en-GB"/>
              </w:rPr>
            </w:pPr>
            <w:r w:rsidRPr="0019555C">
              <w:rPr>
                <w:lang w:val="en-GB"/>
              </w:rPr>
              <w:t>Bandwidth per channel (MHz)</w:t>
            </w:r>
          </w:p>
        </w:tc>
        <w:tc>
          <w:tcPr>
            <w:tcW w:w="1495" w:type="dxa"/>
            <w:tcBorders>
              <w:top w:val="single" w:sz="4" w:space="0" w:color="auto"/>
              <w:left w:val="single" w:sz="4" w:space="0" w:color="auto"/>
              <w:bottom w:val="single" w:sz="4" w:space="0" w:color="auto"/>
              <w:right w:val="single" w:sz="4" w:space="0" w:color="auto"/>
            </w:tcBorders>
            <w:shd w:val="clear" w:color="auto" w:fill="FFFFFF"/>
          </w:tcPr>
          <w:p w:rsidR="00021686" w:rsidRPr="0019555C" w:rsidRDefault="00021686" w:rsidP="00A330D0">
            <w:pPr>
              <w:pStyle w:val="Tablehead"/>
              <w:rPr>
                <w:lang w:val="en-GB"/>
              </w:rPr>
            </w:pPr>
            <w:r w:rsidRPr="0019555C">
              <w:rPr>
                <w:lang w:val="en-GB"/>
              </w:rPr>
              <w:t>Typical data rates</w:t>
            </w: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21.2-23.6</w:t>
            </w:r>
          </w:p>
        </w:tc>
        <w:tc>
          <w:tcPr>
            <w:tcW w:w="2569" w:type="dxa"/>
          </w:tcPr>
          <w:p w:rsidR="00016D83" w:rsidRPr="0019555C" w:rsidRDefault="00016D83" w:rsidP="00A330D0">
            <w:pPr>
              <w:pStyle w:val="Tabletext"/>
              <w:jc w:val="left"/>
              <w:rPr>
                <w:caps/>
                <w:szCs w:val="18"/>
                <w:lang w:val="en-GB"/>
              </w:rPr>
            </w:pPr>
            <w:r w:rsidRPr="0019555C">
              <w:rPr>
                <w:lang w:val="en-GB"/>
              </w:rPr>
              <w:t>Transport, mobile backhaul, FWA</w:t>
            </w:r>
          </w:p>
        </w:tc>
        <w:tc>
          <w:tcPr>
            <w:tcW w:w="2062" w:type="dxa"/>
          </w:tcPr>
          <w:p w:rsidR="00016D83" w:rsidRPr="0019555C" w:rsidRDefault="00016D83" w:rsidP="00A330D0">
            <w:pPr>
              <w:pStyle w:val="Tabletext"/>
              <w:jc w:val="center"/>
              <w:rPr>
                <w:caps/>
                <w:szCs w:val="18"/>
                <w:lang w:val="en-GB"/>
              </w:rPr>
            </w:pPr>
            <w:r w:rsidRPr="0019555C">
              <w:rPr>
                <w:lang w:val="en-GB"/>
              </w:rPr>
              <w:t>F.637</w:t>
            </w:r>
          </w:p>
        </w:tc>
        <w:tc>
          <w:tcPr>
            <w:tcW w:w="2035" w:type="dxa"/>
          </w:tcPr>
          <w:p w:rsidR="00016D83" w:rsidRPr="0019555C" w:rsidRDefault="00016D83" w:rsidP="00A330D0">
            <w:pPr>
              <w:pStyle w:val="Tabletext"/>
              <w:jc w:val="left"/>
              <w:rPr>
                <w:lang w:val="en-GB"/>
              </w:rPr>
            </w:pPr>
            <w:r w:rsidRPr="0019555C">
              <w:rPr>
                <w:lang w:val="en-GB"/>
              </w:rPr>
              <w:t>2.5, 3.5, 7, 10, 14, 15, 28, 40, 50, 56, 112</w:t>
            </w:r>
          </w:p>
        </w:tc>
        <w:tc>
          <w:tcPr>
            <w:tcW w:w="1495" w:type="dxa"/>
          </w:tcPr>
          <w:p w:rsidR="00016D83" w:rsidRPr="0019555C" w:rsidRDefault="00016D83" w:rsidP="00A330D0">
            <w:pPr>
              <w:pStyle w:val="Tabletext"/>
              <w:jc w:val="left"/>
              <w:rPr>
                <w:lang w:val="en-GB"/>
              </w:rPr>
            </w:pPr>
            <w:r w:rsidRPr="0019555C">
              <w:rPr>
                <w:lang w:val="en-GB"/>
              </w:rPr>
              <w:t>1.5-8 Mbit/s</w:t>
            </w:r>
            <w:r w:rsidRPr="0019555C">
              <w:rPr>
                <w:lang w:val="en-GB"/>
              </w:rPr>
              <w:br/>
              <w:t>2-155 Mbit/s</w:t>
            </w: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24.25-25.25/ 25.25-27.5/ 27.5-29.5</w:t>
            </w:r>
          </w:p>
        </w:tc>
        <w:tc>
          <w:tcPr>
            <w:tcW w:w="2569" w:type="dxa"/>
          </w:tcPr>
          <w:p w:rsidR="00016D83" w:rsidRPr="0019555C" w:rsidRDefault="00016D83" w:rsidP="00A330D0">
            <w:pPr>
              <w:pStyle w:val="Tabletext"/>
              <w:jc w:val="left"/>
              <w:rPr>
                <w:lang w:val="en-GB"/>
              </w:rPr>
            </w:pPr>
            <w:r w:rsidRPr="0019555C">
              <w:rPr>
                <w:lang w:val="en-GB"/>
              </w:rPr>
              <w:t>Transport, , macro and small cell mobile backhaul, FWA</w:t>
            </w:r>
          </w:p>
        </w:tc>
        <w:tc>
          <w:tcPr>
            <w:tcW w:w="2062" w:type="dxa"/>
          </w:tcPr>
          <w:p w:rsidR="00016D83" w:rsidRPr="0019555C" w:rsidRDefault="00016D83" w:rsidP="00A330D0">
            <w:pPr>
              <w:pStyle w:val="Tabletext"/>
              <w:jc w:val="center"/>
              <w:rPr>
                <w:lang w:val="en-GB"/>
              </w:rPr>
            </w:pPr>
            <w:r w:rsidRPr="0019555C">
              <w:rPr>
                <w:lang w:val="en-GB"/>
              </w:rPr>
              <w:t>F.748</w:t>
            </w:r>
          </w:p>
        </w:tc>
        <w:tc>
          <w:tcPr>
            <w:tcW w:w="2035" w:type="dxa"/>
          </w:tcPr>
          <w:p w:rsidR="00016D83" w:rsidRPr="0019555C" w:rsidRDefault="00016D83" w:rsidP="00A330D0">
            <w:pPr>
              <w:pStyle w:val="Tabletext"/>
              <w:jc w:val="left"/>
              <w:rPr>
                <w:lang w:val="en-GB"/>
              </w:rPr>
            </w:pPr>
            <w:r w:rsidRPr="0019555C">
              <w:rPr>
                <w:lang w:val="en-GB"/>
              </w:rPr>
              <w:t>3.5, 7, 14, 28, 56, 112</w:t>
            </w:r>
          </w:p>
        </w:tc>
        <w:tc>
          <w:tcPr>
            <w:tcW w:w="1495" w:type="dxa"/>
          </w:tcPr>
          <w:p w:rsidR="00016D83" w:rsidRPr="0019555C" w:rsidRDefault="00016D83" w:rsidP="00A330D0">
            <w:pPr>
              <w:pStyle w:val="Tabletext"/>
              <w:jc w:val="left"/>
              <w:rPr>
                <w:lang w:val="en-GB"/>
              </w:rPr>
            </w:pP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31.0-31.3</w:t>
            </w:r>
          </w:p>
        </w:tc>
        <w:tc>
          <w:tcPr>
            <w:tcW w:w="2569" w:type="dxa"/>
          </w:tcPr>
          <w:p w:rsidR="00016D83" w:rsidRPr="0019555C" w:rsidRDefault="00016D83" w:rsidP="00A330D0">
            <w:pPr>
              <w:pStyle w:val="Tabletext"/>
              <w:jc w:val="left"/>
              <w:rPr>
                <w:caps/>
                <w:szCs w:val="18"/>
                <w:lang w:val="en-GB"/>
              </w:rPr>
            </w:pPr>
            <w:r w:rsidRPr="0019555C">
              <w:rPr>
                <w:lang w:val="en-GB"/>
              </w:rPr>
              <w:t>Transport, mobile backhaul</w:t>
            </w:r>
          </w:p>
        </w:tc>
        <w:tc>
          <w:tcPr>
            <w:tcW w:w="2062" w:type="dxa"/>
          </w:tcPr>
          <w:p w:rsidR="00016D83" w:rsidRPr="0019555C" w:rsidRDefault="00016D83" w:rsidP="00A330D0">
            <w:pPr>
              <w:pStyle w:val="Tabletext"/>
              <w:jc w:val="center"/>
              <w:rPr>
                <w:lang w:val="en-GB"/>
              </w:rPr>
            </w:pPr>
            <w:r w:rsidRPr="0019555C">
              <w:rPr>
                <w:lang w:val="en-GB"/>
              </w:rPr>
              <w:t>F.746</w:t>
            </w:r>
            <w:r w:rsidRPr="0019555C">
              <w:rPr>
                <w:rStyle w:val="Hyperlink"/>
                <w:lang w:val="en-GB"/>
              </w:rPr>
              <w:br/>
            </w:r>
            <w:r w:rsidRPr="0019555C">
              <w:rPr>
                <w:lang w:val="en-GB"/>
              </w:rPr>
              <w:t>Annexes 5, 6</w:t>
            </w:r>
          </w:p>
        </w:tc>
        <w:tc>
          <w:tcPr>
            <w:tcW w:w="2035" w:type="dxa"/>
          </w:tcPr>
          <w:p w:rsidR="00016D83" w:rsidRPr="0019555C" w:rsidRDefault="00016D83" w:rsidP="00A330D0">
            <w:pPr>
              <w:pStyle w:val="Tabletext"/>
              <w:jc w:val="left"/>
              <w:rPr>
                <w:lang w:val="en-GB"/>
              </w:rPr>
            </w:pPr>
            <w:r w:rsidRPr="0019555C">
              <w:rPr>
                <w:lang w:val="en-GB"/>
              </w:rPr>
              <w:t>3.5, 7, 14, 25, 28, 50</w:t>
            </w:r>
          </w:p>
        </w:tc>
        <w:tc>
          <w:tcPr>
            <w:tcW w:w="1495" w:type="dxa"/>
          </w:tcPr>
          <w:p w:rsidR="00016D83" w:rsidRPr="0019555C" w:rsidRDefault="00016D83" w:rsidP="00A330D0">
            <w:pPr>
              <w:pStyle w:val="Tabletext"/>
              <w:jc w:val="left"/>
              <w:rPr>
                <w:lang w:val="en-GB"/>
              </w:rPr>
            </w:pP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31.8-33.4</w:t>
            </w:r>
          </w:p>
        </w:tc>
        <w:tc>
          <w:tcPr>
            <w:tcW w:w="2569" w:type="dxa"/>
          </w:tcPr>
          <w:p w:rsidR="00016D83" w:rsidRPr="0019555C" w:rsidRDefault="00016D83" w:rsidP="00A330D0">
            <w:pPr>
              <w:pStyle w:val="Tabletext"/>
              <w:jc w:val="left"/>
              <w:rPr>
                <w:lang w:val="en-GB"/>
              </w:rPr>
            </w:pPr>
            <w:r w:rsidRPr="0019555C">
              <w:rPr>
                <w:lang w:val="en-GB"/>
              </w:rPr>
              <w:t>Transport, mobile backhaul, FWA</w:t>
            </w:r>
          </w:p>
        </w:tc>
        <w:tc>
          <w:tcPr>
            <w:tcW w:w="2062" w:type="dxa"/>
          </w:tcPr>
          <w:p w:rsidR="00016D83" w:rsidRPr="0019555C" w:rsidRDefault="00016D83" w:rsidP="00A330D0">
            <w:pPr>
              <w:pStyle w:val="Tabletext"/>
              <w:jc w:val="center"/>
              <w:rPr>
                <w:caps/>
                <w:szCs w:val="18"/>
                <w:lang w:val="en-GB"/>
              </w:rPr>
            </w:pPr>
            <w:r w:rsidRPr="0019555C">
              <w:rPr>
                <w:lang w:val="en-GB"/>
              </w:rPr>
              <w:t>F.1520</w:t>
            </w:r>
          </w:p>
        </w:tc>
        <w:tc>
          <w:tcPr>
            <w:tcW w:w="2035" w:type="dxa"/>
          </w:tcPr>
          <w:p w:rsidR="00016D83" w:rsidRPr="0019555C" w:rsidRDefault="00016D83" w:rsidP="00A330D0">
            <w:pPr>
              <w:pStyle w:val="Tabletext"/>
              <w:jc w:val="left"/>
              <w:rPr>
                <w:lang w:val="en-GB"/>
              </w:rPr>
            </w:pPr>
            <w:r w:rsidRPr="0019555C">
              <w:rPr>
                <w:lang w:val="en-GB"/>
              </w:rPr>
              <w:t>3.5, 7, 14, 28, 56, 112, 168</w:t>
            </w:r>
          </w:p>
        </w:tc>
        <w:tc>
          <w:tcPr>
            <w:tcW w:w="1495" w:type="dxa"/>
          </w:tcPr>
          <w:p w:rsidR="00016D83" w:rsidRPr="0019555C" w:rsidRDefault="00016D83" w:rsidP="00A330D0">
            <w:pPr>
              <w:pStyle w:val="Tabletext"/>
              <w:jc w:val="left"/>
              <w:rPr>
                <w:lang w:val="en-GB"/>
              </w:rPr>
            </w:pP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36.0-40.5</w:t>
            </w:r>
          </w:p>
        </w:tc>
        <w:tc>
          <w:tcPr>
            <w:tcW w:w="2569" w:type="dxa"/>
          </w:tcPr>
          <w:p w:rsidR="00016D83" w:rsidRPr="0019555C" w:rsidRDefault="00016D83" w:rsidP="00A330D0">
            <w:pPr>
              <w:pStyle w:val="Tabletext"/>
              <w:jc w:val="left"/>
              <w:rPr>
                <w:lang w:val="en-GB"/>
              </w:rPr>
            </w:pPr>
            <w:r w:rsidRPr="0019555C">
              <w:rPr>
                <w:lang w:val="en-GB"/>
              </w:rPr>
              <w:t>Macro</w:t>
            </w:r>
            <w:r w:rsidR="00021686">
              <w:rPr>
                <w:lang w:val="en-GB"/>
              </w:rPr>
              <w:t xml:space="preserve"> and small cell mobile backhaul</w:t>
            </w:r>
            <w:r w:rsidRPr="0019555C">
              <w:rPr>
                <w:lang w:val="en-GB"/>
              </w:rPr>
              <w:t>, FWA</w:t>
            </w:r>
          </w:p>
        </w:tc>
        <w:tc>
          <w:tcPr>
            <w:tcW w:w="2062" w:type="dxa"/>
          </w:tcPr>
          <w:p w:rsidR="00016D83" w:rsidRPr="0019555C" w:rsidRDefault="00016D83" w:rsidP="00A330D0">
            <w:pPr>
              <w:pStyle w:val="Tabletext"/>
              <w:jc w:val="center"/>
              <w:rPr>
                <w:caps/>
                <w:szCs w:val="18"/>
                <w:lang w:val="en-GB"/>
              </w:rPr>
            </w:pPr>
            <w:r w:rsidRPr="0019555C">
              <w:rPr>
                <w:lang w:val="en-GB"/>
              </w:rPr>
              <w:t>F.749</w:t>
            </w:r>
          </w:p>
        </w:tc>
        <w:tc>
          <w:tcPr>
            <w:tcW w:w="2035" w:type="dxa"/>
          </w:tcPr>
          <w:p w:rsidR="00016D83" w:rsidRPr="0019555C" w:rsidRDefault="00016D83" w:rsidP="00A330D0">
            <w:pPr>
              <w:pStyle w:val="Tabletext"/>
              <w:jc w:val="left"/>
              <w:rPr>
                <w:lang w:val="en-GB"/>
              </w:rPr>
            </w:pPr>
            <w:r w:rsidRPr="0019555C">
              <w:rPr>
                <w:lang w:val="en-GB"/>
              </w:rPr>
              <w:t>2.5, 3.5, 7, 14, 28, 50, 56, 60, 112</w:t>
            </w:r>
          </w:p>
        </w:tc>
        <w:tc>
          <w:tcPr>
            <w:tcW w:w="1495" w:type="dxa"/>
          </w:tcPr>
          <w:p w:rsidR="00016D83" w:rsidRPr="0019555C" w:rsidRDefault="00016D83" w:rsidP="00A330D0">
            <w:pPr>
              <w:pStyle w:val="Tabletext"/>
              <w:jc w:val="left"/>
              <w:rPr>
                <w:lang w:val="en-GB"/>
              </w:rPr>
            </w:pPr>
          </w:p>
        </w:tc>
      </w:tr>
      <w:tr w:rsidR="00016D83" w:rsidRPr="00A21BE8"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40.5-43.5</w:t>
            </w:r>
          </w:p>
        </w:tc>
        <w:tc>
          <w:tcPr>
            <w:tcW w:w="2569" w:type="dxa"/>
          </w:tcPr>
          <w:p w:rsidR="00016D83" w:rsidRPr="0019555C" w:rsidRDefault="00016D83" w:rsidP="00A330D0">
            <w:pPr>
              <w:pStyle w:val="Tabletext"/>
              <w:jc w:val="left"/>
              <w:rPr>
                <w:lang w:val="en-GB"/>
              </w:rPr>
            </w:pPr>
            <w:r w:rsidRPr="0019555C">
              <w:rPr>
                <w:lang w:val="en-GB"/>
              </w:rPr>
              <w:t>Transport, trunk networks, macro and small cell mobile backhaul, ENG, FWA</w:t>
            </w:r>
          </w:p>
        </w:tc>
        <w:tc>
          <w:tcPr>
            <w:tcW w:w="2062" w:type="dxa"/>
          </w:tcPr>
          <w:p w:rsidR="00016D83" w:rsidRPr="0019555C" w:rsidRDefault="00016D83" w:rsidP="00A330D0">
            <w:pPr>
              <w:pStyle w:val="Tabletext"/>
              <w:tabs>
                <w:tab w:val="left" w:leader="dot" w:pos="7938"/>
                <w:tab w:val="center" w:pos="9526"/>
              </w:tabs>
              <w:ind w:left="567" w:hanging="567"/>
              <w:jc w:val="center"/>
              <w:rPr>
                <w:caps/>
                <w:szCs w:val="18"/>
                <w:lang w:val="en-GB"/>
              </w:rPr>
            </w:pPr>
            <w:r w:rsidRPr="0019555C">
              <w:rPr>
                <w:lang w:val="en-GB"/>
              </w:rPr>
              <w:t>F.2005</w:t>
            </w:r>
          </w:p>
        </w:tc>
        <w:tc>
          <w:tcPr>
            <w:tcW w:w="2035" w:type="dxa"/>
          </w:tcPr>
          <w:p w:rsidR="00016D83" w:rsidRPr="0019555C" w:rsidRDefault="00016D83" w:rsidP="00A330D0">
            <w:pPr>
              <w:pStyle w:val="Tabletext"/>
              <w:jc w:val="left"/>
              <w:rPr>
                <w:lang w:val="en-GB"/>
              </w:rPr>
            </w:pPr>
            <w:r w:rsidRPr="0019555C">
              <w:rPr>
                <w:lang w:val="en-GB"/>
              </w:rPr>
              <w:t>7, 14, 28, 56, 112, or variable sized blocks</w:t>
            </w:r>
          </w:p>
          <w:p w:rsidR="00016D83" w:rsidRPr="0019555C" w:rsidRDefault="00016D83" w:rsidP="00A330D0">
            <w:pPr>
              <w:pStyle w:val="Tabletext"/>
              <w:jc w:val="left"/>
              <w:rPr>
                <w:lang w:val="en-GB"/>
              </w:rPr>
            </w:pPr>
            <w:r w:rsidRPr="0019555C">
              <w:rPr>
                <w:lang w:val="en-GB"/>
              </w:rPr>
              <w:t xml:space="preserve">(Each block size </w:t>
            </w:r>
            <w:r w:rsidRPr="0019555C">
              <w:rPr>
                <w:lang w:val="en-GB"/>
              </w:rPr>
              <w:br/>
              <w:t>&lt; 1 500 MHz)</w:t>
            </w:r>
          </w:p>
        </w:tc>
        <w:tc>
          <w:tcPr>
            <w:tcW w:w="1495" w:type="dxa"/>
          </w:tcPr>
          <w:p w:rsidR="00016D83" w:rsidRPr="0019555C" w:rsidRDefault="00016D83" w:rsidP="00A330D0">
            <w:pPr>
              <w:pStyle w:val="Tabletext"/>
              <w:jc w:val="left"/>
              <w:rPr>
                <w:lang w:val="en-GB"/>
              </w:rPr>
            </w:pP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51.4-52.6</w:t>
            </w:r>
          </w:p>
        </w:tc>
        <w:tc>
          <w:tcPr>
            <w:tcW w:w="2569" w:type="dxa"/>
          </w:tcPr>
          <w:p w:rsidR="00016D83" w:rsidRPr="0019555C" w:rsidRDefault="00016D83" w:rsidP="00A330D0">
            <w:pPr>
              <w:pStyle w:val="Tabletext"/>
              <w:jc w:val="left"/>
              <w:rPr>
                <w:lang w:val="en-GB"/>
              </w:rPr>
            </w:pPr>
            <w:r w:rsidRPr="0019555C">
              <w:rPr>
                <w:lang w:val="en-GB"/>
              </w:rPr>
              <w:t>Transport, macro and small cell mobile backhaul,</w:t>
            </w:r>
          </w:p>
        </w:tc>
        <w:tc>
          <w:tcPr>
            <w:tcW w:w="2062" w:type="dxa"/>
          </w:tcPr>
          <w:p w:rsidR="00016D83" w:rsidRPr="0019555C" w:rsidRDefault="00016D83" w:rsidP="00A330D0">
            <w:pPr>
              <w:pStyle w:val="Tabletext"/>
              <w:tabs>
                <w:tab w:val="left" w:leader="dot" w:pos="7938"/>
                <w:tab w:val="center" w:pos="9526"/>
              </w:tabs>
              <w:ind w:left="567" w:hanging="567"/>
              <w:jc w:val="center"/>
              <w:rPr>
                <w:caps/>
                <w:szCs w:val="18"/>
                <w:lang w:val="en-GB"/>
              </w:rPr>
            </w:pPr>
            <w:r w:rsidRPr="0019555C">
              <w:rPr>
                <w:lang w:val="en-GB"/>
              </w:rPr>
              <w:t>F.1496</w:t>
            </w:r>
          </w:p>
        </w:tc>
        <w:tc>
          <w:tcPr>
            <w:tcW w:w="2035" w:type="dxa"/>
          </w:tcPr>
          <w:p w:rsidR="00016D83" w:rsidRPr="0019555C" w:rsidRDefault="00016D83" w:rsidP="00A330D0">
            <w:pPr>
              <w:pStyle w:val="Tabletext"/>
              <w:jc w:val="left"/>
              <w:rPr>
                <w:lang w:val="en-GB"/>
              </w:rPr>
            </w:pPr>
            <w:r w:rsidRPr="0019555C">
              <w:rPr>
                <w:lang w:val="en-GB"/>
              </w:rPr>
              <w:t>3.5, 7, 14, 28, 56</w:t>
            </w:r>
          </w:p>
        </w:tc>
        <w:tc>
          <w:tcPr>
            <w:tcW w:w="1495" w:type="dxa"/>
          </w:tcPr>
          <w:p w:rsidR="00016D83" w:rsidRPr="0019555C" w:rsidRDefault="00016D83" w:rsidP="00A330D0">
            <w:pPr>
              <w:pStyle w:val="Tabletext"/>
              <w:jc w:val="left"/>
              <w:rPr>
                <w:lang w:val="en-GB"/>
              </w:rPr>
            </w:pPr>
          </w:p>
        </w:tc>
      </w:tr>
      <w:tr w:rsidR="00016D83" w:rsidRPr="00A21BE8"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55.78-57/ 57</w:t>
            </w:r>
            <w:r w:rsidRPr="0019555C">
              <w:rPr>
                <w:lang w:val="en-GB"/>
              </w:rPr>
              <w:noBreakHyphen/>
              <w:t>66</w:t>
            </w:r>
          </w:p>
        </w:tc>
        <w:tc>
          <w:tcPr>
            <w:tcW w:w="2569" w:type="dxa"/>
          </w:tcPr>
          <w:p w:rsidR="00016D83" w:rsidRPr="0019555C" w:rsidRDefault="00016D83" w:rsidP="00A330D0">
            <w:pPr>
              <w:pStyle w:val="Tabletext"/>
              <w:jc w:val="left"/>
              <w:rPr>
                <w:lang w:val="en-GB"/>
              </w:rPr>
            </w:pPr>
            <w:r w:rsidRPr="0019555C">
              <w:rPr>
                <w:lang w:val="en-GB"/>
              </w:rPr>
              <w:t>Transport, macro and small cell mobile backhaul,</w:t>
            </w:r>
          </w:p>
        </w:tc>
        <w:tc>
          <w:tcPr>
            <w:tcW w:w="2062" w:type="dxa"/>
          </w:tcPr>
          <w:p w:rsidR="00016D83" w:rsidRPr="0019555C" w:rsidRDefault="00016D83" w:rsidP="00A330D0">
            <w:pPr>
              <w:pStyle w:val="Tabletext"/>
              <w:tabs>
                <w:tab w:val="clear" w:pos="567"/>
                <w:tab w:val="left" w:pos="-92"/>
                <w:tab w:val="left" w:leader="dot" w:pos="7938"/>
                <w:tab w:val="center" w:pos="9526"/>
              </w:tabs>
              <w:jc w:val="center"/>
              <w:rPr>
                <w:lang w:val="en-GB"/>
              </w:rPr>
            </w:pPr>
            <w:r w:rsidRPr="0019555C">
              <w:rPr>
                <w:lang w:val="en-GB"/>
              </w:rPr>
              <w:t xml:space="preserve">F.1497 </w:t>
            </w:r>
          </w:p>
        </w:tc>
        <w:tc>
          <w:tcPr>
            <w:tcW w:w="2035" w:type="dxa"/>
          </w:tcPr>
          <w:p w:rsidR="00016D83" w:rsidRPr="0019555C" w:rsidRDefault="00016D83" w:rsidP="00A330D0">
            <w:pPr>
              <w:pStyle w:val="Tabletext"/>
              <w:jc w:val="left"/>
              <w:rPr>
                <w:lang w:val="en-GB"/>
              </w:rPr>
            </w:pPr>
            <w:r w:rsidRPr="0019555C">
              <w:rPr>
                <w:lang w:val="en-GB"/>
              </w:rPr>
              <w:t>3.5, 7, 14, 28, 50, 56, 100, up to 2.5 GHz</w:t>
            </w:r>
          </w:p>
        </w:tc>
        <w:tc>
          <w:tcPr>
            <w:tcW w:w="1495" w:type="dxa"/>
          </w:tcPr>
          <w:p w:rsidR="00016D83" w:rsidRPr="0019555C" w:rsidRDefault="00016D83" w:rsidP="00A330D0">
            <w:pPr>
              <w:pStyle w:val="Tabletext"/>
              <w:jc w:val="left"/>
              <w:rPr>
                <w:lang w:val="en-GB"/>
              </w:rPr>
            </w:pPr>
            <w:r w:rsidRPr="0019555C">
              <w:rPr>
                <w:lang w:val="en-GB"/>
              </w:rPr>
              <w:t xml:space="preserve">Up to </w:t>
            </w:r>
            <w:r w:rsidRPr="0019555C">
              <w:rPr>
                <w:lang w:val="en-GB"/>
              </w:rPr>
              <w:br/>
              <w:t>1 Gbit/s and greater</w:t>
            </w: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71-76</w:t>
            </w:r>
            <w:r w:rsidRPr="0019555C">
              <w:rPr>
                <w:lang w:val="en-GB"/>
              </w:rPr>
              <w:br/>
              <w:t>81-86</w:t>
            </w:r>
          </w:p>
        </w:tc>
        <w:tc>
          <w:tcPr>
            <w:tcW w:w="2569" w:type="dxa"/>
          </w:tcPr>
          <w:p w:rsidR="00016D83" w:rsidRPr="0019555C" w:rsidRDefault="00016D83" w:rsidP="00A330D0">
            <w:pPr>
              <w:pStyle w:val="Tabletext"/>
              <w:jc w:val="left"/>
              <w:rPr>
                <w:lang w:val="en-GB"/>
              </w:rPr>
            </w:pPr>
            <w:r w:rsidRPr="0019555C">
              <w:rPr>
                <w:lang w:val="en-GB"/>
              </w:rPr>
              <w:t>Transport, macro and small cell mobile backhaul</w:t>
            </w:r>
          </w:p>
        </w:tc>
        <w:tc>
          <w:tcPr>
            <w:tcW w:w="2062" w:type="dxa"/>
          </w:tcPr>
          <w:p w:rsidR="00016D83" w:rsidRPr="0019555C" w:rsidRDefault="00016D83" w:rsidP="00A330D0">
            <w:pPr>
              <w:pStyle w:val="Tabletext"/>
              <w:keepNext/>
              <w:keepLines/>
              <w:tabs>
                <w:tab w:val="clear" w:pos="284"/>
                <w:tab w:val="clear" w:pos="567"/>
                <w:tab w:val="left" w:leader="dot" w:pos="7938"/>
                <w:tab w:val="center" w:pos="9526"/>
              </w:tabs>
              <w:jc w:val="center"/>
              <w:rPr>
                <w:lang w:val="en-GB"/>
              </w:rPr>
            </w:pPr>
            <w:r w:rsidRPr="0019555C">
              <w:rPr>
                <w:lang w:val="en-GB"/>
              </w:rPr>
              <w:t>F.2006</w:t>
            </w:r>
          </w:p>
        </w:tc>
        <w:tc>
          <w:tcPr>
            <w:tcW w:w="2035" w:type="dxa"/>
          </w:tcPr>
          <w:p w:rsidR="00016D83" w:rsidRPr="0019555C" w:rsidRDefault="00016D83" w:rsidP="00A330D0">
            <w:pPr>
              <w:pStyle w:val="Tabletext"/>
              <w:jc w:val="left"/>
              <w:rPr>
                <w:lang w:val="en-GB"/>
              </w:rPr>
            </w:pPr>
            <w:r w:rsidRPr="0019555C">
              <w:rPr>
                <w:lang w:val="en-GB"/>
              </w:rPr>
              <w:t>125, 250, 75</w:t>
            </w:r>
            <w:r w:rsidR="001C62B4" w:rsidRPr="0019555C">
              <w:rPr>
                <w:lang w:val="en-GB"/>
              </w:rPr>
              <w:t xml:space="preserve">0, 1 000, 1 250, 1 500, 1 750, </w:t>
            </w:r>
            <w:r w:rsidRPr="0019555C">
              <w:rPr>
                <w:lang w:val="en-GB"/>
              </w:rPr>
              <w:t>2 000, 2 250, 2 500, 2 750, 3 000, 3 250, 3 500, 3 750, 4 000, 4 250, 4 500, 5 000</w:t>
            </w:r>
          </w:p>
        </w:tc>
        <w:tc>
          <w:tcPr>
            <w:tcW w:w="1495" w:type="dxa"/>
          </w:tcPr>
          <w:p w:rsidR="00016D83" w:rsidRPr="0019555C" w:rsidRDefault="00016D83" w:rsidP="00A330D0">
            <w:pPr>
              <w:pStyle w:val="Tabletext"/>
              <w:jc w:val="left"/>
              <w:rPr>
                <w:lang w:val="en-GB"/>
              </w:rPr>
            </w:pPr>
          </w:p>
        </w:tc>
      </w:tr>
      <w:tr w:rsidR="00016D83" w:rsidRPr="0019555C" w:rsidTr="0003708E">
        <w:trPr>
          <w:cantSplit/>
          <w:tblHeader/>
          <w:jc w:val="center"/>
        </w:trPr>
        <w:tc>
          <w:tcPr>
            <w:tcW w:w="1478" w:type="dxa"/>
          </w:tcPr>
          <w:p w:rsidR="00016D83" w:rsidRPr="0019555C" w:rsidRDefault="00016D83" w:rsidP="00A330D0">
            <w:pPr>
              <w:pStyle w:val="Tabletext"/>
              <w:jc w:val="center"/>
              <w:rPr>
                <w:lang w:val="en-GB"/>
              </w:rPr>
            </w:pPr>
            <w:r w:rsidRPr="0019555C">
              <w:rPr>
                <w:lang w:val="en-GB"/>
              </w:rPr>
              <w:t>92.0-94.0/ 94.1-95</w:t>
            </w:r>
          </w:p>
        </w:tc>
        <w:tc>
          <w:tcPr>
            <w:tcW w:w="2569" w:type="dxa"/>
          </w:tcPr>
          <w:p w:rsidR="00016D83" w:rsidRPr="0019555C" w:rsidRDefault="00016D83" w:rsidP="00A330D0">
            <w:pPr>
              <w:pStyle w:val="Tabletext"/>
              <w:jc w:val="left"/>
              <w:rPr>
                <w:lang w:val="en-GB"/>
              </w:rPr>
            </w:pPr>
            <w:r w:rsidRPr="0019555C">
              <w:rPr>
                <w:lang w:val="en-GB"/>
              </w:rPr>
              <w:t>Transport, macro and small cell mobile backhaul</w:t>
            </w:r>
          </w:p>
        </w:tc>
        <w:tc>
          <w:tcPr>
            <w:tcW w:w="2062" w:type="dxa"/>
          </w:tcPr>
          <w:p w:rsidR="00016D83" w:rsidRPr="0019555C" w:rsidRDefault="00016D83" w:rsidP="00A330D0">
            <w:pPr>
              <w:pStyle w:val="Tabletext"/>
              <w:tabs>
                <w:tab w:val="left" w:pos="0"/>
                <w:tab w:val="left" w:leader="dot" w:pos="7938"/>
                <w:tab w:val="center" w:pos="9526"/>
              </w:tabs>
              <w:ind w:left="567" w:hanging="567"/>
              <w:jc w:val="center"/>
              <w:rPr>
                <w:caps/>
                <w:szCs w:val="18"/>
                <w:lang w:val="en-GB"/>
              </w:rPr>
            </w:pPr>
            <w:r w:rsidRPr="0019555C">
              <w:rPr>
                <w:lang w:val="en-GB"/>
              </w:rPr>
              <w:t xml:space="preserve">F.2004 </w:t>
            </w:r>
          </w:p>
        </w:tc>
        <w:tc>
          <w:tcPr>
            <w:tcW w:w="2035" w:type="dxa"/>
          </w:tcPr>
          <w:p w:rsidR="00016D83" w:rsidRPr="0019555C" w:rsidRDefault="00016D83" w:rsidP="00A330D0">
            <w:pPr>
              <w:pStyle w:val="Tabletext"/>
              <w:jc w:val="left"/>
              <w:rPr>
                <w:lang w:val="en-GB"/>
              </w:rPr>
            </w:pPr>
            <w:r w:rsidRPr="0019555C">
              <w:rPr>
                <w:lang w:val="en-GB"/>
              </w:rPr>
              <w:t xml:space="preserve">50, 100, </w:t>
            </w:r>
            <w:r w:rsidRPr="0003708E">
              <w:rPr>
                <w:i/>
                <w:iCs/>
                <w:lang w:val="en-GB"/>
              </w:rPr>
              <w:t>n</w:t>
            </w:r>
            <w:r w:rsidRPr="0019555C">
              <w:rPr>
                <w:lang w:val="en-GB"/>
              </w:rPr>
              <w:t xml:space="preserve"> × 100</w:t>
            </w:r>
          </w:p>
        </w:tc>
        <w:tc>
          <w:tcPr>
            <w:tcW w:w="1495" w:type="dxa"/>
          </w:tcPr>
          <w:p w:rsidR="00016D83" w:rsidRPr="0019555C" w:rsidRDefault="00016D83" w:rsidP="00A330D0">
            <w:pPr>
              <w:pStyle w:val="Tabletext"/>
              <w:jc w:val="left"/>
              <w:rPr>
                <w:lang w:val="en-GB"/>
              </w:rPr>
            </w:pPr>
          </w:p>
        </w:tc>
      </w:tr>
    </w:tbl>
    <w:p w:rsidR="00016D83" w:rsidRPr="0019555C" w:rsidRDefault="00016D83" w:rsidP="00016D83">
      <w:pPr>
        <w:pStyle w:val="Tablefin"/>
      </w:pPr>
      <w:bookmarkStart w:id="101" w:name="_Toc387091565"/>
      <w:bookmarkStart w:id="102" w:name="_Toc388871225"/>
      <w:bookmarkStart w:id="103" w:name="_Toc353866406"/>
      <w:bookmarkStart w:id="104" w:name="_Toc354769805"/>
    </w:p>
    <w:p w:rsidR="00016D83" w:rsidRPr="0019555C" w:rsidRDefault="00016D83" w:rsidP="00016D83">
      <w:pPr>
        <w:pStyle w:val="Heading3"/>
        <w:rPr>
          <w:lang w:val="en-GB"/>
        </w:rPr>
      </w:pPr>
      <w:bookmarkStart w:id="105" w:name="_Toc403043901"/>
      <w:bookmarkStart w:id="106" w:name="_Toc403044005"/>
      <w:bookmarkStart w:id="107" w:name="_Toc414014593"/>
      <w:bookmarkStart w:id="108" w:name="_Toc414014766"/>
      <w:r w:rsidRPr="0019555C">
        <w:rPr>
          <w:lang w:val="en-GB"/>
        </w:rPr>
        <w:t>3.2.1</w:t>
      </w:r>
      <w:r w:rsidRPr="0019555C">
        <w:rPr>
          <w:lang w:val="en-GB"/>
        </w:rPr>
        <w:tab/>
        <w:t>Below 3 GHz</w:t>
      </w:r>
      <w:bookmarkEnd w:id="101"/>
      <w:bookmarkEnd w:id="102"/>
      <w:bookmarkEnd w:id="105"/>
      <w:bookmarkEnd w:id="106"/>
      <w:bookmarkEnd w:id="107"/>
      <w:bookmarkEnd w:id="108"/>
    </w:p>
    <w:p w:rsidR="00016D83" w:rsidRPr="0019555C" w:rsidRDefault="00016D83" w:rsidP="00016D83">
      <w:pPr>
        <w:rPr>
          <w:lang w:val="en-GB" w:eastAsia="ja-JP"/>
        </w:rPr>
      </w:pPr>
      <w:r w:rsidRPr="0019555C">
        <w:rPr>
          <w:lang w:val="en-GB" w:eastAsia="ja-JP"/>
        </w:rPr>
        <w:t>FWS below 3 GHz can reach links lengths exceeding 50 km and are used in variety of applications including utilities, public safety and also for connecting remote areas and far offshore islands.</w:t>
      </w:r>
    </w:p>
    <w:p w:rsidR="00016D83" w:rsidRPr="0019555C" w:rsidRDefault="00016D83" w:rsidP="00016D83">
      <w:pPr>
        <w:rPr>
          <w:lang w:val="en-GB" w:eastAsia="ja-JP"/>
        </w:rPr>
      </w:pPr>
      <w:r w:rsidRPr="0019555C">
        <w:rPr>
          <w:lang w:val="en-GB" w:eastAsia="ja-JP"/>
        </w:rPr>
        <w:t xml:space="preserve">The available bands for these applications are very few in number and often regulated at national level; the total available bandwidth and channel separations are small; therefore, only small and medium capacity links are possible, but compatible with the intended use. </w:t>
      </w:r>
    </w:p>
    <w:p w:rsidR="00016D83" w:rsidRPr="0019555C" w:rsidRDefault="00016D83" w:rsidP="00016D83">
      <w:pPr>
        <w:rPr>
          <w:lang w:val="en-GB" w:eastAsia="ja-JP"/>
        </w:rPr>
      </w:pPr>
      <w:r w:rsidRPr="0019555C">
        <w:rPr>
          <w:lang w:val="en-GB" w:eastAsia="ja-JP"/>
        </w:rPr>
        <w:t xml:space="preserve">The recommended radio-frequency channel arrangements in these </w:t>
      </w:r>
      <w:r w:rsidRPr="0019555C">
        <w:rPr>
          <w:lang w:val="en-GB"/>
        </w:rPr>
        <w:t xml:space="preserve">bands </w:t>
      </w:r>
      <w:r w:rsidRPr="0019555C">
        <w:rPr>
          <w:lang w:val="en-GB" w:eastAsia="ja-JP"/>
        </w:rPr>
        <w:t xml:space="preserve">for FS are defined in </w:t>
      </w:r>
      <w:r w:rsidRPr="0019555C">
        <w:rPr>
          <w:iCs/>
          <w:lang w:val="en-GB" w:eastAsia="ja-JP"/>
        </w:rPr>
        <w:t xml:space="preserve">Recommendations </w:t>
      </w:r>
      <w:r w:rsidRPr="0019555C">
        <w:rPr>
          <w:lang w:val="en-GB" w:eastAsia="ja-JP"/>
        </w:rPr>
        <w:t>ITU-R F.701, ITU-R F.1098, ITU-R F.1242, ITU-R F.1243 and ITU-R F.1567.</w:t>
      </w:r>
    </w:p>
    <w:p w:rsidR="00016D83" w:rsidRPr="0019555C" w:rsidRDefault="00016D83" w:rsidP="00016D83">
      <w:pPr>
        <w:pStyle w:val="Heading3"/>
        <w:rPr>
          <w:lang w:val="en-GB"/>
        </w:rPr>
      </w:pPr>
      <w:bookmarkStart w:id="109" w:name="_Toc387091566"/>
      <w:bookmarkStart w:id="110" w:name="_Toc388871226"/>
      <w:bookmarkStart w:id="111" w:name="_Toc403043902"/>
      <w:bookmarkStart w:id="112" w:name="_Toc403044006"/>
      <w:bookmarkStart w:id="113" w:name="_Toc414014594"/>
      <w:bookmarkStart w:id="114" w:name="_Toc414014767"/>
      <w:r w:rsidRPr="0019555C">
        <w:rPr>
          <w:lang w:val="en-GB"/>
        </w:rPr>
        <w:lastRenderedPageBreak/>
        <w:t>3.2.2</w:t>
      </w:r>
      <w:r w:rsidRPr="0019555C">
        <w:rPr>
          <w:lang w:val="en-GB"/>
        </w:rPr>
        <w:tab/>
        <w:t>3 GHz to 10 GHz</w:t>
      </w:r>
      <w:bookmarkEnd w:id="103"/>
      <w:bookmarkEnd w:id="104"/>
      <w:bookmarkEnd w:id="109"/>
      <w:bookmarkEnd w:id="110"/>
      <w:bookmarkEnd w:id="111"/>
      <w:bookmarkEnd w:id="112"/>
      <w:bookmarkEnd w:id="113"/>
      <w:bookmarkEnd w:id="114"/>
      <w:r w:rsidRPr="0019555C">
        <w:rPr>
          <w:lang w:val="en-GB"/>
        </w:rPr>
        <w:t xml:space="preserve"> </w:t>
      </w:r>
    </w:p>
    <w:p w:rsidR="00016D83" w:rsidRPr="0019555C" w:rsidRDefault="00016D83" w:rsidP="00016D83">
      <w:pPr>
        <w:rPr>
          <w:lang w:val="en-GB" w:eastAsia="ja-JP"/>
        </w:rPr>
      </w:pPr>
      <w:r w:rsidRPr="0019555C">
        <w:rPr>
          <w:lang w:val="en-GB" w:eastAsia="ja-JP"/>
        </w:rPr>
        <w:t xml:space="preserve">FWS from 3 GHz to 10 GHz can achieve over 50 km hop distance, and they are used for a variety of applications, typically for transport (long-haul), connections (including backhauling) in rural areas or to provide links to far offshore islands and other applications where higher bands are not suitable due to propagation characteristics and associated equipment deployment profile/characteristics. </w:t>
      </w:r>
    </w:p>
    <w:p w:rsidR="00016D83" w:rsidRPr="0019555C" w:rsidRDefault="00016D83" w:rsidP="00016D83">
      <w:pPr>
        <w:rPr>
          <w:lang w:val="en-GB" w:eastAsia="ja-JP"/>
        </w:rPr>
      </w:pPr>
      <w:r w:rsidRPr="0019555C">
        <w:rPr>
          <w:lang w:val="en-GB" w:eastAsia="ja-JP"/>
        </w:rPr>
        <w:t>Total bandwidth is sufficient for channel separations up to 28/40 MHz (or, when practical twice 28/40 MHz size); high capacity links are then possible. For such purposes, bands from 3 GHz to 10 GHz will continue to occupy an important position in the FS applications including for transport network and mobile backhaul.</w:t>
      </w:r>
    </w:p>
    <w:p w:rsidR="00016D83" w:rsidRPr="0019555C" w:rsidRDefault="00016D83" w:rsidP="00016D83">
      <w:pPr>
        <w:rPr>
          <w:lang w:val="en-GB" w:eastAsia="ja-JP"/>
        </w:rPr>
      </w:pPr>
      <w:r w:rsidRPr="0019555C">
        <w:rPr>
          <w:lang w:val="en-GB" w:eastAsia="ja-JP"/>
        </w:rPr>
        <w:t xml:space="preserve">The radio-frequency channel and block arrangements of these </w:t>
      </w:r>
      <w:r w:rsidRPr="0019555C">
        <w:rPr>
          <w:lang w:val="en-GB"/>
        </w:rPr>
        <w:t xml:space="preserve">bands </w:t>
      </w:r>
      <w:r w:rsidRPr="0019555C">
        <w:rPr>
          <w:lang w:val="en-GB" w:eastAsia="ja-JP"/>
        </w:rPr>
        <w:t xml:space="preserve">for FS are defined in </w:t>
      </w:r>
      <w:r w:rsidRPr="0019555C">
        <w:rPr>
          <w:iCs/>
          <w:lang w:val="en-GB" w:eastAsia="ja-JP"/>
        </w:rPr>
        <w:t xml:space="preserve">Recommendations </w:t>
      </w:r>
      <w:r w:rsidRPr="0019555C">
        <w:rPr>
          <w:lang w:val="en-GB" w:eastAsia="ja-JP"/>
        </w:rPr>
        <w:t>ITU-R F.382, ITU-R F.383, ITU-R F.384, ITU-R F.385, ITU-R F.386, ITU</w:t>
      </w:r>
      <w:r w:rsidRPr="0019555C">
        <w:rPr>
          <w:lang w:val="en-GB" w:eastAsia="ja-JP"/>
        </w:rPr>
        <w:noBreakHyphen/>
        <w:t>R F.635, ITU-R F.1098 and ITU-R F.1099.</w:t>
      </w:r>
    </w:p>
    <w:p w:rsidR="00016D83" w:rsidRPr="0019555C" w:rsidRDefault="00016D83" w:rsidP="00016D83">
      <w:pPr>
        <w:pStyle w:val="Heading3"/>
        <w:rPr>
          <w:lang w:val="en-GB"/>
        </w:rPr>
      </w:pPr>
      <w:bookmarkStart w:id="115" w:name="_Toc353866407"/>
      <w:bookmarkStart w:id="116" w:name="_Toc354769806"/>
      <w:bookmarkStart w:id="117" w:name="_Toc387091567"/>
      <w:bookmarkStart w:id="118" w:name="_Toc388871227"/>
      <w:bookmarkStart w:id="119" w:name="_Toc403043903"/>
      <w:bookmarkStart w:id="120" w:name="_Toc403044007"/>
      <w:bookmarkStart w:id="121" w:name="_Toc414014595"/>
      <w:bookmarkStart w:id="122" w:name="_Toc414014768"/>
      <w:r w:rsidRPr="0019555C">
        <w:rPr>
          <w:lang w:val="en-GB"/>
        </w:rPr>
        <w:t>3.2.3</w:t>
      </w:r>
      <w:r w:rsidRPr="0019555C">
        <w:rPr>
          <w:lang w:val="en-GB"/>
        </w:rPr>
        <w:tab/>
        <w:t>10 GHz to 57 GHz</w:t>
      </w:r>
      <w:bookmarkEnd w:id="115"/>
      <w:bookmarkEnd w:id="116"/>
      <w:bookmarkEnd w:id="117"/>
      <w:bookmarkEnd w:id="118"/>
      <w:bookmarkEnd w:id="119"/>
      <w:bookmarkEnd w:id="120"/>
      <w:bookmarkEnd w:id="121"/>
      <w:bookmarkEnd w:id="122"/>
    </w:p>
    <w:p w:rsidR="00016D83" w:rsidRPr="0019555C" w:rsidRDefault="00016D83" w:rsidP="00016D83">
      <w:pPr>
        <w:rPr>
          <w:lang w:val="en-GB" w:eastAsia="ja-JP"/>
        </w:rPr>
      </w:pPr>
      <w:r w:rsidRPr="0019555C">
        <w:rPr>
          <w:lang w:val="en-GB" w:eastAsia="ja-JP"/>
        </w:rPr>
        <w:t>FWS using bands from 10 GHz to 30 GHz permit maximum link lengths ranging from about 20 km, at the lower edge of this frequency range, to about 10 km at the upper edge. Those from 30 GHz to 57 GHz can cover about a few km. As shown in Figs 5 and 6, the transport networks and mobile backhaul mainly use the frequency bands from 10 GHz to 38 GHz, and the number of FWS links has been continuous</w:t>
      </w:r>
      <w:r w:rsidR="001C62B4" w:rsidRPr="0019555C">
        <w:rPr>
          <w:lang w:val="en-GB" w:eastAsia="ja-JP"/>
        </w:rPr>
        <w:t xml:space="preserve">ly increasing in recent years. </w:t>
      </w:r>
      <w:r w:rsidRPr="0019555C">
        <w:rPr>
          <w:lang w:val="en-GB" w:eastAsia="ja-JP"/>
        </w:rPr>
        <w:t>It was also reported (in 2002) that 38 GHz-band FWS can support over 200 links per square kilometre, number possibly exceeded today.</w:t>
      </w:r>
    </w:p>
    <w:p w:rsidR="00016D83" w:rsidRPr="0019555C" w:rsidRDefault="00016D83" w:rsidP="00016D83">
      <w:pPr>
        <w:rPr>
          <w:lang w:val="en-GB" w:eastAsia="ja-JP"/>
        </w:rPr>
      </w:pPr>
      <w:r w:rsidRPr="0019555C">
        <w:rPr>
          <w:lang w:val="en-GB" w:eastAsia="ja-JP"/>
        </w:rPr>
        <w:t xml:space="preserve">The radio-frequency channel and block arrangements of these bands for FS are defined in </w:t>
      </w:r>
      <w:r w:rsidRPr="0019555C">
        <w:rPr>
          <w:iCs/>
          <w:lang w:val="en-GB" w:eastAsia="ja-JP"/>
        </w:rPr>
        <w:t xml:space="preserve">Recommendations </w:t>
      </w:r>
      <w:r w:rsidRPr="0019555C">
        <w:rPr>
          <w:lang w:val="en-GB" w:eastAsia="ja-JP"/>
        </w:rPr>
        <w:t>ITU-R F.387, ITU-R F.497, ITU-R F.595, ITU-R F.636, ITU-R F.637, ITU</w:t>
      </w:r>
      <w:r w:rsidRPr="0019555C">
        <w:rPr>
          <w:lang w:val="en-GB" w:eastAsia="ja-JP"/>
        </w:rPr>
        <w:noBreakHyphen/>
        <w:t xml:space="preserve">R F.747, ITU-R F.748, ITU-R F.749, ITU-R F.1496, </w:t>
      </w:r>
      <w:r w:rsidRPr="0019555C">
        <w:rPr>
          <w:lang w:val="en-GB"/>
        </w:rPr>
        <w:t>ITU-R F.</w:t>
      </w:r>
      <w:r w:rsidRPr="0019555C">
        <w:rPr>
          <w:bCs/>
          <w:szCs w:val="24"/>
          <w:lang w:val="en-GB" w:eastAsia="zh-CN"/>
        </w:rPr>
        <w:t xml:space="preserve">1498, </w:t>
      </w:r>
      <w:r w:rsidRPr="0019555C">
        <w:rPr>
          <w:lang w:val="en-GB" w:eastAsia="ja-JP"/>
        </w:rPr>
        <w:t>ITU-R F.1520, ITU</w:t>
      </w:r>
      <w:r w:rsidRPr="0019555C">
        <w:rPr>
          <w:lang w:val="en-GB" w:eastAsia="ja-JP"/>
        </w:rPr>
        <w:noBreakHyphen/>
        <w:t>R F.1568 and ITU-R F.2005.</w:t>
      </w:r>
    </w:p>
    <w:p w:rsidR="00016D83" w:rsidRPr="0019555C" w:rsidRDefault="00016D83" w:rsidP="00016D83">
      <w:pPr>
        <w:pStyle w:val="Heading3"/>
        <w:rPr>
          <w:lang w:val="en-GB"/>
        </w:rPr>
      </w:pPr>
      <w:bookmarkStart w:id="123" w:name="_Toc388871228"/>
      <w:bookmarkStart w:id="124" w:name="_Toc353866408"/>
      <w:bookmarkStart w:id="125" w:name="_Toc354769807"/>
      <w:bookmarkStart w:id="126" w:name="_Toc387091568"/>
      <w:bookmarkStart w:id="127" w:name="_Toc403043904"/>
      <w:bookmarkStart w:id="128" w:name="_Toc403044008"/>
      <w:bookmarkStart w:id="129" w:name="_Toc414014596"/>
      <w:bookmarkStart w:id="130" w:name="_Toc414014769"/>
      <w:r w:rsidRPr="0019555C">
        <w:rPr>
          <w:lang w:val="en-GB"/>
        </w:rPr>
        <w:t>3.2.4</w:t>
      </w:r>
      <w:r w:rsidRPr="0019555C">
        <w:rPr>
          <w:lang w:val="en-GB"/>
        </w:rPr>
        <w:tab/>
        <w:t xml:space="preserve">57 GHz to </w:t>
      </w:r>
      <w:bookmarkEnd w:id="123"/>
      <w:r w:rsidRPr="0019555C">
        <w:rPr>
          <w:lang w:val="en-GB" w:eastAsia="ja-JP"/>
        </w:rPr>
        <w:t xml:space="preserve">66 </w:t>
      </w:r>
      <w:r w:rsidRPr="0019555C">
        <w:rPr>
          <w:lang w:val="en-GB"/>
        </w:rPr>
        <w:t>GHz</w:t>
      </w:r>
      <w:bookmarkEnd w:id="124"/>
      <w:bookmarkEnd w:id="125"/>
      <w:bookmarkEnd w:id="126"/>
      <w:bookmarkEnd w:id="127"/>
      <w:bookmarkEnd w:id="128"/>
      <w:bookmarkEnd w:id="129"/>
      <w:bookmarkEnd w:id="130"/>
    </w:p>
    <w:p w:rsidR="00016D83" w:rsidRPr="0019555C" w:rsidRDefault="00016D83" w:rsidP="00016D83">
      <w:pPr>
        <w:rPr>
          <w:lang w:val="en-GB" w:eastAsia="ja-JP"/>
        </w:rPr>
      </w:pPr>
      <w:r w:rsidRPr="0019555C">
        <w:rPr>
          <w:lang w:val="en-GB" w:eastAsia="ja-JP"/>
        </w:rPr>
        <w:t>It should be noted that this Recommendation was developed first in 2000 for bands up to 59 GHz only. Frequency bands 59 to 64 GHz is gathering interest in particular due to a high atmospheric absorption which provides opportunity for small cell backhauling and for other private links (e.g. for Fixed LAN Extensions between different buildings described in Annex 1).</w:t>
      </w:r>
    </w:p>
    <w:p w:rsidR="00016D83" w:rsidRPr="0019555C" w:rsidRDefault="00016D83" w:rsidP="00016D83">
      <w:pPr>
        <w:rPr>
          <w:lang w:val="en-GB" w:eastAsia="ja-JP"/>
        </w:rPr>
      </w:pPr>
      <w:r w:rsidRPr="0019555C">
        <w:rPr>
          <w:lang w:val="en-GB" w:eastAsia="ja-JP"/>
        </w:rPr>
        <w:t xml:space="preserve">Also the 64-66 GHz range, where the atmospheric absorption drops down significantly, gathers interest for similar applications where longer hops are foreseen. </w:t>
      </w:r>
      <w:r w:rsidRPr="0019555C">
        <w:rPr>
          <w:lang w:val="en-GB"/>
        </w:rPr>
        <w:t xml:space="preserve">In 2011, around 700 links </w:t>
      </w:r>
      <w:r w:rsidRPr="0019555C">
        <w:rPr>
          <w:lang w:val="en-GB" w:eastAsia="ja-JP"/>
        </w:rPr>
        <w:t xml:space="preserve">were </w:t>
      </w:r>
      <w:r w:rsidRPr="0019555C">
        <w:rPr>
          <w:lang w:val="en-GB"/>
        </w:rPr>
        <w:t xml:space="preserve">in use in this band (mainly in the 57-59 GHz range) in </w:t>
      </w:r>
      <w:r w:rsidRPr="0019555C">
        <w:rPr>
          <w:lang w:val="en-GB" w:eastAsia="ja-JP"/>
        </w:rPr>
        <w:t xml:space="preserve">a </w:t>
      </w:r>
      <w:r w:rsidRPr="0019555C">
        <w:rPr>
          <w:lang w:val="en-GB"/>
        </w:rPr>
        <w:t>few administrations.</w:t>
      </w:r>
      <w:r w:rsidRPr="0019555C">
        <w:rPr>
          <w:lang w:val="en-GB" w:eastAsia="ja-JP"/>
        </w:rPr>
        <w:t xml:space="preserve"> The </w:t>
      </w:r>
      <w:r w:rsidRPr="0019555C">
        <w:rPr>
          <w:lang w:val="en-GB"/>
        </w:rPr>
        <w:t>majority of</w:t>
      </w:r>
      <w:r w:rsidRPr="0019555C">
        <w:rPr>
          <w:lang w:val="en-GB" w:eastAsia="ja-JP"/>
        </w:rPr>
        <w:t xml:space="preserve"> the</w:t>
      </w:r>
      <w:r w:rsidRPr="0019555C">
        <w:rPr>
          <w:lang w:val="en-GB"/>
        </w:rPr>
        <w:t xml:space="preserve"> links </w:t>
      </w:r>
      <w:r w:rsidRPr="0019555C">
        <w:rPr>
          <w:lang w:val="en-GB" w:eastAsia="ja-JP"/>
        </w:rPr>
        <w:t>were</w:t>
      </w:r>
      <w:r w:rsidRPr="0019555C">
        <w:rPr>
          <w:lang w:val="en-GB"/>
        </w:rPr>
        <w:t xml:space="preserve"> used for fixed and mobile infrastructure.</w:t>
      </w:r>
    </w:p>
    <w:p w:rsidR="00016D83" w:rsidRPr="0019555C" w:rsidRDefault="00016D83" w:rsidP="00016D83">
      <w:pPr>
        <w:rPr>
          <w:lang w:val="en-GB" w:eastAsia="ja-JP"/>
        </w:rPr>
      </w:pPr>
      <w:r w:rsidRPr="0019555C">
        <w:rPr>
          <w:lang w:val="en-GB"/>
        </w:rPr>
        <w:t xml:space="preserve">The </w:t>
      </w:r>
      <w:r w:rsidRPr="0019555C">
        <w:rPr>
          <w:lang w:val="en-GB" w:eastAsia="ja-JP"/>
        </w:rPr>
        <w:t>air</w:t>
      </w:r>
      <w:r w:rsidRPr="0019555C">
        <w:rPr>
          <w:lang w:val="en-GB"/>
        </w:rPr>
        <w:t xml:space="preserve"> absorption around 60 GHz (i.e. from 58 to 64 GHz) is over 10 dB/km. This condition restricts the hop length; on the other hand</w:t>
      </w:r>
      <w:r w:rsidRPr="0019555C">
        <w:rPr>
          <w:lang w:val="en-GB" w:eastAsia="ja-JP"/>
        </w:rPr>
        <w:t>,</w:t>
      </w:r>
      <w:r w:rsidRPr="0019555C">
        <w:rPr>
          <w:lang w:val="en-GB"/>
        </w:rPr>
        <w:t xml:space="preserve"> the spectrum reuse efficiency is high</w:t>
      </w:r>
      <w:r w:rsidRPr="0019555C">
        <w:rPr>
          <w:lang w:val="en-GB" w:eastAsia="ja-JP"/>
        </w:rPr>
        <w:t xml:space="preserve"> </w:t>
      </w:r>
      <w:r w:rsidRPr="0019555C">
        <w:rPr>
          <w:lang w:val="en-GB"/>
        </w:rPr>
        <w:t xml:space="preserve">and isolation from inter-satellite links as also very high. The spectrum reuse efficiency makes the band suitable for small cell </w:t>
      </w:r>
      <w:r w:rsidRPr="0019555C">
        <w:rPr>
          <w:lang w:val="en-GB" w:eastAsia="ja-JP"/>
        </w:rPr>
        <w:t xml:space="preserve">mobile </w:t>
      </w:r>
      <w:r w:rsidRPr="0019555C">
        <w:rPr>
          <w:lang w:val="en-GB"/>
        </w:rPr>
        <w:t>backhaul.</w:t>
      </w:r>
      <w:r w:rsidRPr="0019555C">
        <w:rPr>
          <w:lang w:val="en-GB" w:eastAsia="ja-JP"/>
        </w:rPr>
        <w:t xml:space="preserve"> </w:t>
      </w:r>
    </w:p>
    <w:p w:rsidR="00016D83" w:rsidRPr="0019555C" w:rsidRDefault="00016D83" w:rsidP="00016D83">
      <w:pPr>
        <w:rPr>
          <w:lang w:val="en-GB" w:eastAsia="ja-JP"/>
        </w:rPr>
      </w:pPr>
      <w:bookmarkStart w:id="131" w:name="_Toc353866409"/>
      <w:bookmarkStart w:id="132" w:name="_Toc354769808"/>
      <w:bookmarkStart w:id="133" w:name="_Toc387091569"/>
      <w:bookmarkStart w:id="134" w:name="_Toc388871229"/>
      <w:r w:rsidRPr="0019555C">
        <w:rPr>
          <w:lang w:val="en-GB" w:eastAsia="ja-JP"/>
        </w:rPr>
        <w:t xml:space="preserve">The radio-frequency channel and block arrangements of these bands for FS are defined in </w:t>
      </w:r>
      <w:r w:rsidRPr="0019555C">
        <w:rPr>
          <w:iCs/>
          <w:lang w:val="en-GB" w:eastAsia="ja-JP"/>
        </w:rPr>
        <w:t xml:space="preserve">Recommendation </w:t>
      </w:r>
      <w:r w:rsidRPr="0019555C">
        <w:rPr>
          <w:lang w:val="en-GB" w:eastAsia="ja-JP"/>
        </w:rPr>
        <w:t>ITU-R F.1497.</w:t>
      </w:r>
    </w:p>
    <w:p w:rsidR="00016D83" w:rsidRPr="0019555C" w:rsidRDefault="00016D83" w:rsidP="00016D83">
      <w:pPr>
        <w:pStyle w:val="Heading3"/>
        <w:rPr>
          <w:lang w:val="en-GB"/>
        </w:rPr>
      </w:pPr>
      <w:bookmarkStart w:id="135" w:name="_Toc403043905"/>
      <w:bookmarkStart w:id="136" w:name="_Toc403044009"/>
      <w:bookmarkStart w:id="137" w:name="_Toc414014597"/>
      <w:bookmarkStart w:id="138" w:name="_Toc414014770"/>
      <w:r w:rsidRPr="0019555C">
        <w:rPr>
          <w:lang w:val="en-GB"/>
        </w:rPr>
        <w:t>3.2.5</w:t>
      </w:r>
      <w:r w:rsidRPr="0019555C">
        <w:rPr>
          <w:lang w:val="en-GB"/>
        </w:rPr>
        <w:tab/>
        <w:t>71 GHz to 76 GHz and 81 GHz to 86 GHz</w:t>
      </w:r>
      <w:bookmarkEnd w:id="131"/>
      <w:bookmarkEnd w:id="132"/>
      <w:bookmarkEnd w:id="133"/>
      <w:bookmarkEnd w:id="134"/>
      <w:bookmarkEnd w:id="135"/>
      <w:bookmarkEnd w:id="136"/>
      <w:bookmarkEnd w:id="137"/>
      <w:bookmarkEnd w:id="138"/>
    </w:p>
    <w:p w:rsidR="00016D83" w:rsidRPr="0019555C" w:rsidRDefault="00016D83" w:rsidP="00016D83">
      <w:pPr>
        <w:rPr>
          <w:lang w:val="en-GB" w:eastAsia="ja-JP"/>
        </w:rPr>
      </w:pPr>
      <w:r w:rsidRPr="0019555C">
        <w:rPr>
          <w:lang w:val="en-GB" w:eastAsia="ja-JP"/>
        </w:rPr>
        <w:t>As of 2013, t</w:t>
      </w:r>
      <w:r w:rsidRPr="0019555C">
        <w:rPr>
          <w:lang w:val="en-GB"/>
        </w:rPr>
        <w:t xml:space="preserve">hese bands </w:t>
      </w:r>
      <w:r w:rsidRPr="0019555C">
        <w:rPr>
          <w:lang w:val="en-GB" w:eastAsia="ja-JP"/>
        </w:rPr>
        <w:t>have been recently exploited for practical use</w:t>
      </w:r>
      <w:r w:rsidRPr="0019555C">
        <w:rPr>
          <w:lang w:val="en-GB"/>
        </w:rPr>
        <w:t>.</w:t>
      </w:r>
      <w:r w:rsidRPr="0019555C">
        <w:rPr>
          <w:lang w:val="en-GB" w:eastAsia="ja-JP"/>
        </w:rPr>
        <w:t xml:space="preserve"> </w:t>
      </w:r>
      <w:r w:rsidRPr="0019555C">
        <w:rPr>
          <w:lang w:val="en-GB"/>
        </w:rPr>
        <w:t>Most applications are foreseen for FWS links used for fixed and mobile infrastructure.</w:t>
      </w:r>
      <w:r w:rsidRPr="0019555C">
        <w:rPr>
          <w:lang w:val="en-GB" w:eastAsia="ja-JP"/>
        </w:rPr>
        <w:t xml:space="preserve"> </w:t>
      </w:r>
    </w:p>
    <w:p w:rsidR="00016D83" w:rsidRPr="0019555C" w:rsidRDefault="00016D83" w:rsidP="00016D83">
      <w:pPr>
        <w:rPr>
          <w:lang w:val="en-GB" w:eastAsia="ja-JP"/>
        </w:rPr>
      </w:pPr>
      <w:r w:rsidRPr="0019555C">
        <w:rPr>
          <w:lang w:val="en-GB"/>
        </w:rPr>
        <w:lastRenderedPageBreak/>
        <w:t>In these bands, wide bandwidth can be used and the attenuation due to gas absorption is relatively small compar</w:t>
      </w:r>
      <w:r w:rsidRPr="0019555C">
        <w:rPr>
          <w:lang w:val="en-GB" w:eastAsia="ja-JP"/>
        </w:rPr>
        <w:t>ed</w:t>
      </w:r>
      <w:r w:rsidRPr="0019555C">
        <w:rPr>
          <w:lang w:val="en-GB"/>
        </w:rPr>
        <w:t xml:space="preserve"> with </w:t>
      </w:r>
      <w:r w:rsidRPr="0019555C">
        <w:rPr>
          <w:lang w:val="en-GB" w:eastAsia="ja-JP"/>
        </w:rPr>
        <w:t xml:space="preserve">the </w:t>
      </w:r>
      <w:r w:rsidRPr="0019555C">
        <w:rPr>
          <w:lang w:val="en-GB"/>
        </w:rPr>
        <w:t>60 GHz band and, in practice negligible. Therefore, this band is suitable for high</w:t>
      </w:r>
      <w:r w:rsidRPr="0019555C">
        <w:rPr>
          <w:lang w:val="en-GB" w:eastAsia="ja-JP"/>
        </w:rPr>
        <w:t>-</w:t>
      </w:r>
      <w:r w:rsidRPr="0019555C">
        <w:rPr>
          <w:lang w:val="en-GB"/>
        </w:rPr>
        <w:t>capacity transmission.</w:t>
      </w:r>
    </w:p>
    <w:p w:rsidR="00016D83" w:rsidRPr="0019555C" w:rsidRDefault="00016D83" w:rsidP="00016D83">
      <w:pPr>
        <w:rPr>
          <w:lang w:val="en-GB" w:eastAsia="ja-JP"/>
        </w:rPr>
      </w:pPr>
      <w:r w:rsidRPr="0019555C">
        <w:rPr>
          <w:lang w:val="en-GB" w:eastAsia="ja-JP"/>
        </w:rPr>
        <w:t>The radio-frequency channel and block arrangement of these bands for FS are defined in Recommendation ITU-R F.2006.</w:t>
      </w:r>
    </w:p>
    <w:p w:rsidR="00016D83" w:rsidRPr="0019555C" w:rsidRDefault="00016D83" w:rsidP="00016D83">
      <w:pPr>
        <w:pStyle w:val="Heading3"/>
        <w:rPr>
          <w:lang w:val="en-GB"/>
        </w:rPr>
      </w:pPr>
      <w:bookmarkStart w:id="139" w:name="_Toc353866410"/>
      <w:bookmarkStart w:id="140" w:name="_Toc354769809"/>
      <w:bookmarkStart w:id="141" w:name="_Toc387091570"/>
      <w:bookmarkStart w:id="142" w:name="_Toc388871230"/>
      <w:bookmarkStart w:id="143" w:name="_Toc403043906"/>
      <w:bookmarkStart w:id="144" w:name="_Toc403044010"/>
      <w:bookmarkStart w:id="145" w:name="_Toc414014598"/>
      <w:bookmarkStart w:id="146" w:name="_Toc414014771"/>
      <w:r w:rsidRPr="0019555C">
        <w:rPr>
          <w:lang w:val="en-GB"/>
        </w:rPr>
        <w:t>3.2.6</w:t>
      </w:r>
      <w:r w:rsidRPr="0019555C">
        <w:rPr>
          <w:lang w:val="en-GB"/>
        </w:rPr>
        <w:tab/>
        <w:t>92 GHz to 95 GHz</w:t>
      </w:r>
      <w:bookmarkEnd w:id="139"/>
      <w:bookmarkEnd w:id="140"/>
      <w:bookmarkEnd w:id="141"/>
      <w:bookmarkEnd w:id="142"/>
      <w:bookmarkEnd w:id="143"/>
      <w:bookmarkEnd w:id="144"/>
      <w:bookmarkEnd w:id="145"/>
      <w:bookmarkEnd w:id="146"/>
    </w:p>
    <w:p w:rsidR="00016D83" w:rsidRPr="0019555C" w:rsidRDefault="00016D83" w:rsidP="00016D83">
      <w:pPr>
        <w:rPr>
          <w:lang w:val="en-GB" w:eastAsia="ja-JP"/>
        </w:rPr>
      </w:pPr>
      <w:r w:rsidRPr="0019555C">
        <w:rPr>
          <w:lang w:val="en-GB" w:eastAsia="ja-JP"/>
        </w:rPr>
        <w:t>As of 2013, t</w:t>
      </w:r>
      <w:r w:rsidRPr="0019555C">
        <w:rPr>
          <w:lang w:val="en-GB"/>
        </w:rPr>
        <w:t>he use of th</w:t>
      </w:r>
      <w:r w:rsidRPr="0019555C">
        <w:rPr>
          <w:lang w:val="en-GB" w:eastAsia="ja-JP"/>
        </w:rPr>
        <w:t xml:space="preserve">is </w:t>
      </w:r>
      <w:r w:rsidRPr="0019555C">
        <w:rPr>
          <w:lang w:val="en-GB"/>
        </w:rPr>
        <w:t>band is just beginning.</w:t>
      </w:r>
      <w:r w:rsidRPr="0019555C">
        <w:rPr>
          <w:lang w:val="en-GB" w:eastAsia="ja-JP"/>
        </w:rPr>
        <w:t xml:space="preserve"> </w:t>
      </w:r>
      <w:r w:rsidRPr="0019555C">
        <w:rPr>
          <w:lang w:val="en-GB"/>
        </w:rPr>
        <w:t xml:space="preserve">Most applications are </w:t>
      </w:r>
      <w:r w:rsidRPr="0019555C">
        <w:rPr>
          <w:lang w:val="en-GB" w:eastAsia="ja-JP"/>
        </w:rPr>
        <w:t>almost the same as that with 71-76 and /81</w:t>
      </w:r>
      <w:r w:rsidRPr="0019555C">
        <w:rPr>
          <w:lang w:val="en-GB" w:eastAsia="ja-JP"/>
        </w:rPr>
        <w:noBreakHyphen/>
        <w:t>86 GHz bands. However, the total bandwidth of this band is 2 GHz and 0.9 GHz (92.0-94.0/94.1-95 GHz), and then the data rate of FWS in this band is smaller than that possibly provided in 71-76 and /81-86 GHz bands. T</w:t>
      </w:r>
      <w:r w:rsidRPr="0019555C">
        <w:rPr>
          <w:lang w:val="en-GB"/>
        </w:rPr>
        <w:t>he band is light</w:t>
      </w:r>
      <w:r w:rsidRPr="0019555C">
        <w:rPr>
          <w:lang w:val="en-GB" w:eastAsia="ja-JP"/>
        </w:rPr>
        <w:t xml:space="preserve">ly </w:t>
      </w:r>
      <w:r w:rsidRPr="0019555C">
        <w:rPr>
          <w:lang w:val="en-GB"/>
        </w:rPr>
        <w:t>licensed</w:t>
      </w:r>
      <w:r w:rsidRPr="0019555C">
        <w:rPr>
          <w:lang w:val="en-GB" w:eastAsia="ja-JP"/>
        </w:rPr>
        <w:t xml:space="preserve"> in Canada and </w:t>
      </w:r>
      <w:r w:rsidRPr="0019555C">
        <w:rPr>
          <w:lang w:val="en-GB"/>
        </w:rPr>
        <w:t>the United States of America.</w:t>
      </w:r>
    </w:p>
    <w:p w:rsidR="00016D83" w:rsidRPr="0019555C" w:rsidRDefault="00016D83" w:rsidP="00016D83">
      <w:pPr>
        <w:rPr>
          <w:lang w:val="en-GB" w:eastAsia="ja-JP"/>
        </w:rPr>
      </w:pPr>
      <w:r w:rsidRPr="0019555C">
        <w:rPr>
          <w:lang w:val="en-GB" w:eastAsia="ja-JP"/>
        </w:rPr>
        <w:t>The radio-frequency channel and block arrangement of these bands for FS are defined in Recommendation ITU-R F.2004.</w:t>
      </w:r>
    </w:p>
    <w:p w:rsidR="00016D83" w:rsidRPr="0019555C" w:rsidRDefault="00016D83" w:rsidP="00016D83">
      <w:pPr>
        <w:pStyle w:val="Heading2"/>
        <w:rPr>
          <w:lang w:val="en-GB"/>
        </w:rPr>
      </w:pPr>
      <w:bookmarkStart w:id="147" w:name="_Toc354769810"/>
      <w:bookmarkStart w:id="148" w:name="_Toc387091571"/>
      <w:bookmarkStart w:id="149" w:name="_Toc388871231"/>
      <w:bookmarkStart w:id="150" w:name="_Toc403043907"/>
      <w:bookmarkStart w:id="151" w:name="_Toc403044011"/>
      <w:bookmarkStart w:id="152" w:name="_Toc414014599"/>
      <w:bookmarkStart w:id="153" w:name="_Toc414014772"/>
      <w:r w:rsidRPr="0019555C">
        <w:rPr>
          <w:lang w:val="en-GB"/>
        </w:rPr>
        <w:t>3.3</w:t>
      </w:r>
      <w:r w:rsidRPr="0019555C">
        <w:rPr>
          <w:lang w:val="en-GB"/>
        </w:rPr>
        <w:tab/>
        <w:t>Spectrum use in specific regions</w:t>
      </w:r>
      <w:bookmarkEnd w:id="147"/>
      <w:bookmarkEnd w:id="148"/>
      <w:bookmarkEnd w:id="149"/>
      <w:bookmarkEnd w:id="150"/>
      <w:bookmarkEnd w:id="151"/>
      <w:bookmarkEnd w:id="152"/>
      <w:bookmarkEnd w:id="153"/>
    </w:p>
    <w:p w:rsidR="00016D83" w:rsidRPr="0019555C" w:rsidRDefault="00016D83" w:rsidP="00016D83">
      <w:pPr>
        <w:pStyle w:val="Heading3"/>
        <w:rPr>
          <w:lang w:val="en-GB" w:eastAsia="ja-JP"/>
        </w:rPr>
      </w:pPr>
      <w:bookmarkStart w:id="154" w:name="_Toc353866412"/>
      <w:bookmarkStart w:id="155" w:name="_Toc354769811"/>
      <w:bookmarkStart w:id="156" w:name="_Toc387091572"/>
      <w:bookmarkStart w:id="157" w:name="_Toc388871232"/>
      <w:bookmarkStart w:id="158" w:name="_Toc403043908"/>
      <w:bookmarkStart w:id="159" w:name="_Toc403044012"/>
      <w:bookmarkStart w:id="160" w:name="_Toc414014600"/>
      <w:bookmarkStart w:id="161" w:name="_Toc414014773"/>
      <w:r w:rsidRPr="0019555C">
        <w:rPr>
          <w:lang w:val="en-GB"/>
        </w:rPr>
        <w:t>3.3.1</w:t>
      </w:r>
      <w:r w:rsidRPr="0019555C">
        <w:rPr>
          <w:lang w:val="en-GB"/>
        </w:rPr>
        <w:tab/>
      </w:r>
      <w:bookmarkEnd w:id="154"/>
      <w:bookmarkEnd w:id="155"/>
      <w:bookmarkEnd w:id="156"/>
      <w:bookmarkEnd w:id="157"/>
      <w:r w:rsidRPr="0019555C">
        <w:rPr>
          <w:lang w:val="en-GB" w:eastAsia="ja-JP"/>
        </w:rPr>
        <w:t>Europe</w:t>
      </w:r>
      <w:bookmarkEnd w:id="158"/>
      <w:bookmarkEnd w:id="159"/>
      <w:bookmarkEnd w:id="160"/>
      <w:bookmarkEnd w:id="161"/>
    </w:p>
    <w:p w:rsidR="00016D83" w:rsidRPr="0019555C" w:rsidRDefault="00016D83" w:rsidP="00016D83">
      <w:pPr>
        <w:rPr>
          <w:lang w:val="en-GB" w:eastAsia="ja-JP"/>
        </w:rPr>
      </w:pPr>
      <w:r w:rsidRPr="0019555C">
        <w:rPr>
          <w:lang w:val="en-GB"/>
        </w:rPr>
        <w:t xml:space="preserve">This section depicts the spectrum use of FWS in Europe. The data given in this section is based on a survey conducted by the Electronic Communications Committee (ECC) of Conférence Européenne des administrations des Postes et des Télécommunications (CEPT) between September 2010 and January 2012 on spectrum requirements and technology trends for FS in Europe post-2011. The analysis of this data </w:t>
      </w:r>
      <w:r w:rsidRPr="0019555C">
        <w:rPr>
          <w:lang w:val="en-GB" w:eastAsia="ja-JP"/>
        </w:rPr>
        <w:t>is</w:t>
      </w:r>
      <w:r w:rsidRPr="0019555C">
        <w:rPr>
          <w:lang w:val="en-GB"/>
        </w:rPr>
        <w:t xml:space="preserve"> included in ECC Report 173 (published in summer 2012).</w:t>
      </w:r>
    </w:p>
    <w:p w:rsidR="00016D83" w:rsidRPr="0019555C" w:rsidRDefault="00016D83" w:rsidP="00016D83">
      <w:pPr>
        <w:rPr>
          <w:lang w:val="en-GB" w:eastAsia="ja-JP"/>
        </w:rPr>
      </w:pPr>
      <w:r w:rsidRPr="0019555C">
        <w:rPr>
          <w:lang w:val="en-GB" w:eastAsia="ja-JP"/>
        </w:rPr>
        <w:t>T</w:t>
      </w:r>
      <w:r w:rsidRPr="0019555C">
        <w:rPr>
          <w:lang w:val="en-GB"/>
        </w:rPr>
        <w:t xml:space="preserve">he trends </w:t>
      </w:r>
      <w:r w:rsidRPr="0019555C">
        <w:rPr>
          <w:lang w:val="en-GB" w:eastAsia="ja-JP"/>
        </w:rPr>
        <w:t>in bands from 10 GHz to 38 GHz</w:t>
      </w:r>
      <w:r w:rsidRPr="0019555C">
        <w:rPr>
          <w:lang w:val="en-GB"/>
        </w:rPr>
        <w:t xml:space="preserve"> in Europe are shown by comparing the data </w:t>
      </w:r>
      <w:r w:rsidRPr="0019555C">
        <w:rPr>
          <w:lang w:val="en-GB" w:eastAsia="ja-JP"/>
        </w:rPr>
        <w:t>in</w:t>
      </w:r>
      <w:r w:rsidRPr="0019555C">
        <w:rPr>
          <w:lang w:val="en-GB"/>
        </w:rPr>
        <w:t xml:space="preserve"> 1997, 2001 and 2010. Figure </w:t>
      </w:r>
      <w:r w:rsidRPr="0019555C">
        <w:rPr>
          <w:lang w:val="en-GB" w:eastAsia="ja-JP"/>
        </w:rPr>
        <w:t>5</w:t>
      </w:r>
      <w:r w:rsidRPr="0019555C">
        <w:rPr>
          <w:lang w:val="en-GB"/>
        </w:rPr>
        <w:t xml:space="preserve"> </w:t>
      </w:r>
      <w:r w:rsidRPr="0019555C">
        <w:rPr>
          <w:lang w:val="en-GB" w:eastAsia="ja-JP"/>
        </w:rPr>
        <w:t>presents</w:t>
      </w:r>
      <w:r w:rsidRPr="0019555C">
        <w:rPr>
          <w:lang w:val="en-GB"/>
        </w:rPr>
        <w:t xml:space="preserve"> the number of links in </w:t>
      </w:r>
      <w:r w:rsidRPr="0019555C">
        <w:rPr>
          <w:lang w:val="en-GB" w:eastAsia="ja-JP"/>
        </w:rPr>
        <w:t>these years</w:t>
      </w:r>
      <w:r w:rsidRPr="0019555C">
        <w:rPr>
          <w:lang w:val="en-GB"/>
        </w:rPr>
        <w:t xml:space="preserve">, and </w:t>
      </w:r>
      <w:r w:rsidRPr="0019555C">
        <w:rPr>
          <w:lang w:val="en-GB" w:eastAsia="ja-JP"/>
        </w:rPr>
        <w:t xml:space="preserve">shows </w:t>
      </w:r>
      <w:r w:rsidRPr="0019555C">
        <w:rPr>
          <w:lang w:val="en-GB"/>
        </w:rPr>
        <w:t>the high levels of recent growth, for bands in the 10-</w:t>
      </w:r>
      <w:r w:rsidRPr="0019555C">
        <w:rPr>
          <w:lang w:val="en-GB" w:eastAsia="ja-JP"/>
        </w:rPr>
        <w:t>38</w:t>
      </w:r>
      <w:r w:rsidRPr="0019555C">
        <w:rPr>
          <w:lang w:val="en-GB"/>
        </w:rPr>
        <w:t xml:space="preserve"> GHz range.</w:t>
      </w:r>
    </w:p>
    <w:p w:rsidR="00016D83" w:rsidRPr="0019555C" w:rsidRDefault="00016D83" w:rsidP="00016D83">
      <w:pPr>
        <w:pStyle w:val="FigureNo"/>
        <w:rPr>
          <w:lang w:val="en-GB"/>
        </w:rPr>
      </w:pPr>
      <w:r w:rsidRPr="0019555C">
        <w:rPr>
          <w:lang w:val="en-GB"/>
        </w:rPr>
        <w:t>FIGURE 5</w:t>
      </w:r>
    </w:p>
    <w:p w:rsidR="00016D83" w:rsidRPr="0019555C" w:rsidRDefault="00016D83" w:rsidP="00016D83">
      <w:pPr>
        <w:pStyle w:val="Figuretitle"/>
        <w:rPr>
          <w:lang w:val="en-GB"/>
        </w:rPr>
      </w:pPr>
      <w:r w:rsidRPr="0019555C">
        <w:rPr>
          <w:lang w:val="en-GB"/>
        </w:rPr>
        <w:t>Trends of links for each band in Europe</w:t>
      </w:r>
    </w:p>
    <w:p w:rsidR="00016D83" w:rsidRPr="0019555C" w:rsidRDefault="00016D83" w:rsidP="00016D83">
      <w:pPr>
        <w:pStyle w:val="Figurelegend"/>
        <w:jc w:val="center"/>
        <w:rPr>
          <w:lang w:val="en-GB"/>
        </w:rPr>
      </w:pPr>
      <w:r w:rsidRPr="0019555C">
        <w:rPr>
          <w:lang w:val="en-GB"/>
        </w:rPr>
        <w:t>(ECC Report 173)</w:t>
      </w:r>
    </w:p>
    <w:p w:rsidR="00016D83" w:rsidRPr="0019555C" w:rsidRDefault="00016D83" w:rsidP="00016D83">
      <w:pPr>
        <w:pStyle w:val="Figure"/>
        <w:rPr>
          <w:sz w:val="22"/>
          <w:lang w:val="en-GB" w:eastAsia="ja-JP"/>
        </w:rPr>
      </w:pPr>
      <w:r w:rsidRPr="0019555C">
        <w:rPr>
          <w:noProof/>
          <w:lang w:val="en-US" w:eastAsia="zh-CN"/>
        </w:rPr>
        <w:drawing>
          <wp:inline distT="0" distB="0" distL="0" distR="0" wp14:anchorId="22A14AF0" wp14:editId="20C48E64">
            <wp:extent cx="5314950" cy="1733550"/>
            <wp:effectExtent l="0" t="0" r="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1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0" cy="1733550"/>
                    </a:xfrm>
                    <a:prstGeom prst="rect">
                      <a:avLst/>
                    </a:prstGeom>
                    <a:noFill/>
                    <a:ln>
                      <a:noFill/>
                    </a:ln>
                  </pic:spPr>
                </pic:pic>
              </a:graphicData>
            </a:graphic>
          </wp:inline>
        </w:drawing>
      </w:r>
    </w:p>
    <w:p w:rsidR="00016D83" w:rsidRPr="0019555C" w:rsidRDefault="00016D83" w:rsidP="00016D83">
      <w:pPr>
        <w:rPr>
          <w:lang w:val="en-GB" w:eastAsia="ja-JP"/>
        </w:rPr>
      </w:pPr>
      <w:r w:rsidRPr="0019555C">
        <w:rPr>
          <w:lang w:val="en-GB"/>
        </w:rPr>
        <w:t xml:space="preserve">The growth of FWS in these bands in Europe </w:t>
      </w:r>
      <w:r w:rsidRPr="0019555C">
        <w:rPr>
          <w:lang w:val="en-GB" w:eastAsia="ja-JP"/>
        </w:rPr>
        <w:t>was</w:t>
      </w:r>
      <w:r w:rsidRPr="0019555C">
        <w:rPr>
          <w:lang w:val="en-GB"/>
        </w:rPr>
        <w:t xml:space="preserve"> attributed to increased demand for mobile backhaul. This trend will continue for coming years with demands for higher capacity and more links due to the expected large scale deployment of </w:t>
      </w:r>
      <w:r w:rsidRPr="0019555C">
        <w:rPr>
          <w:lang w:val="en-GB" w:eastAsia="ja-JP"/>
        </w:rPr>
        <w:t>wider</w:t>
      </w:r>
      <w:r w:rsidRPr="0019555C">
        <w:rPr>
          <w:lang w:val="en-GB"/>
        </w:rPr>
        <w:t xml:space="preserve"> bandwidth mobile technologies (e.g. UMTS/HSPA/HSPA+/LTE/IMT-Advanced). In particular, increasing usage of the 38 GHz band is expected in coming years in many CEPT administrations.</w:t>
      </w:r>
    </w:p>
    <w:p w:rsidR="00016D83" w:rsidRPr="0019555C" w:rsidRDefault="00016D83" w:rsidP="00016D83">
      <w:pPr>
        <w:rPr>
          <w:lang w:val="en-GB" w:eastAsia="ja-JP"/>
        </w:rPr>
      </w:pPr>
      <w:r w:rsidRPr="0019555C">
        <w:rPr>
          <w:lang w:val="en-GB" w:eastAsia="ja-JP"/>
        </w:rPr>
        <w:lastRenderedPageBreak/>
        <w:t>Figure 6 presents</w:t>
      </w:r>
      <w:r w:rsidRPr="0019555C">
        <w:rPr>
          <w:lang w:val="en-GB"/>
        </w:rPr>
        <w:t xml:space="preserve"> the use of frequency bands of the fixed point-to-point services in Poland (based on the data available on the website of the UKE – Polish Regulatory Body).</w:t>
      </w:r>
      <w:r w:rsidRPr="0019555C">
        <w:rPr>
          <w:lang w:val="en-GB" w:eastAsia="ja-JP"/>
        </w:rPr>
        <w:t xml:space="preserve"> The increase in the 23 GHz-band and 38 GHz-band is remarkable. Moreover, 176 point-to-point services at 70/80 GHz</w:t>
      </w:r>
      <w:r w:rsidRPr="0019555C">
        <w:rPr>
          <w:lang w:val="en-GB" w:eastAsia="ja-JP"/>
        </w:rPr>
        <w:noBreakHyphen/>
        <w:t>bands are used in 2013.</w:t>
      </w:r>
    </w:p>
    <w:p w:rsidR="00016D83" w:rsidRPr="0019555C" w:rsidRDefault="00016D83" w:rsidP="00016D83">
      <w:pPr>
        <w:pStyle w:val="FigureNo"/>
        <w:rPr>
          <w:lang w:val="en-GB" w:eastAsia="ja-JP"/>
        </w:rPr>
      </w:pPr>
      <w:r w:rsidRPr="0019555C">
        <w:rPr>
          <w:lang w:val="en-GB" w:eastAsia="ja-JP"/>
        </w:rPr>
        <w:t>FIGURE</w:t>
      </w:r>
      <w:r w:rsidRPr="0019555C">
        <w:rPr>
          <w:lang w:val="en-GB"/>
        </w:rPr>
        <w:t xml:space="preserve"> </w:t>
      </w:r>
      <w:r w:rsidRPr="0019555C">
        <w:rPr>
          <w:lang w:val="en-GB" w:eastAsia="ja-JP"/>
        </w:rPr>
        <w:t>6</w:t>
      </w:r>
    </w:p>
    <w:p w:rsidR="00016D83" w:rsidRPr="0019555C" w:rsidRDefault="00016D83" w:rsidP="00016D83">
      <w:pPr>
        <w:pStyle w:val="Figuretitle"/>
        <w:rPr>
          <w:lang w:val="en-GB"/>
        </w:rPr>
      </w:pPr>
      <w:r w:rsidRPr="0019555C">
        <w:rPr>
          <w:lang w:val="en-GB"/>
        </w:rPr>
        <w:t>Trends of links for each band in Poland</w:t>
      </w:r>
    </w:p>
    <w:p w:rsidR="00016D83" w:rsidRPr="0019555C" w:rsidRDefault="00016D83" w:rsidP="00016D83">
      <w:pPr>
        <w:pStyle w:val="Figure"/>
        <w:rPr>
          <w:lang w:val="en-GB" w:eastAsia="ja-JP"/>
        </w:rPr>
      </w:pPr>
      <w:r w:rsidRPr="0019555C">
        <w:rPr>
          <w:noProof/>
          <w:lang w:val="en-US" w:eastAsia="zh-CN"/>
        </w:rPr>
        <w:drawing>
          <wp:inline distT="0" distB="0" distL="0" distR="0" wp14:anchorId="2F974475" wp14:editId="592A03D6">
            <wp:extent cx="4548146" cy="2593187"/>
            <wp:effectExtent l="0" t="0" r="5080" b="0"/>
            <wp:docPr id="1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ポーランドグラフ.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50965" cy="2594794"/>
                    </a:xfrm>
                    <a:prstGeom prst="rect">
                      <a:avLst/>
                    </a:prstGeom>
                  </pic:spPr>
                </pic:pic>
              </a:graphicData>
            </a:graphic>
          </wp:inline>
        </w:drawing>
      </w:r>
    </w:p>
    <w:p w:rsidR="00016D83" w:rsidRPr="0019555C" w:rsidRDefault="00016D83" w:rsidP="00C83A57">
      <w:pPr>
        <w:pStyle w:val="Heading3"/>
        <w:rPr>
          <w:lang w:val="en-GB" w:eastAsia="ja-JP"/>
        </w:rPr>
      </w:pPr>
      <w:bookmarkStart w:id="162" w:name="_Toc388871233"/>
      <w:bookmarkStart w:id="163" w:name="_Toc403043909"/>
      <w:bookmarkStart w:id="164" w:name="_Toc403044013"/>
      <w:bookmarkStart w:id="165" w:name="_Toc414014601"/>
      <w:bookmarkStart w:id="166" w:name="_Toc414014774"/>
      <w:bookmarkStart w:id="167" w:name="_Toc353866414"/>
      <w:bookmarkStart w:id="168" w:name="_Toc354769812"/>
      <w:bookmarkStart w:id="169" w:name="_Toc387091573"/>
      <w:r w:rsidRPr="0019555C">
        <w:rPr>
          <w:lang w:val="en-GB"/>
        </w:rPr>
        <w:t>3.3.</w:t>
      </w:r>
      <w:r w:rsidRPr="0019555C">
        <w:rPr>
          <w:lang w:val="en-GB" w:eastAsia="ja-JP"/>
        </w:rPr>
        <w:t>2</w:t>
      </w:r>
      <w:r w:rsidRPr="0019555C">
        <w:rPr>
          <w:lang w:val="en-GB" w:eastAsia="ja-JP"/>
        </w:rPr>
        <w:tab/>
      </w:r>
      <w:bookmarkEnd w:id="162"/>
      <w:r w:rsidRPr="0019555C">
        <w:rPr>
          <w:lang w:val="en-GB" w:eastAsia="ja-JP"/>
        </w:rPr>
        <w:t>Asia</w:t>
      </w:r>
      <w:bookmarkEnd w:id="163"/>
      <w:bookmarkEnd w:id="164"/>
      <w:bookmarkEnd w:id="165"/>
      <w:bookmarkEnd w:id="166"/>
    </w:p>
    <w:p w:rsidR="00016D83" w:rsidRPr="0019555C" w:rsidRDefault="00016D83" w:rsidP="00016D83">
      <w:pPr>
        <w:pStyle w:val="Heading4"/>
        <w:rPr>
          <w:lang w:val="en-GB" w:eastAsia="ja-JP"/>
        </w:rPr>
      </w:pPr>
      <w:r w:rsidRPr="0019555C">
        <w:rPr>
          <w:lang w:val="en-GB" w:eastAsia="ja-JP"/>
        </w:rPr>
        <w:t>3.3.2.1</w:t>
      </w:r>
      <w:r w:rsidRPr="0019555C">
        <w:rPr>
          <w:lang w:val="en-GB" w:eastAsia="ja-JP"/>
        </w:rPr>
        <w:tab/>
      </w:r>
      <w:r w:rsidRPr="0019555C">
        <w:rPr>
          <w:lang w:val="en-GB"/>
        </w:rPr>
        <w:t>Japan</w:t>
      </w:r>
      <w:bookmarkEnd w:id="167"/>
      <w:bookmarkEnd w:id="168"/>
      <w:bookmarkEnd w:id="169"/>
    </w:p>
    <w:p w:rsidR="00016D83" w:rsidRPr="0019555C" w:rsidRDefault="00016D83" w:rsidP="00016D83">
      <w:pPr>
        <w:rPr>
          <w:lang w:val="en-GB" w:eastAsia="ja-JP"/>
        </w:rPr>
      </w:pPr>
      <w:r w:rsidRPr="0019555C">
        <w:rPr>
          <w:lang w:val="en-GB"/>
        </w:rPr>
        <w:t xml:space="preserve">Figure </w:t>
      </w:r>
      <w:r w:rsidRPr="0019555C">
        <w:rPr>
          <w:lang w:val="en-GB" w:eastAsia="ja-JP"/>
        </w:rPr>
        <w:t>7</w:t>
      </w:r>
      <w:r w:rsidRPr="0019555C">
        <w:rPr>
          <w:lang w:val="en-GB"/>
        </w:rPr>
        <w:t xml:space="preserve"> shows the number of links</w:t>
      </w:r>
      <w:r w:rsidRPr="0019555C">
        <w:rPr>
          <w:lang w:val="en-GB" w:eastAsia="ja-JP"/>
        </w:rPr>
        <w:t xml:space="preserve"> used for </w:t>
      </w:r>
      <w:r w:rsidRPr="0019555C">
        <w:rPr>
          <w:lang w:val="en-GB"/>
        </w:rPr>
        <w:t>the</w:t>
      </w:r>
      <w:r w:rsidRPr="0019555C">
        <w:rPr>
          <w:lang w:val="en-GB" w:eastAsia="ja-JP"/>
        </w:rPr>
        <w:t xml:space="preserve"> t</w:t>
      </w:r>
      <w:r w:rsidRPr="0019555C">
        <w:rPr>
          <w:lang w:val="en-GB"/>
        </w:rPr>
        <w:t>ransport</w:t>
      </w:r>
      <w:r w:rsidRPr="0019555C">
        <w:rPr>
          <w:lang w:val="en-GB" w:eastAsia="ja-JP"/>
        </w:rPr>
        <w:t>/</w:t>
      </w:r>
      <w:r w:rsidRPr="0019555C">
        <w:rPr>
          <w:lang w:val="en-GB"/>
        </w:rPr>
        <w:t xml:space="preserve"> trunking</w:t>
      </w:r>
      <w:r w:rsidRPr="0019555C">
        <w:rPr>
          <w:lang w:val="en-GB" w:eastAsia="ja-JP"/>
        </w:rPr>
        <w:t>, and the mobile backhaul</w:t>
      </w:r>
      <w:r w:rsidRPr="0019555C">
        <w:rPr>
          <w:lang w:val="en-GB"/>
        </w:rPr>
        <w:t xml:space="preserve"> </w:t>
      </w:r>
      <w:r w:rsidRPr="0019555C">
        <w:rPr>
          <w:lang w:val="en-GB" w:eastAsia="ja-JP"/>
        </w:rPr>
        <w:t>in Japan</w:t>
      </w:r>
      <w:r w:rsidRPr="0019555C">
        <w:rPr>
          <w:lang w:val="en-GB"/>
        </w:rPr>
        <w:t>.</w:t>
      </w:r>
      <w:r w:rsidRPr="0019555C">
        <w:rPr>
          <w:lang w:val="en-GB" w:eastAsia="ja-JP"/>
        </w:rPr>
        <w:t xml:space="preserve"> The number of wireless links is greatest in the 11 GHz band, and the use of 15 GHz-band and 18 GHz band were increasing rapidly as of 2009. These show the trend to the frequency bands used for FWS shifting to higher frequency bands. These bands are mainly used for mobile backhaul. FWS still plays an important role in mobile backhaul to support the increase of traffic in mobile systems although in Japan fibre optics are the main technology adopted for</w:t>
      </w:r>
      <w:r w:rsidRPr="0019555C" w:rsidDel="00092B20">
        <w:rPr>
          <w:lang w:val="en-GB" w:eastAsia="ja-JP"/>
        </w:rPr>
        <w:t xml:space="preserve"> </w:t>
      </w:r>
      <w:r w:rsidRPr="0019555C">
        <w:rPr>
          <w:lang w:val="en-GB" w:eastAsia="ja-JP"/>
        </w:rPr>
        <w:t xml:space="preserve">mobile backhaul. </w:t>
      </w:r>
    </w:p>
    <w:p w:rsidR="00016D83" w:rsidRPr="0019555C" w:rsidRDefault="00016D83" w:rsidP="00016D83">
      <w:pPr>
        <w:rPr>
          <w:lang w:val="en-GB" w:eastAsia="ja-JP"/>
        </w:rPr>
      </w:pPr>
      <w:r w:rsidRPr="0019555C">
        <w:rPr>
          <w:lang w:val="en-GB" w:eastAsia="ja-JP"/>
        </w:rPr>
        <w:t>In 2011, the change of the Ordinance Regulating Radio Equipment made it possible to use 70/80 GHz band wireless links in Japan, and these links are expected to spread hereafter.</w:t>
      </w:r>
    </w:p>
    <w:p w:rsidR="00016D83" w:rsidRPr="0019555C" w:rsidRDefault="00016D83" w:rsidP="00016D83">
      <w:pPr>
        <w:pStyle w:val="FigureNo"/>
        <w:rPr>
          <w:lang w:val="en-GB"/>
        </w:rPr>
      </w:pPr>
      <w:r w:rsidRPr="0019555C">
        <w:rPr>
          <w:lang w:val="en-GB"/>
        </w:rPr>
        <w:lastRenderedPageBreak/>
        <w:t>FIGURE 7</w:t>
      </w:r>
    </w:p>
    <w:p w:rsidR="00016D83" w:rsidRPr="0019555C" w:rsidRDefault="00016D83" w:rsidP="00016D83">
      <w:pPr>
        <w:pStyle w:val="Figuretitle"/>
        <w:rPr>
          <w:lang w:val="en-GB"/>
        </w:rPr>
      </w:pPr>
      <w:r w:rsidRPr="0019555C">
        <w:rPr>
          <w:lang w:val="en-GB"/>
        </w:rPr>
        <w:t>Trends of links for each band in Japan</w:t>
      </w:r>
    </w:p>
    <w:p w:rsidR="00016D83" w:rsidRPr="0019555C" w:rsidRDefault="00016D83" w:rsidP="00016D83">
      <w:pPr>
        <w:pStyle w:val="Figure"/>
        <w:rPr>
          <w:lang w:val="en-GB" w:eastAsia="ja-JP"/>
        </w:rPr>
      </w:pPr>
      <w:r w:rsidRPr="0019555C">
        <w:rPr>
          <w:noProof/>
          <w:lang w:val="en-US" w:eastAsia="zh-CN"/>
        </w:rPr>
        <w:drawing>
          <wp:inline distT="0" distB="0" distL="0" distR="0" wp14:anchorId="3BE1FF96" wp14:editId="6816E4F9">
            <wp:extent cx="4320540" cy="2519172"/>
            <wp:effectExtent l="0" t="0" r="3810" b="0"/>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無線局数推移.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540" cy="2519172"/>
                    </a:xfrm>
                    <a:prstGeom prst="rect">
                      <a:avLst/>
                    </a:prstGeom>
                  </pic:spPr>
                </pic:pic>
              </a:graphicData>
            </a:graphic>
          </wp:inline>
        </w:drawing>
      </w:r>
    </w:p>
    <w:p w:rsidR="00016D83" w:rsidRPr="0019555C" w:rsidRDefault="00016D83" w:rsidP="00016D83">
      <w:pPr>
        <w:pStyle w:val="Heading4"/>
        <w:rPr>
          <w:lang w:val="en-GB"/>
        </w:rPr>
      </w:pPr>
      <w:r w:rsidRPr="0019555C">
        <w:rPr>
          <w:lang w:val="en-GB"/>
        </w:rPr>
        <w:t>3.3.2.2</w:t>
      </w:r>
      <w:r w:rsidRPr="0019555C">
        <w:rPr>
          <w:lang w:val="en-GB"/>
        </w:rPr>
        <w:tab/>
        <w:t>Viet Nam</w:t>
      </w:r>
    </w:p>
    <w:p w:rsidR="00016D83" w:rsidRPr="0019555C" w:rsidRDefault="00016D83" w:rsidP="00016D83">
      <w:pPr>
        <w:rPr>
          <w:lang w:val="en-GB"/>
        </w:rPr>
      </w:pPr>
      <w:r w:rsidRPr="0019555C">
        <w:rPr>
          <w:lang w:val="en-GB"/>
        </w:rPr>
        <w:t>This section depicts the spectrum use of FWS in Viet Nam. The data given in this section is based on a spectrum usage survey conducted by the Authority of Ra</w:t>
      </w:r>
      <w:r w:rsidR="00C83A57">
        <w:rPr>
          <w:lang w:val="en-GB"/>
        </w:rPr>
        <w:t>dio Frequency Management (ARFM) </w:t>
      </w:r>
      <w:r w:rsidRPr="0019555C">
        <w:rPr>
          <w:lang w:val="en-GB"/>
        </w:rPr>
        <w:t xml:space="preserve">– Ministry of Information and Communication (MIC) from the year 2006 to 2011. The analysis of this data </w:t>
      </w:r>
      <w:r w:rsidRPr="0019555C">
        <w:rPr>
          <w:lang w:val="en-GB" w:eastAsia="ja-JP"/>
        </w:rPr>
        <w:t>is</w:t>
      </w:r>
      <w:r w:rsidRPr="0019555C">
        <w:rPr>
          <w:lang w:val="en-GB"/>
        </w:rPr>
        <w:t xml:space="preserve"> included in MIC Report 43</w:t>
      </w:r>
      <w:r w:rsidR="00C83A57">
        <w:rPr>
          <w:lang w:val="en-GB"/>
        </w:rPr>
        <w:t xml:space="preserve"> </w:t>
      </w:r>
      <w:r w:rsidRPr="0019555C">
        <w:rPr>
          <w:lang w:val="en-GB"/>
        </w:rPr>
        <w:t>– 11</w:t>
      </w:r>
      <w:r w:rsidR="00C83A57">
        <w:rPr>
          <w:lang w:val="en-GB"/>
        </w:rPr>
        <w:t xml:space="preserve"> </w:t>
      </w:r>
      <w:r w:rsidRPr="0019555C">
        <w:rPr>
          <w:lang w:val="en-GB"/>
        </w:rPr>
        <w:t>– KHKT-RD in 2012.</w:t>
      </w:r>
    </w:p>
    <w:p w:rsidR="00016D83" w:rsidRPr="0019555C" w:rsidRDefault="00016D83" w:rsidP="00016D83">
      <w:pPr>
        <w:pStyle w:val="FigureNo"/>
        <w:rPr>
          <w:lang w:val="en-GB"/>
        </w:rPr>
      </w:pPr>
      <w:r w:rsidRPr="0019555C">
        <w:rPr>
          <w:lang w:val="en-GB"/>
        </w:rPr>
        <w:t>FIGURE 8</w:t>
      </w:r>
    </w:p>
    <w:p w:rsidR="00016D83" w:rsidRPr="0019555C" w:rsidRDefault="00016D83" w:rsidP="00016D83">
      <w:pPr>
        <w:pStyle w:val="Figuretitle"/>
        <w:rPr>
          <w:lang w:val="en-GB"/>
        </w:rPr>
      </w:pPr>
      <w:r w:rsidRPr="0019555C">
        <w:rPr>
          <w:lang w:val="en-GB"/>
        </w:rPr>
        <w:t>Trends of FWS for years in Viet Nam</w:t>
      </w:r>
    </w:p>
    <w:p w:rsidR="00016D83" w:rsidRPr="0019555C" w:rsidRDefault="00016D83" w:rsidP="00016D83">
      <w:pPr>
        <w:pStyle w:val="Figure"/>
        <w:rPr>
          <w:lang w:val="en-GB" w:eastAsia="ja-JP"/>
        </w:rPr>
      </w:pPr>
      <w:r w:rsidRPr="0019555C">
        <w:rPr>
          <w:noProof/>
          <w:lang w:val="en-US" w:eastAsia="zh-CN"/>
        </w:rPr>
        <w:drawing>
          <wp:inline distT="0" distB="0" distL="0" distR="0" wp14:anchorId="515B093C" wp14:editId="2C7E2867">
            <wp:extent cx="4438650" cy="2695575"/>
            <wp:effectExtent l="0" t="0" r="19050" b="9525"/>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16D83" w:rsidRPr="0019555C" w:rsidRDefault="00016D83" w:rsidP="00016D83">
      <w:pPr>
        <w:rPr>
          <w:lang w:val="en-GB"/>
        </w:rPr>
      </w:pPr>
      <w:r w:rsidRPr="0019555C">
        <w:rPr>
          <w:lang w:val="en-GB" w:eastAsia="ja-JP"/>
        </w:rPr>
        <w:t>The</w:t>
      </w:r>
      <w:r w:rsidRPr="0019555C">
        <w:rPr>
          <w:lang w:val="en-GB"/>
        </w:rPr>
        <w:t xml:space="preserve"> trends of FWS are shown </w:t>
      </w:r>
      <w:r w:rsidRPr="0019555C">
        <w:rPr>
          <w:lang w:val="en-GB" w:eastAsia="ja-JP"/>
        </w:rPr>
        <w:t xml:space="preserve">in Fig. 8 </w:t>
      </w:r>
      <w:r w:rsidRPr="0019555C">
        <w:rPr>
          <w:lang w:val="en-GB"/>
        </w:rPr>
        <w:t xml:space="preserve">by the number of </w:t>
      </w:r>
      <w:r w:rsidRPr="0019555C">
        <w:rPr>
          <w:lang w:val="en-GB" w:eastAsia="ja-JP"/>
        </w:rPr>
        <w:t>microwave</w:t>
      </w:r>
      <w:r w:rsidRPr="0019555C">
        <w:rPr>
          <w:lang w:val="en-GB"/>
        </w:rPr>
        <w:t xml:space="preserve"> links nationwide in </w:t>
      </w:r>
      <w:r w:rsidRPr="0019555C">
        <w:rPr>
          <w:lang w:val="en-GB" w:eastAsia="ja-JP"/>
        </w:rPr>
        <w:t xml:space="preserve">these years. </w:t>
      </w:r>
      <w:r w:rsidRPr="0019555C">
        <w:rPr>
          <w:lang w:val="en-GB"/>
        </w:rPr>
        <w:t xml:space="preserve">The growth of FWS started from the year 2006. </w:t>
      </w:r>
      <w:r w:rsidRPr="0019555C">
        <w:rPr>
          <w:lang w:val="en-GB" w:eastAsia="ja-JP"/>
        </w:rPr>
        <w:t>The sharp growth in 2008-2009 periods is driven by the expansion of 7 GSM networks coverage to make preparations for migrations to 3G which occurred in the end of 2009.</w:t>
      </w:r>
    </w:p>
    <w:p w:rsidR="00016D83" w:rsidRPr="0019555C" w:rsidRDefault="00016D83" w:rsidP="00016D83">
      <w:pPr>
        <w:pStyle w:val="FigureNo"/>
        <w:rPr>
          <w:lang w:val="en-GB"/>
        </w:rPr>
      </w:pPr>
      <w:r w:rsidRPr="0019555C">
        <w:rPr>
          <w:lang w:val="en-GB"/>
        </w:rPr>
        <w:lastRenderedPageBreak/>
        <w:t>FIGURE 9</w:t>
      </w:r>
    </w:p>
    <w:p w:rsidR="00016D83" w:rsidRPr="0019555C" w:rsidRDefault="00016D83" w:rsidP="00016D83">
      <w:pPr>
        <w:pStyle w:val="Figuretitle"/>
        <w:rPr>
          <w:lang w:val="en-GB"/>
        </w:rPr>
      </w:pPr>
      <w:r w:rsidRPr="0019555C">
        <w:rPr>
          <w:lang w:val="en-GB"/>
        </w:rPr>
        <w:t>Trends of links for each frequency band in Viet Nam</w:t>
      </w:r>
    </w:p>
    <w:p w:rsidR="00016D83" w:rsidRPr="0019555C" w:rsidRDefault="00016D83" w:rsidP="00016D83">
      <w:pPr>
        <w:pStyle w:val="Figure"/>
        <w:rPr>
          <w:lang w:val="en-GB"/>
        </w:rPr>
      </w:pPr>
      <w:r w:rsidRPr="0019555C">
        <w:rPr>
          <w:noProof/>
          <w:lang w:val="en-US" w:eastAsia="zh-CN"/>
        </w:rPr>
        <w:drawing>
          <wp:inline distT="0" distB="0" distL="0" distR="0" wp14:anchorId="7EE0B694" wp14:editId="0DC950B1">
            <wp:extent cx="4991100" cy="3143250"/>
            <wp:effectExtent l="0" t="0" r="19050" b="1905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6D83" w:rsidRPr="0019555C" w:rsidRDefault="00016D83" w:rsidP="00016D83">
      <w:pPr>
        <w:rPr>
          <w:lang w:val="en-GB"/>
        </w:rPr>
      </w:pPr>
      <w:r w:rsidRPr="0019555C">
        <w:rPr>
          <w:lang w:val="en-GB" w:eastAsia="ja-JP"/>
        </w:rPr>
        <w:t xml:space="preserve">Figure 9 shows the Trends of links for </w:t>
      </w:r>
      <w:r w:rsidRPr="0019555C">
        <w:rPr>
          <w:lang w:val="en-GB"/>
        </w:rPr>
        <w:t>each</w:t>
      </w:r>
      <w:r w:rsidRPr="0019555C">
        <w:rPr>
          <w:lang w:val="en-GB" w:eastAsia="ja-JP"/>
        </w:rPr>
        <w:t xml:space="preserve"> frequency band. The remarkable trends in the 7/8 GHz and 15 GHz bands was</w:t>
      </w:r>
      <w:r w:rsidRPr="0019555C">
        <w:rPr>
          <w:lang w:val="en-GB"/>
        </w:rPr>
        <w:t xml:space="preserve"> attributed to increased demand for mobile backhaul</w:t>
      </w:r>
      <w:r w:rsidRPr="0019555C">
        <w:rPr>
          <w:lang w:val="en-GB" w:eastAsia="ja-JP"/>
        </w:rPr>
        <w:t xml:space="preserve">, mostly high capacity transmission. </w:t>
      </w:r>
      <w:r w:rsidRPr="0019555C">
        <w:rPr>
          <w:lang w:val="en-GB"/>
        </w:rPr>
        <w:t>This trend is expected to continue for coming years with demands for higher capacity and more links due to the expected new deployment of next generation of mobile broadband systems (IMT-Advanced) particular focus in the bands above 20 GHz.</w:t>
      </w:r>
    </w:p>
    <w:p w:rsidR="00016D83" w:rsidRPr="0019555C" w:rsidRDefault="00016D83" w:rsidP="00016D83">
      <w:pPr>
        <w:rPr>
          <w:lang w:val="en-GB"/>
        </w:rPr>
      </w:pPr>
      <w:r w:rsidRPr="0019555C">
        <w:rPr>
          <w:lang w:val="en-GB"/>
        </w:rPr>
        <w:t>There are some trial projects of multiple gigabits wireless system being conducted in the millimetre wave band.</w:t>
      </w:r>
    </w:p>
    <w:p w:rsidR="00016D83" w:rsidRPr="0019555C" w:rsidRDefault="00016D83" w:rsidP="00016D83">
      <w:pPr>
        <w:pStyle w:val="FigureNo"/>
        <w:rPr>
          <w:lang w:val="en-GB"/>
        </w:rPr>
      </w:pPr>
      <w:r w:rsidRPr="0019555C">
        <w:rPr>
          <w:lang w:val="en-GB"/>
        </w:rPr>
        <w:lastRenderedPageBreak/>
        <w:t>FIGURE 10</w:t>
      </w:r>
    </w:p>
    <w:p w:rsidR="00016D83" w:rsidRPr="0019555C" w:rsidRDefault="00016D83" w:rsidP="00016D83">
      <w:pPr>
        <w:pStyle w:val="Figuretitle"/>
        <w:rPr>
          <w:lang w:val="en-GB"/>
        </w:rPr>
      </w:pPr>
      <w:r w:rsidRPr="0019555C">
        <w:rPr>
          <w:lang w:val="en-GB"/>
        </w:rPr>
        <w:t>Distribution of links for path length in Viet Nam</w:t>
      </w:r>
    </w:p>
    <w:p w:rsidR="00016D83" w:rsidRPr="0019555C" w:rsidRDefault="00016D83" w:rsidP="00016D83">
      <w:pPr>
        <w:pStyle w:val="Figure"/>
        <w:rPr>
          <w:lang w:val="en-GB"/>
        </w:rPr>
      </w:pPr>
      <w:r w:rsidRPr="0019555C">
        <w:rPr>
          <w:noProof/>
          <w:lang w:val="en-US" w:eastAsia="zh-CN"/>
        </w:rPr>
        <w:drawing>
          <wp:inline distT="0" distB="0" distL="0" distR="0" wp14:anchorId="7F2952C4" wp14:editId="6F591971">
            <wp:extent cx="5181600" cy="3429000"/>
            <wp:effectExtent l="19050" t="0" r="19050" b="0"/>
            <wp:docPr id="19"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16D83" w:rsidRPr="0019555C" w:rsidRDefault="00016D83" w:rsidP="00016D83">
      <w:pPr>
        <w:pStyle w:val="FigureNo"/>
        <w:rPr>
          <w:lang w:val="en-GB"/>
        </w:rPr>
      </w:pPr>
      <w:r w:rsidRPr="0019555C">
        <w:rPr>
          <w:lang w:val="en-GB"/>
        </w:rPr>
        <w:t>FIGURE 11</w:t>
      </w:r>
    </w:p>
    <w:p w:rsidR="00016D83" w:rsidRPr="0019555C" w:rsidRDefault="00016D83" w:rsidP="00016D83">
      <w:pPr>
        <w:pStyle w:val="Figuretitle"/>
        <w:rPr>
          <w:lang w:val="en-GB"/>
        </w:rPr>
      </w:pPr>
      <w:r w:rsidRPr="0019555C">
        <w:rPr>
          <w:lang w:val="en-GB"/>
        </w:rPr>
        <w:t>Distribution of links for channel width in Viet Nam</w:t>
      </w:r>
    </w:p>
    <w:p w:rsidR="00016D83" w:rsidRPr="0019555C" w:rsidRDefault="00016D83" w:rsidP="00016D83">
      <w:pPr>
        <w:pStyle w:val="Figure"/>
        <w:rPr>
          <w:lang w:val="en-GB"/>
        </w:rPr>
      </w:pPr>
      <w:r w:rsidRPr="0019555C">
        <w:rPr>
          <w:noProof/>
          <w:lang w:val="en-US" w:eastAsia="zh-CN"/>
        </w:rPr>
        <w:drawing>
          <wp:inline distT="0" distB="0" distL="0" distR="0" wp14:anchorId="48320826" wp14:editId="426F7CA3">
            <wp:extent cx="5172075" cy="2847975"/>
            <wp:effectExtent l="0" t="0" r="9525" b="9525"/>
            <wp:docPr id="34"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6D83" w:rsidRPr="0019555C" w:rsidRDefault="00016D83" w:rsidP="00016D83">
      <w:pPr>
        <w:spacing w:before="240"/>
        <w:rPr>
          <w:lang w:val="en-GB"/>
        </w:rPr>
      </w:pPr>
      <w:r w:rsidRPr="0019555C">
        <w:rPr>
          <w:lang w:val="en-GB" w:eastAsia="ja-JP"/>
        </w:rPr>
        <w:t>Figures 10 and 11 show the distributions of links for path length and</w:t>
      </w:r>
      <w:r w:rsidRPr="0019555C">
        <w:rPr>
          <w:lang w:val="en-GB"/>
        </w:rPr>
        <w:t xml:space="preserve"> </w:t>
      </w:r>
      <w:r w:rsidRPr="0019555C">
        <w:rPr>
          <w:lang w:val="en-GB" w:eastAsia="ja-JP"/>
        </w:rPr>
        <w:t xml:space="preserve">channel width, respectively. </w:t>
      </w:r>
      <w:r w:rsidRPr="0019555C">
        <w:rPr>
          <w:lang w:val="en-GB"/>
        </w:rPr>
        <w:t xml:space="preserve">Transition from 2G mobile network mostly deployed in spectrum under 1.9 GHz to IMT system in the band 2.1 GHz lead to the reduction of hop-length, shown by 50% of link is less than 5 km length. Path-length of backbone transmission is normally more than 10 km, rightmost on Figure </w:t>
      </w:r>
      <w:r w:rsidRPr="0019555C">
        <w:rPr>
          <w:highlight w:val="yellow"/>
          <w:lang w:val="en-GB"/>
        </w:rPr>
        <w:t>X3</w:t>
      </w:r>
      <w:r w:rsidRPr="0019555C">
        <w:rPr>
          <w:lang w:val="en-GB"/>
        </w:rPr>
        <w:t xml:space="preserve">. This transition also required large channel width to provide high data rate backhauling. The domination of 28 MHz BW link in Fig. </w:t>
      </w:r>
      <w:r w:rsidRPr="0019555C">
        <w:rPr>
          <w:lang w:val="en-GB" w:eastAsia="ja-JP"/>
        </w:rPr>
        <w:t>11</w:t>
      </w:r>
      <w:r w:rsidRPr="0019555C">
        <w:rPr>
          <w:lang w:val="en-GB"/>
        </w:rPr>
        <w:t xml:space="preserve"> proves this trend.</w:t>
      </w:r>
    </w:p>
    <w:p w:rsidR="00016D83" w:rsidRPr="0019555C" w:rsidRDefault="00016D83" w:rsidP="00016D83">
      <w:pPr>
        <w:pStyle w:val="Heading3"/>
        <w:rPr>
          <w:lang w:val="en-GB" w:eastAsia="ja-JP"/>
        </w:rPr>
      </w:pPr>
      <w:bookmarkStart w:id="170" w:name="_Toc367780713"/>
      <w:bookmarkStart w:id="171" w:name="_Toc388871234"/>
      <w:bookmarkStart w:id="172" w:name="_Toc403043910"/>
      <w:bookmarkStart w:id="173" w:name="_Toc403044014"/>
      <w:bookmarkStart w:id="174" w:name="_Toc414014602"/>
      <w:bookmarkStart w:id="175" w:name="_Toc414014775"/>
      <w:bookmarkStart w:id="176" w:name="_Toc371585737"/>
      <w:bookmarkStart w:id="177" w:name="_Toc371585971"/>
      <w:bookmarkStart w:id="178" w:name="_Toc371586099"/>
      <w:bookmarkStart w:id="179" w:name="_Toc387091574"/>
      <w:bookmarkStart w:id="180" w:name="_Toc353866415"/>
      <w:bookmarkStart w:id="181" w:name="_Toc354769813"/>
      <w:r w:rsidRPr="0019555C">
        <w:rPr>
          <w:lang w:val="en-GB"/>
        </w:rPr>
        <w:lastRenderedPageBreak/>
        <w:t>3.3.3</w:t>
      </w:r>
      <w:r w:rsidRPr="0019555C">
        <w:rPr>
          <w:lang w:val="en-GB"/>
        </w:rPr>
        <w:tab/>
      </w:r>
      <w:bookmarkEnd w:id="170"/>
      <w:bookmarkEnd w:id="171"/>
      <w:r w:rsidRPr="0019555C">
        <w:rPr>
          <w:lang w:val="en-GB" w:eastAsia="ja-JP"/>
        </w:rPr>
        <w:t>North America</w:t>
      </w:r>
      <w:bookmarkEnd w:id="172"/>
      <w:bookmarkEnd w:id="173"/>
      <w:bookmarkEnd w:id="174"/>
      <w:bookmarkEnd w:id="175"/>
    </w:p>
    <w:p w:rsidR="00016D83" w:rsidRPr="0019555C" w:rsidRDefault="00016D83" w:rsidP="00016D83">
      <w:pPr>
        <w:pStyle w:val="Heading4"/>
        <w:rPr>
          <w:lang w:val="en-GB"/>
        </w:rPr>
      </w:pPr>
      <w:r w:rsidRPr="0019555C">
        <w:rPr>
          <w:lang w:val="en-GB" w:eastAsia="ja-JP"/>
        </w:rPr>
        <w:t>3.3.3.1</w:t>
      </w:r>
      <w:r w:rsidRPr="0019555C">
        <w:rPr>
          <w:lang w:val="en-GB" w:eastAsia="ja-JP"/>
        </w:rPr>
        <w:tab/>
      </w:r>
      <w:r w:rsidRPr="0019555C">
        <w:rPr>
          <w:lang w:val="en-GB"/>
        </w:rPr>
        <w:t>United States</w:t>
      </w:r>
      <w:bookmarkEnd w:id="176"/>
      <w:bookmarkEnd w:id="177"/>
      <w:bookmarkEnd w:id="178"/>
      <w:bookmarkEnd w:id="179"/>
      <w:r w:rsidRPr="0019555C">
        <w:rPr>
          <w:lang w:val="en-GB"/>
        </w:rPr>
        <w:t xml:space="preserve"> of America</w:t>
      </w:r>
    </w:p>
    <w:p w:rsidR="00016D83" w:rsidRPr="0019555C" w:rsidRDefault="00016D83" w:rsidP="00016D83">
      <w:pPr>
        <w:rPr>
          <w:lang w:val="en-GB" w:eastAsia="ja-JP"/>
        </w:rPr>
      </w:pPr>
      <w:r w:rsidRPr="0019555C">
        <w:rPr>
          <w:lang w:val="en-GB" w:eastAsia="ja-JP"/>
        </w:rPr>
        <w:t>This section depicts the spectrum use of FWS in the United States for the FCC FCR47 Part 101 point-to-point microwave 6 GHz to 23 GHZ frequency bands. The information in this section is based on data extracted from the FCC license database for the years 2003, 2008 and 2012 and represents the total active links for the identified year. The trends in the 6.1 GHz and 11 GHz continue to show strong usage in the traditional long haul, high capacity applications. This growth is driven by the 3G to 4G migrations by the mobility operators, and by state &amp; local government sectors in support of public safety Land Mobile Radio (LMR) backhaul, utility smart grid, and transportation communication network upgrades as they transition from TDM to IP services. Continued heavy reliance on these critical frequency bands in the coming years is envisioned as FirstNet, the US Government initiative that promises to provide emergency responders with the first nationwide, high-speed network dedicated to public safety LTE applications, is implemented. Heavy reliance on the 6.1 GHz and 11 GHz band will continue to support the mobility market’s backhaul requirements in rural locations as well. Dramatic growth is also occurring in the higher frequency bands. The 18 GHz and 23 GHz bands trends are driven primarily by mobility operators as they backhaul their LTE traffic and some early implementations of small cell traffic, both mainly in the metropolitan markets. While 18 GHz and 23 GHz links are shorter in comparison to 6 GHz and 11 GHz links, these bands offer mobility operator increased capacity and the ability to license smaller antennas.</w:t>
      </w:r>
    </w:p>
    <w:p w:rsidR="00016D83" w:rsidRPr="0019555C" w:rsidRDefault="00016D83" w:rsidP="00016D83">
      <w:pPr>
        <w:pStyle w:val="FigureNo"/>
        <w:rPr>
          <w:lang w:val="en-GB"/>
        </w:rPr>
      </w:pPr>
      <w:r w:rsidRPr="0019555C">
        <w:rPr>
          <w:lang w:val="en-GB"/>
        </w:rPr>
        <w:t>FIGURE 12</w:t>
      </w:r>
    </w:p>
    <w:p w:rsidR="00016D83" w:rsidRPr="0019555C" w:rsidRDefault="00016D83" w:rsidP="00016D83">
      <w:pPr>
        <w:pStyle w:val="Figuretitle"/>
        <w:rPr>
          <w:lang w:val="en-GB"/>
        </w:rPr>
      </w:pPr>
      <w:r w:rsidRPr="0019555C">
        <w:rPr>
          <w:lang w:val="en-GB"/>
        </w:rPr>
        <w:t>Trends of links for each band in the United States</w:t>
      </w:r>
    </w:p>
    <w:p w:rsidR="00016D83" w:rsidRPr="0019555C" w:rsidRDefault="00016D83" w:rsidP="00016D83">
      <w:pPr>
        <w:pStyle w:val="Figure"/>
        <w:rPr>
          <w:lang w:val="en-GB" w:eastAsia="ja-JP"/>
        </w:rPr>
      </w:pPr>
      <w:r w:rsidRPr="0019555C">
        <w:rPr>
          <w:noProof/>
          <w:lang w:val="en-US" w:eastAsia="zh-CN"/>
        </w:rPr>
        <w:drawing>
          <wp:inline distT="0" distB="0" distL="0" distR="0" wp14:anchorId="4A0D4318" wp14:editId="79D3CD4D">
            <wp:extent cx="3614696" cy="2600076"/>
            <wp:effectExtent l="19050" t="0" r="4804" b="0"/>
            <wp:docPr id="3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16D83" w:rsidRPr="0019555C" w:rsidRDefault="00016D83" w:rsidP="00016D83">
      <w:pPr>
        <w:pStyle w:val="Heading4"/>
        <w:rPr>
          <w:lang w:val="en-GB" w:eastAsia="ja-JP"/>
        </w:rPr>
      </w:pPr>
      <w:bookmarkStart w:id="182" w:name="_Toc387091575"/>
      <w:r w:rsidRPr="0019555C">
        <w:rPr>
          <w:lang w:val="en-GB"/>
        </w:rPr>
        <w:t>3.3.</w:t>
      </w:r>
      <w:r w:rsidRPr="0019555C">
        <w:rPr>
          <w:lang w:val="en-GB" w:eastAsia="ja-JP"/>
        </w:rPr>
        <w:t>3.2</w:t>
      </w:r>
      <w:r w:rsidRPr="0019555C">
        <w:rPr>
          <w:lang w:val="en-GB"/>
        </w:rPr>
        <w:tab/>
        <w:t>Canada</w:t>
      </w:r>
      <w:bookmarkEnd w:id="182"/>
    </w:p>
    <w:p w:rsidR="00016D83" w:rsidRPr="0019555C" w:rsidRDefault="00016D83" w:rsidP="00016D83">
      <w:pPr>
        <w:rPr>
          <w:lang w:val="en-GB" w:eastAsia="ja-JP"/>
        </w:rPr>
      </w:pPr>
      <w:r w:rsidRPr="0019555C">
        <w:rPr>
          <w:lang w:val="en-GB" w:eastAsia="ja-JP"/>
        </w:rPr>
        <w:t>Figures 13 and 14 show frequency assignments in Canada from 1998 to 2010 in two bands predominantly used for fixed services</w:t>
      </w:r>
      <w:r w:rsidRPr="0019555C">
        <w:rPr>
          <w:rStyle w:val="FootnoteReference"/>
          <w:lang w:val="en-GB" w:eastAsia="ja-JP"/>
        </w:rPr>
        <w:footnoteReference w:id="6"/>
      </w:r>
      <w:r w:rsidRPr="0019555C">
        <w:rPr>
          <w:lang w:val="en-GB" w:eastAsia="ja-JP"/>
        </w:rPr>
        <w:t>. It shows respectively an increase of 600% and 800% which is believed to be due to increased requirements for higher capacity short-haul networks for broadband cellular systems. The overall conclusion of this inventory snapshot is that:</w:t>
      </w:r>
    </w:p>
    <w:p w:rsidR="00016D83" w:rsidRPr="0019555C" w:rsidRDefault="00016D83" w:rsidP="00016D83">
      <w:pPr>
        <w:pStyle w:val="enumlev1"/>
        <w:rPr>
          <w:lang w:val="en-GB" w:eastAsia="ja-JP"/>
        </w:rPr>
      </w:pPr>
      <w:r w:rsidRPr="0019555C">
        <w:rPr>
          <w:lang w:val="en-GB" w:eastAsia="ja-JP"/>
        </w:rPr>
        <w:lastRenderedPageBreak/>
        <w:t>–</w:t>
      </w:r>
      <w:r w:rsidRPr="0019555C">
        <w:rPr>
          <w:lang w:val="en-GB" w:eastAsia="ja-JP"/>
        </w:rPr>
        <w:tab/>
        <w:t>backhaul spectrum usage has been growing rapidly in recent years, likely driven by increasing capacity requirements in support of cellular mobile networks, and</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it is not expected that this increase will slow down in the future.</w:t>
      </w:r>
    </w:p>
    <w:p w:rsidR="00016D83" w:rsidRPr="0019555C" w:rsidRDefault="00016D83" w:rsidP="00016D83">
      <w:pPr>
        <w:pStyle w:val="FigureNo"/>
        <w:rPr>
          <w:lang w:val="en-GB"/>
        </w:rPr>
      </w:pPr>
      <w:r w:rsidRPr="0019555C">
        <w:rPr>
          <w:lang w:val="en-GB"/>
        </w:rPr>
        <w:t>FIGURE 13</w:t>
      </w:r>
    </w:p>
    <w:p w:rsidR="00016D83" w:rsidRPr="0019555C" w:rsidRDefault="00016D83" w:rsidP="00016D83">
      <w:pPr>
        <w:pStyle w:val="Figuretitle"/>
        <w:rPr>
          <w:lang w:val="en-GB"/>
        </w:rPr>
      </w:pPr>
      <w:r w:rsidRPr="0019555C">
        <w:rPr>
          <w:lang w:val="en-GB"/>
        </w:rPr>
        <w:t>Trends of frequency assignments for 10.7-11.7 GHz in Canada</w:t>
      </w:r>
    </w:p>
    <w:p w:rsidR="00016D83" w:rsidRPr="0019555C" w:rsidRDefault="00016D83" w:rsidP="00016D83">
      <w:pPr>
        <w:pStyle w:val="Figure"/>
        <w:rPr>
          <w:lang w:val="en-GB" w:eastAsia="ja-JP"/>
        </w:rPr>
      </w:pPr>
      <w:r w:rsidRPr="0019555C">
        <w:rPr>
          <w:noProof/>
          <w:lang w:val="en-US" w:eastAsia="zh-CN"/>
        </w:rPr>
        <w:drawing>
          <wp:inline distT="0" distB="0" distL="0" distR="0" wp14:anchorId="4D77FE27" wp14:editId="0F5E0FB0">
            <wp:extent cx="4103827" cy="2657244"/>
            <wp:effectExtent l="0" t="0" r="0" b="0"/>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05656" cy="2658428"/>
                    </a:xfrm>
                    <a:prstGeom prst="rect">
                      <a:avLst/>
                    </a:prstGeom>
                    <a:noFill/>
                    <a:ln>
                      <a:noFill/>
                    </a:ln>
                  </pic:spPr>
                </pic:pic>
              </a:graphicData>
            </a:graphic>
          </wp:inline>
        </w:drawing>
      </w:r>
    </w:p>
    <w:p w:rsidR="00016D83" w:rsidRPr="0019555C" w:rsidRDefault="00016D83" w:rsidP="00016D83">
      <w:pPr>
        <w:pStyle w:val="FigureNo"/>
        <w:rPr>
          <w:lang w:val="en-GB"/>
        </w:rPr>
      </w:pPr>
      <w:r w:rsidRPr="0019555C">
        <w:rPr>
          <w:lang w:val="en-GB"/>
        </w:rPr>
        <w:t>FIGURE 14</w:t>
      </w:r>
    </w:p>
    <w:p w:rsidR="00016D83" w:rsidRPr="0019555C" w:rsidRDefault="00016D83" w:rsidP="00016D83">
      <w:pPr>
        <w:pStyle w:val="Figuretitle"/>
        <w:rPr>
          <w:lang w:val="en-GB"/>
        </w:rPr>
      </w:pPr>
      <w:r w:rsidRPr="0019555C">
        <w:rPr>
          <w:lang w:val="en-GB"/>
        </w:rPr>
        <w:t>Trends of frequency assignments for 17.8-18.3/19.3-19.7 GHz in Canada</w:t>
      </w:r>
    </w:p>
    <w:p w:rsidR="00016D83" w:rsidRPr="0019555C" w:rsidRDefault="00016D83" w:rsidP="00016D83">
      <w:pPr>
        <w:pStyle w:val="Figure"/>
        <w:rPr>
          <w:lang w:val="en-GB" w:eastAsia="ja-JP"/>
        </w:rPr>
      </w:pPr>
      <w:r w:rsidRPr="0019555C">
        <w:rPr>
          <w:noProof/>
          <w:lang w:val="en-US" w:eastAsia="zh-CN"/>
        </w:rPr>
        <w:drawing>
          <wp:inline distT="0" distB="0" distL="0" distR="0" wp14:anchorId="268C8D89" wp14:editId="791E75E4">
            <wp:extent cx="4096512" cy="2652507"/>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97034" cy="2652845"/>
                    </a:xfrm>
                    <a:prstGeom prst="rect">
                      <a:avLst/>
                    </a:prstGeom>
                    <a:noFill/>
                    <a:ln>
                      <a:noFill/>
                    </a:ln>
                  </pic:spPr>
                </pic:pic>
              </a:graphicData>
            </a:graphic>
          </wp:inline>
        </w:drawing>
      </w:r>
    </w:p>
    <w:p w:rsidR="00016D83" w:rsidRPr="0019555C" w:rsidRDefault="00016D83" w:rsidP="00016D83">
      <w:pPr>
        <w:rPr>
          <w:szCs w:val="24"/>
          <w:lang w:val="en-GB"/>
        </w:rPr>
      </w:pPr>
      <w:r w:rsidRPr="0019555C">
        <w:rPr>
          <w:lang w:val="en-GB" w:eastAsia="ja-JP"/>
        </w:rPr>
        <w:t>This trend has been confirmed by an “outlook” document</w:t>
      </w:r>
      <w:r w:rsidRPr="0019555C">
        <w:rPr>
          <w:rStyle w:val="FootnoteReference"/>
          <w:lang w:val="en-GB"/>
        </w:rPr>
        <w:footnoteReference w:id="7"/>
      </w:r>
      <w:r w:rsidRPr="0019555C">
        <w:rPr>
          <w:lang w:val="en-GB" w:eastAsia="ja-JP"/>
        </w:rPr>
        <w:t xml:space="preserve"> indicating that, even though extensive fibre networks have been built in populated areas and along major highway corridors, there has been a considerable increase in requests for wireless backhaul licences over the past few years. </w:t>
      </w:r>
      <w:r w:rsidRPr="0019555C">
        <w:rPr>
          <w:szCs w:val="24"/>
          <w:lang w:val="en-GB" w:eastAsia="ja-JP"/>
        </w:rPr>
        <w:t>Of all backhaul spectrum, the 11-23 GHz frequency range is the most heavily used in Canada and s</w:t>
      </w:r>
      <w:r w:rsidRPr="0019555C">
        <w:rPr>
          <w:szCs w:val="24"/>
          <w:lang w:val="en-GB"/>
        </w:rPr>
        <w:t>ome areas of Canada are experiencing congestion. To resolve the congestion, two avenues are being considered:</w:t>
      </w:r>
    </w:p>
    <w:p w:rsidR="00016D83" w:rsidRPr="0019555C" w:rsidRDefault="00016D83" w:rsidP="00016D83">
      <w:pPr>
        <w:pStyle w:val="enumlev1"/>
        <w:rPr>
          <w:lang w:val="en-GB"/>
        </w:rPr>
      </w:pPr>
      <w:r w:rsidRPr="0019555C">
        <w:rPr>
          <w:lang w:val="en-GB"/>
        </w:rPr>
        <w:lastRenderedPageBreak/>
        <w:t>–</w:t>
      </w:r>
      <w:r w:rsidRPr="0019555C">
        <w:rPr>
          <w:lang w:val="en-GB"/>
        </w:rPr>
        <w:tab/>
        <w:t>adding spectrum to address the demand, and</w:t>
      </w:r>
    </w:p>
    <w:p w:rsidR="00016D83" w:rsidRPr="0019555C" w:rsidRDefault="00016D83" w:rsidP="00016D83">
      <w:pPr>
        <w:pStyle w:val="enumlev1"/>
        <w:rPr>
          <w:lang w:val="en-GB"/>
        </w:rPr>
      </w:pPr>
      <w:r w:rsidRPr="0019555C">
        <w:rPr>
          <w:lang w:val="en-GB"/>
        </w:rPr>
        <w:t>–</w:t>
      </w:r>
      <w:r w:rsidRPr="0019555C">
        <w:rPr>
          <w:lang w:val="en-GB"/>
        </w:rPr>
        <w:tab/>
        <w:t>taking advantage of technological advances to increase flexibility and to promote increased spectrum efficiency.</w:t>
      </w:r>
      <w:bookmarkEnd w:id="180"/>
      <w:bookmarkEnd w:id="181"/>
    </w:p>
    <w:p w:rsidR="00016D83" w:rsidRPr="0019555C" w:rsidRDefault="00016D83" w:rsidP="00016D83">
      <w:pPr>
        <w:pStyle w:val="Heading2"/>
        <w:rPr>
          <w:lang w:val="en-GB"/>
        </w:rPr>
      </w:pPr>
      <w:bookmarkStart w:id="183" w:name="_Toc354769814"/>
      <w:bookmarkStart w:id="184" w:name="_Toc387091577"/>
      <w:bookmarkStart w:id="185" w:name="_Toc388871235"/>
      <w:bookmarkStart w:id="186" w:name="_Toc403043911"/>
      <w:bookmarkStart w:id="187" w:name="_Toc403044015"/>
      <w:bookmarkStart w:id="188" w:name="_Toc414014603"/>
      <w:bookmarkStart w:id="189" w:name="_Toc414014776"/>
      <w:r w:rsidRPr="0019555C">
        <w:rPr>
          <w:lang w:val="en-GB"/>
        </w:rPr>
        <w:t>3.4</w:t>
      </w:r>
      <w:r w:rsidRPr="0019555C">
        <w:rPr>
          <w:lang w:val="en-GB"/>
        </w:rPr>
        <w:tab/>
        <w:t>Sharing and compatibility studies with other services</w:t>
      </w:r>
      <w:bookmarkEnd w:id="183"/>
      <w:bookmarkEnd w:id="184"/>
      <w:bookmarkEnd w:id="185"/>
      <w:bookmarkEnd w:id="186"/>
      <w:bookmarkEnd w:id="187"/>
      <w:bookmarkEnd w:id="188"/>
      <w:bookmarkEnd w:id="189"/>
    </w:p>
    <w:p w:rsidR="00016D83" w:rsidRPr="0019555C" w:rsidRDefault="00016D83" w:rsidP="00016D83">
      <w:pPr>
        <w:rPr>
          <w:lang w:val="en-GB" w:eastAsia="ja-JP"/>
        </w:rPr>
      </w:pPr>
      <w:r w:rsidRPr="0019555C">
        <w:rPr>
          <w:lang w:val="en-GB" w:eastAsia="ja-JP"/>
        </w:rPr>
        <w:t>FS often shares frequency bands with other services and sharing conditions with these services were generally developed for bands up to 50 GHz. With a view to future use of new frequency bands by the FS (including frequency bands above 100 GHz), if requested by WRC, it is becoming more and more important to consider sharing and compatibility issues between FS and other services.</w:t>
      </w:r>
    </w:p>
    <w:p w:rsidR="00016D83" w:rsidRPr="0019555C" w:rsidRDefault="00016D83" w:rsidP="00016D83">
      <w:pPr>
        <w:rPr>
          <w:lang w:val="en-GB" w:eastAsia="ja-JP"/>
        </w:rPr>
      </w:pPr>
      <w:r w:rsidRPr="0019555C">
        <w:rPr>
          <w:lang w:val="en-GB" w:eastAsia="ja-JP"/>
        </w:rPr>
        <w:t>Many studies of frequency sharing between the FS and other services are addressed in ITU-R Recommendations. In particular sharing with the FSS is addressed in a number of SF-series Recommendations. Some studies on sharing between FS systems and other radio services are covered mostly in F-series Recommendations. Various aspects of these studies are summarized in Tables 2 and 3. These study results will provide good references and/or examples for possible studies on the higher frequency bands. Some key considerations include whether the current or intended FS deployments will occur in high density configurations. Another consideration is that the bands above 20 GHz evidence much higher elevation angles than traditional below 20 GHz FS deployments, thus making bore-sight interference from FSS systems more likely.</w:t>
      </w:r>
    </w:p>
    <w:p w:rsidR="00016D83" w:rsidRPr="0019555C" w:rsidRDefault="00016D83" w:rsidP="00016D83">
      <w:pPr>
        <w:pStyle w:val="TableNo"/>
        <w:rPr>
          <w:lang w:val="en-GB"/>
        </w:rPr>
      </w:pPr>
      <w:r w:rsidRPr="0019555C">
        <w:rPr>
          <w:lang w:val="en-GB"/>
        </w:rPr>
        <w:t>TABLE 2</w:t>
      </w:r>
    </w:p>
    <w:p w:rsidR="00016D83" w:rsidRPr="0019555C" w:rsidRDefault="00016D83" w:rsidP="00016D83">
      <w:pPr>
        <w:pStyle w:val="Tabletitle"/>
        <w:rPr>
          <w:lang w:val="en-GB"/>
        </w:rPr>
      </w:pPr>
      <w:r w:rsidRPr="0019555C">
        <w:rPr>
          <w:lang w:val="en-GB"/>
        </w:rPr>
        <w:t>Summary of general sharing and compatibility studies between FS and other services</w:t>
      </w:r>
    </w:p>
    <w:tbl>
      <w:tblPr>
        <w:tblW w:w="8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3"/>
        <w:gridCol w:w="2181"/>
        <w:gridCol w:w="2551"/>
      </w:tblGrid>
      <w:tr w:rsidR="00016D83" w:rsidRPr="0019555C" w:rsidTr="00A330D0">
        <w:trPr>
          <w:cantSplit/>
          <w:tblHeader/>
          <w:jc w:val="center"/>
        </w:trPr>
        <w:tc>
          <w:tcPr>
            <w:tcW w:w="3883" w:type="dxa"/>
            <w:shd w:val="clear" w:color="auto" w:fill="FFFFFF"/>
            <w:vAlign w:val="center"/>
          </w:tcPr>
          <w:p w:rsidR="00016D83" w:rsidRPr="0019555C" w:rsidRDefault="00016D83" w:rsidP="00A330D0">
            <w:pPr>
              <w:pStyle w:val="Tablehead"/>
              <w:rPr>
                <w:lang w:val="en-GB"/>
              </w:rPr>
            </w:pPr>
            <w:r w:rsidRPr="0019555C">
              <w:rPr>
                <w:lang w:val="en-GB"/>
              </w:rPr>
              <w:t>Topics</w:t>
            </w:r>
          </w:p>
        </w:tc>
        <w:tc>
          <w:tcPr>
            <w:tcW w:w="2181" w:type="dxa"/>
            <w:shd w:val="clear" w:color="auto" w:fill="FFFFFF"/>
            <w:vAlign w:val="center"/>
          </w:tcPr>
          <w:p w:rsidR="00016D83" w:rsidRPr="0019555C" w:rsidRDefault="00016D83" w:rsidP="00A330D0">
            <w:pPr>
              <w:pStyle w:val="Tablehead"/>
              <w:rPr>
                <w:lang w:val="en-GB"/>
              </w:rPr>
            </w:pPr>
            <w:r w:rsidRPr="0019555C">
              <w:rPr>
                <w:lang w:val="en-GB"/>
              </w:rPr>
              <w:t>Frequency band</w:t>
            </w:r>
            <w:r w:rsidRPr="0019555C">
              <w:rPr>
                <w:vertAlign w:val="superscript"/>
                <w:lang w:val="en-GB"/>
              </w:rPr>
              <w:t>(1)</w:t>
            </w:r>
          </w:p>
        </w:tc>
        <w:tc>
          <w:tcPr>
            <w:tcW w:w="2551" w:type="dxa"/>
            <w:shd w:val="clear" w:color="auto" w:fill="FFFFFF"/>
            <w:vAlign w:val="center"/>
          </w:tcPr>
          <w:p w:rsidR="00016D83" w:rsidRPr="0019555C" w:rsidRDefault="00016D83" w:rsidP="00A330D0">
            <w:pPr>
              <w:pStyle w:val="Tablehead"/>
              <w:rPr>
                <w:lang w:val="en-GB"/>
              </w:rPr>
            </w:pPr>
            <w:r w:rsidRPr="0019555C">
              <w:rPr>
                <w:lang w:val="en-GB"/>
              </w:rPr>
              <w:t>ITU-R Recommendations</w:t>
            </w:r>
          </w:p>
        </w:tc>
      </w:tr>
      <w:tr w:rsidR="00016D83" w:rsidRPr="0019555C" w:rsidTr="00A330D0">
        <w:trPr>
          <w:cantSplit/>
          <w:trHeight w:val="453"/>
          <w:tblHeader/>
          <w:jc w:val="center"/>
        </w:trPr>
        <w:tc>
          <w:tcPr>
            <w:tcW w:w="3883" w:type="dxa"/>
          </w:tcPr>
          <w:p w:rsidR="00016D83" w:rsidRPr="0019555C" w:rsidRDefault="00016D83" w:rsidP="00A330D0">
            <w:pPr>
              <w:pStyle w:val="Tabletext"/>
              <w:rPr>
                <w:lang w:val="en-GB"/>
              </w:rPr>
            </w:pPr>
            <w:r w:rsidRPr="0019555C">
              <w:rPr>
                <w:lang w:val="en-GB"/>
              </w:rPr>
              <w:t>System parameters and general considerations</w:t>
            </w:r>
          </w:p>
        </w:tc>
        <w:tc>
          <w:tcPr>
            <w:tcW w:w="2181" w:type="dxa"/>
          </w:tcPr>
          <w:p w:rsidR="00016D83" w:rsidRPr="0019555C" w:rsidRDefault="00016D83" w:rsidP="00A330D0">
            <w:pPr>
              <w:pStyle w:val="Tabletext"/>
              <w:rPr>
                <w:lang w:val="en-GB"/>
              </w:rPr>
            </w:pPr>
            <w:r w:rsidRPr="0019555C">
              <w:rPr>
                <w:lang w:val="en-GB"/>
              </w:rPr>
              <w:t>Above 30 MHz</w:t>
            </w:r>
          </w:p>
        </w:tc>
        <w:tc>
          <w:tcPr>
            <w:tcW w:w="2551" w:type="dxa"/>
          </w:tcPr>
          <w:p w:rsidR="00016D83" w:rsidRPr="0019555C" w:rsidRDefault="00016D83" w:rsidP="00A330D0">
            <w:pPr>
              <w:pStyle w:val="Tabletext"/>
              <w:rPr>
                <w:lang w:val="en-GB"/>
              </w:rPr>
            </w:pPr>
            <w:r w:rsidRPr="0019555C">
              <w:rPr>
                <w:lang w:val="en-GB"/>
              </w:rPr>
              <w:t>Rec</w:t>
            </w:r>
            <w:r w:rsidRPr="0019555C">
              <w:rPr>
                <w:lang w:val="en-GB" w:eastAsia="ja-JP"/>
              </w:rPr>
              <w:t xml:space="preserve">. </w:t>
            </w:r>
            <w:r w:rsidRPr="0019555C">
              <w:rPr>
                <w:lang w:val="en-GB"/>
              </w:rPr>
              <w:t>ITU-R F.758</w:t>
            </w:r>
          </w:p>
        </w:tc>
      </w:tr>
      <w:tr w:rsidR="00016D83" w:rsidRPr="0019555C" w:rsidTr="00A330D0">
        <w:trPr>
          <w:cantSplit/>
          <w:trHeight w:val="453"/>
          <w:tblHeader/>
          <w:jc w:val="center"/>
        </w:trPr>
        <w:tc>
          <w:tcPr>
            <w:tcW w:w="3883" w:type="dxa"/>
            <w:vMerge w:val="restart"/>
          </w:tcPr>
          <w:p w:rsidR="00016D83" w:rsidRPr="0019555C" w:rsidRDefault="00016D83" w:rsidP="00A330D0">
            <w:pPr>
              <w:pStyle w:val="Tabletext"/>
              <w:rPr>
                <w:lang w:val="en-GB"/>
              </w:rPr>
            </w:pPr>
            <w:r w:rsidRPr="0019555C">
              <w:rPr>
                <w:lang w:val="en-GB"/>
              </w:rPr>
              <w:t>Interference criteria with respect to non-GSO space stations</w:t>
            </w:r>
          </w:p>
        </w:tc>
        <w:tc>
          <w:tcPr>
            <w:tcW w:w="2181" w:type="dxa"/>
          </w:tcPr>
          <w:p w:rsidR="00016D83" w:rsidRPr="0019555C" w:rsidRDefault="00016D83" w:rsidP="00A330D0">
            <w:pPr>
              <w:pStyle w:val="Tabletext"/>
              <w:rPr>
                <w:lang w:val="en-GB"/>
              </w:rPr>
            </w:pPr>
            <w:r w:rsidRPr="0019555C">
              <w:rPr>
                <w:lang w:val="en-GB"/>
              </w:rPr>
              <w:t>10.7-12.75 GHz</w:t>
            </w:r>
          </w:p>
        </w:tc>
        <w:tc>
          <w:tcPr>
            <w:tcW w:w="2551" w:type="dxa"/>
          </w:tcPr>
          <w:p w:rsidR="00016D83" w:rsidRPr="0019555C" w:rsidRDefault="00016D83" w:rsidP="00A330D0">
            <w:pPr>
              <w:pStyle w:val="Tabletext"/>
              <w:rPr>
                <w:lang w:val="en-GB"/>
              </w:rPr>
            </w:pPr>
            <w:r w:rsidRPr="0019555C">
              <w:rPr>
                <w:lang w:val="en-GB"/>
              </w:rPr>
              <w:t>Rec. ITU-R F.1494</w:t>
            </w:r>
          </w:p>
        </w:tc>
      </w:tr>
      <w:tr w:rsidR="00016D83" w:rsidRPr="0019555C" w:rsidTr="00A330D0">
        <w:trPr>
          <w:cantSplit/>
          <w:trHeight w:val="453"/>
          <w:tblHeader/>
          <w:jc w:val="center"/>
        </w:trPr>
        <w:tc>
          <w:tcPr>
            <w:tcW w:w="3883" w:type="dxa"/>
            <w:vMerge/>
          </w:tcPr>
          <w:p w:rsidR="00016D83" w:rsidRPr="0019555C" w:rsidRDefault="00016D83" w:rsidP="00A330D0">
            <w:pPr>
              <w:pStyle w:val="Tabletext"/>
              <w:rPr>
                <w:lang w:val="en-GB"/>
              </w:rPr>
            </w:pPr>
          </w:p>
        </w:tc>
        <w:tc>
          <w:tcPr>
            <w:tcW w:w="2181" w:type="dxa"/>
          </w:tcPr>
          <w:p w:rsidR="00016D83" w:rsidRPr="0019555C" w:rsidRDefault="00016D83" w:rsidP="00A330D0">
            <w:pPr>
              <w:pStyle w:val="Tabletext"/>
              <w:rPr>
                <w:lang w:val="en-GB"/>
              </w:rPr>
            </w:pPr>
            <w:r w:rsidRPr="0019555C">
              <w:rPr>
                <w:lang w:val="en-GB"/>
              </w:rPr>
              <w:t>17.7-19.3 GHz</w:t>
            </w:r>
          </w:p>
        </w:tc>
        <w:tc>
          <w:tcPr>
            <w:tcW w:w="2551" w:type="dxa"/>
          </w:tcPr>
          <w:p w:rsidR="00016D83" w:rsidRPr="0019555C" w:rsidRDefault="00016D83" w:rsidP="00A330D0">
            <w:pPr>
              <w:pStyle w:val="Tabletext"/>
              <w:rPr>
                <w:lang w:val="en-GB"/>
              </w:rPr>
            </w:pPr>
            <w:r w:rsidRPr="0019555C">
              <w:rPr>
                <w:lang w:val="en-GB"/>
              </w:rPr>
              <w:t>Rec. ITU-R F.1495</w:t>
            </w:r>
          </w:p>
        </w:tc>
      </w:tr>
      <w:tr w:rsidR="00016D83" w:rsidRPr="0019555C" w:rsidTr="00A330D0">
        <w:trPr>
          <w:cantSplit/>
          <w:trHeight w:val="453"/>
          <w:tblHeader/>
          <w:jc w:val="center"/>
        </w:trPr>
        <w:tc>
          <w:tcPr>
            <w:tcW w:w="3883" w:type="dxa"/>
            <w:vMerge/>
          </w:tcPr>
          <w:p w:rsidR="00016D83" w:rsidRPr="0019555C" w:rsidRDefault="00016D83" w:rsidP="00A330D0">
            <w:pPr>
              <w:pStyle w:val="Tabletext"/>
              <w:rPr>
                <w:lang w:val="en-GB"/>
              </w:rPr>
            </w:pPr>
          </w:p>
        </w:tc>
        <w:tc>
          <w:tcPr>
            <w:tcW w:w="2181" w:type="dxa"/>
          </w:tcPr>
          <w:p w:rsidR="00016D83" w:rsidRPr="0019555C" w:rsidRDefault="00016D83" w:rsidP="00A330D0">
            <w:pPr>
              <w:pStyle w:val="Tabletext"/>
              <w:rPr>
                <w:lang w:val="en-GB"/>
              </w:rPr>
            </w:pPr>
            <w:r w:rsidRPr="0019555C">
              <w:rPr>
                <w:lang w:val="en-GB"/>
              </w:rPr>
              <w:t>37-40/40.5-42.5 GHz</w:t>
            </w:r>
          </w:p>
        </w:tc>
        <w:tc>
          <w:tcPr>
            <w:tcW w:w="2551" w:type="dxa"/>
          </w:tcPr>
          <w:p w:rsidR="00016D83" w:rsidRPr="0019555C" w:rsidRDefault="00016D83" w:rsidP="00A330D0">
            <w:pPr>
              <w:pStyle w:val="Tabletext"/>
              <w:rPr>
                <w:lang w:val="en-GB"/>
              </w:rPr>
            </w:pPr>
            <w:r w:rsidRPr="0019555C">
              <w:rPr>
                <w:lang w:val="en-GB"/>
              </w:rPr>
              <w:t>Rec. ITU-R F.1606</w:t>
            </w:r>
          </w:p>
        </w:tc>
      </w:tr>
      <w:tr w:rsidR="00016D83" w:rsidRPr="0019555C" w:rsidTr="00A330D0">
        <w:trPr>
          <w:cantSplit/>
          <w:trHeight w:val="453"/>
          <w:tblHeader/>
          <w:jc w:val="center"/>
        </w:trPr>
        <w:tc>
          <w:tcPr>
            <w:tcW w:w="3883" w:type="dxa"/>
          </w:tcPr>
          <w:p w:rsidR="00016D83" w:rsidRPr="0019555C" w:rsidRDefault="00016D83" w:rsidP="00A330D0">
            <w:pPr>
              <w:pStyle w:val="Tabletext"/>
              <w:rPr>
                <w:lang w:val="en-GB"/>
              </w:rPr>
            </w:pPr>
            <w:r w:rsidRPr="0019555C">
              <w:rPr>
                <w:lang w:val="en-GB"/>
              </w:rPr>
              <w:t>Interference criteria with respect to GSO space stations</w:t>
            </w:r>
          </w:p>
        </w:tc>
        <w:tc>
          <w:tcPr>
            <w:tcW w:w="2181" w:type="dxa"/>
          </w:tcPr>
          <w:p w:rsidR="00016D83" w:rsidRPr="0019555C" w:rsidRDefault="00016D83" w:rsidP="00A330D0">
            <w:pPr>
              <w:pStyle w:val="Tabletext"/>
              <w:rPr>
                <w:lang w:val="en-GB"/>
              </w:rPr>
            </w:pPr>
            <w:r w:rsidRPr="0019555C">
              <w:rPr>
                <w:lang w:val="en-GB"/>
              </w:rPr>
              <w:t>37-40/40.5-42.5 GHz</w:t>
            </w:r>
          </w:p>
        </w:tc>
        <w:tc>
          <w:tcPr>
            <w:tcW w:w="2551" w:type="dxa"/>
          </w:tcPr>
          <w:p w:rsidR="00016D83" w:rsidRPr="0019555C" w:rsidRDefault="00016D83" w:rsidP="00A330D0">
            <w:pPr>
              <w:pStyle w:val="Tabletext"/>
              <w:rPr>
                <w:lang w:val="en-GB"/>
              </w:rPr>
            </w:pPr>
            <w:r w:rsidRPr="0019555C">
              <w:rPr>
                <w:lang w:val="en-GB"/>
              </w:rPr>
              <w:t>Rec. ITU-R F.1669</w:t>
            </w:r>
          </w:p>
        </w:tc>
      </w:tr>
      <w:tr w:rsidR="00016D83" w:rsidRPr="0019555C" w:rsidTr="00A330D0">
        <w:trPr>
          <w:cantSplit/>
          <w:trHeight w:val="453"/>
          <w:tblHeader/>
          <w:jc w:val="center"/>
        </w:trPr>
        <w:tc>
          <w:tcPr>
            <w:tcW w:w="3883" w:type="dxa"/>
          </w:tcPr>
          <w:p w:rsidR="00016D83" w:rsidRPr="0019555C" w:rsidRDefault="00016D83" w:rsidP="00A330D0">
            <w:pPr>
              <w:pStyle w:val="Tabletext"/>
              <w:rPr>
                <w:lang w:val="en-GB"/>
              </w:rPr>
            </w:pPr>
            <w:r w:rsidRPr="0019555C">
              <w:rPr>
                <w:lang w:val="en-GB"/>
              </w:rPr>
              <w:t>Maximum allowable error performance and availability degradations due to interference from other sources</w:t>
            </w:r>
          </w:p>
        </w:tc>
        <w:tc>
          <w:tcPr>
            <w:tcW w:w="2181" w:type="dxa"/>
          </w:tcPr>
          <w:p w:rsidR="00016D83" w:rsidRPr="0019555C" w:rsidRDefault="00016D83" w:rsidP="00A330D0">
            <w:pPr>
              <w:pStyle w:val="Tabletext"/>
              <w:rPr>
                <w:lang w:val="en-GB"/>
              </w:rPr>
            </w:pPr>
            <w:r w:rsidRPr="0019555C">
              <w:rPr>
                <w:lang w:val="en-GB"/>
              </w:rPr>
              <w:t>Above 30 MHz</w:t>
            </w:r>
          </w:p>
        </w:tc>
        <w:tc>
          <w:tcPr>
            <w:tcW w:w="2551" w:type="dxa"/>
          </w:tcPr>
          <w:p w:rsidR="00016D83" w:rsidRPr="0019555C" w:rsidRDefault="00016D83" w:rsidP="00A330D0">
            <w:pPr>
              <w:pStyle w:val="Tabletext"/>
              <w:rPr>
                <w:lang w:val="en-GB"/>
              </w:rPr>
            </w:pPr>
            <w:r w:rsidRPr="0019555C">
              <w:rPr>
                <w:lang w:val="en-GB"/>
              </w:rPr>
              <w:t>Rec. ITU-R F.1094</w:t>
            </w:r>
          </w:p>
        </w:tc>
      </w:tr>
      <w:tr w:rsidR="00016D83" w:rsidRPr="0019555C" w:rsidTr="00A330D0">
        <w:trPr>
          <w:cantSplit/>
          <w:trHeight w:val="453"/>
          <w:tblHeader/>
          <w:jc w:val="center"/>
        </w:trPr>
        <w:tc>
          <w:tcPr>
            <w:tcW w:w="3883" w:type="dxa"/>
            <w:tcBorders>
              <w:bottom w:val="single" w:sz="4" w:space="0" w:color="auto"/>
            </w:tcBorders>
          </w:tcPr>
          <w:p w:rsidR="00016D83" w:rsidRPr="0019555C" w:rsidRDefault="00016D83" w:rsidP="00A330D0">
            <w:pPr>
              <w:pStyle w:val="Tabletext"/>
              <w:rPr>
                <w:lang w:val="en-GB"/>
              </w:rPr>
            </w:pPr>
            <w:r w:rsidRPr="0019555C">
              <w:rPr>
                <w:lang w:val="en-GB"/>
              </w:rPr>
              <w:t>Performance degradation due to interference from other services to real FWS used in the international and national portions of a 27 500 km HRP</w:t>
            </w:r>
            <w:r w:rsidRPr="0019555C">
              <w:rPr>
                <w:vertAlign w:val="superscript"/>
                <w:lang w:val="en-GB"/>
              </w:rPr>
              <w:t>(2)</w:t>
            </w:r>
          </w:p>
        </w:tc>
        <w:tc>
          <w:tcPr>
            <w:tcW w:w="2181" w:type="dxa"/>
            <w:tcBorders>
              <w:bottom w:val="single" w:sz="4" w:space="0" w:color="auto"/>
            </w:tcBorders>
          </w:tcPr>
          <w:p w:rsidR="00016D83" w:rsidRPr="0019555C" w:rsidRDefault="00016D83" w:rsidP="00A330D0">
            <w:pPr>
              <w:pStyle w:val="Tabletext"/>
              <w:rPr>
                <w:lang w:val="en-GB"/>
              </w:rPr>
            </w:pPr>
            <w:r w:rsidRPr="0019555C">
              <w:rPr>
                <w:lang w:val="en-GB"/>
              </w:rPr>
              <w:t>All bands</w:t>
            </w:r>
          </w:p>
        </w:tc>
        <w:tc>
          <w:tcPr>
            <w:tcW w:w="2551" w:type="dxa"/>
            <w:tcBorders>
              <w:bottom w:val="single" w:sz="4" w:space="0" w:color="auto"/>
            </w:tcBorders>
          </w:tcPr>
          <w:p w:rsidR="00016D83" w:rsidRPr="0019555C" w:rsidRDefault="00016D83" w:rsidP="00A330D0">
            <w:pPr>
              <w:pStyle w:val="Tabletext"/>
              <w:rPr>
                <w:lang w:val="en-GB"/>
              </w:rPr>
            </w:pPr>
            <w:r w:rsidRPr="0019555C">
              <w:rPr>
                <w:lang w:val="en-GB"/>
              </w:rPr>
              <w:t>Rec. ITU-R F.1565</w:t>
            </w:r>
          </w:p>
        </w:tc>
      </w:tr>
      <w:tr w:rsidR="00016D83" w:rsidRPr="0019555C" w:rsidTr="00A330D0">
        <w:trPr>
          <w:cantSplit/>
          <w:trHeight w:val="453"/>
          <w:tblHeader/>
          <w:jc w:val="center"/>
        </w:trPr>
        <w:tc>
          <w:tcPr>
            <w:tcW w:w="8615" w:type="dxa"/>
            <w:gridSpan w:val="3"/>
            <w:tcBorders>
              <w:left w:val="nil"/>
              <w:bottom w:val="nil"/>
              <w:right w:val="nil"/>
            </w:tcBorders>
          </w:tcPr>
          <w:p w:rsidR="00016D83" w:rsidRPr="0019555C" w:rsidRDefault="00016D83" w:rsidP="00A330D0">
            <w:pPr>
              <w:pStyle w:val="Tablelegend"/>
              <w:rPr>
                <w:lang w:val="en-GB"/>
              </w:rPr>
            </w:pPr>
            <w:r w:rsidRPr="0019555C">
              <w:rPr>
                <w:vertAlign w:val="superscript"/>
                <w:lang w:val="en-GB"/>
              </w:rPr>
              <w:t>(1)</w:t>
            </w:r>
            <w:r w:rsidRPr="0019555C">
              <w:rPr>
                <w:lang w:val="en-GB"/>
              </w:rPr>
              <w:t xml:space="preserve"> </w:t>
            </w:r>
            <w:r w:rsidRPr="0019555C">
              <w:rPr>
                <w:lang w:val="en-GB"/>
              </w:rPr>
              <w:tab/>
              <w:t>Use of frequency bands may be different in different Regions.</w:t>
            </w:r>
          </w:p>
          <w:p w:rsidR="00016D83" w:rsidRPr="0019555C" w:rsidRDefault="00016D83" w:rsidP="00A330D0">
            <w:pPr>
              <w:pStyle w:val="Tablelegend"/>
              <w:rPr>
                <w:lang w:val="en-GB" w:eastAsia="ja-JP"/>
              </w:rPr>
            </w:pPr>
            <w:r w:rsidRPr="0019555C">
              <w:rPr>
                <w:vertAlign w:val="superscript"/>
                <w:lang w:val="en-GB"/>
              </w:rPr>
              <w:t>(2)</w:t>
            </w:r>
            <w:r w:rsidRPr="0019555C">
              <w:rPr>
                <w:lang w:val="en-GB"/>
              </w:rPr>
              <w:t xml:space="preserve"> </w:t>
            </w:r>
            <w:r w:rsidRPr="0019555C">
              <w:rPr>
                <w:lang w:val="en-GB"/>
              </w:rPr>
              <w:tab/>
              <w:t>Hypothetical reference path.</w:t>
            </w:r>
          </w:p>
        </w:tc>
      </w:tr>
    </w:tbl>
    <w:p w:rsidR="00016D83" w:rsidRPr="0019555C" w:rsidRDefault="00016D83" w:rsidP="00016D83">
      <w:pPr>
        <w:pStyle w:val="TableNo"/>
        <w:keepLines/>
        <w:rPr>
          <w:lang w:val="en-GB"/>
        </w:rPr>
      </w:pPr>
      <w:r w:rsidRPr="0019555C">
        <w:rPr>
          <w:lang w:val="en-GB"/>
        </w:rPr>
        <w:lastRenderedPageBreak/>
        <w:t>TABLE 3</w:t>
      </w:r>
    </w:p>
    <w:p w:rsidR="00016D83" w:rsidRPr="0019555C" w:rsidRDefault="00016D83" w:rsidP="00016D83">
      <w:pPr>
        <w:pStyle w:val="Tabletitle"/>
        <w:rPr>
          <w:lang w:val="en-GB" w:eastAsia="ja-JP"/>
        </w:rPr>
      </w:pPr>
      <w:r w:rsidRPr="0019555C">
        <w:rPr>
          <w:lang w:val="en-GB" w:eastAsia="ja-JP"/>
        </w:rPr>
        <w:t xml:space="preserve">Summary of sharing and </w:t>
      </w:r>
      <w:r w:rsidRPr="00C83A57">
        <w:rPr>
          <w:lang w:val="en-GB" w:eastAsia="ja-JP"/>
        </w:rPr>
        <w:t>compatibility</w:t>
      </w:r>
      <w:r w:rsidRPr="0019555C">
        <w:rPr>
          <w:lang w:val="en-GB" w:eastAsia="ja-JP"/>
        </w:rPr>
        <w:t xml:space="preserve"> studies between FS and other services</w:t>
      </w:r>
    </w:p>
    <w:tbl>
      <w:tblPr>
        <w:tblW w:w="8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0"/>
        <w:gridCol w:w="2835"/>
        <w:gridCol w:w="2629"/>
      </w:tblGrid>
      <w:tr w:rsidR="00016D83" w:rsidRPr="0019555C" w:rsidTr="00A330D0">
        <w:trPr>
          <w:cantSplit/>
          <w:tblHeader/>
          <w:jc w:val="center"/>
        </w:trPr>
        <w:tc>
          <w:tcPr>
            <w:tcW w:w="2630" w:type="dxa"/>
            <w:shd w:val="clear" w:color="auto" w:fill="FFFFFF"/>
            <w:vAlign w:val="center"/>
          </w:tcPr>
          <w:p w:rsidR="00016D83" w:rsidRPr="0019555C" w:rsidRDefault="00016D83" w:rsidP="00A330D0">
            <w:pPr>
              <w:pStyle w:val="Tablehead"/>
              <w:keepLines/>
              <w:rPr>
                <w:lang w:val="en-GB"/>
              </w:rPr>
            </w:pPr>
            <w:r w:rsidRPr="0019555C">
              <w:rPr>
                <w:lang w:val="en-GB"/>
              </w:rPr>
              <w:t xml:space="preserve">Other service sharing </w:t>
            </w:r>
            <w:r w:rsidR="00AA37F2">
              <w:rPr>
                <w:lang w:val="en-GB"/>
              </w:rPr>
              <w:br/>
            </w:r>
            <w:r w:rsidRPr="0019555C">
              <w:rPr>
                <w:lang w:val="en-GB"/>
              </w:rPr>
              <w:t>the same band with FS</w:t>
            </w:r>
          </w:p>
        </w:tc>
        <w:tc>
          <w:tcPr>
            <w:tcW w:w="2835" w:type="dxa"/>
            <w:shd w:val="clear" w:color="auto" w:fill="FFFFFF"/>
            <w:vAlign w:val="center"/>
          </w:tcPr>
          <w:p w:rsidR="00016D83" w:rsidRPr="0019555C" w:rsidRDefault="00016D83" w:rsidP="00A330D0">
            <w:pPr>
              <w:pStyle w:val="Tablehead"/>
              <w:keepLines/>
              <w:rPr>
                <w:lang w:val="en-GB"/>
              </w:rPr>
            </w:pPr>
            <w:r w:rsidRPr="0019555C">
              <w:rPr>
                <w:lang w:val="en-GB"/>
              </w:rPr>
              <w:t>Frequency band</w:t>
            </w:r>
            <w:r w:rsidRPr="00AA37F2">
              <w:rPr>
                <w:vertAlign w:val="superscript"/>
                <w:lang w:val="en-GB"/>
              </w:rPr>
              <w:t>(1)</w:t>
            </w:r>
          </w:p>
        </w:tc>
        <w:tc>
          <w:tcPr>
            <w:tcW w:w="2629" w:type="dxa"/>
            <w:shd w:val="clear" w:color="auto" w:fill="FFFFFF"/>
            <w:vAlign w:val="center"/>
          </w:tcPr>
          <w:p w:rsidR="00016D83" w:rsidRPr="0019555C" w:rsidRDefault="00016D83" w:rsidP="00A330D0">
            <w:pPr>
              <w:pStyle w:val="Tablehead"/>
              <w:keepLines/>
              <w:rPr>
                <w:lang w:val="en-GB"/>
              </w:rPr>
            </w:pPr>
            <w:r w:rsidRPr="0019555C">
              <w:rPr>
                <w:lang w:val="en-GB"/>
              </w:rPr>
              <w:t xml:space="preserve">ITU-R Recommendations </w:t>
            </w:r>
            <w:r w:rsidR="00CC506F">
              <w:rPr>
                <w:lang w:val="en-GB"/>
              </w:rPr>
              <w:br/>
            </w:r>
            <w:r w:rsidRPr="0019555C">
              <w:rPr>
                <w:lang w:val="en-GB"/>
              </w:rPr>
              <w:t>or Report</w:t>
            </w:r>
          </w:p>
        </w:tc>
      </w:tr>
      <w:tr w:rsidR="00016D83" w:rsidRPr="0019555C" w:rsidTr="00A330D0">
        <w:trPr>
          <w:cantSplit/>
          <w:trHeight w:val="170"/>
          <w:jc w:val="center"/>
        </w:trPr>
        <w:tc>
          <w:tcPr>
            <w:tcW w:w="2630" w:type="dxa"/>
            <w:vAlign w:val="center"/>
          </w:tcPr>
          <w:p w:rsidR="00016D83" w:rsidRPr="0019555C" w:rsidRDefault="00016D83" w:rsidP="00A330D0">
            <w:pPr>
              <w:pStyle w:val="Tabletext"/>
              <w:keepNext/>
              <w:keepLines/>
              <w:jc w:val="center"/>
              <w:rPr>
                <w:lang w:val="en-GB"/>
              </w:rPr>
            </w:pPr>
            <w:r w:rsidRPr="0019555C">
              <w:rPr>
                <w:lang w:val="en-GB"/>
              </w:rPr>
              <w:t>BS</w:t>
            </w:r>
          </w:p>
        </w:tc>
        <w:tc>
          <w:tcPr>
            <w:tcW w:w="2835" w:type="dxa"/>
          </w:tcPr>
          <w:p w:rsidR="00016D83" w:rsidRPr="0019555C" w:rsidRDefault="00016D83" w:rsidP="00A330D0">
            <w:pPr>
              <w:pStyle w:val="Tabletext"/>
              <w:keepNext/>
              <w:keepLines/>
              <w:jc w:val="center"/>
              <w:rPr>
                <w:lang w:val="en-GB"/>
              </w:rPr>
            </w:pPr>
            <w:r w:rsidRPr="0019555C">
              <w:rPr>
                <w:lang w:val="en-GB"/>
              </w:rPr>
              <w:t>174-230, 470-862 MHz</w:t>
            </w:r>
          </w:p>
        </w:tc>
        <w:tc>
          <w:tcPr>
            <w:tcW w:w="2629" w:type="dxa"/>
          </w:tcPr>
          <w:p w:rsidR="00016D83" w:rsidRPr="0019555C" w:rsidRDefault="00016D83" w:rsidP="00A330D0">
            <w:pPr>
              <w:pStyle w:val="Tabletext"/>
              <w:keepNext/>
              <w:keepLines/>
              <w:jc w:val="center"/>
              <w:rPr>
                <w:lang w:val="en-GB"/>
              </w:rPr>
            </w:pPr>
            <w:r w:rsidRPr="0019555C">
              <w:rPr>
                <w:lang w:val="en-GB" w:eastAsia="ja-JP"/>
              </w:rPr>
              <w:t>Rec.</w:t>
            </w:r>
            <w:r w:rsidRPr="0019555C">
              <w:rPr>
                <w:lang w:val="en-GB"/>
              </w:rPr>
              <w:t xml:space="preserve"> ITU-R F.1670</w:t>
            </w:r>
          </w:p>
        </w:tc>
      </w:tr>
      <w:tr w:rsidR="00016D83" w:rsidRPr="0019555C" w:rsidTr="00A330D0">
        <w:trPr>
          <w:cantSplit/>
          <w:trHeight w:val="170"/>
          <w:jc w:val="center"/>
        </w:trPr>
        <w:tc>
          <w:tcPr>
            <w:tcW w:w="2630" w:type="dxa"/>
            <w:vAlign w:val="center"/>
          </w:tcPr>
          <w:p w:rsidR="00016D83" w:rsidRPr="0019555C" w:rsidRDefault="00016D83" w:rsidP="00A330D0">
            <w:pPr>
              <w:pStyle w:val="Tabletext"/>
              <w:keepNext/>
              <w:keepLines/>
              <w:jc w:val="center"/>
              <w:rPr>
                <w:lang w:val="en-GB"/>
              </w:rPr>
            </w:pPr>
            <w:r w:rsidRPr="0019555C">
              <w:rPr>
                <w:lang w:val="en-GB"/>
              </w:rPr>
              <w:t>BSS</w:t>
            </w:r>
          </w:p>
        </w:tc>
        <w:tc>
          <w:tcPr>
            <w:tcW w:w="2835" w:type="dxa"/>
          </w:tcPr>
          <w:p w:rsidR="00016D83" w:rsidRPr="0019555C" w:rsidRDefault="00016D83" w:rsidP="00A330D0">
            <w:pPr>
              <w:pStyle w:val="Tabletext"/>
              <w:keepNext/>
              <w:keepLines/>
              <w:jc w:val="center"/>
              <w:rPr>
                <w:lang w:val="en-GB"/>
              </w:rPr>
            </w:pPr>
            <w:r w:rsidRPr="0019555C">
              <w:rPr>
                <w:lang w:val="en-GB"/>
              </w:rPr>
              <w:t>1 452-1 492 MHz</w:t>
            </w:r>
          </w:p>
        </w:tc>
        <w:tc>
          <w:tcPr>
            <w:tcW w:w="2629" w:type="dxa"/>
          </w:tcPr>
          <w:p w:rsidR="00016D83" w:rsidRPr="0019555C" w:rsidRDefault="00016D83" w:rsidP="00A330D0">
            <w:pPr>
              <w:pStyle w:val="Tabletext"/>
              <w:keepNext/>
              <w:keepLines/>
              <w:jc w:val="center"/>
              <w:rPr>
                <w:lang w:val="en-GB"/>
              </w:rPr>
            </w:pPr>
            <w:r w:rsidRPr="0019555C">
              <w:rPr>
                <w:lang w:val="en-GB" w:eastAsia="ja-JP"/>
              </w:rPr>
              <w:t>Rec.</w:t>
            </w:r>
            <w:r w:rsidRPr="0019555C">
              <w:rPr>
                <w:lang w:val="en-GB"/>
              </w:rPr>
              <w:t xml:space="preserve"> ITU-R F.1338</w:t>
            </w:r>
          </w:p>
        </w:tc>
      </w:tr>
      <w:tr w:rsidR="00016D83" w:rsidRPr="0019555C" w:rsidTr="00A330D0">
        <w:trPr>
          <w:cantSplit/>
          <w:trHeight w:val="170"/>
          <w:jc w:val="center"/>
        </w:trPr>
        <w:tc>
          <w:tcPr>
            <w:tcW w:w="2630" w:type="dxa"/>
            <w:vAlign w:val="center"/>
          </w:tcPr>
          <w:p w:rsidR="00016D83" w:rsidRPr="0019555C" w:rsidRDefault="00016D83" w:rsidP="00A330D0">
            <w:pPr>
              <w:pStyle w:val="Tabletext"/>
              <w:keepNext/>
              <w:keepLines/>
              <w:jc w:val="center"/>
              <w:rPr>
                <w:lang w:val="en-GB" w:eastAsia="ja-JP"/>
              </w:rPr>
            </w:pPr>
            <w:r w:rsidRPr="0019555C">
              <w:rPr>
                <w:lang w:val="en-GB"/>
              </w:rPr>
              <w:t>EESS, RA</w:t>
            </w:r>
            <w:r w:rsidRPr="0019555C">
              <w:rPr>
                <w:lang w:val="en-GB" w:eastAsia="ja-JP"/>
              </w:rPr>
              <w:t>S</w:t>
            </w:r>
          </w:p>
        </w:tc>
        <w:tc>
          <w:tcPr>
            <w:tcW w:w="2835" w:type="dxa"/>
          </w:tcPr>
          <w:p w:rsidR="00016D83" w:rsidRPr="0019555C" w:rsidRDefault="00016D83" w:rsidP="00A330D0">
            <w:pPr>
              <w:pStyle w:val="Tabletext"/>
              <w:keepNext/>
              <w:keepLines/>
              <w:jc w:val="center"/>
              <w:rPr>
                <w:lang w:val="en-GB"/>
              </w:rPr>
            </w:pPr>
            <w:r w:rsidRPr="0019555C">
              <w:rPr>
                <w:lang w:val="en-GB"/>
              </w:rPr>
              <w:t>71-76/81-86/92-94 GHz</w:t>
            </w:r>
          </w:p>
        </w:tc>
        <w:tc>
          <w:tcPr>
            <w:tcW w:w="2629" w:type="dxa"/>
          </w:tcPr>
          <w:p w:rsidR="00016D83" w:rsidRPr="0019555C" w:rsidRDefault="00016D83" w:rsidP="00A330D0">
            <w:pPr>
              <w:pStyle w:val="Tabletext"/>
              <w:keepNext/>
              <w:keepLines/>
              <w:jc w:val="center"/>
              <w:rPr>
                <w:lang w:val="en-GB"/>
              </w:rPr>
            </w:pPr>
            <w:r w:rsidRPr="0019555C">
              <w:rPr>
                <w:lang w:val="en-GB" w:eastAsia="ja-JP"/>
              </w:rPr>
              <w:t>Rep.</w:t>
            </w:r>
            <w:r w:rsidRPr="0019555C">
              <w:rPr>
                <w:lang w:val="en-GB"/>
              </w:rPr>
              <w:t xml:space="preserve"> ITU-R F.2239</w:t>
            </w:r>
          </w:p>
        </w:tc>
      </w:tr>
      <w:tr w:rsidR="00016D83" w:rsidRPr="0019555C" w:rsidTr="00A330D0">
        <w:trPr>
          <w:cantSplit/>
          <w:trHeight w:val="170"/>
          <w:jc w:val="center"/>
        </w:trPr>
        <w:tc>
          <w:tcPr>
            <w:tcW w:w="2630" w:type="dxa"/>
            <w:vAlign w:val="center"/>
          </w:tcPr>
          <w:p w:rsidR="00016D83" w:rsidRPr="0019555C" w:rsidRDefault="00016D83" w:rsidP="00A330D0">
            <w:pPr>
              <w:pStyle w:val="Tabletext"/>
              <w:keepNext/>
              <w:keepLines/>
              <w:jc w:val="center"/>
              <w:rPr>
                <w:lang w:val="en-GB" w:eastAsia="ja-JP"/>
              </w:rPr>
            </w:pPr>
            <w:r w:rsidRPr="0019555C">
              <w:rPr>
                <w:lang w:val="en-GB"/>
              </w:rPr>
              <w:t>EESS, SO</w:t>
            </w:r>
            <w:r w:rsidRPr="0019555C">
              <w:rPr>
                <w:lang w:val="en-GB" w:eastAsia="ja-JP"/>
              </w:rPr>
              <w:t>S</w:t>
            </w:r>
            <w:r w:rsidRPr="0019555C">
              <w:rPr>
                <w:lang w:val="en-GB"/>
              </w:rPr>
              <w:t>, SR</w:t>
            </w:r>
            <w:r w:rsidRPr="0019555C">
              <w:rPr>
                <w:lang w:val="en-GB" w:eastAsia="ja-JP"/>
              </w:rPr>
              <w:t>S</w:t>
            </w:r>
          </w:p>
        </w:tc>
        <w:tc>
          <w:tcPr>
            <w:tcW w:w="2835" w:type="dxa"/>
          </w:tcPr>
          <w:p w:rsidR="00016D83" w:rsidRPr="0019555C" w:rsidRDefault="00016D83" w:rsidP="00A330D0">
            <w:pPr>
              <w:pStyle w:val="Tabletext"/>
              <w:keepNext/>
              <w:keepLines/>
              <w:jc w:val="center"/>
              <w:rPr>
                <w:lang w:val="en-GB"/>
              </w:rPr>
            </w:pPr>
            <w:r w:rsidRPr="0019555C">
              <w:rPr>
                <w:lang w:val="en-GB"/>
              </w:rPr>
              <w:t>2 025-2 110/</w:t>
            </w:r>
            <w:r w:rsidR="00AA37F2">
              <w:rPr>
                <w:lang w:val="en-GB"/>
              </w:rPr>
              <w:br/>
            </w:r>
            <w:r w:rsidRPr="0019555C">
              <w:rPr>
                <w:lang w:val="en-GB"/>
              </w:rPr>
              <w:t>2 200-2 290 MHz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F.1247</w:t>
            </w:r>
          </w:p>
        </w:tc>
      </w:tr>
      <w:tr w:rsidR="00016D83" w:rsidRPr="0019555C" w:rsidTr="00A330D0">
        <w:trPr>
          <w:cantSplit/>
          <w:trHeight w:val="170"/>
          <w:jc w:val="center"/>
        </w:trPr>
        <w:tc>
          <w:tcPr>
            <w:tcW w:w="2630" w:type="dxa"/>
            <w:vAlign w:val="center"/>
          </w:tcPr>
          <w:p w:rsidR="00016D83" w:rsidRPr="0019555C" w:rsidRDefault="00016D83" w:rsidP="00A330D0">
            <w:pPr>
              <w:pStyle w:val="Tabletext"/>
              <w:keepNext/>
              <w:keepLines/>
              <w:jc w:val="center"/>
              <w:rPr>
                <w:lang w:val="en-GB" w:eastAsia="ja-JP"/>
              </w:rPr>
            </w:pPr>
            <w:r w:rsidRPr="0019555C">
              <w:rPr>
                <w:lang w:val="en-GB"/>
              </w:rPr>
              <w:t>EESS, SR</w:t>
            </w:r>
            <w:r w:rsidRPr="0019555C">
              <w:rPr>
                <w:lang w:val="en-GB" w:eastAsia="ja-JP"/>
              </w:rPr>
              <w:t>S</w:t>
            </w:r>
          </w:p>
        </w:tc>
        <w:tc>
          <w:tcPr>
            <w:tcW w:w="2835" w:type="dxa"/>
          </w:tcPr>
          <w:p w:rsidR="00016D83" w:rsidRPr="0019555C" w:rsidRDefault="00016D83" w:rsidP="00A330D0">
            <w:pPr>
              <w:pStyle w:val="Tabletext"/>
              <w:keepNext/>
              <w:keepLines/>
              <w:jc w:val="center"/>
              <w:rPr>
                <w:lang w:val="en-GB"/>
              </w:rPr>
            </w:pPr>
            <w:r w:rsidRPr="0019555C">
              <w:rPr>
                <w:lang w:val="en-GB"/>
              </w:rPr>
              <w:t>5 250-5 350 MHz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F.1613</w:t>
            </w:r>
          </w:p>
        </w:tc>
      </w:tr>
      <w:tr w:rsidR="00016D83" w:rsidRPr="0019555C" w:rsidTr="00A330D0">
        <w:trPr>
          <w:cantSplit/>
          <w:trHeight w:val="170"/>
          <w:jc w:val="center"/>
        </w:trPr>
        <w:tc>
          <w:tcPr>
            <w:tcW w:w="2630" w:type="dxa"/>
            <w:vMerge w:val="restart"/>
            <w:vAlign w:val="center"/>
          </w:tcPr>
          <w:p w:rsidR="00016D83" w:rsidRPr="0019555C" w:rsidRDefault="00016D83" w:rsidP="00A330D0">
            <w:pPr>
              <w:pStyle w:val="Tabletext"/>
              <w:keepNext/>
              <w:keepLines/>
              <w:jc w:val="center"/>
              <w:rPr>
                <w:lang w:val="en-GB"/>
              </w:rPr>
            </w:pPr>
            <w:r w:rsidRPr="0019555C">
              <w:rPr>
                <w:lang w:val="en-GB"/>
              </w:rPr>
              <w:t>FSS</w:t>
            </w:r>
          </w:p>
        </w:tc>
        <w:tc>
          <w:tcPr>
            <w:tcW w:w="2835" w:type="dxa"/>
          </w:tcPr>
          <w:p w:rsidR="00016D83" w:rsidRPr="0019555C" w:rsidRDefault="00016D83" w:rsidP="00A330D0">
            <w:pPr>
              <w:pStyle w:val="Tabletext"/>
              <w:keepNext/>
              <w:keepLines/>
              <w:jc w:val="center"/>
              <w:rPr>
                <w:lang w:val="en-GB"/>
              </w:rPr>
            </w:pPr>
            <w:r w:rsidRPr="0019555C">
              <w:rPr>
                <w:lang w:val="en-GB"/>
              </w:rPr>
              <w:t>3 400-3 700 MHz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SF.1486</w:t>
            </w:r>
          </w:p>
        </w:tc>
      </w:tr>
      <w:tr w:rsidR="00016D83" w:rsidRPr="0019555C" w:rsidTr="00A330D0">
        <w:trPr>
          <w:cantSplit/>
          <w:trHeight w:val="170"/>
          <w:jc w:val="center"/>
        </w:trPr>
        <w:tc>
          <w:tcPr>
            <w:tcW w:w="2630" w:type="dxa"/>
            <w:vMerge/>
            <w:vAlign w:val="center"/>
          </w:tcPr>
          <w:p w:rsidR="00016D83" w:rsidRPr="0019555C" w:rsidRDefault="00016D83" w:rsidP="00A330D0">
            <w:pPr>
              <w:pStyle w:val="Tabletext"/>
              <w:keepNext/>
              <w:keepLines/>
              <w:jc w:val="center"/>
              <w:rPr>
                <w:lang w:val="en-GB"/>
              </w:rPr>
            </w:pPr>
          </w:p>
        </w:tc>
        <w:tc>
          <w:tcPr>
            <w:tcW w:w="2835" w:type="dxa"/>
          </w:tcPr>
          <w:p w:rsidR="00016D83" w:rsidRPr="0019555C" w:rsidRDefault="00016D83" w:rsidP="00A330D0">
            <w:pPr>
              <w:pStyle w:val="Tabletext"/>
              <w:keepNext/>
              <w:keepLines/>
              <w:jc w:val="center"/>
              <w:rPr>
                <w:lang w:val="en-GB"/>
              </w:rPr>
            </w:pPr>
            <w:r w:rsidRPr="0019555C">
              <w:rPr>
                <w:lang w:val="en-GB"/>
              </w:rPr>
              <w:t>10.7-12.75 GHz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SF.1482</w:t>
            </w:r>
          </w:p>
        </w:tc>
      </w:tr>
      <w:tr w:rsidR="00016D83" w:rsidRPr="0019555C" w:rsidTr="00A330D0">
        <w:trPr>
          <w:cantSplit/>
          <w:trHeight w:val="170"/>
          <w:jc w:val="center"/>
        </w:trPr>
        <w:tc>
          <w:tcPr>
            <w:tcW w:w="2630" w:type="dxa"/>
            <w:vMerge/>
            <w:vAlign w:val="center"/>
          </w:tcPr>
          <w:p w:rsidR="00016D83" w:rsidRPr="0019555C" w:rsidRDefault="00016D83" w:rsidP="00A330D0">
            <w:pPr>
              <w:pStyle w:val="Tabletext"/>
              <w:keepNext/>
              <w:keepLines/>
              <w:jc w:val="center"/>
              <w:rPr>
                <w:lang w:val="en-GB"/>
              </w:rPr>
            </w:pPr>
          </w:p>
        </w:tc>
        <w:tc>
          <w:tcPr>
            <w:tcW w:w="2835" w:type="dxa"/>
          </w:tcPr>
          <w:p w:rsidR="00016D83" w:rsidRPr="0019555C" w:rsidRDefault="00016D83" w:rsidP="00A330D0">
            <w:pPr>
              <w:pStyle w:val="Tabletext"/>
              <w:keepNext/>
              <w:keepLines/>
              <w:jc w:val="center"/>
              <w:rPr>
                <w:lang w:val="en-GB"/>
              </w:rPr>
            </w:pPr>
            <w:r w:rsidRPr="0019555C">
              <w:rPr>
                <w:lang w:val="en-GB"/>
              </w:rPr>
              <w:t>17.7-19.3 GHz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SF.1483</w:t>
            </w:r>
          </w:p>
        </w:tc>
      </w:tr>
      <w:tr w:rsidR="00016D83" w:rsidRPr="0019555C" w:rsidTr="00A330D0">
        <w:trPr>
          <w:cantSplit/>
          <w:trHeight w:val="170"/>
          <w:jc w:val="center"/>
        </w:trPr>
        <w:tc>
          <w:tcPr>
            <w:tcW w:w="2630" w:type="dxa"/>
            <w:vMerge/>
            <w:vAlign w:val="center"/>
          </w:tcPr>
          <w:p w:rsidR="00016D83" w:rsidRPr="0019555C" w:rsidRDefault="00016D83" w:rsidP="00A330D0">
            <w:pPr>
              <w:pStyle w:val="Tabletext"/>
              <w:keepNext/>
              <w:keepLines/>
              <w:jc w:val="center"/>
              <w:rPr>
                <w:lang w:val="en-GB"/>
              </w:rPr>
            </w:pPr>
          </w:p>
        </w:tc>
        <w:tc>
          <w:tcPr>
            <w:tcW w:w="2835" w:type="dxa"/>
          </w:tcPr>
          <w:p w:rsidR="00016D83" w:rsidRPr="0019555C" w:rsidRDefault="00016D83" w:rsidP="00A330D0">
            <w:pPr>
              <w:pStyle w:val="Tabletext"/>
              <w:keepNext/>
              <w:keepLines/>
              <w:jc w:val="center"/>
              <w:rPr>
                <w:lang w:val="en-GB"/>
              </w:rPr>
            </w:pPr>
            <w:r w:rsidRPr="0019555C">
              <w:rPr>
                <w:lang w:val="en-GB"/>
              </w:rPr>
              <w:t>27.5-29.5 GHz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SF.1719</w:t>
            </w:r>
          </w:p>
        </w:tc>
      </w:tr>
      <w:tr w:rsidR="00016D83" w:rsidRPr="0019555C" w:rsidTr="00A330D0">
        <w:trPr>
          <w:cantSplit/>
          <w:trHeight w:val="170"/>
          <w:jc w:val="center"/>
        </w:trPr>
        <w:tc>
          <w:tcPr>
            <w:tcW w:w="2630" w:type="dxa"/>
            <w:vAlign w:val="center"/>
          </w:tcPr>
          <w:p w:rsidR="00016D83" w:rsidRPr="0019555C" w:rsidRDefault="00016D83" w:rsidP="00A330D0">
            <w:pPr>
              <w:pStyle w:val="Tabletext"/>
              <w:keepNext/>
              <w:keepLines/>
              <w:jc w:val="center"/>
              <w:rPr>
                <w:lang w:val="en-GB"/>
              </w:rPr>
            </w:pPr>
            <w:r w:rsidRPr="0019555C">
              <w:rPr>
                <w:lang w:val="en-GB"/>
              </w:rPr>
              <w:t>ISS</w:t>
            </w:r>
          </w:p>
        </w:tc>
        <w:tc>
          <w:tcPr>
            <w:tcW w:w="2835" w:type="dxa"/>
          </w:tcPr>
          <w:p w:rsidR="00016D83" w:rsidRPr="0019555C" w:rsidRDefault="00016D83" w:rsidP="00A330D0">
            <w:pPr>
              <w:pStyle w:val="Tabletext"/>
              <w:keepNext/>
              <w:keepLines/>
              <w:jc w:val="center"/>
              <w:rPr>
                <w:lang w:val="en-GB"/>
              </w:rPr>
            </w:pPr>
            <w:r w:rsidRPr="0019555C">
              <w:rPr>
                <w:lang w:val="en-GB"/>
              </w:rPr>
              <w:t>25.25-27.5 GHz</w:t>
            </w:r>
          </w:p>
        </w:tc>
        <w:tc>
          <w:tcPr>
            <w:tcW w:w="2629" w:type="dxa"/>
          </w:tcPr>
          <w:p w:rsidR="00016D83" w:rsidRPr="0019555C" w:rsidRDefault="00016D83" w:rsidP="00A330D0">
            <w:pPr>
              <w:pStyle w:val="Tabletext"/>
              <w:keepNext/>
              <w:keepLines/>
              <w:jc w:val="center"/>
              <w:rPr>
                <w:lang w:val="en-GB"/>
              </w:rPr>
            </w:pPr>
            <w:r w:rsidRPr="005840E3">
              <w:rPr>
                <w:lang w:val="fr-CH" w:eastAsia="ja-JP"/>
              </w:rPr>
              <w:t xml:space="preserve">Rec. </w:t>
            </w:r>
            <w:r w:rsidRPr="005840E3">
              <w:rPr>
                <w:lang w:val="fr-CH"/>
              </w:rPr>
              <w:t xml:space="preserve">ITU-R F.1249, </w:t>
            </w:r>
            <w:r w:rsidRPr="005840E3">
              <w:rPr>
                <w:lang w:val="fr-CH"/>
              </w:rPr>
              <w:br/>
            </w:r>
            <w:r w:rsidRPr="005840E3">
              <w:rPr>
                <w:lang w:val="fr-CH" w:eastAsia="ja-JP"/>
              </w:rPr>
              <w:t xml:space="preserve">Rec. </w:t>
            </w:r>
            <w:r w:rsidRPr="0019555C">
              <w:rPr>
                <w:lang w:val="en-GB"/>
              </w:rPr>
              <w:t>ITU-R F.1509</w:t>
            </w:r>
          </w:p>
        </w:tc>
      </w:tr>
      <w:tr w:rsidR="00016D83" w:rsidRPr="0019555C" w:rsidTr="00A330D0">
        <w:trPr>
          <w:cantSplit/>
          <w:trHeight w:val="170"/>
          <w:jc w:val="center"/>
        </w:trPr>
        <w:tc>
          <w:tcPr>
            <w:tcW w:w="2630" w:type="dxa"/>
            <w:vMerge w:val="restart"/>
            <w:vAlign w:val="center"/>
          </w:tcPr>
          <w:p w:rsidR="00016D83" w:rsidRPr="0019555C" w:rsidRDefault="00016D83" w:rsidP="00A330D0">
            <w:pPr>
              <w:pStyle w:val="Tabletext"/>
              <w:keepNext/>
              <w:keepLines/>
              <w:jc w:val="center"/>
              <w:rPr>
                <w:lang w:val="en-GB"/>
              </w:rPr>
            </w:pPr>
            <w:r w:rsidRPr="0019555C">
              <w:rPr>
                <w:lang w:val="en-GB"/>
              </w:rPr>
              <w:t>MS</w:t>
            </w:r>
          </w:p>
        </w:tc>
        <w:tc>
          <w:tcPr>
            <w:tcW w:w="2835" w:type="dxa"/>
          </w:tcPr>
          <w:p w:rsidR="00016D83" w:rsidRPr="0019555C" w:rsidRDefault="00016D83" w:rsidP="00A330D0">
            <w:pPr>
              <w:pStyle w:val="Tabletext"/>
              <w:keepNext/>
              <w:keepLines/>
              <w:jc w:val="center"/>
              <w:rPr>
                <w:lang w:val="en-GB"/>
              </w:rPr>
            </w:pPr>
            <w:r w:rsidRPr="0019555C">
              <w:rPr>
                <w:lang w:val="en-GB"/>
              </w:rPr>
              <w:t>800 MHz/1.9 GHz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F.1402</w:t>
            </w:r>
          </w:p>
        </w:tc>
      </w:tr>
      <w:tr w:rsidR="00016D83" w:rsidRPr="0019555C" w:rsidTr="00A330D0">
        <w:trPr>
          <w:cantSplit/>
          <w:trHeight w:val="227"/>
          <w:jc w:val="center"/>
        </w:trPr>
        <w:tc>
          <w:tcPr>
            <w:tcW w:w="2630" w:type="dxa"/>
            <w:vMerge/>
            <w:vAlign w:val="center"/>
          </w:tcPr>
          <w:p w:rsidR="00016D83" w:rsidRPr="0019555C" w:rsidRDefault="00016D83" w:rsidP="00A330D0">
            <w:pPr>
              <w:pStyle w:val="Tabletext"/>
              <w:keepNext/>
              <w:keepLines/>
              <w:jc w:val="center"/>
              <w:rPr>
                <w:lang w:val="en-GB"/>
              </w:rPr>
            </w:pPr>
          </w:p>
        </w:tc>
        <w:tc>
          <w:tcPr>
            <w:tcW w:w="2835" w:type="dxa"/>
          </w:tcPr>
          <w:p w:rsidR="00016D83" w:rsidRPr="0019555C" w:rsidRDefault="00016D83" w:rsidP="00A330D0">
            <w:pPr>
              <w:pStyle w:val="Tabletext"/>
              <w:keepNext/>
              <w:keepLines/>
              <w:jc w:val="center"/>
              <w:rPr>
                <w:lang w:val="en-GB"/>
              </w:rPr>
            </w:pPr>
            <w:r w:rsidRPr="0019555C">
              <w:rPr>
                <w:lang w:val="en-GB"/>
              </w:rPr>
              <w:t>1-3 GHz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F.1334</w:t>
            </w:r>
          </w:p>
        </w:tc>
      </w:tr>
      <w:tr w:rsidR="00016D83" w:rsidRPr="0019555C" w:rsidTr="00A330D0">
        <w:trPr>
          <w:cantSplit/>
          <w:trHeight w:val="227"/>
          <w:jc w:val="center"/>
        </w:trPr>
        <w:tc>
          <w:tcPr>
            <w:tcW w:w="2630" w:type="dxa"/>
            <w:vMerge/>
            <w:vAlign w:val="center"/>
          </w:tcPr>
          <w:p w:rsidR="00016D83" w:rsidRPr="0019555C" w:rsidRDefault="00016D83" w:rsidP="00A330D0">
            <w:pPr>
              <w:pStyle w:val="Tabletext"/>
              <w:keepNext/>
              <w:keepLines/>
              <w:jc w:val="center"/>
              <w:rPr>
                <w:lang w:val="en-GB"/>
              </w:rPr>
            </w:pPr>
          </w:p>
        </w:tc>
        <w:tc>
          <w:tcPr>
            <w:tcW w:w="2835" w:type="dxa"/>
          </w:tcPr>
          <w:p w:rsidR="00016D83" w:rsidRPr="0019555C" w:rsidRDefault="00016D83" w:rsidP="00A330D0">
            <w:pPr>
              <w:pStyle w:val="Tabletext"/>
              <w:keepNext/>
              <w:keepLines/>
              <w:jc w:val="center"/>
              <w:rPr>
                <w:lang w:val="en-GB"/>
              </w:rPr>
            </w:pPr>
            <w:r w:rsidRPr="0019555C">
              <w:rPr>
                <w:lang w:val="en-GB"/>
              </w:rPr>
              <w:t>4-6 GHz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F.1706</w:t>
            </w:r>
          </w:p>
        </w:tc>
      </w:tr>
      <w:tr w:rsidR="00016D83" w:rsidRPr="005840E3" w:rsidTr="00A330D0">
        <w:trPr>
          <w:cantSplit/>
          <w:trHeight w:val="20"/>
          <w:jc w:val="center"/>
        </w:trPr>
        <w:tc>
          <w:tcPr>
            <w:tcW w:w="2630" w:type="dxa"/>
            <w:vAlign w:val="center"/>
          </w:tcPr>
          <w:p w:rsidR="00016D83" w:rsidRPr="0019555C" w:rsidRDefault="00016D83" w:rsidP="00A330D0">
            <w:pPr>
              <w:pStyle w:val="Tabletext"/>
              <w:keepNext/>
              <w:keepLines/>
              <w:jc w:val="center"/>
              <w:rPr>
                <w:lang w:val="en-GB"/>
              </w:rPr>
            </w:pPr>
            <w:r w:rsidRPr="0019555C">
              <w:rPr>
                <w:lang w:val="en-GB"/>
              </w:rPr>
              <w:t>MSS</w:t>
            </w:r>
          </w:p>
        </w:tc>
        <w:tc>
          <w:tcPr>
            <w:tcW w:w="2835" w:type="dxa"/>
            <w:vAlign w:val="center"/>
          </w:tcPr>
          <w:p w:rsidR="00016D83" w:rsidRPr="0019555C" w:rsidRDefault="00016D83" w:rsidP="00A330D0">
            <w:pPr>
              <w:pStyle w:val="Tabletext"/>
              <w:keepNext/>
              <w:keepLines/>
              <w:jc w:val="center"/>
              <w:rPr>
                <w:lang w:val="en-GB"/>
              </w:rPr>
            </w:pPr>
            <w:r w:rsidRPr="0019555C">
              <w:rPr>
                <w:lang w:val="en-GB"/>
              </w:rPr>
              <w:t>1-3 GHz</w:t>
            </w:r>
          </w:p>
        </w:tc>
        <w:tc>
          <w:tcPr>
            <w:tcW w:w="2629" w:type="dxa"/>
          </w:tcPr>
          <w:p w:rsidR="00016D83" w:rsidRPr="005840E3" w:rsidRDefault="00016D83" w:rsidP="00A330D0">
            <w:pPr>
              <w:pStyle w:val="Tabletext"/>
              <w:keepNext/>
              <w:keepLines/>
              <w:jc w:val="center"/>
              <w:rPr>
                <w:lang w:val="fr-CH" w:eastAsia="ja-JP"/>
              </w:rPr>
            </w:pPr>
            <w:r w:rsidRPr="005840E3">
              <w:rPr>
                <w:lang w:val="fr-CH" w:eastAsia="ja-JP"/>
              </w:rPr>
              <w:t xml:space="preserve">Rec. </w:t>
            </w:r>
            <w:r w:rsidRPr="005840E3">
              <w:rPr>
                <w:lang w:val="fr-CH"/>
              </w:rPr>
              <w:t xml:space="preserve">ITU-R M.1141 </w:t>
            </w:r>
            <w:r w:rsidRPr="005840E3">
              <w:rPr>
                <w:lang w:val="fr-CH"/>
              </w:rPr>
              <w:br/>
            </w:r>
            <w:r w:rsidRPr="005840E3">
              <w:rPr>
                <w:lang w:val="fr-CH" w:eastAsia="ja-JP"/>
              </w:rPr>
              <w:t xml:space="preserve">Rec. </w:t>
            </w:r>
            <w:r w:rsidRPr="005840E3">
              <w:rPr>
                <w:lang w:val="fr-CH"/>
              </w:rPr>
              <w:t>ITU-R M.1142</w:t>
            </w:r>
            <w:r w:rsidRPr="005840E3">
              <w:rPr>
                <w:rStyle w:val="Hyperlink"/>
                <w:lang w:val="fr-CH"/>
              </w:rPr>
              <w:br/>
            </w:r>
            <w:r w:rsidRPr="005840E3">
              <w:rPr>
                <w:lang w:val="fr-CH" w:eastAsia="ja-JP"/>
              </w:rPr>
              <w:t xml:space="preserve">Rec. </w:t>
            </w:r>
            <w:r w:rsidRPr="005840E3">
              <w:rPr>
                <w:lang w:val="fr-CH"/>
              </w:rPr>
              <w:t>ITU-R M.1143</w:t>
            </w:r>
          </w:p>
        </w:tc>
      </w:tr>
      <w:tr w:rsidR="00016D83" w:rsidRPr="0019555C" w:rsidTr="00A330D0">
        <w:trPr>
          <w:cantSplit/>
          <w:trHeight w:val="20"/>
          <w:jc w:val="center"/>
        </w:trPr>
        <w:tc>
          <w:tcPr>
            <w:tcW w:w="2630" w:type="dxa"/>
            <w:vMerge w:val="restart"/>
            <w:vAlign w:val="center"/>
          </w:tcPr>
          <w:p w:rsidR="00016D83" w:rsidRPr="0019555C" w:rsidRDefault="00016D83" w:rsidP="00A330D0">
            <w:pPr>
              <w:pStyle w:val="Tabletext"/>
              <w:keepNext/>
              <w:keepLines/>
              <w:jc w:val="center"/>
              <w:rPr>
                <w:lang w:val="en-GB" w:eastAsia="ja-JP"/>
              </w:rPr>
            </w:pPr>
            <w:r w:rsidRPr="0019555C">
              <w:rPr>
                <w:lang w:val="en-GB"/>
              </w:rPr>
              <w:t>RL</w:t>
            </w:r>
            <w:r w:rsidRPr="0019555C">
              <w:rPr>
                <w:lang w:val="en-GB" w:eastAsia="ja-JP"/>
              </w:rPr>
              <w:t>S</w:t>
            </w:r>
          </w:p>
        </w:tc>
        <w:tc>
          <w:tcPr>
            <w:tcW w:w="2835" w:type="dxa"/>
          </w:tcPr>
          <w:p w:rsidR="00016D83" w:rsidRPr="0019555C" w:rsidRDefault="00016D83" w:rsidP="00A330D0">
            <w:pPr>
              <w:pStyle w:val="Tabletext"/>
              <w:keepNext/>
              <w:keepLines/>
              <w:jc w:val="center"/>
              <w:rPr>
                <w:lang w:val="en-GB"/>
              </w:rPr>
            </w:pPr>
            <w:r w:rsidRPr="0019555C">
              <w:rPr>
                <w:lang w:val="en-GB"/>
              </w:rPr>
              <w:t>3.4-3.7 GHz</w:t>
            </w:r>
          </w:p>
        </w:tc>
        <w:tc>
          <w:tcPr>
            <w:tcW w:w="2629" w:type="dxa"/>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F.1489</w:t>
            </w:r>
          </w:p>
        </w:tc>
      </w:tr>
      <w:tr w:rsidR="00016D83" w:rsidRPr="0019555C" w:rsidTr="00A330D0">
        <w:trPr>
          <w:cantSplit/>
          <w:trHeight w:val="20"/>
          <w:jc w:val="center"/>
        </w:trPr>
        <w:tc>
          <w:tcPr>
            <w:tcW w:w="2630" w:type="dxa"/>
            <w:vMerge/>
            <w:tcBorders>
              <w:bottom w:val="single" w:sz="4" w:space="0" w:color="auto"/>
            </w:tcBorders>
          </w:tcPr>
          <w:p w:rsidR="00016D83" w:rsidRPr="0019555C" w:rsidRDefault="00016D83" w:rsidP="00A330D0">
            <w:pPr>
              <w:pStyle w:val="Tabletext"/>
              <w:keepNext/>
              <w:keepLines/>
              <w:jc w:val="center"/>
              <w:rPr>
                <w:lang w:val="en-GB"/>
              </w:rPr>
            </w:pPr>
          </w:p>
        </w:tc>
        <w:tc>
          <w:tcPr>
            <w:tcW w:w="2835" w:type="dxa"/>
            <w:tcBorders>
              <w:bottom w:val="single" w:sz="4" w:space="0" w:color="auto"/>
            </w:tcBorders>
          </w:tcPr>
          <w:p w:rsidR="00016D83" w:rsidRPr="0019555C" w:rsidRDefault="00016D83" w:rsidP="00A330D0">
            <w:pPr>
              <w:pStyle w:val="Tabletext"/>
              <w:keepNext/>
              <w:keepLines/>
              <w:jc w:val="center"/>
              <w:rPr>
                <w:lang w:val="en-GB"/>
              </w:rPr>
            </w:pPr>
            <w:r w:rsidRPr="0019555C">
              <w:rPr>
                <w:lang w:val="en-GB"/>
              </w:rPr>
              <w:t>4-6 GHz</w:t>
            </w:r>
          </w:p>
        </w:tc>
        <w:tc>
          <w:tcPr>
            <w:tcW w:w="2629" w:type="dxa"/>
            <w:tcBorders>
              <w:bottom w:val="single" w:sz="4" w:space="0" w:color="auto"/>
            </w:tcBorders>
          </w:tcPr>
          <w:p w:rsidR="00016D83" w:rsidRPr="0019555C" w:rsidRDefault="00016D83" w:rsidP="00A330D0">
            <w:pPr>
              <w:pStyle w:val="Tabletext"/>
              <w:keepNext/>
              <w:keepLines/>
              <w:jc w:val="center"/>
              <w:rPr>
                <w:lang w:val="en-GB"/>
              </w:rPr>
            </w:pPr>
            <w:r w:rsidRPr="0019555C">
              <w:rPr>
                <w:lang w:val="en-GB" w:eastAsia="ja-JP"/>
              </w:rPr>
              <w:t xml:space="preserve">Rec. </w:t>
            </w:r>
            <w:r w:rsidRPr="0019555C">
              <w:rPr>
                <w:lang w:val="en-GB"/>
              </w:rPr>
              <w:t>ITU-R F.1097</w:t>
            </w:r>
          </w:p>
        </w:tc>
      </w:tr>
      <w:tr w:rsidR="00016D83" w:rsidRPr="00A21BE8" w:rsidTr="00A330D0">
        <w:trPr>
          <w:cantSplit/>
          <w:trHeight w:val="20"/>
          <w:jc w:val="center"/>
        </w:trPr>
        <w:tc>
          <w:tcPr>
            <w:tcW w:w="8094" w:type="dxa"/>
            <w:gridSpan w:val="3"/>
            <w:tcBorders>
              <w:left w:val="nil"/>
              <w:bottom w:val="nil"/>
              <w:right w:val="nil"/>
            </w:tcBorders>
          </w:tcPr>
          <w:p w:rsidR="00016D83" w:rsidRPr="0019555C" w:rsidRDefault="00016D83" w:rsidP="00AA37F2">
            <w:pPr>
              <w:pStyle w:val="Tablelegend"/>
              <w:rPr>
                <w:lang w:val="en-GB"/>
              </w:rPr>
            </w:pPr>
            <w:r w:rsidRPr="0019555C">
              <w:rPr>
                <w:vertAlign w:val="superscript"/>
                <w:lang w:val="en-GB" w:eastAsia="ja-JP"/>
              </w:rPr>
              <w:t>(1)</w:t>
            </w:r>
            <w:r w:rsidRPr="0019555C">
              <w:rPr>
                <w:vertAlign w:val="superscript"/>
                <w:lang w:val="en-GB" w:eastAsia="ja-JP"/>
              </w:rPr>
              <w:tab/>
            </w:r>
            <w:r w:rsidRPr="0019555C">
              <w:rPr>
                <w:lang w:val="en-GB" w:eastAsia="ja-JP"/>
              </w:rPr>
              <w:t>Use of frequency bands may be different in different Regions.</w:t>
            </w:r>
          </w:p>
        </w:tc>
      </w:tr>
    </w:tbl>
    <w:p w:rsidR="00CC506F" w:rsidRDefault="00CC506F" w:rsidP="00CC506F">
      <w:pPr>
        <w:pStyle w:val="Tablefin"/>
        <w:rPr>
          <w:lang w:eastAsia="ja-JP"/>
        </w:rPr>
      </w:pPr>
      <w:bookmarkStart w:id="190" w:name="_Toc354769815"/>
      <w:bookmarkStart w:id="191" w:name="_Toc353866417"/>
      <w:bookmarkStart w:id="192" w:name="_Toc387091578"/>
      <w:bookmarkStart w:id="193" w:name="_Toc388871236"/>
      <w:bookmarkStart w:id="194" w:name="_Toc403043912"/>
      <w:bookmarkStart w:id="195" w:name="_Toc403044016"/>
    </w:p>
    <w:p w:rsidR="00016D83" w:rsidRPr="0019555C" w:rsidRDefault="00016D83" w:rsidP="00016D83">
      <w:pPr>
        <w:pStyle w:val="Heading2"/>
        <w:spacing w:before="360"/>
        <w:ind w:left="1137" w:hangingChars="472" w:hanging="1137"/>
        <w:rPr>
          <w:lang w:val="en-GB"/>
        </w:rPr>
      </w:pPr>
      <w:bookmarkStart w:id="196" w:name="_Toc414014604"/>
      <w:bookmarkStart w:id="197" w:name="_Toc414014777"/>
      <w:r w:rsidRPr="0019555C">
        <w:rPr>
          <w:lang w:val="en-GB" w:eastAsia="ja-JP"/>
        </w:rPr>
        <w:t>3.5</w:t>
      </w:r>
      <w:r w:rsidRPr="0019555C">
        <w:rPr>
          <w:lang w:val="en-GB"/>
        </w:rPr>
        <w:tab/>
        <w:t>FWS regulatory regimes</w:t>
      </w:r>
      <w:bookmarkEnd w:id="190"/>
      <w:bookmarkEnd w:id="191"/>
      <w:bookmarkEnd w:id="192"/>
      <w:bookmarkEnd w:id="193"/>
      <w:bookmarkEnd w:id="194"/>
      <w:bookmarkEnd w:id="195"/>
      <w:bookmarkEnd w:id="196"/>
      <w:bookmarkEnd w:id="197"/>
    </w:p>
    <w:p w:rsidR="00016D83" w:rsidRPr="0019555C" w:rsidRDefault="00016D83" w:rsidP="00016D83">
      <w:pPr>
        <w:pStyle w:val="Heading3"/>
        <w:rPr>
          <w:lang w:val="en-GB"/>
        </w:rPr>
      </w:pPr>
      <w:bookmarkStart w:id="198" w:name="_Toc353866418"/>
      <w:bookmarkStart w:id="199" w:name="_Toc354769816"/>
      <w:bookmarkStart w:id="200" w:name="_Toc387091579"/>
      <w:bookmarkStart w:id="201" w:name="_Toc388871237"/>
      <w:bookmarkStart w:id="202" w:name="_Toc403043913"/>
      <w:bookmarkStart w:id="203" w:name="_Toc403044017"/>
      <w:bookmarkStart w:id="204" w:name="_Toc414014605"/>
      <w:bookmarkStart w:id="205" w:name="_Toc414014778"/>
      <w:r w:rsidRPr="0019555C">
        <w:rPr>
          <w:lang w:val="en-GB"/>
        </w:rPr>
        <w:t>3.5.1</w:t>
      </w:r>
      <w:r w:rsidRPr="0019555C">
        <w:rPr>
          <w:lang w:val="en-GB"/>
        </w:rPr>
        <w:tab/>
        <w:t>Licensed FWS</w:t>
      </w:r>
      <w:bookmarkEnd w:id="198"/>
      <w:bookmarkEnd w:id="199"/>
      <w:bookmarkEnd w:id="200"/>
      <w:bookmarkEnd w:id="201"/>
      <w:bookmarkEnd w:id="202"/>
      <w:bookmarkEnd w:id="203"/>
      <w:bookmarkEnd w:id="204"/>
      <w:bookmarkEnd w:id="205"/>
    </w:p>
    <w:p w:rsidR="00016D83" w:rsidRPr="0019555C" w:rsidRDefault="00016D83" w:rsidP="00016D83">
      <w:pPr>
        <w:rPr>
          <w:lang w:val="en-GB" w:eastAsia="ja-JP"/>
        </w:rPr>
      </w:pPr>
      <w:r w:rsidRPr="0019555C">
        <w:rPr>
          <w:lang w:val="en-GB" w:eastAsia="ja-JP"/>
        </w:rPr>
        <w:t>In most cases, FWS are licensed. There are 3 licensing regimes commonly used:</w:t>
      </w:r>
    </w:p>
    <w:p w:rsidR="00016D83" w:rsidRPr="0019555C" w:rsidRDefault="00016D83" w:rsidP="00016D83">
      <w:pPr>
        <w:pStyle w:val="enumlev1"/>
        <w:rPr>
          <w:lang w:val="en-GB" w:eastAsia="ja-JP"/>
        </w:rPr>
      </w:pPr>
      <w:r w:rsidRPr="0019555C">
        <w:rPr>
          <w:rFonts w:eastAsia="MS Mincho"/>
          <w:lang w:val="en-GB" w:eastAsia="ja-JP"/>
        </w:rPr>
        <w:t>1)</w:t>
      </w:r>
      <w:r w:rsidRPr="0019555C">
        <w:rPr>
          <w:rFonts w:eastAsia="MS Mincho"/>
          <w:lang w:val="en-GB" w:eastAsia="ja-JP"/>
        </w:rPr>
        <w:tab/>
        <w:t xml:space="preserve">Link by link licensing </w:t>
      </w:r>
      <w:r w:rsidRPr="0019555C">
        <w:rPr>
          <w:lang w:val="en-GB" w:eastAsia="ja-JP"/>
        </w:rPr>
        <w:t xml:space="preserve">gives licensee the right to access specific pair of frequencies for proposed </w:t>
      </w:r>
      <w:r w:rsidRPr="0019555C">
        <w:rPr>
          <w:rFonts w:eastAsia="MS Mincho"/>
          <w:lang w:val="en-GB" w:eastAsia="ja-JP"/>
        </w:rPr>
        <w:t>microwave</w:t>
      </w:r>
      <w:r w:rsidRPr="0019555C">
        <w:rPr>
          <w:lang w:val="en-GB" w:eastAsia="ja-JP"/>
        </w:rPr>
        <w:t xml:space="preserve"> link.</w:t>
      </w:r>
      <w:r w:rsidRPr="0019555C">
        <w:rPr>
          <w:rFonts w:eastAsia="MS Mincho"/>
          <w:lang w:val="en-GB" w:eastAsia="ja-JP"/>
        </w:rPr>
        <w:t xml:space="preserve"> </w:t>
      </w:r>
      <w:r w:rsidRPr="0019555C">
        <w:rPr>
          <w:lang w:val="en-GB" w:eastAsia="ja-JP"/>
        </w:rPr>
        <w:t xml:space="preserve">The frequency assignment, interference analysis and spectrum fee calculation are performed in link by link basis. It’s also reported that numbers of Administrations are following this regime in FWS bands under 30 GHz. </w:t>
      </w:r>
    </w:p>
    <w:p w:rsidR="00016D83" w:rsidRPr="0019555C" w:rsidRDefault="00016D83" w:rsidP="00016D83">
      <w:pPr>
        <w:pStyle w:val="enumlev1"/>
        <w:rPr>
          <w:lang w:val="en-GB" w:eastAsia="ja-JP"/>
        </w:rPr>
      </w:pPr>
      <w:r w:rsidRPr="0019555C">
        <w:rPr>
          <w:lang w:val="en-GB" w:eastAsia="ja-JP"/>
        </w:rPr>
        <w:t>2)</w:t>
      </w:r>
      <w:r w:rsidRPr="0019555C">
        <w:rPr>
          <w:lang w:val="en-GB" w:eastAsia="ja-JP"/>
        </w:rPr>
        <w:tab/>
        <w:t>Another link-by-link licensing approach is a spectrum assignment, which is a grant of a predefined block of channels in a channel arrangement for nationwide or more limited geographic area</w:t>
      </w:r>
      <w:r w:rsidRPr="0019555C">
        <w:rPr>
          <w:rFonts w:eastAsia="MS Mincho"/>
          <w:lang w:val="en-GB" w:eastAsia="ja-JP"/>
        </w:rPr>
        <w:t>, to a major network operator, disregarding how many links will be installed. Other major operators are granted similar contiguous block of channels. They are responsible for planning and interference analysis of their own network as well as for coordination among them.</w:t>
      </w:r>
    </w:p>
    <w:p w:rsidR="00016D83" w:rsidRPr="0019555C" w:rsidRDefault="00016D83" w:rsidP="00016D83">
      <w:pPr>
        <w:pStyle w:val="enumlev1"/>
        <w:rPr>
          <w:lang w:val="en-GB" w:eastAsia="ja-JP"/>
        </w:rPr>
      </w:pPr>
      <w:r w:rsidRPr="0019555C">
        <w:rPr>
          <w:lang w:val="en-GB" w:eastAsia="ja-JP"/>
        </w:rPr>
        <w:tab/>
        <w:t>Periodically they report the link data to the administration that records them on national data base and may calculate the related fees.</w:t>
      </w:r>
    </w:p>
    <w:p w:rsidR="00016D83" w:rsidRPr="0019555C" w:rsidRDefault="00016D83" w:rsidP="00016D83">
      <w:pPr>
        <w:pStyle w:val="enumlev1"/>
        <w:rPr>
          <w:lang w:val="en-GB" w:eastAsia="ja-JP"/>
        </w:rPr>
      </w:pPr>
      <w:r w:rsidRPr="0019555C">
        <w:rPr>
          <w:lang w:val="en-GB" w:eastAsia="ja-JP"/>
        </w:rPr>
        <w:lastRenderedPageBreak/>
        <w:tab/>
        <w:t>The administration retains the ownership of those channels and, in principle, may still locally license other links to other smaller users.</w:t>
      </w:r>
    </w:p>
    <w:p w:rsidR="00016D83" w:rsidRPr="0019555C" w:rsidRDefault="00016D83" w:rsidP="00016D83">
      <w:pPr>
        <w:pStyle w:val="enumlev1"/>
        <w:rPr>
          <w:lang w:val="en-GB" w:eastAsia="ja-JP"/>
        </w:rPr>
      </w:pPr>
      <w:r w:rsidRPr="0019555C">
        <w:rPr>
          <w:lang w:val="en-GB" w:eastAsia="ja-JP"/>
        </w:rPr>
        <w:t>3)</w:t>
      </w:r>
      <w:r w:rsidRPr="0019555C">
        <w:rPr>
          <w:lang w:val="en-GB" w:eastAsia="ja-JP"/>
        </w:rPr>
        <w:tab/>
        <w:t>Some administration grants wide-area/block assignment license in FWS bands including e.g. 24 GHz, 26 GHz, 28 GHz, 31 GHz and 37-40 GHz; such licensing method, implies that, within that geographic area or block of frequency, the exclusive licensee is responsible of its own planning (of whichever number of links without any imposed channel arrangement), while respecting the “border” (geographic or of the frequency block) conditions studied and imposed by the administration granting the license. One user has usually paid for a particular piece of the spectrum, and has use of that slice of the spectrum and is therefore expected to be not under threat of harmful interference from other entities</w:t>
      </w:r>
      <w:r w:rsidRPr="0019555C">
        <w:rPr>
          <w:lang w:val="en-GB"/>
        </w:rPr>
        <w:t xml:space="preserve"> in </w:t>
      </w:r>
      <w:r w:rsidRPr="0019555C">
        <w:rPr>
          <w:lang w:val="en-GB" w:eastAsia="ja-JP"/>
        </w:rPr>
        <w:t>the same geographic area, except (</w:t>
      </w:r>
      <w:r w:rsidRPr="0019555C">
        <w:rPr>
          <w:rFonts w:eastAsia="MS Mincho"/>
          <w:lang w:val="en-GB" w:eastAsia="ja-JP"/>
        </w:rPr>
        <w:t>a</w:t>
      </w:r>
      <w:r w:rsidRPr="0019555C">
        <w:rPr>
          <w:lang w:val="en-GB" w:eastAsia="ja-JP"/>
        </w:rPr>
        <w:t>) where the borders of wide</w:t>
      </w:r>
      <w:r w:rsidRPr="0019555C">
        <w:rPr>
          <w:lang w:val="en-GB" w:eastAsia="ja-JP"/>
        </w:rPr>
        <w:noBreakHyphen/>
        <w:t>area licenses cross the same geographic area or (</w:t>
      </w:r>
      <w:r w:rsidRPr="0019555C">
        <w:rPr>
          <w:rFonts w:eastAsia="MS Mincho"/>
          <w:lang w:val="en-GB" w:eastAsia="ja-JP"/>
        </w:rPr>
        <w:t>b</w:t>
      </w:r>
      <w:r w:rsidRPr="0019555C">
        <w:rPr>
          <w:lang w:val="en-GB" w:eastAsia="ja-JP"/>
        </w:rPr>
        <w:t>) if the operator of a system on an adjacent channel configures that system in a manner to cause harmful interference. Either potential interference case can be addressed through coordination rules.</w:t>
      </w:r>
    </w:p>
    <w:p w:rsidR="00016D83" w:rsidRPr="0019555C" w:rsidRDefault="00016D83" w:rsidP="00016D83">
      <w:pPr>
        <w:rPr>
          <w:lang w:val="en-GB" w:eastAsia="ja-JP"/>
        </w:rPr>
      </w:pPr>
      <w:r w:rsidRPr="0019555C">
        <w:rPr>
          <w:lang w:val="en-GB" w:eastAsia="ja-JP"/>
        </w:rPr>
        <w:t>In principle, licensing of new FWS has to comply with certain conditions so as not to cause harmful interference with existing FWS and other systems.</w:t>
      </w:r>
      <w:r w:rsidRPr="0019555C" w:rsidDel="00904401">
        <w:rPr>
          <w:lang w:val="en-GB"/>
        </w:rPr>
        <w:t xml:space="preserve"> </w:t>
      </w:r>
    </w:p>
    <w:p w:rsidR="00016D83" w:rsidRPr="0019555C" w:rsidRDefault="00016D83" w:rsidP="00016D83">
      <w:pPr>
        <w:pStyle w:val="Heading3"/>
        <w:rPr>
          <w:lang w:val="en-GB"/>
        </w:rPr>
      </w:pPr>
      <w:bookmarkStart w:id="206" w:name="_Toc353866419"/>
      <w:bookmarkStart w:id="207" w:name="_Toc354769817"/>
      <w:bookmarkStart w:id="208" w:name="_Toc387091580"/>
      <w:bookmarkStart w:id="209" w:name="_Toc388871238"/>
      <w:bookmarkStart w:id="210" w:name="_Toc403043914"/>
      <w:bookmarkStart w:id="211" w:name="_Toc403044018"/>
      <w:bookmarkStart w:id="212" w:name="_Toc414014606"/>
      <w:bookmarkStart w:id="213" w:name="_Toc414014779"/>
      <w:r w:rsidRPr="0019555C">
        <w:rPr>
          <w:lang w:val="en-GB"/>
        </w:rPr>
        <w:t>3.5.2</w:t>
      </w:r>
      <w:r w:rsidRPr="0019555C">
        <w:rPr>
          <w:lang w:val="en-GB"/>
        </w:rPr>
        <w:tab/>
        <w:t>License-exempt FWS</w:t>
      </w:r>
      <w:bookmarkEnd w:id="206"/>
      <w:bookmarkEnd w:id="207"/>
      <w:bookmarkEnd w:id="208"/>
      <w:bookmarkEnd w:id="209"/>
      <w:bookmarkEnd w:id="210"/>
      <w:bookmarkEnd w:id="211"/>
      <w:bookmarkEnd w:id="212"/>
      <w:bookmarkEnd w:id="213"/>
    </w:p>
    <w:p w:rsidR="00016D83" w:rsidRPr="0019555C" w:rsidRDefault="00016D83" w:rsidP="00016D83">
      <w:pPr>
        <w:rPr>
          <w:lang w:val="en-GB" w:eastAsia="ja-JP"/>
        </w:rPr>
      </w:pPr>
      <w:r w:rsidRPr="0019555C">
        <w:rPr>
          <w:lang w:val="en-GB" w:eastAsia="ja-JP"/>
        </w:rPr>
        <w:t>License-exempt spectrums mean spectrum bands that have rules pre-defined for hardware and sometimes also deployment methods of radios. In this manner, interference is mitigated by the technical rules defined for the bands rather than restrictions on use of the band through a licensing procedure. Some of the most commonly used license-exempt bands are 2.4 GHz, 5 GHz, and 60 GHz. The 2.4-GHz and 5-GHz bands are used for RLANs. Building RLAN bridge is an application of FWS</w:t>
      </w:r>
      <w:r w:rsidRPr="0019555C">
        <w:rPr>
          <w:lang w:val="en-GB"/>
        </w:rPr>
        <w:t>, a</w:t>
      </w:r>
      <w:r w:rsidRPr="0019555C">
        <w:rPr>
          <w:lang w:val="en-GB" w:eastAsia="ja-JP"/>
        </w:rPr>
        <w:t>nd the use of high-gain antenna enables building RLAN bridges spanning distances of over 10 km. Spectrum in the high-50 GHz and low-60 GHz ranges has been assigned on an license-exempt basis in many administrations. The path loss at 60 GHz is much larger than the losses at other frequencies because of oxygen absorption. This makes the band attractive for short-range communications as it further attenuates interference, such as co-channel interference in wireless cell-based systems, which combined with low transmit powers in the 60 GHz band can increase the den</w:t>
      </w:r>
      <w:r w:rsidR="001C62B4" w:rsidRPr="0019555C">
        <w:rPr>
          <w:lang w:val="en-GB" w:eastAsia="ja-JP"/>
        </w:rPr>
        <w:t xml:space="preserve">sity of frequency-reuse cells. </w:t>
      </w:r>
      <w:r w:rsidRPr="0019555C">
        <w:rPr>
          <w:lang w:val="en-GB" w:eastAsia="ja-JP"/>
        </w:rPr>
        <w:t>In the United States of America, Canada, and Korea, 60 GHz radios operate over 7 GHz of spectrum extending from 57 GHz to 64 GHz.</w:t>
      </w:r>
      <w:r w:rsidRPr="0019555C">
        <w:rPr>
          <w:szCs w:val="24"/>
          <w:lang w:val="en-GB" w:eastAsia="ja-JP"/>
        </w:rPr>
        <w:t xml:space="preserve"> In the United States, </w:t>
      </w:r>
      <w:r w:rsidRPr="0019555C">
        <w:rPr>
          <w:szCs w:val="24"/>
          <w:lang w:val="en-GB"/>
        </w:rPr>
        <w:t>higher emission limits (up to 85 dBm peak e.i.r.p.) for 60 GHz devices that operate outdoors with very high gain antennas are allowed to encourage broader deployment of point-to-point broadband systems</w:t>
      </w:r>
      <w:r w:rsidRPr="0019555C">
        <w:rPr>
          <w:position w:val="6"/>
          <w:sz w:val="18"/>
          <w:lang w:val="en-GB"/>
        </w:rPr>
        <w:footnoteReference w:id="8"/>
      </w:r>
      <w:r w:rsidRPr="0019555C">
        <w:rPr>
          <w:lang w:val="en-GB"/>
        </w:rPr>
        <w:t>.</w:t>
      </w:r>
      <w:r w:rsidRPr="0019555C">
        <w:rPr>
          <w:lang w:val="en-GB" w:eastAsia="ja-JP"/>
        </w:rPr>
        <w:t xml:space="preserve"> In Japan, the spectrum from 57 GHz to 66 GHz is generally assigned for license-exempt usage. China assigns 57 GHz to 62 GHz for license-exempt use. In Europe, the band 57 GHz to 64 GHz has been assigned for license-exempt usage.</w:t>
      </w:r>
    </w:p>
    <w:p w:rsidR="00016D83" w:rsidRPr="0019555C" w:rsidRDefault="00016D83" w:rsidP="00016D83">
      <w:pPr>
        <w:rPr>
          <w:lang w:val="en-GB" w:eastAsia="ja-JP"/>
        </w:rPr>
      </w:pPr>
      <w:r w:rsidRPr="0019555C">
        <w:rPr>
          <w:lang w:val="en-GB" w:eastAsia="ja-JP"/>
        </w:rPr>
        <w:t>Deployment can be rapidly carried ou</w:t>
      </w:r>
      <w:r w:rsidR="001C62B4" w:rsidRPr="0019555C">
        <w:rPr>
          <w:lang w:val="en-GB" w:eastAsia="ja-JP"/>
        </w:rPr>
        <w:t xml:space="preserve">t by using license exempt FWS. </w:t>
      </w:r>
      <w:r w:rsidRPr="0019555C">
        <w:rPr>
          <w:lang w:val="en-GB" w:eastAsia="ja-JP"/>
        </w:rPr>
        <w:t>Due to its status, license</w:t>
      </w:r>
      <w:r w:rsidRPr="0019555C">
        <w:rPr>
          <w:lang w:val="en-GB" w:eastAsia="ja-JP"/>
        </w:rPr>
        <w:noBreakHyphen/>
        <w:t xml:space="preserve">exempt FWS have possibility of suffering harmful interference from other links. Advancements in adaptive antenna array technology [MONZINGO, R., and MILLER, T., 1980] and beamforming techniques as applied to millimetre wave bands, however, could help in reducing harmful interference, especially in multipath environments [WANG, K., </w:t>
      </w:r>
      <w:r w:rsidRPr="0019555C">
        <w:rPr>
          <w:i/>
          <w:iCs/>
          <w:lang w:val="en-GB" w:eastAsia="ja-JP"/>
        </w:rPr>
        <w:t>et al.</w:t>
      </w:r>
      <w:r w:rsidRPr="0019555C">
        <w:rPr>
          <w:lang w:val="en-GB" w:eastAsia="ja-JP"/>
        </w:rPr>
        <w:t>, 2013].</w:t>
      </w:r>
    </w:p>
    <w:p w:rsidR="00016D83" w:rsidRPr="0019555C" w:rsidRDefault="00016D83" w:rsidP="00016D83">
      <w:pPr>
        <w:pStyle w:val="Heading3"/>
        <w:rPr>
          <w:lang w:val="en-GB"/>
        </w:rPr>
      </w:pPr>
      <w:bookmarkStart w:id="214" w:name="_Toc353866420"/>
      <w:bookmarkStart w:id="215" w:name="_Toc354769818"/>
      <w:bookmarkStart w:id="216" w:name="_Toc387091581"/>
      <w:bookmarkStart w:id="217" w:name="_Toc388871239"/>
      <w:bookmarkStart w:id="218" w:name="_Toc403043915"/>
      <w:bookmarkStart w:id="219" w:name="_Toc403044019"/>
      <w:bookmarkStart w:id="220" w:name="_Toc414014607"/>
      <w:bookmarkStart w:id="221" w:name="_Toc414014780"/>
      <w:r w:rsidRPr="0019555C">
        <w:rPr>
          <w:lang w:val="en-GB"/>
        </w:rPr>
        <w:t>3.5.3</w:t>
      </w:r>
      <w:r w:rsidRPr="0019555C">
        <w:rPr>
          <w:lang w:val="en-GB"/>
        </w:rPr>
        <w:tab/>
        <w:t>Light-licensed FWS</w:t>
      </w:r>
      <w:bookmarkEnd w:id="214"/>
      <w:bookmarkEnd w:id="215"/>
      <w:bookmarkEnd w:id="216"/>
      <w:bookmarkEnd w:id="217"/>
      <w:bookmarkEnd w:id="218"/>
      <w:bookmarkEnd w:id="219"/>
      <w:bookmarkEnd w:id="220"/>
      <w:bookmarkEnd w:id="221"/>
    </w:p>
    <w:p w:rsidR="00016D83" w:rsidRPr="0019555C" w:rsidRDefault="00016D83" w:rsidP="00016D83">
      <w:pPr>
        <w:rPr>
          <w:lang w:val="en-GB" w:eastAsia="ja-JP"/>
        </w:rPr>
      </w:pPr>
      <w:r w:rsidRPr="0019555C">
        <w:rPr>
          <w:lang w:val="en-GB" w:eastAsia="ja-JP"/>
        </w:rPr>
        <w:t>In 2003, the U.S. adopted a flexible and innovative regulatory framework for the 71-76 GHz, 81</w:t>
      </w:r>
      <w:r w:rsidRPr="0019555C">
        <w:rPr>
          <w:lang w:val="en-GB" w:eastAsia="ja-JP"/>
        </w:rPr>
        <w:noBreakHyphen/>
        <w:t xml:space="preserve">86 GHz and 92-95 GHz bands that would not require traditional frequency coordination among domestic non-federal government users. Rights with regard to specific links can be established </w:t>
      </w:r>
      <w:r w:rsidRPr="0019555C">
        <w:rPr>
          <w:lang w:val="en-GB" w:eastAsia="ja-JP"/>
        </w:rPr>
        <w:lastRenderedPageBreak/>
        <w:t>based upon the date and time of link registration. A license for the 70 GHz, 80 GHz and 90 GHz bands can be obtained on a non-exclusive nationwide basis. This is combined with site-based link registration process. In some administrations in Europe and other regions, various forms of light licensing are also in force.</w:t>
      </w:r>
    </w:p>
    <w:p w:rsidR="00016D83" w:rsidRPr="0019555C" w:rsidRDefault="00016D83" w:rsidP="00016D83">
      <w:pPr>
        <w:rPr>
          <w:lang w:val="en-GB" w:eastAsia="ja-JP"/>
        </w:rPr>
      </w:pPr>
      <w:r w:rsidRPr="0019555C">
        <w:rPr>
          <w:lang w:val="en-GB" w:eastAsia="ja-JP"/>
        </w:rPr>
        <w:t>The bands of 71-76 GHz, 81-86 GHz and 92-95 GHz have larger free space</w:t>
      </w:r>
      <w:r w:rsidRPr="0019555C">
        <w:rPr>
          <w:lang w:val="en-GB"/>
        </w:rPr>
        <w:t xml:space="preserve"> transmission loss</w:t>
      </w:r>
      <w:r w:rsidRPr="0019555C">
        <w:rPr>
          <w:lang w:val="en-GB" w:eastAsia="ja-JP"/>
        </w:rPr>
        <w:t xml:space="preserve"> than the bands below 60 GHz</w:t>
      </w:r>
      <w:r w:rsidRPr="0019555C">
        <w:rPr>
          <w:lang w:val="en-GB"/>
        </w:rPr>
        <w:t xml:space="preserve">, </w:t>
      </w:r>
      <w:r w:rsidRPr="0019555C">
        <w:rPr>
          <w:lang w:val="en-GB" w:eastAsia="ja-JP"/>
        </w:rPr>
        <w:t>and FWS in these bands use highly directional antennas. Therefore, FWS using these bands are lesser probability to interfere with one another. For this reason, licensing (intended as frequency planning under total administration control) may not be necessary in these bands. However, it may not be desirable for major carriers to use unlicensed spectrum due to the lack of protection from interference from other carrier’s systems</w:t>
      </w:r>
      <w:r w:rsidRPr="0019555C">
        <w:rPr>
          <w:lang w:val="en-GB"/>
        </w:rPr>
        <w:t xml:space="preserve">. </w:t>
      </w:r>
      <w:r w:rsidRPr="0019555C">
        <w:rPr>
          <w:lang w:val="en-GB" w:eastAsia="ja-JP"/>
        </w:rPr>
        <w:t>Light licensing is a national regulation to accommodate the minimal regulatory constraints and costs with the some assurance of a protected spectrum.</w:t>
      </w:r>
    </w:p>
    <w:p w:rsidR="00016D83" w:rsidRPr="0019555C" w:rsidRDefault="00016D83" w:rsidP="00016D83">
      <w:pPr>
        <w:rPr>
          <w:lang w:val="en-GB" w:eastAsia="ja-JP"/>
        </w:rPr>
      </w:pPr>
      <w:r w:rsidRPr="0019555C">
        <w:rPr>
          <w:lang w:val="en-GB" w:eastAsia="ja-JP"/>
        </w:rPr>
        <w:t>T</w:t>
      </w:r>
      <w:r w:rsidRPr="0019555C">
        <w:rPr>
          <w:lang w:val="en-GB"/>
        </w:rPr>
        <w:t xml:space="preserve">he </w:t>
      </w:r>
      <w:r w:rsidRPr="0019555C">
        <w:rPr>
          <w:lang w:val="en-GB" w:eastAsia="ja-JP"/>
        </w:rPr>
        <w:t xml:space="preserve">71-76 GHz and 81-86 GHz </w:t>
      </w:r>
      <w:r w:rsidRPr="0019555C">
        <w:rPr>
          <w:lang w:val="en-GB"/>
        </w:rPr>
        <w:t>band</w:t>
      </w:r>
      <w:r w:rsidRPr="0019555C">
        <w:rPr>
          <w:lang w:val="en-GB" w:eastAsia="ja-JP"/>
        </w:rPr>
        <w:t>s</w:t>
      </w:r>
      <w:r w:rsidRPr="0019555C">
        <w:rPr>
          <w:lang w:val="en-GB"/>
        </w:rPr>
        <w:t xml:space="preserve"> </w:t>
      </w:r>
      <w:r w:rsidRPr="0019555C">
        <w:rPr>
          <w:lang w:val="en-GB" w:eastAsia="ja-JP"/>
        </w:rPr>
        <w:t>are</w:t>
      </w:r>
      <w:r w:rsidRPr="0019555C">
        <w:rPr>
          <w:lang w:val="en-GB"/>
        </w:rPr>
        <w:t xml:space="preserve"> light</w:t>
      </w:r>
      <w:r w:rsidRPr="0019555C">
        <w:rPr>
          <w:lang w:val="en-GB" w:eastAsia="ja-JP"/>
        </w:rPr>
        <w:t xml:space="preserve">ly </w:t>
      </w:r>
      <w:r w:rsidRPr="0019555C">
        <w:rPr>
          <w:lang w:val="en-GB"/>
        </w:rPr>
        <w:t>licensed</w:t>
      </w:r>
      <w:r w:rsidRPr="0019555C">
        <w:rPr>
          <w:lang w:val="en-GB" w:eastAsia="ja-JP"/>
        </w:rPr>
        <w:t xml:space="preserve"> in the Czech Republic, </w:t>
      </w:r>
      <w:r w:rsidRPr="0019555C">
        <w:rPr>
          <w:lang w:val="en-GB"/>
        </w:rPr>
        <w:t xml:space="preserve">Sweden, </w:t>
      </w:r>
      <w:r w:rsidRPr="0019555C">
        <w:rPr>
          <w:lang w:val="en-GB" w:eastAsia="ja-JP"/>
        </w:rPr>
        <w:t xml:space="preserve">and </w:t>
      </w:r>
      <w:r w:rsidRPr="0019555C">
        <w:rPr>
          <w:lang w:val="en-GB"/>
        </w:rPr>
        <w:t>the United States.</w:t>
      </w:r>
      <w:r w:rsidRPr="0019555C">
        <w:rPr>
          <w:lang w:val="en-GB" w:eastAsia="ja-JP"/>
        </w:rPr>
        <w:t xml:space="preserve"> </w:t>
      </w:r>
      <w:r w:rsidRPr="0019555C">
        <w:rPr>
          <w:lang w:val="en-GB"/>
        </w:rPr>
        <w:t>In addition, Canada has announced its intention to allow light licensing in future.</w:t>
      </w:r>
      <w:r w:rsidRPr="0019555C">
        <w:rPr>
          <w:lang w:val="en-GB" w:eastAsia="ja-JP"/>
        </w:rPr>
        <w:t xml:space="preserve"> The United Kingdom has recently reviewed its licensing arrangements for this band to facilitate both light licensed and centrally managed FWS applications. The 92-95 GHz band is also lightly licensed in United States. Some other countries, have also foreseen centrally managed band on link</w:t>
      </w:r>
      <w:r w:rsidRPr="0019555C">
        <w:rPr>
          <w:lang w:val="en-GB" w:eastAsia="ja-JP"/>
        </w:rPr>
        <w:noBreakHyphen/>
        <w:t>by-link basis licensing regime.</w:t>
      </w:r>
    </w:p>
    <w:p w:rsidR="00016D83" w:rsidRPr="0019555C" w:rsidRDefault="00016D83" w:rsidP="00CC506F">
      <w:pPr>
        <w:pStyle w:val="Heading1"/>
        <w:rPr>
          <w:lang w:val="en-GB" w:eastAsia="ja-JP"/>
        </w:rPr>
      </w:pPr>
      <w:bookmarkStart w:id="222" w:name="_Toc353866421"/>
      <w:bookmarkStart w:id="223" w:name="_Toc354769819"/>
      <w:bookmarkStart w:id="224" w:name="_Toc387091582"/>
      <w:bookmarkStart w:id="225" w:name="_Toc388871240"/>
      <w:bookmarkStart w:id="226" w:name="_Toc403043916"/>
      <w:bookmarkStart w:id="227" w:name="_Toc403044020"/>
      <w:bookmarkStart w:id="228" w:name="_Toc414014608"/>
      <w:bookmarkStart w:id="229" w:name="_Toc414014781"/>
      <w:r w:rsidRPr="0019555C">
        <w:rPr>
          <w:lang w:val="en-GB"/>
        </w:rPr>
        <w:t>4</w:t>
      </w:r>
      <w:r w:rsidRPr="0019555C">
        <w:rPr>
          <w:lang w:val="en-GB"/>
        </w:rPr>
        <w:tab/>
        <w:t xml:space="preserve">FWS </w:t>
      </w:r>
      <w:r w:rsidRPr="005840E3">
        <w:rPr>
          <w:lang w:val="en-US"/>
        </w:rPr>
        <w:t>technology</w:t>
      </w:r>
      <w:r w:rsidRPr="0019555C">
        <w:rPr>
          <w:lang w:val="en-GB"/>
        </w:rPr>
        <w:t xml:space="preserve"> and trends</w:t>
      </w:r>
      <w:bookmarkStart w:id="230" w:name="_Toc353866422"/>
      <w:bookmarkStart w:id="231" w:name="_Toc354769820"/>
      <w:bookmarkStart w:id="232" w:name="_Toc387091587"/>
      <w:bookmarkEnd w:id="222"/>
      <w:bookmarkEnd w:id="223"/>
      <w:bookmarkEnd w:id="224"/>
      <w:bookmarkEnd w:id="225"/>
      <w:bookmarkEnd w:id="226"/>
      <w:bookmarkEnd w:id="227"/>
      <w:bookmarkEnd w:id="228"/>
      <w:bookmarkEnd w:id="229"/>
    </w:p>
    <w:p w:rsidR="00016D83" w:rsidRPr="0019555C" w:rsidRDefault="00016D83" w:rsidP="00CC506F">
      <w:pPr>
        <w:pStyle w:val="Heading2"/>
        <w:rPr>
          <w:lang w:val="en-GB"/>
        </w:rPr>
      </w:pPr>
      <w:bookmarkStart w:id="233" w:name="_Toc388871241"/>
      <w:bookmarkStart w:id="234" w:name="_Toc403043917"/>
      <w:bookmarkStart w:id="235" w:name="_Toc403044021"/>
      <w:bookmarkStart w:id="236" w:name="_Toc414014609"/>
      <w:bookmarkStart w:id="237" w:name="_Toc414014782"/>
      <w:r w:rsidRPr="0019555C">
        <w:rPr>
          <w:lang w:val="en-GB"/>
        </w:rPr>
        <w:t>4.</w:t>
      </w:r>
      <w:r w:rsidRPr="0019555C">
        <w:rPr>
          <w:lang w:val="en-GB" w:eastAsia="ja-JP"/>
        </w:rPr>
        <w:t>1</w:t>
      </w:r>
      <w:r w:rsidRPr="0019555C">
        <w:rPr>
          <w:lang w:val="en-GB"/>
        </w:rPr>
        <w:tab/>
        <w:t xml:space="preserve">FWS </w:t>
      </w:r>
      <w:r w:rsidRPr="005840E3">
        <w:rPr>
          <w:lang w:val="en-US"/>
        </w:rPr>
        <w:t>technologies</w:t>
      </w:r>
      <w:bookmarkEnd w:id="230"/>
      <w:bookmarkEnd w:id="231"/>
      <w:bookmarkEnd w:id="232"/>
      <w:bookmarkEnd w:id="233"/>
      <w:bookmarkEnd w:id="234"/>
      <w:bookmarkEnd w:id="235"/>
      <w:bookmarkEnd w:id="236"/>
      <w:bookmarkEnd w:id="237"/>
    </w:p>
    <w:p w:rsidR="00016D83" w:rsidRPr="0019555C" w:rsidRDefault="00016D83" w:rsidP="00016D83">
      <w:pPr>
        <w:rPr>
          <w:lang w:val="en-GB"/>
        </w:rPr>
      </w:pPr>
      <w:r w:rsidRPr="0019555C">
        <w:rPr>
          <w:lang w:val="en-GB"/>
        </w:rPr>
        <w:t>Recommendation ITU-R F.1101 cover</w:t>
      </w:r>
      <w:r w:rsidRPr="0019555C">
        <w:rPr>
          <w:lang w:val="en-GB" w:eastAsia="ja-JP"/>
        </w:rPr>
        <w:t>s</w:t>
      </w:r>
      <w:r w:rsidRPr="0019555C">
        <w:rPr>
          <w:lang w:val="en-GB"/>
        </w:rPr>
        <w:t xml:space="preserve"> some of the technologies used in the present FWS. The technologies widely used in the present FWS are as follows.</w:t>
      </w:r>
    </w:p>
    <w:p w:rsidR="00016D83" w:rsidRPr="0019555C" w:rsidRDefault="00016D83" w:rsidP="00016D83">
      <w:pPr>
        <w:pStyle w:val="enumlev1"/>
        <w:rPr>
          <w:lang w:val="en-GB"/>
        </w:rPr>
      </w:pPr>
      <w:r w:rsidRPr="0019555C">
        <w:rPr>
          <w:lang w:val="en-GB"/>
        </w:rPr>
        <w:t>–</w:t>
      </w:r>
      <w:r w:rsidRPr="0019555C">
        <w:rPr>
          <w:lang w:val="en-GB"/>
        </w:rPr>
        <w:tab/>
        <w:t>Multi</w:t>
      </w:r>
      <w:r w:rsidRPr="0019555C">
        <w:rPr>
          <w:lang w:val="en-GB" w:eastAsia="ja-JP"/>
        </w:rPr>
        <w:t>-</w:t>
      </w:r>
      <w:r w:rsidRPr="0019555C">
        <w:rPr>
          <w:lang w:val="en-GB"/>
        </w:rPr>
        <w:t>level QAM.</w:t>
      </w:r>
    </w:p>
    <w:p w:rsidR="00016D83" w:rsidRPr="0019555C" w:rsidRDefault="00016D83" w:rsidP="00016D83">
      <w:pPr>
        <w:pStyle w:val="enumlev1"/>
        <w:rPr>
          <w:lang w:val="en-GB"/>
        </w:rPr>
      </w:pPr>
      <w:r w:rsidRPr="0019555C">
        <w:rPr>
          <w:lang w:val="en-GB"/>
        </w:rPr>
        <w:t>–</w:t>
      </w:r>
      <w:r w:rsidRPr="0019555C">
        <w:rPr>
          <w:lang w:val="en-GB"/>
        </w:rPr>
        <w:tab/>
        <w:t>XPIC (Cross Polarization Interference Canceller).</w:t>
      </w:r>
    </w:p>
    <w:p w:rsidR="00016D83" w:rsidRPr="0019555C" w:rsidRDefault="00016D83" w:rsidP="00016D83">
      <w:pPr>
        <w:pStyle w:val="enumlev1"/>
        <w:rPr>
          <w:lang w:val="en-GB" w:eastAsia="ja-JP"/>
        </w:rPr>
      </w:pPr>
      <w:r w:rsidRPr="0019555C">
        <w:rPr>
          <w:lang w:val="en-GB"/>
        </w:rPr>
        <w:t>–</w:t>
      </w:r>
      <w:r w:rsidRPr="0019555C">
        <w:rPr>
          <w:lang w:val="en-GB"/>
        </w:rPr>
        <w:tab/>
        <w:t>Equalizer.</w:t>
      </w:r>
    </w:p>
    <w:p w:rsidR="00016D83" w:rsidRPr="0019555C" w:rsidRDefault="00016D83" w:rsidP="00016D83">
      <w:pPr>
        <w:pStyle w:val="enumlev1"/>
        <w:keepNext/>
        <w:keepLines/>
        <w:rPr>
          <w:lang w:val="en-GB"/>
        </w:rPr>
      </w:pPr>
      <w:r w:rsidRPr="0019555C">
        <w:rPr>
          <w:lang w:val="en-GB"/>
        </w:rPr>
        <w:t>–</w:t>
      </w:r>
      <w:r w:rsidRPr="0019555C">
        <w:rPr>
          <w:lang w:val="en-GB"/>
        </w:rPr>
        <w:tab/>
        <w:t>FEC (Forward Error Correction).</w:t>
      </w:r>
    </w:p>
    <w:p w:rsidR="00016D83" w:rsidRPr="0019555C" w:rsidRDefault="00016D83" w:rsidP="00016D83">
      <w:pPr>
        <w:pStyle w:val="enumlev1"/>
        <w:keepNext/>
        <w:keepLines/>
        <w:rPr>
          <w:lang w:val="en-GB"/>
        </w:rPr>
      </w:pPr>
      <w:r w:rsidRPr="0019555C">
        <w:rPr>
          <w:lang w:val="en-GB"/>
        </w:rPr>
        <w:t>–</w:t>
      </w:r>
      <w:r w:rsidRPr="0019555C">
        <w:rPr>
          <w:lang w:val="en-GB"/>
        </w:rPr>
        <w:tab/>
        <w:t xml:space="preserve">ATPC (Automatic </w:t>
      </w:r>
      <w:r w:rsidRPr="0019555C">
        <w:rPr>
          <w:lang w:val="en-GB" w:eastAsia="ja-JP"/>
        </w:rPr>
        <w:t>Transmit</w:t>
      </w:r>
      <w:r w:rsidRPr="0019555C">
        <w:rPr>
          <w:lang w:val="en-GB"/>
        </w:rPr>
        <w:t xml:space="preserve"> Power Control).</w:t>
      </w:r>
    </w:p>
    <w:p w:rsidR="00016D83" w:rsidRPr="0019555C" w:rsidRDefault="00016D83" w:rsidP="00016D83">
      <w:pPr>
        <w:pStyle w:val="enumlev1"/>
        <w:rPr>
          <w:lang w:val="en-GB"/>
        </w:rPr>
      </w:pPr>
      <w:r w:rsidRPr="0019555C">
        <w:rPr>
          <w:lang w:val="en-GB"/>
        </w:rPr>
        <w:t>–</w:t>
      </w:r>
      <w:r w:rsidRPr="0019555C">
        <w:rPr>
          <w:lang w:val="en-GB"/>
        </w:rPr>
        <w:tab/>
        <w:t>ACM (Adaptive Code and Modulation).</w:t>
      </w:r>
    </w:p>
    <w:p w:rsidR="00016D83" w:rsidRPr="0019555C" w:rsidRDefault="00016D83" w:rsidP="00016D83">
      <w:pPr>
        <w:rPr>
          <w:lang w:val="en-GB" w:eastAsia="ja-JP"/>
        </w:rPr>
      </w:pPr>
      <w:r w:rsidRPr="0019555C">
        <w:rPr>
          <w:lang w:val="en-GB" w:eastAsia="ja-JP"/>
        </w:rPr>
        <w:t>Multi-level QAM and XPIC are used to maximize the frequency usage efficiency of FWS.</w:t>
      </w:r>
    </w:p>
    <w:p w:rsidR="00016D83" w:rsidRPr="0019555C" w:rsidRDefault="00016D83" w:rsidP="00016D83">
      <w:pPr>
        <w:rPr>
          <w:lang w:val="en-GB" w:eastAsia="ja-JP"/>
        </w:rPr>
      </w:pPr>
      <w:r w:rsidRPr="0019555C">
        <w:rPr>
          <w:lang w:val="en-GB"/>
        </w:rPr>
        <w:t xml:space="preserve">QPSK and multi-level QAM from 16-QAM to 256-QAM are generally adopted for a modulation scheme for FWS. </w:t>
      </w:r>
      <w:r w:rsidRPr="0019555C">
        <w:rPr>
          <w:lang w:val="en-GB" w:eastAsia="ja-JP"/>
        </w:rPr>
        <w:t>Progress in semiconductor devices now enables us</w:t>
      </w:r>
      <w:r w:rsidRPr="0019555C">
        <w:rPr>
          <w:lang w:val="en-GB"/>
        </w:rPr>
        <w:t xml:space="preserve"> to </w:t>
      </w:r>
      <w:r w:rsidRPr="0019555C">
        <w:rPr>
          <w:lang w:val="en-GB" w:eastAsia="ja-JP"/>
        </w:rPr>
        <w:t xml:space="preserve">employ 1 024 </w:t>
      </w:r>
      <w:r w:rsidRPr="0019555C">
        <w:rPr>
          <w:lang w:val="en-GB"/>
        </w:rPr>
        <w:t>QAM</w:t>
      </w:r>
      <w:r w:rsidRPr="0019555C">
        <w:rPr>
          <w:lang w:val="en-GB" w:eastAsia="ja-JP"/>
        </w:rPr>
        <w:t xml:space="preserve"> and work up to 4096 QAM.</w:t>
      </w:r>
      <w:r w:rsidRPr="0019555C">
        <w:rPr>
          <w:lang w:val="en-GB"/>
        </w:rPr>
        <w:t xml:space="preserve"> However, the higher-order modulation requires</w:t>
      </w:r>
      <w:r w:rsidRPr="0019555C">
        <w:rPr>
          <w:lang w:val="en-GB" w:eastAsia="ja-JP"/>
        </w:rPr>
        <w:t xml:space="preserve"> an even</w:t>
      </w:r>
      <w:r w:rsidRPr="0019555C">
        <w:rPr>
          <w:lang w:val="en-GB"/>
        </w:rPr>
        <w:t xml:space="preserve"> higher carrier to</w:t>
      </w:r>
      <w:r w:rsidRPr="0019555C">
        <w:rPr>
          <w:lang w:val="en-GB"/>
        </w:rPr>
        <w:noBreakHyphen/>
        <w:t xml:space="preserve">noise ratio (CNR). </w:t>
      </w:r>
      <w:r w:rsidRPr="0019555C">
        <w:rPr>
          <w:lang w:val="en-GB" w:eastAsia="ja-JP"/>
        </w:rPr>
        <w:t>Moreover, the use of 1</w:t>
      </w:r>
      <w:r w:rsidRPr="0019555C">
        <w:rPr>
          <w:lang w:val="en-GB"/>
        </w:rPr>
        <w:t> </w:t>
      </w:r>
      <w:r w:rsidRPr="0019555C">
        <w:rPr>
          <w:lang w:val="en-GB" w:eastAsia="ja-JP"/>
        </w:rPr>
        <w:t>024 QAM increases</w:t>
      </w:r>
      <w:r w:rsidRPr="0019555C">
        <w:rPr>
          <w:lang w:val="en-GB"/>
        </w:rPr>
        <w:t xml:space="preserve"> the </w:t>
      </w:r>
      <w:r w:rsidRPr="0019555C">
        <w:rPr>
          <w:lang w:val="en-GB" w:eastAsia="ja-JP"/>
        </w:rPr>
        <w:t>data rate only by 1.25 compared</w:t>
      </w:r>
      <w:r w:rsidRPr="0019555C">
        <w:rPr>
          <w:lang w:val="en-GB"/>
        </w:rPr>
        <w:t xml:space="preserve"> with </w:t>
      </w:r>
      <w:r w:rsidRPr="0019555C">
        <w:rPr>
          <w:lang w:val="en-GB" w:eastAsia="ja-JP"/>
        </w:rPr>
        <w:t>256 QAM. 1 024 QAM modulation schemes and above are not widely used, and they are foreseen to be limited when adaptive modulation is concerned</w:t>
      </w:r>
      <w:r w:rsidRPr="0019555C">
        <w:rPr>
          <w:lang w:val="en-GB"/>
        </w:rPr>
        <w:t>.</w:t>
      </w:r>
    </w:p>
    <w:p w:rsidR="00016D83" w:rsidRPr="0019555C" w:rsidRDefault="00016D83" w:rsidP="00016D83">
      <w:pPr>
        <w:rPr>
          <w:lang w:val="en-GB"/>
        </w:rPr>
      </w:pPr>
      <w:r w:rsidRPr="0019555C">
        <w:rPr>
          <w:lang w:val="en-GB" w:eastAsia="ja-JP"/>
        </w:rPr>
        <w:t>P</w:t>
      </w:r>
      <w:r w:rsidRPr="0019555C">
        <w:rPr>
          <w:lang w:val="en-GB"/>
        </w:rPr>
        <w:t xml:space="preserve">olarization multiplexing </w:t>
      </w:r>
      <w:r w:rsidRPr="0019555C">
        <w:rPr>
          <w:lang w:val="en-GB" w:eastAsia="ja-JP"/>
        </w:rPr>
        <w:t>is another way to increase</w:t>
      </w:r>
      <w:r w:rsidRPr="0019555C">
        <w:rPr>
          <w:lang w:val="en-GB"/>
        </w:rPr>
        <w:t xml:space="preserve"> the capacity without bandwidth expansion. However, interference between the two polarizations causes some degradation of BER performance, especially when using high multilevel modulation schemes. This interference can be cancelled by reproducing the “interference condition at the channel” in the demodulator. XPIC generates a replica of interference</w:t>
      </w:r>
      <w:r w:rsidRPr="0019555C">
        <w:rPr>
          <w:lang w:val="en-GB" w:eastAsia="ja-JP"/>
        </w:rPr>
        <w:t xml:space="preserve"> </w:t>
      </w:r>
      <w:r w:rsidRPr="0019555C">
        <w:rPr>
          <w:lang w:val="en-GB"/>
        </w:rPr>
        <w:t>from the orthogonal polarization, allowing</w:t>
      </w:r>
      <w:r w:rsidRPr="0019555C">
        <w:rPr>
          <w:lang w:val="en-GB" w:eastAsia="ja-JP"/>
        </w:rPr>
        <w:t xml:space="preserve"> </w:t>
      </w:r>
      <w:r w:rsidRPr="0019555C">
        <w:rPr>
          <w:lang w:val="en-GB"/>
        </w:rPr>
        <w:t xml:space="preserve">its output </w:t>
      </w:r>
      <w:r w:rsidRPr="0019555C">
        <w:rPr>
          <w:lang w:val="en-GB" w:eastAsia="ja-JP"/>
        </w:rPr>
        <w:t>to be</w:t>
      </w:r>
      <w:r w:rsidRPr="0019555C">
        <w:rPr>
          <w:lang w:val="en-GB"/>
        </w:rPr>
        <w:t> </w:t>
      </w:r>
      <w:r w:rsidRPr="0019555C">
        <w:rPr>
          <w:lang w:val="en-GB" w:eastAsia="ja-JP"/>
        </w:rPr>
        <w:t>“</w:t>
      </w:r>
      <w:r w:rsidRPr="0019555C">
        <w:rPr>
          <w:lang w:val="en-GB"/>
        </w:rPr>
        <w:t>subtracted</w:t>
      </w:r>
      <w:r w:rsidRPr="0019555C">
        <w:rPr>
          <w:lang w:val="en-GB" w:eastAsia="ja-JP"/>
        </w:rPr>
        <w:t xml:space="preserve">” </w:t>
      </w:r>
      <w:r w:rsidRPr="0019555C">
        <w:rPr>
          <w:lang w:val="en-GB"/>
        </w:rPr>
        <w:t>(or effectively cancelled)</w:t>
      </w:r>
      <w:r w:rsidRPr="0019555C">
        <w:rPr>
          <w:lang w:val="en-GB" w:eastAsia="ja-JP"/>
        </w:rPr>
        <w:t xml:space="preserve"> </w:t>
      </w:r>
      <w:r w:rsidRPr="0019555C">
        <w:rPr>
          <w:lang w:val="en-GB"/>
        </w:rPr>
        <w:t>from the received signal.</w:t>
      </w:r>
    </w:p>
    <w:p w:rsidR="00016D83" w:rsidRPr="0019555C" w:rsidRDefault="00016D83" w:rsidP="00016D83">
      <w:pPr>
        <w:rPr>
          <w:lang w:val="en-GB" w:eastAsia="ja-JP"/>
        </w:rPr>
      </w:pPr>
      <w:r w:rsidRPr="0019555C">
        <w:rPr>
          <w:lang w:val="en-GB" w:eastAsia="ja-JP"/>
        </w:rPr>
        <w:t xml:space="preserve">Equalizer and FEC are employed for improving the data transmission characteristics. </w:t>
      </w:r>
    </w:p>
    <w:p w:rsidR="00016D83" w:rsidRPr="0019555C" w:rsidRDefault="00016D83" w:rsidP="00016D83">
      <w:pPr>
        <w:rPr>
          <w:lang w:val="en-GB"/>
        </w:rPr>
      </w:pPr>
      <w:r w:rsidRPr="0019555C">
        <w:rPr>
          <w:lang w:val="en-GB" w:eastAsia="ja-JP"/>
        </w:rPr>
        <w:lastRenderedPageBreak/>
        <w:t>FWSs</w:t>
      </w:r>
      <w:r w:rsidRPr="0019555C">
        <w:rPr>
          <w:lang w:val="en-GB"/>
        </w:rPr>
        <w:t xml:space="preserve"> </w:t>
      </w:r>
      <w:r w:rsidRPr="0019555C">
        <w:rPr>
          <w:lang w:val="en-GB" w:eastAsia="ja-JP"/>
        </w:rPr>
        <w:t>often employ adaptive equalization as a</w:t>
      </w:r>
      <w:r w:rsidRPr="0019555C">
        <w:rPr>
          <w:lang w:val="en-GB"/>
        </w:rPr>
        <w:t xml:space="preserve"> counter</w:t>
      </w:r>
      <w:r w:rsidRPr="0019555C">
        <w:rPr>
          <w:lang w:val="en-GB" w:eastAsia="ja-JP"/>
        </w:rPr>
        <w:t xml:space="preserve"> </w:t>
      </w:r>
      <w:r w:rsidRPr="0019555C">
        <w:rPr>
          <w:lang w:val="en-GB"/>
        </w:rPr>
        <w:t>measure against distortions due to frequency selective fading</w:t>
      </w:r>
      <w:r w:rsidRPr="0019555C">
        <w:rPr>
          <w:lang w:val="en-GB" w:eastAsia="ja-JP"/>
        </w:rPr>
        <w:t>, and</w:t>
      </w:r>
      <w:r w:rsidRPr="0019555C">
        <w:rPr>
          <w:lang w:val="en-GB"/>
        </w:rPr>
        <w:t xml:space="preserve"> in order to compensate for imperfections in hardware. The equalizers contribute to not only performance improvement but also equipment cost reduction, because introduction of the equalizer enables the use of less expensive RF devices.</w:t>
      </w:r>
      <w:r w:rsidRPr="0019555C">
        <w:rPr>
          <w:lang w:val="en-GB" w:eastAsia="ja-JP"/>
        </w:rPr>
        <w:t xml:space="preserve"> </w:t>
      </w:r>
      <w:r w:rsidRPr="0019555C">
        <w:rPr>
          <w:lang w:val="en-GB"/>
        </w:rPr>
        <w:t>Generally, an adaptive time domain equalizer (ATDE) is adopted. There are two types for the configuration: One is a Linear Equalizer (LE) using finite impulse response (FIR) filter</w:t>
      </w:r>
      <w:r w:rsidRPr="0019555C">
        <w:rPr>
          <w:lang w:val="en-GB" w:eastAsia="ja-JP"/>
        </w:rPr>
        <w:t>s</w:t>
      </w:r>
      <w:r w:rsidRPr="0019555C">
        <w:rPr>
          <w:lang w:val="en-GB"/>
        </w:rPr>
        <w:t xml:space="preserve"> and the other is a Decision Feedback Equalizer (DFE) with two FIR filters.</w:t>
      </w:r>
    </w:p>
    <w:p w:rsidR="00016D83" w:rsidRPr="0019555C" w:rsidRDefault="00016D83" w:rsidP="00016D83">
      <w:pPr>
        <w:rPr>
          <w:lang w:val="en-GB"/>
        </w:rPr>
      </w:pPr>
      <w:r w:rsidRPr="0019555C">
        <w:rPr>
          <w:lang w:val="en-GB"/>
        </w:rPr>
        <w:t xml:space="preserve">FEC can reduce BER performance degradation from various causes. Among the error correcting codes available for FWS, the most popular is Reed-Solomon code. Sometimes, </w:t>
      </w:r>
      <w:r w:rsidRPr="0019555C">
        <w:rPr>
          <w:lang w:val="en-GB" w:eastAsia="ja-JP"/>
        </w:rPr>
        <w:t xml:space="preserve">a </w:t>
      </w:r>
      <w:r w:rsidRPr="0019555C">
        <w:rPr>
          <w:lang w:val="en-GB"/>
        </w:rPr>
        <w:t>coded modulation scheme such as TCM</w:t>
      </w:r>
      <w:r w:rsidRPr="0019555C">
        <w:rPr>
          <w:lang w:val="en-GB" w:eastAsia="ja-JP"/>
        </w:rPr>
        <w:t xml:space="preserve"> (Trellis Coded Modulation)</w:t>
      </w:r>
      <w:r w:rsidRPr="0019555C">
        <w:rPr>
          <w:lang w:val="en-GB"/>
        </w:rPr>
        <w:t xml:space="preserve"> is applied. Today, more powerful codes, such as low-density parity-check (LDPC) code, which is based on iterative decoding, are being adopted.</w:t>
      </w:r>
    </w:p>
    <w:p w:rsidR="00016D83" w:rsidRPr="0019555C" w:rsidRDefault="00016D83" w:rsidP="00016D83">
      <w:pPr>
        <w:rPr>
          <w:lang w:val="en-GB" w:eastAsia="ja-JP"/>
        </w:rPr>
      </w:pPr>
      <w:r w:rsidRPr="0019555C">
        <w:rPr>
          <w:lang w:val="en-GB" w:eastAsia="ja-JP"/>
        </w:rPr>
        <w:t>When ATPC is implemented on a FWS link</w:t>
      </w:r>
      <w:r w:rsidRPr="0019555C">
        <w:rPr>
          <w:rStyle w:val="FootnoteReference"/>
          <w:lang w:val="en-GB" w:eastAsia="ja-JP"/>
        </w:rPr>
        <w:footnoteReference w:id="9"/>
      </w:r>
      <w:r w:rsidRPr="0019555C">
        <w:rPr>
          <w:lang w:val="en-GB" w:eastAsia="ja-JP"/>
        </w:rPr>
        <w:t>, a transmitter on that link may operate at a reduced power under favourable propagation and operating conditions. Clearly, a transmitter using ATPC will produce less interfering power than a transmitter operating at the maximum power. Different administrations may impose different limitations on the implementation of ATPC, and these limitations may depend on whether multipath fading or rain fading is the dominant performance impairment in a particular frequency band.</w:t>
      </w:r>
    </w:p>
    <w:p w:rsidR="00016D83" w:rsidRPr="0019555C" w:rsidRDefault="00016D83" w:rsidP="00016D83">
      <w:pPr>
        <w:rPr>
          <w:lang w:val="en-GB" w:eastAsia="ja-JP"/>
        </w:rPr>
      </w:pPr>
      <w:r w:rsidRPr="0019555C">
        <w:rPr>
          <w:lang w:val="en-GB" w:eastAsia="ja-JP"/>
        </w:rPr>
        <w:t>In a typical implementation of ATPC, the Received Signal Level (RSL) is monitored at the receiver and sent to the transmitter. When the RSL falls by a prescribed amount below its expected level, the transmitter increases its power to partially offset further reductions in RSL. All of these considerations may need to be taken into account in the frequency coordination of the link. As shown in section 3.3.1, the use of higher frequency bands, when rain attenuation is important, is increasing. It will be important to quantify how the implementation of ATPC will facilitate sharing with other services in these frequency bands.</w:t>
      </w:r>
    </w:p>
    <w:p w:rsidR="00016D83" w:rsidRPr="0019555C" w:rsidRDefault="00016D83" w:rsidP="00016D83">
      <w:pPr>
        <w:rPr>
          <w:lang w:val="en-GB"/>
        </w:rPr>
      </w:pPr>
      <w:r w:rsidRPr="0019555C">
        <w:rPr>
          <w:lang w:val="en-GB" w:eastAsia="ja-JP"/>
        </w:rPr>
        <w:t xml:space="preserve">ACM is used for </w:t>
      </w:r>
      <w:r w:rsidRPr="0019555C">
        <w:rPr>
          <w:lang w:val="en-GB"/>
        </w:rPr>
        <w:t>changing the modulation scheme</w:t>
      </w:r>
      <w:r w:rsidRPr="0019555C">
        <w:rPr>
          <w:lang w:val="en-GB" w:eastAsia="ja-JP"/>
        </w:rPr>
        <w:t>s</w:t>
      </w:r>
      <w:r w:rsidRPr="0019555C">
        <w:rPr>
          <w:lang w:val="en-GB"/>
        </w:rPr>
        <w:t xml:space="preserve"> and coding rate</w:t>
      </w:r>
      <w:r w:rsidRPr="0019555C">
        <w:rPr>
          <w:lang w:val="en-GB" w:eastAsia="ja-JP"/>
        </w:rPr>
        <w:t>s</w:t>
      </w:r>
      <w:r w:rsidRPr="0019555C">
        <w:rPr>
          <w:lang w:val="en-GB"/>
        </w:rPr>
        <w:t xml:space="preserve"> according to the channel condition</w:t>
      </w:r>
      <w:r w:rsidRPr="0019555C">
        <w:rPr>
          <w:lang w:val="en-GB" w:eastAsia="ja-JP"/>
        </w:rPr>
        <w:t>, such as rain</w:t>
      </w:r>
      <w:r w:rsidRPr="0019555C">
        <w:rPr>
          <w:lang w:val="en-GB"/>
        </w:rPr>
        <w:t>.</w:t>
      </w:r>
      <w:r w:rsidRPr="0019555C">
        <w:rPr>
          <w:lang w:val="en-GB" w:eastAsia="ja-JP"/>
        </w:rPr>
        <w:t xml:space="preserve"> </w:t>
      </w:r>
      <w:r w:rsidRPr="0019555C">
        <w:rPr>
          <w:lang w:val="en-GB"/>
        </w:rPr>
        <w:t xml:space="preserve">FWS are increasingly used for data transmission, and the capacity levels therefore do not need to correspond exactly to the legacy circuit switching interface. This allows the capacity to be varied by changing the modulation schemes and coding rates according to the channel condition. In </w:t>
      </w:r>
      <w:r w:rsidRPr="0019555C">
        <w:rPr>
          <w:lang w:val="en-GB" w:eastAsia="ja-JP"/>
        </w:rPr>
        <w:t>this way</w:t>
      </w:r>
      <w:r w:rsidRPr="0019555C">
        <w:rPr>
          <w:lang w:val="en-GB"/>
        </w:rPr>
        <w:t>, it is possible to ensure that</w:t>
      </w:r>
      <w:r w:rsidRPr="0019555C">
        <w:rPr>
          <w:lang w:val="en-GB" w:eastAsia="ja-JP"/>
        </w:rPr>
        <w:t xml:space="preserve"> </w:t>
      </w:r>
      <w:r w:rsidRPr="0019555C">
        <w:rPr>
          <w:lang w:val="en-GB"/>
        </w:rPr>
        <w:t>the most important signals can survive, even under severe conditions</w:t>
      </w:r>
      <w:r w:rsidRPr="0019555C">
        <w:rPr>
          <w:lang w:val="en-GB" w:eastAsia="ja-JP"/>
        </w:rPr>
        <w:t xml:space="preserve"> by allowing</w:t>
      </w:r>
      <w:r w:rsidRPr="0019555C">
        <w:rPr>
          <w:lang w:val="en-GB"/>
        </w:rPr>
        <w:t xml:space="preserve"> a down shift of modulation</w:t>
      </w:r>
      <w:r w:rsidRPr="0019555C">
        <w:rPr>
          <w:lang w:val="en-GB" w:eastAsia="ja-JP"/>
        </w:rPr>
        <w:t>. A</w:t>
      </w:r>
      <w:r w:rsidRPr="0019555C">
        <w:rPr>
          <w:lang w:val="en-GB"/>
        </w:rPr>
        <w:t xml:space="preserve">lthough this comes with a reduction in capacity, the alternative would have been a complete loss of communications on the link. This approach is interesting when coupled with IP/Ethernet traffic </w:t>
      </w:r>
      <w:r w:rsidRPr="0019555C">
        <w:rPr>
          <w:lang w:val="en-GB" w:eastAsia="ja-JP"/>
        </w:rPr>
        <w:t>dynamic capacity control</w:t>
      </w:r>
      <w:r w:rsidRPr="0019555C">
        <w:rPr>
          <w:lang w:val="en-GB"/>
        </w:rPr>
        <w:t>, where different QoS priorities are</w:t>
      </w:r>
      <w:r w:rsidRPr="0019555C">
        <w:rPr>
          <w:lang w:val="en-GB" w:eastAsia="ja-JP"/>
        </w:rPr>
        <w:t xml:space="preserve"> </w:t>
      </w:r>
      <w:r w:rsidRPr="0019555C">
        <w:rPr>
          <w:lang w:val="en-GB"/>
        </w:rPr>
        <w:t xml:space="preserve">given to </w:t>
      </w:r>
      <w:r w:rsidRPr="0019555C">
        <w:rPr>
          <w:lang w:val="en-GB" w:eastAsia="ja-JP"/>
        </w:rPr>
        <w:t xml:space="preserve">differently </w:t>
      </w:r>
      <w:r w:rsidRPr="0019555C">
        <w:rPr>
          <w:lang w:val="en-GB"/>
        </w:rPr>
        <w:t>important traffic and where non</w:t>
      </w:r>
      <w:r w:rsidRPr="0019555C">
        <w:rPr>
          <w:lang w:val="en-GB"/>
        </w:rPr>
        <w:noBreakHyphen/>
        <w:t>essential traffic can be momentarily lost without impacting services supported by the FWS.</w:t>
      </w:r>
    </w:p>
    <w:p w:rsidR="00016D83" w:rsidRPr="0019555C" w:rsidRDefault="00016D83" w:rsidP="00016D83">
      <w:pPr>
        <w:rPr>
          <w:lang w:val="en-GB"/>
        </w:rPr>
      </w:pPr>
      <w:r w:rsidRPr="0019555C">
        <w:rPr>
          <w:lang w:val="en-GB"/>
        </w:rPr>
        <w:t xml:space="preserve">Used with or without ACM, </w:t>
      </w:r>
      <w:r w:rsidRPr="0019555C">
        <w:rPr>
          <w:lang w:val="en-GB" w:eastAsia="ja-JP"/>
        </w:rPr>
        <w:t xml:space="preserve">dynamic </w:t>
      </w:r>
      <w:r w:rsidRPr="0019555C">
        <w:rPr>
          <w:lang w:val="en-GB"/>
        </w:rPr>
        <w:t>traffic capacity management is useful when transporting traffic based on IP data transmission. As mentioned above, this allows prioritizing the transport of some traffic over others, providing additional reliability for some services more sensitive to packet loss. In bands above 60 GHz, where very large bandwidth are possible, in the order of 1 GHz or more, the technology might not accommodate very high modulation formats over most links for lack of sufficient fade margin for guaranteeing commonly expected availability. Present equipment operate on no more than 2 or 4 states modulation formats and 16/32 QAM will already be a challenge for the future. For this reason also a different adaptive methodology, referred as “band</w:t>
      </w:r>
      <w:r w:rsidRPr="0019555C">
        <w:rPr>
          <w:lang w:val="en-GB"/>
        </w:rPr>
        <w:noBreakHyphen/>
        <w:t xml:space="preserve">adaptive systems”, might also be employed. During adverse propagation, the system extends the receiver BER threshold, for a portion of the payload, reducing the bandwidth rather than dropping the modulation level. In this way longer links may also be covered with satisfactory capacity/quality trade off. </w:t>
      </w:r>
    </w:p>
    <w:p w:rsidR="00016D83" w:rsidRPr="0019555C" w:rsidRDefault="00016D83" w:rsidP="00016D83">
      <w:pPr>
        <w:pStyle w:val="Heading3"/>
        <w:rPr>
          <w:lang w:val="en-GB"/>
        </w:rPr>
      </w:pPr>
      <w:bookmarkStart w:id="238" w:name="_Toc387091588"/>
      <w:bookmarkStart w:id="239" w:name="_Toc388871242"/>
      <w:bookmarkStart w:id="240" w:name="_Toc403043918"/>
      <w:bookmarkStart w:id="241" w:name="_Toc403044022"/>
      <w:bookmarkStart w:id="242" w:name="_Toc414014610"/>
      <w:bookmarkStart w:id="243" w:name="_Toc414014783"/>
      <w:r w:rsidRPr="0019555C">
        <w:rPr>
          <w:lang w:val="en-GB"/>
        </w:rPr>
        <w:lastRenderedPageBreak/>
        <w:t>4.</w:t>
      </w:r>
      <w:r w:rsidRPr="0019555C">
        <w:rPr>
          <w:lang w:val="en-GB" w:eastAsia="ja-JP"/>
        </w:rPr>
        <w:t>1</w:t>
      </w:r>
      <w:r w:rsidRPr="0019555C">
        <w:rPr>
          <w:lang w:val="en-GB"/>
        </w:rPr>
        <w:t>.1</w:t>
      </w:r>
      <w:r w:rsidRPr="0019555C">
        <w:rPr>
          <w:lang w:val="en-GB"/>
        </w:rPr>
        <w:tab/>
        <w:t>Link design methodology</w:t>
      </w:r>
      <w:bookmarkEnd w:id="238"/>
      <w:bookmarkEnd w:id="239"/>
      <w:bookmarkEnd w:id="240"/>
      <w:bookmarkEnd w:id="241"/>
      <w:bookmarkEnd w:id="242"/>
      <w:bookmarkEnd w:id="243"/>
      <w:r w:rsidRPr="0019555C">
        <w:rPr>
          <w:lang w:val="en-GB"/>
        </w:rPr>
        <w:t xml:space="preserve"> </w:t>
      </w:r>
    </w:p>
    <w:p w:rsidR="00016D83" w:rsidRPr="0019555C" w:rsidRDefault="00016D83" w:rsidP="00016D83">
      <w:pPr>
        <w:pStyle w:val="Heading4"/>
        <w:rPr>
          <w:b w:val="0"/>
          <w:lang w:val="en-GB"/>
        </w:rPr>
      </w:pPr>
      <w:r w:rsidRPr="0019555C">
        <w:rPr>
          <w:lang w:val="en-GB"/>
        </w:rPr>
        <w:t>4.</w:t>
      </w:r>
      <w:r w:rsidRPr="0019555C">
        <w:rPr>
          <w:lang w:val="en-GB" w:eastAsia="ja-JP"/>
        </w:rPr>
        <w:t>1</w:t>
      </w:r>
      <w:r w:rsidRPr="0019555C">
        <w:rPr>
          <w:lang w:val="en-GB"/>
        </w:rPr>
        <w:t>.1.1</w:t>
      </w:r>
      <w:r w:rsidRPr="0019555C">
        <w:rPr>
          <w:lang w:val="en-GB"/>
        </w:rPr>
        <w:tab/>
        <w:t>Conventional links enhancement</w:t>
      </w:r>
    </w:p>
    <w:p w:rsidR="00016D83" w:rsidRPr="0019555C" w:rsidRDefault="00016D83" w:rsidP="00016D83">
      <w:pPr>
        <w:rPr>
          <w:lang w:val="en-GB"/>
        </w:rPr>
      </w:pPr>
      <w:r w:rsidRPr="0019555C">
        <w:rPr>
          <w:lang w:val="en-GB"/>
        </w:rPr>
        <w:t xml:space="preserve">The potential higher susceptibility to interference is successfully overcome by applying careful planning of link budgets and, when the coordination procedure foresee the use of Automatic Transmit Power Control (ATPC) to limit transmitted power in congested networks, </w:t>
      </w:r>
      <w:r w:rsidRPr="0019555C">
        <w:rPr>
          <w:lang w:val="en-GB" w:eastAsia="ja-JP"/>
        </w:rPr>
        <w:t>the planner should considers</w:t>
      </w:r>
      <w:r w:rsidRPr="0019555C">
        <w:rPr>
          <w:lang w:val="en-GB"/>
        </w:rPr>
        <w:t xml:space="preserve"> the joint interaction of ATPC and </w:t>
      </w:r>
      <w:r w:rsidRPr="0019555C">
        <w:rPr>
          <w:rFonts w:cs="Arial"/>
          <w:lang w:val="en-GB"/>
        </w:rPr>
        <w:t>Adaptive Modulation</w:t>
      </w:r>
      <w:r w:rsidRPr="0019555C">
        <w:rPr>
          <w:lang w:val="en-GB"/>
        </w:rPr>
        <w:t xml:space="preserve">. The joint use of </w:t>
      </w:r>
      <w:r w:rsidRPr="0019555C">
        <w:rPr>
          <w:lang w:val="en-GB" w:eastAsia="ja-JP"/>
        </w:rPr>
        <w:t>adaptive modulation</w:t>
      </w:r>
      <w:r w:rsidRPr="0019555C">
        <w:rPr>
          <w:lang w:val="en-GB"/>
        </w:rPr>
        <w:t xml:space="preserve"> and ATPC requires careful consideration in order to balance the advantages separately offered by those technologies.</w:t>
      </w:r>
    </w:p>
    <w:p w:rsidR="00016D83" w:rsidRPr="0019555C" w:rsidRDefault="00016D83" w:rsidP="00016D83">
      <w:pPr>
        <w:rPr>
          <w:lang w:val="en-GB"/>
        </w:rPr>
      </w:pPr>
      <w:r w:rsidRPr="0019555C">
        <w:rPr>
          <w:lang w:val="en-GB"/>
        </w:rPr>
        <w:t>The problematic related to the use of adaptive modulation, independently from the ATPC use</w:t>
      </w:r>
      <w:r w:rsidRPr="0019555C">
        <w:rPr>
          <w:lang w:val="en-GB" w:eastAsia="ja-JP"/>
        </w:rPr>
        <w:t>,</w:t>
      </w:r>
      <w:r w:rsidRPr="0019555C">
        <w:rPr>
          <w:lang w:val="en-GB"/>
        </w:rPr>
        <w:t xml:space="preserve"> shows that, as a function of the reference modulation format (i.e. the format corresponding to the high priority traffic capacity requiring the conventional degree, e.g. 99.99%, of link availability) and the AM maximum available modulation format, a minimum nominal “clear sky” RSL (corresponding to a minimum fade margin) should be provided for fully exploiting the </w:t>
      </w:r>
      <w:r w:rsidRPr="0019555C">
        <w:rPr>
          <w:lang w:val="en-GB" w:eastAsia="ja-JP"/>
        </w:rPr>
        <w:t>adaptive modulation</w:t>
      </w:r>
      <w:r w:rsidRPr="0019555C">
        <w:rPr>
          <w:lang w:val="en-GB"/>
        </w:rPr>
        <w:t xml:space="preserve"> potentiality. Consequently, very short hops, requiring might need special attention</w:t>
      </w:r>
      <w:r w:rsidRPr="0019555C">
        <w:rPr>
          <w:lang w:val="en-GB" w:eastAsia="ja-JP"/>
        </w:rPr>
        <w:t xml:space="preserve"> (see § 4.3.2 where short hops need is further detailed)</w:t>
      </w:r>
      <w:r w:rsidRPr="0019555C">
        <w:rPr>
          <w:lang w:val="en-GB"/>
        </w:rPr>
        <w:t>.</w:t>
      </w:r>
    </w:p>
    <w:p w:rsidR="00016D83" w:rsidRPr="0019555C" w:rsidRDefault="00016D83" w:rsidP="00016D83">
      <w:pPr>
        <w:rPr>
          <w:lang w:val="en-GB"/>
        </w:rPr>
      </w:pPr>
      <w:r w:rsidRPr="0019555C">
        <w:rPr>
          <w:lang w:val="en-GB"/>
        </w:rPr>
        <w:t xml:space="preserve">When ATPC is added in the coordination process of </w:t>
      </w:r>
      <w:r w:rsidRPr="0019555C">
        <w:rPr>
          <w:lang w:val="en-GB" w:eastAsia="ja-JP"/>
        </w:rPr>
        <w:t>adaptive modulation</w:t>
      </w:r>
      <w:r w:rsidRPr="0019555C">
        <w:rPr>
          <w:lang w:val="en-GB"/>
        </w:rPr>
        <w:t xml:space="preserve"> links, Fig. 13 shows that the available ATPC range is link-by-link variable and, in addition, the available ATPC range is limited for guaranteeing error free operation; this may limit the range of ATPC available for planning purpose. The minimum RSL defined for planning the network with ATPC enabled (nominal clear sky RSL with ATPC enabled) should be higher than the minimum required including suitable systems safeguards for avoiding malfunctions or preventing full use of the </w:t>
      </w:r>
      <w:r w:rsidRPr="0019555C">
        <w:rPr>
          <w:lang w:val="en-GB" w:eastAsia="ja-JP"/>
        </w:rPr>
        <w:t>adaptive modulation</w:t>
      </w:r>
      <w:r w:rsidRPr="0019555C">
        <w:rPr>
          <w:lang w:val="en-GB"/>
        </w:rPr>
        <w:t xml:space="preserve"> operation.</w:t>
      </w:r>
    </w:p>
    <w:p w:rsidR="00016D83" w:rsidRPr="0019555C" w:rsidRDefault="00016D83" w:rsidP="00016D83">
      <w:pPr>
        <w:rPr>
          <w:lang w:val="en-GB"/>
        </w:rPr>
      </w:pPr>
      <w:r w:rsidRPr="0019555C">
        <w:rPr>
          <w:lang w:val="en-GB"/>
        </w:rPr>
        <w:t xml:space="preserve">It should also be noted that, in </w:t>
      </w:r>
      <w:r w:rsidRPr="0019555C">
        <w:rPr>
          <w:lang w:val="en-GB" w:eastAsia="ja-JP"/>
        </w:rPr>
        <w:t>adaptive modulation</w:t>
      </w:r>
      <w:r w:rsidRPr="0019555C">
        <w:rPr>
          <w:lang w:val="en-GB"/>
        </w:rPr>
        <w:t xml:space="preserve"> systems, a portion of available ATPC range is always enabled; this, here called “step ATPC”, is used for managing the required output power drop for linearity purpose between the “reference modulation” (i.e. 16 QAM in the example) and the highest modulation (i.e. 256 QAM in the example). The “total ATPC” available for planning purpose is then achieved by adding the conventional presettable “linear ATPC” range (see Fig. </w:t>
      </w:r>
      <w:r w:rsidRPr="0019555C">
        <w:rPr>
          <w:lang w:val="en-GB" w:eastAsia="ja-JP"/>
        </w:rPr>
        <w:t>15</w:t>
      </w:r>
      <w:r w:rsidRPr="0019555C">
        <w:rPr>
          <w:lang w:val="en-GB"/>
        </w:rPr>
        <w:t>) according the formula:</w:t>
      </w:r>
    </w:p>
    <w:p w:rsidR="00016D83" w:rsidRPr="0019555C" w:rsidRDefault="00016D83" w:rsidP="00016D83">
      <w:pPr>
        <w:pStyle w:val="Equation"/>
        <w:rPr>
          <w:lang w:val="en-GB"/>
        </w:rPr>
      </w:pPr>
      <w:r w:rsidRPr="0019555C">
        <w:rPr>
          <w:lang w:val="en-GB"/>
        </w:rPr>
        <w:tab/>
        <w:t>A</w:t>
      </w:r>
      <w:r w:rsidRPr="0019555C">
        <w:rPr>
          <w:vertAlign w:val="subscript"/>
          <w:lang w:val="en-GB"/>
        </w:rPr>
        <w:t>ATPC total</w:t>
      </w:r>
      <w:r w:rsidRPr="0019555C">
        <w:rPr>
          <w:lang w:val="en-GB"/>
        </w:rPr>
        <w:t xml:space="preserve"> = A</w:t>
      </w:r>
      <w:r w:rsidRPr="0019555C">
        <w:rPr>
          <w:vertAlign w:val="subscript"/>
          <w:lang w:val="en-GB"/>
        </w:rPr>
        <w:t>ATPC step</w:t>
      </w:r>
      <w:r w:rsidRPr="0019555C">
        <w:rPr>
          <w:lang w:val="en-GB"/>
        </w:rPr>
        <w:t>.+ A</w:t>
      </w:r>
      <w:r w:rsidRPr="0019555C">
        <w:rPr>
          <w:vertAlign w:val="subscript"/>
          <w:lang w:val="en-GB"/>
        </w:rPr>
        <w:t>ATPC linear</w:t>
      </w:r>
    </w:p>
    <w:p w:rsidR="00016D83" w:rsidRPr="0019555C" w:rsidRDefault="00016D83" w:rsidP="00016D83">
      <w:pPr>
        <w:rPr>
          <w:lang w:val="en-GB" w:eastAsia="ja-JP"/>
        </w:rPr>
      </w:pPr>
      <w:r w:rsidRPr="0019555C">
        <w:rPr>
          <w:lang w:val="en-GB"/>
        </w:rPr>
        <w:t>These effects have to be taken into account for a case-by-case trade-off between the link parameters. In hops where the required Fade Margin (FM) is low, it might be possible that there is no margin either for permitting the excursion of the whole set of modulation formats and/or for permitting any ATPC range.</w:t>
      </w:r>
    </w:p>
    <w:p w:rsidR="00016D83" w:rsidRPr="0019555C" w:rsidRDefault="00016D83" w:rsidP="00016D83">
      <w:pPr>
        <w:pStyle w:val="FigureNo"/>
        <w:rPr>
          <w:lang w:val="en-GB"/>
        </w:rPr>
      </w:pPr>
      <w:bookmarkStart w:id="244" w:name="_Ref318877833"/>
      <w:r w:rsidRPr="0019555C">
        <w:rPr>
          <w:lang w:val="en-GB"/>
        </w:rPr>
        <w:lastRenderedPageBreak/>
        <w:t>Figure 15</w:t>
      </w:r>
    </w:p>
    <w:p w:rsidR="00016D83" w:rsidRPr="0019555C" w:rsidRDefault="00016D83" w:rsidP="00016D83">
      <w:pPr>
        <w:pStyle w:val="Figuretitle"/>
        <w:rPr>
          <w:lang w:val="en-GB" w:eastAsia="ja-JP"/>
        </w:rPr>
      </w:pPr>
      <w:r w:rsidRPr="0019555C">
        <w:rPr>
          <w:lang w:val="en-GB" w:eastAsia="ja-JP"/>
        </w:rPr>
        <w:t>Fade Margin and ATPC range impact to adaptive modulation</w:t>
      </w:r>
    </w:p>
    <w:p w:rsidR="00016D83" w:rsidRPr="0019555C" w:rsidRDefault="00016D83" w:rsidP="00016D83">
      <w:pPr>
        <w:pStyle w:val="Figurelegend"/>
        <w:jc w:val="center"/>
        <w:rPr>
          <w:lang w:val="en-GB" w:eastAsia="ja-JP"/>
        </w:rPr>
      </w:pPr>
      <w:r w:rsidRPr="0019555C">
        <w:rPr>
          <w:lang w:val="en-GB" w:eastAsia="ja-JP"/>
        </w:rPr>
        <w:t>(ECC Report 173)</w:t>
      </w:r>
    </w:p>
    <w:bookmarkEnd w:id="244"/>
    <w:p w:rsidR="00016D83" w:rsidRPr="0019555C" w:rsidRDefault="00016D83" w:rsidP="00016D83">
      <w:pPr>
        <w:pStyle w:val="Figure"/>
        <w:rPr>
          <w:lang w:val="en-GB"/>
        </w:rPr>
      </w:pPr>
      <w:r w:rsidRPr="0019555C">
        <w:rPr>
          <w:lang w:val="en-GB"/>
        </w:rPr>
        <w:object w:dxaOrig="6885" w:dyaOrig="5159">
          <v:shape id="_x0000_i1026" type="#_x0000_t75" style="width:344.45pt;height:259.8pt" o:ole="">
            <v:imagedata r:id="rId31" o:title=""/>
          </v:shape>
          <o:OLEObject Type="Embed" ProgID="PowerPoint.Slide.12" ShapeID="_x0000_i1026" DrawAspect="Content" ObjectID="_1487763911" r:id="rId32"/>
        </w:object>
      </w:r>
    </w:p>
    <w:p w:rsidR="00016D83" w:rsidRPr="0019555C" w:rsidRDefault="00016D83" w:rsidP="00016D83">
      <w:pPr>
        <w:pStyle w:val="Heading4"/>
        <w:rPr>
          <w:lang w:val="en-GB"/>
        </w:rPr>
      </w:pPr>
      <w:r w:rsidRPr="0019555C">
        <w:rPr>
          <w:lang w:val="en-GB"/>
        </w:rPr>
        <w:t>4.</w:t>
      </w:r>
      <w:r w:rsidRPr="0019555C">
        <w:rPr>
          <w:lang w:val="en-GB" w:eastAsia="ja-JP"/>
        </w:rPr>
        <w:t>1</w:t>
      </w:r>
      <w:r w:rsidRPr="0019555C">
        <w:rPr>
          <w:lang w:val="en-GB"/>
        </w:rPr>
        <w:t>.1.2</w:t>
      </w:r>
      <w:r w:rsidRPr="0019555C">
        <w:rPr>
          <w:lang w:val="en-GB"/>
        </w:rPr>
        <w:tab/>
        <w:t>New links topology</w:t>
      </w:r>
    </w:p>
    <w:p w:rsidR="00016D83" w:rsidRPr="0019555C" w:rsidRDefault="00016D83" w:rsidP="00016D83">
      <w:pPr>
        <w:rPr>
          <w:lang w:val="en-GB" w:eastAsia="ja-JP"/>
        </w:rPr>
      </w:pPr>
      <w:r w:rsidRPr="0019555C">
        <w:rPr>
          <w:lang w:val="en-GB" w:eastAsia="ja-JP"/>
        </w:rPr>
        <w:t>In the various options under study for suitably respond to the small cells backhauling problem, it has to be considered that the design of PP links deeply entering the streets canyons in urban areas, even if still in LOS conditions, could not disregard the issue of reflection on building and other urban clutters. This may also require further study in the propagation prediction methods, in particular when higher frequency bands are concerned [</w:t>
      </w:r>
      <w:r w:rsidRPr="0019555C">
        <w:rPr>
          <w:lang w:val="en-GB"/>
        </w:rPr>
        <w:t>HANSRYD J. and EDSTAM J. (January 2011)</w:t>
      </w:r>
      <w:r w:rsidRPr="0019555C">
        <w:rPr>
          <w:lang w:val="en-GB" w:eastAsia="ja-JP"/>
        </w:rPr>
        <w:t>].</w:t>
      </w:r>
    </w:p>
    <w:p w:rsidR="00016D83" w:rsidRPr="0019555C" w:rsidRDefault="00016D83" w:rsidP="00016D83">
      <w:pPr>
        <w:pStyle w:val="Headingb"/>
        <w:rPr>
          <w:lang w:val="en-GB"/>
        </w:rPr>
      </w:pPr>
      <w:bookmarkStart w:id="245" w:name="_Toc361395862"/>
      <w:bookmarkStart w:id="246" w:name="_Toc380064374"/>
      <w:r w:rsidRPr="0019555C">
        <w:rPr>
          <w:lang w:val="en-GB"/>
        </w:rPr>
        <w:t>ITU-T G.8032v2 networking</w:t>
      </w:r>
      <w:bookmarkEnd w:id="245"/>
      <w:bookmarkEnd w:id="246"/>
    </w:p>
    <w:p w:rsidR="00016D83" w:rsidRPr="0019555C" w:rsidRDefault="00016D83" w:rsidP="00016D83">
      <w:pPr>
        <w:rPr>
          <w:lang w:val="en-GB"/>
        </w:rPr>
      </w:pPr>
      <w:r w:rsidRPr="0019555C">
        <w:rPr>
          <w:lang w:val="en-GB"/>
        </w:rPr>
        <w:t xml:space="preserve">Microwave networks have historically relied on daisy chain and tree backhaul topologies, as shown in the top portion of the following figure, even though the benefits of rings over these linear topologies were well known: </w:t>
      </w:r>
    </w:p>
    <w:p w:rsidR="00016D83" w:rsidRPr="0019555C" w:rsidRDefault="00016D83" w:rsidP="00016D83">
      <w:pPr>
        <w:pStyle w:val="enumlev1"/>
        <w:rPr>
          <w:lang w:val="en-GB"/>
        </w:rPr>
      </w:pPr>
      <w:r w:rsidRPr="0019555C">
        <w:rPr>
          <w:lang w:val="en-GB"/>
        </w:rPr>
        <w:t>–</w:t>
      </w:r>
      <w:r w:rsidRPr="0019555C">
        <w:rPr>
          <w:lang w:val="en-GB"/>
        </w:rPr>
        <w:tab/>
        <w:t>Since traffic can be sent in two directions around a ring, the load capacity of the ring is effectively doubled when no failures exist.</w:t>
      </w:r>
    </w:p>
    <w:p w:rsidR="00016D83" w:rsidRPr="0019555C" w:rsidRDefault="00016D83" w:rsidP="00016D83">
      <w:pPr>
        <w:pStyle w:val="enumlev1"/>
        <w:rPr>
          <w:lang w:val="en-GB"/>
        </w:rPr>
      </w:pPr>
      <w:r w:rsidRPr="0019555C">
        <w:rPr>
          <w:lang w:val="en-GB"/>
        </w:rPr>
        <w:t>–</w:t>
      </w:r>
      <w:r w:rsidRPr="0019555C">
        <w:rPr>
          <w:lang w:val="en-GB"/>
        </w:rPr>
        <w:tab/>
        <w:t>Rings offer a reduction in protection CAPEX spend since each ring site has two paths around a ring, this eliminates the need for fully protected aggregation sites that have only one path to the broader network.</w:t>
      </w:r>
    </w:p>
    <w:p w:rsidR="00016D83" w:rsidRPr="0019555C" w:rsidRDefault="00016D83" w:rsidP="00016D83">
      <w:pPr>
        <w:rPr>
          <w:lang w:val="en-GB"/>
        </w:rPr>
      </w:pPr>
      <w:r w:rsidRPr="0019555C">
        <w:rPr>
          <w:lang w:val="en-GB"/>
        </w:rPr>
        <w:t>The main reason for the reluctance to deploy ring architectures in the past was due to bandwidth inefficiencies associ</w:t>
      </w:r>
      <w:r w:rsidR="001C62B4" w:rsidRPr="0019555C">
        <w:rPr>
          <w:lang w:val="en-GB"/>
        </w:rPr>
        <w:t xml:space="preserve">ated with SONET/SDH protocols. </w:t>
      </w:r>
      <w:r w:rsidRPr="0019555C">
        <w:rPr>
          <w:lang w:val="en-GB"/>
        </w:rPr>
        <w:t>Specifically protection bandwidth had to be reserved, bandwidth that could not be optimally used when no failures in the network were present. This wasn’t a limitation in higher capacity fibre networks, but it was a severe limitation when trying to lever</w:t>
      </w:r>
      <w:r w:rsidR="001C62B4" w:rsidRPr="0019555C">
        <w:rPr>
          <w:lang w:val="en-GB"/>
        </w:rPr>
        <w:t xml:space="preserve">age scarce microwave spectrum. </w:t>
      </w:r>
      <w:r w:rsidRPr="0019555C">
        <w:rPr>
          <w:lang w:val="en-GB"/>
        </w:rPr>
        <w:t>Hence, rings never emerged as a widely deployed microwave network topology.</w:t>
      </w:r>
    </w:p>
    <w:p w:rsidR="00016D83" w:rsidRPr="0019555C" w:rsidRDefault="00016D83" w:rsidP="00016D83">
      <w:pPr>
        <w:rPr>
          <w:lang w:val="en-GB"/>
        </w:rPr>
      </w:pPr>
      <w:r w:rsidRPr="0019555C">
        <w:rPr>
          <w:lang w:val="en-GB"/>
        </w:rPr>
        <w:t>A new Ethernet based networking protocol was required to take the place of SONET/SDH, to support the gold standard of 50 ms protection, and with the ability to optimally carry IP services. The ITU-T G.8032v2 standard has evolved to be this protocol and is a natural fit for packet microwave networks as they too are based on an underlying Ethernet technology.</w:t>
      </w:r>
    </w:p>
    <w:p w:rsidR="00016D83" w:rsidRPr="0019555C" w:rsidRDefault="00016D83" w:rsidP="00016D83">
      <w:pPr>
        <w:pStyle w:val="Headingb"/>
        <w:rPr>
          <w:lang w:val="en-GB"/>
        </w:rPr>
      </w:pPr>
      <w:r w:rsidRPr="0019555C">
        <w:rPr>
          <w:lang w:val="en-GB"/>
        </w:rPr>
        <w:lastRenderedPageBreak/>
        <w:t>Microwave network topology evolution</w:t>
      </w:r>
    </w:p>
    <w:p w:rsidR="00016D83" w:rsidRPr="0019555C" w:rsidRDefault="00016D83" w:rsidP="00016D83">
      <w:pPr>
        <w:pStyle w:val="FigureNo"/>
        <w:rPr>
          <w:lang w:val="en-GB"/>
        </w:rPr>
      </w:pPr>
      <w:r w:rsidRPr="0019555C">
        <w:rPr>
          <w:lang w:val="en-GB"/>
        </w:rPr>
        <w:t>Figure 16</w:t>
      </w:r>
    </w:p>
    <w:p w:rsidR="00016D83" w:rsidRPr="0019555C" w:rsidRDefault="00016D83" w:rsidP="00016D83">
      <w:pPr>
        <w:pStyle w:val="Figuretitle"/>
        <w:rPr>
          <w:lang w:val="en-GB"/>
        </w:rPr>
      </w:pPr>
      <w:r w:rsidRPr="0019555C">
        <w:rPr>
          <w:lang w:val="en-GB"/>
        </w:rPr>
        <w:t>Microwave network topology evolution</w:t>
      </w:r>
    </w:p>
    <w:p w:rsidR="00016D83" w:rsidRPr="0019555C" w:rsidRDefault="00016D83" w:rsidP="00016D83">
      <w:pPr>
        <w:pStyle w:val="Figure"/>
        <w:rPr>
          <w:lang w:val="en-GB"/>
        </w:rPr>
      </w:pPr>
      <w:r w:rsidRPr="0019555C">
        <w:rPr>
          <w:noProof/>
          <w:lang w:val="en-US" w:eastAsia="zh-CN"/>
        </w:rPr>
        <w:drawing>
          <wp:inline distT="0" distB="0" distL="0" distR="0" wp14:anchorId="209DA3B7" wp14:editId="5A9E6EEF">
            <wp:extent cx="6029325" cy="3476625"/>
            <wp:effectExtent l="19050" t="19050" r="28575" b="28575"/>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6029325" cy="3476625"/>
                    </a:xfrm>
                    <a:prstGeom prst="rect">
                      <a:avLst/>
                    </a:prstGeom>
                    <a:noFill/>
                    <a:ln w="22225" cmpd="sng">
                      <a:solidFill>
                        <a:srgbClr val="BFBFBF"/>
                      </a:solidFill>
                      <a:miter lim="800000"/>
                      <a:headEnd/>
                      <a:tailEnd/>
                    </a:ln>
                    <a:effectLst/>
                  </pic:spPr>
                </pic:pic>
              </a:graphicData>
            </a:graphic>
          </wp:inline>
        </w:drawing>
      </w:r>
    </w:p>
    <w:p w:rsidR="00016D83" w:rsidRPr="0019555C" w:rsidRDefault="00016D83" w:rsidP="00016D83">
      <w:pPr>
        <w:rPr>
          <w:lang w:val="en-GB" w:eastAsia="ja-JP"/>
        </w:rPr>
      </w:pPr>
      <w:r w:rsidRPr="0019555C">
        <w:rPr>
          <w:lang w:val="en-GB"/>
        </w:rPr>
        <w:t>Since ITU-T G.8032v2 is based on Ethernet, it can be used over any Ethernet media be it over copper, fiber, or packet microwave. Ethernet channel bonding techniques such as the aforementioned multichannel can also be use</w:t>
      </w:r>
      <w:r w:rsidR="001C62B4" w:rsidRPr="0019555C">
        <w:rPr>
          <w:lang w:val="en-GB"/>
        </w:rPr>
        <w:t xml:space="preserve">d to scale microwave capacity. </w:t>
      </w:r>
    </w:p>
    <w:p w:rsidR="00016D83" w:rsidRPr="0019555C" w:rsidRDefault="00016D83" w:rsidP="00016D83">
      <w:pPr>
        <w:pStyle w:val="FigureNo"/>
        <w:spacing w:before="240"/>
        <w:rPr>
          <w:lang w:val="en-GB" w:eastAsia="ja-JP"/>
        </w:rPr>
      </w:pPr>
      <w:r w:rsidRPr="0019555C">
        <w:rPr>
          <w:lang w:val="en-GB"/>
        </w:rPr>
        <w:lastRenderedPageBreak/>
        <w:t xml:space="preserve">Figure </w:t>
      </w:r>
      <w:r w:rsidRPr="0019555C">
        <w:rPr>
          <w:lang w:val="en-GB" w:eastAsia="ja-JP"/>
        </w:rPr>
        <w:t>17</w:t>
      </w:r>
    </w:p>
    <w:p w:rsidR="00016D83" w:rsidRPr="0019555C" w:rsidRDefault="00016D83" w:rsidP="00016D83">
      <w:pPr>
        <w:pStyle w:val="Figuretitle"/>
        <w:rPr>
          <w:lang w:val="en-GB"/>
        </w:rPr>
      </w:pPr>
      <w:r w:rsidRPr="0019555C">
        <w:rPr>
          <w:lang w:val="en-GB"/>
        </w:rPr>
        <w:t>ITU-T G.8032v2 networking on a ring break</w:t>
      </w:r>
    </w:p>
    <w:p w:rsidR="00016D83" w:rsidRPr="0019555C" w:rsidRDefault="00016D83" w:rsidP="00016D83">
      <w:pPr>
        <w:pStyle w:val="Figure"/>
        <w:rPr>
          <w:lang w:val="en-GB"/>
        </w:rPr>
      </w:pPr>
      <w:r w:rsidRPr="0019555C">
        <w:rPr>
          <w:noProof/>
          <w:lang w:val="en-US" w:eastAsia="zh-CN"/>
        </w:rPr>
        <w:drawing>
          <wp:inline distT="0" distB="0" distL="0" distR="0" wp14:anchorId="0B129D4C" wp14:editId="6429113F">
            <wp:extent cx="5943600" cy="3429000"/>
            <wp:effectExtent l="19050" t="19050" r="19050" b="1905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5943600" cy="3429000"/>
                    </a:xfrm>
                    <a:prstGeom prst="rect">
                      <a:avLst/>
                    </a:prstGeom>
                    <a:noFill/>
                    <a:ln w="22225" cmpd="sng" algn="ctr">
                      <a:solidFill>
                        <a:srgbClr val="BFBFBF"/>
                      </a:solidFill>
                      <a:miter lim="800000"/>
                      <a:headEnd/>
                      <a:tailEnd/>
                    </a:ln>
                    <a:effectLst/>
                  </pic:spPr>
                </pic:pic>
              </a:graphicData>
            </a:graphic>
          </wp:inline>
        </w:drawing>
      </w:r>
    </w:p>
    <w:p w:rsidR="00016D83" w:rsidRPr="0019555C" w:rsidRDefault="00016D83" w:rsidP="00016D83">
      <w:pPr>
        <w:pStyle w:val="Heading3"/>
        <w:rPr>
          <w:lang w:val="en-GB"/>
        </w:rPr>
      </w:pPr>
      <w:bookmarkStart w:id="247" w:name="_Toc353866424"/>
      <w:bookmarkStart w:id="248" w:name="_Toc354769821"/>
      <w:bookmarkStart w:id="249" w:name="_Toc387091589"/>
      <w:bookmarkStart w:id="250" w:name="_Toc388871243"/>
      <w:bookmarkStart w:id="251" w:name="_Toc403043919"/>
      <w:bookmarkStart w:id="252" w:name="_Toc403044023"/>
      <w:bookmarkStart w:id="253" w:name="_Toc414014611"/>
      <w:bookmarkStart w:id="254" w:name="_Toc414014784"/>
      <w:r w:rsidRPr="0019555C">
        <w:rPr>
          <w:lang w:val="en-GB"/>
        </w:rPr>
        <w:t>4.1.2</w:t>
      </w:r>
      <w:r w:rsidRPr="0019555C">
        <w:rPr>
          <w:lang w:val="en-GB"/>
        </w:rPr>
        <w:tab/>
        <w:t>Wider bandwidth channels</w:t>
      </w:r>
      <w:bookmarkEnd w:id="247"/>
      <w:bookmarkEnd w:id="248"/>
      <w:r w:rsidRPr="0019555C">
        <w:rPr>
          <w:lang w:val="en-GB"/>
        </w:rPr>
        <w:t xml:space="preserve"> and channel aggregation</w:t>
      </w:r>
      <w:bookmarkEnd w:id="249"/>
      <w:bookmarkEnd w:id="250"/>
      <w:bookmarkEnd w:id="251"/>
      <w:bookmarkEnd w:id="252"/>
      <w:bookmarkEnd w:id="253"/>
      <w:bookmarkEnd w:id="254"/>
    </w:p>
    <w:p w:rsidR="00016D83" w:rsidRPr="0019555C" w:rsidRDefault="00016D83" w:rsidP="00016D83">
      <w:pPr>
        <w:rPr>
          <w:lang w:val="en-GB" w:eastAsia="ja-JP"/>
        </w:rPr>
      </w:pPr>
      <w:r w:rsidRPr="0019555C">
        <w:rPr>
          <w:lang w:val="en-GB" w:eastAsia="ja-JP"/>
        </w:rPr>
        <w:t>A possible technology to increase capacity is to use wider bandwidth channels. According to Table 1, the bandwidth per channel for 71-76/81-86 GHz band is N x 250 MHz and, the maximum bandwidth channel is 5 000 MHz. Such wide bandwidth can achieve multiple gigabit transmission.</w:t>
      </w:r>
    </w:p>
    <w:p w:rsidR="00016D83" w:rsidRPr="0019555C" w:rsidRDefault="00016D83" w:rsidP="00016D83">
      <w:pPr>
        <w:rPr>
          <w:lang w:val="en-GB" w:eastAsia="ja-JP"/>
        </w:rPr>
      </w:pPr>
      <w:r w:rsidRPr="0019555C">
        <w:rPr>
          <w:lang w:val="en-GB" w:eastAsia="ja-JP"/>
        </w:rPr>
        <w:t xml:space="preserve">In addition, channel aggregation technologies can be applied to FWS. In these technologies, two or more channels are combined and treated as single channel, including potentially the aggregation of non-contiguous channels. </w:t>
      </w:r>
    </w:p>
    <w:p w:rsidR="00016D83" w:rsidRPr="0019555C" w:rsidRDefault="00016D83" w:rsidP="00016D83">
      <w:pPr>
        <w:rPr>
          <w:lang w:val="en-GB" w:eastAsia="ko-KR"/>
        </w:rPr>
      </w:pPr>
      <w:r w:rsidRPr="0019555C">
        <w:rPr>
          <w:lang w:val="en-GB" w:eastAsia="ja-JP"/>
        </w:rPr>
        <w:t>This is an attractive solution for providing additional data throughput, which is an important feature to fulfil backhaul of traffic from base station to core network in IMT and IMT-Advanced deployments without having to deploy a new link. The increasing demand for high bandwidth channels will be an important consideration in development of new or revised FWS channel plans including relevant ITU-R Recommendations.</w:t>
      </w:r>
    </w:p>
    <w:p w:rsidR="00016D83" w:rsidRPr="0019555C" w:rsidRDefault="00016D83" w:rsidP="00016D83">
      <w:pPr>
        <w:pStyle w:val="Heading2"/>
        <w:rPr>
          <w:lang w:val="en-GB" w:eastAsia="ja-JP"/>
        </w:rPr>
      </w:pPr>
      <w:bookmarkStart w:id="255" w:name="_Toc387091590"/>
      <w:bookmarkStart w:id="256" w:name="_Toc388871244"/>
      <w:bookmarkStart w:id="257" w:name="_Toc403043920"/>
      <w:bookmarkStart w:id="258" w:name="_Toc403044024"/>
      <w:bookmarkStart w:id="259" w:name="_Toc414014612"/>
      <w:bookmarkStart w:id="260" w:name="_Toc414014785"/>
      <w:r w:rsidRPr="0019555C">
        <w:rPr>
          <w:lang w:val="en-GB"/>
        </w:rPr>
        <w:t>4.</w:t>
      </w:r>
      <w:r w:rsidRPr="0019555C">
        <w:rPr>
          <w:lang w:val="en-GB" w:eastAsia="ja-JP"/>
        </w:rPr>
        <w:t>2</w:t>
      </w:r>
      <w:r w:rsidRPr="0019555C">
        <w:rPr>
          <w:lang w:val="en-GB"/>
        </w:rPr>
        <w:tab/>
        <w:t>Antennas</w:t>
      </w:r>
      <w:bookmarkEnd w:id="255"/>
      <w:bookmarkEnd w:id="256"/>
      <w:bookmarkEnd w:id="257"/>
      <w:bookmarkEnd w:id="258"/>
      <w:bookmarkEnd w:id="259"/>
      <w:bookmarkEnd w:id="260"/>
    </w:p>
    <w:p w:rsidR="00016D83" w:rsidRPr="0019555C" w:rsidRDefault="00016D83" w:rsidP="00016D83">
      <w:pPr>
        <w:pStyle w:val="Heading3"/>
        <w:rPr>
          <w:lang w:val="en-GB" w:eastAsia="ja-JP"/>
        </w:rPr>
      </w:pPr>
      <w:bookmarkStart w:id="261" w:name="_Toc387091591"/>
      <w:bookmarkStart w:id="262" w:name="_Toc388871245"/>
      <w:bookmarkStart w:id="263" w:name="_Toc403043921"/>
      <w:bookmarkStart w:id="264" w:name="_Toc403044025"/>
      <w:bookmarkStart w:id="265" w:name="_Toc414014613"/>
      <w:bookmarkStart w:id="266" w:name="_Toc414014786"/>
      <w:r w:rsidRPr="0019555C">
        <w:rPr>
          <w:lang w:val="en-GB"/>
        </w:rPr>
        <w:t>4.</w:t>
      </w:r>
      <w:r w:rsidRPr="0019555C">
        <w:rPr>
          <w:lang w:val="en-GB" w:eastAsia="ja-JP"/>
        </w:rPr>
        <w:t>2</w:t>
      </w:r>
      <w:r w:rsidRPr="0019555C">
        <w:rPr>
          <w:lang w:val="en-GB"/>
        </w:rPr>
        <w:t>.1</w:t>
      </w:r>
      <w:r w:rsidRPr="0019555C">
        <w:rPr>
          <w:lang w:val="en-GB"/>
        </w:rPr>
        <w:tab/>
        <w:t>Passive antennas</w:t>
      </w:r>
      <w:bookmarkEnd w:id="261"/>
      <w:bookmarkEnd w:id="262"/>
      <w:bookmarkEnd w:id="263"/>
      <w:bookmarkEnd w:id="264"/>
      <w:bookmarkEnd w:id="265"/>
      <w:bookmarkEnd w:id="266"/>
    </w:p>
    <w:p w:rsidR="00016D83" w:rsidRPr="0019555C" w:rsidRDefault="00016D83" w:rsidP="00016D83">
      <w:pPr>
        <w:rPr>
          <w:lang w:val="en-GB" w:eastAsia="ja-JP"/>
        </w:rPr>
      </w:pPr>
      <w:r w:rsidRPr="0019555C">
        <w:rPr>
          <w:lang w:val="en-GB" w:eastAsia="ja-JP"/>
        </w:rPr>
        <w:t xml:space="preserve">Most FWS in bands above 3 GHz use parabolic antennas, including front feed antenna, offset feed antennas, Cassegrain antennas, and Gregorian antenna. However, some FS in bands below 3 GHz in particular 1.4 GHz band uses mix of flat panel, Yagi and parabolic antennas due to low profile and other installation/infrastructure considerations for these applications. </w:t>
      </w:r>
    </w:p>
    <w:p w:rsidR="00016D83" w:rsidRPr="0019555C" w:rsidRDefault="00016D83" w:rsidP="00016D83">
      <w:pPr>
        <w:rPr>
          <w:lang w:val="en-GB" w:eastAsia="ja-JP"/>
        </w:rPr>
      </w:pPr>
      <w:r w:rsidRPr="0019555C">
        <w:rPr>
          <w:lang w:val="en-GB" w:eastAsia="ja-JP"/>
        </w:rPr>
        <w:t>The gain of a parabolic dish antenna G is expressed as follows:</w:t>
      </w:r>
    </w:p>
    <w:p w:rsidR="00016D83" w:rsidRPr="0019555C" w:rsidRDefault="00016D83" w:rsidP="00016D83">
      <w:pPr>
        <w:pStyle w:val="Equation"/>
        <w:rPr>
          <w:lang w:val="en-GB"/>
        </w:rPr>
      </w:pPr>
      <w:r w:rsidRPr="0019555C">
        <w:rPr>
          <w:lang w:val="en-GB"/>
        </w:rPr>
        <w:tab/>
      </w:r>
      <w:r w:rsidR="00CC506F">
        <w:rPr>
          <w:lang w:val="en-GB"/>
        </w:rPr>
        <w:tab/>
      </w:r>
      <m:oMath>
        <m:r>
          <m:rPr>
            <m:sty m:val="p"/>
          </m:rPr>
          <w:rPr>
            <w:rFonts w:ascii="Cambria Math" w:hAnsi="Cambria Math"/>
            <w:lang w:val="en-GB"/>
          </w:rPr>
          <m:t>G [dBi]=10log⁡(</m:t>
        </m:r>
        <m:f>
          <m:fPr>
            <m:ctrlPr>
              <w:rPr>
                <w:rFonts w:ascii="Cambria Math" w:hAnsi="Cambria Math"/>
                <w:lang w:val="en-GB"/>
              </w:rPr>
            </m:ctrlPr>
          </m:fPr>
          <m:num>
            <m:r>
              <m:rPr>
                <m:sty m:val="p"/>
              </m:rPr>
              <w:rPr>
                <w:rFonts w:ascii="Cambria Math" w:hAnsi="Cambria Math"/>
                <w:lang w:val="en-GB"/>
              </w:rPr>
              <m:t>4π</m:t>
            </m:r>
            <m:r>
              <w:rPr>
                <w:rFonts w:ascii="Cambria Math" w:hAnsi="Cambria Math"/>
                <w:lang w:val="en-GB"/>
              </w:rPr>
              <m:t>A</m:t>
            </m:r>
          </m:num>
          <m:den>
            <m:sSup>
              <m:sSupPr>
                <m:ctrlPr>
                  <w:rPr>
                    <w:rFonts w:ascii="Cambria Math" w:hAnsi="Cambria Math"/>
                    <w:lang w:val="en-GB"/>
                  </w:rPr>
                </m:ctrlPr>
              </m:sSupPr>
              <m:e>
                <m:r>
                  <m:rPr>
                    <m:sty m:val="p"/>
                  </m:rPr>
                  <w:rPr>
                    <w:rFonts w:ascii="Cambria Math" w:hAnsi="Cambria Math"/>
                    <w:lang w:val="en-GB"/>
                  </w:rPr>
                  <m:t>λ</m:t>
                </m:r>
              </m:e>
              <m:sup>
                <m:r>
                  <m:rPr>
                    <m:sty m:val="p"/>
                  </m:rPr>
                  <w:rPr>
                    <w:rFonts w:ascii="Cambria Math" w:hAnsi="Cambria Math"/>
                    <w:lang w:val="en-GB"/>
                  </w:rPr>
                  <m:t>2</m:t>
                </m:r>
              </m:sup>
            </m:sSup>
          </m:den>
        </m:f>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A</m:t>
            </m:r>
          </m:sub>
        </m:sSub>
        <m:r>
          <m:rPr>
            <m:sty m:val="p"/>
          </m:rPr>
          <w:rPr>
            <w:rFonts w:ascii="Cambria Math" w:hAnsi="Cambria Math"/>
            <w:lang w:val="en-GB"/>
          </w:rPr>
          <m:t>)=10log⁡(</m:t>
        </m:r>
        <m:f>
          <m:fPr>
            <m:ctrlPr>
              <w:rPr>
                <w:rFonts w:ascii="Cambria Math" w:hAnsi="Cambria Math"/>
                <w:lang w:val="en-GB"/>
              </w:rPr>
            </m:ctrlPr>
          </m:fPr>
          <m:num>
            <m:sSup>
              <m:sSupPr>
                <m:ctrlPr>
                  <w:rPr>
                    <w:rFonts w:ascii="Cambria Math" w:hAnsi="Cambria Math"/>
                    <w:lang w:val="en-GB"/>
                  </w:rPr>
                </m:ctrlPr>
              </m:sSupPr>
              <m:e>
                <m:r>
                  <m:rPr>
                    <m:sty m:val="p"/>
                  </m:rPr>
                  <w:rPr>
                    <w:rFonts w:ascii="Cambria Math" w:hAnsi="Cambria Math"/>
                    <w:lang w:val="en-GB"/>
                  </w:rPr>
                  <m:t>π</m:t>
                </m:r>
              </m:e>
              <m:sup>
                <m:r>
                  <m:rPr>
                    <m:sty m:val="p"/>
                  </m:rPr>
                  <w:rPr>
                    <w:rFonts w:ascii="Cambria Math" w:hAnsi="Cambria Math"/>
                    <w:lang w:val="en-GB"/>
                  </w:rPr>
                  <m:t>2</m:t>
                </m:r>
              </m:sup>
            </m:sSup>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en-GB"/>
                  </w:rPr>
                  <m:t>2</m:t>
                </m:r>
              </m:sup>
            </m:sSup>
          </m:num>
          <m:den>
            <m:sSup>
              <m:sSupPr>
                <m:ctrlPr>
                  <w:rPr>
                    <w:rFonts w:ascii="Cambria Math" w:hAnsi="Cambria Math"/>
                    <w:lang w:val="en-GB"/>
                  </w:rPr>
                </m:ctrlPr>
              </m:sSupPr>
              <m:e>
                <m:r>
                  <m:rPr>
                    <m:sty m:val="p"/>
                  </m:rPr>
                  <w:rPr>
                    <w:rFonts w:ascii="Cambria Math" w:hAnsi="Cambria Math"/>
                    <w:lang w:val="en-GB"/>
                  </w:rPr>
                  <m:t>λ</m:t>
                </m:r>
              </m:e>
              <m:sup>
                <m:r>
                  <m:rPr>
                    <m:sty m:val="p"/>
                  </m:rPr>
                  <w:rPr>
                    <w:rFonts w:ascii="Cambria Math" w:hAnsi="Cambria Math"/>
                    <w:lang w:val="en-GB"/>
                  </w:rPr>
                  <m:t>2</m:t>
                </m:r>
              </m:sup>
            </m:sSup>
          </m:den>
        </m:f>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A</m:t>
            </m:r>
          </m:sub>
        </m:sSub>
        <m:r>
          <m:rPr>
            <m:sty m:val="p"/>
          </m:rPr>
          <w:rPr>
            <w:rFonts w:ascii="Cambria Math" w:hAnsi="Cambria Math"/>
            <w:lang w:val="en-GB"/>
          </w:rPr>
          <m:t>)</m:t>
        </m:r>
      </m:oMath>
      <w:r w:rsidRPr="0019555C">
        <w:rPr>
          <w:lang w:val="en-GB"/>
        </w:rPr>
        <w:tab/>
        <w:t>(1)</w:t>
      </w:r>
    </w:p>
    <w:p w:rsidR="00016D83" w:rsidRPr="0019555C" w:rsidRDefault="00016D83" w:rsidP="00016D83">
      <w:pPr>
        <w:spacing w:before="240"/>
        <w:rPr>
          <w:lang w:val="en-GB" w:eastAsia="ja-JP"/>
        </w:rPr>
      </w:pPr>
      <w:r w:rsidRPr="0019555C">
        <w:rPr>
          <w:lang w:val="en-GB" w:eastAsia="ja-JP"/>
        </w:rPr>
        <w:t xml:space="preserve">where </w:t>
      </w:r>
      <w:r w:rsidRPr="0019555C">
        <w:rPr>
          <w:i/>
          <w:iCs/>
          <w:lang w:val="en-GB" w:eastAsia="ja-JP"/>
        </w:rPr>
        <w:t>A</w:t>
      </w:r>
      <w:r w:rsidRPr="0019555C">
        <w:rPr>
          <w:lang w:val="en-GB" w:eastAsia="ja-JP"/>
        </w:rPr>
        <w:t xml:space="preserve"> is the area of the antenna aperture, </w:t>
      </w:r>
      <w:r w:rsidRPr="0019555C">
        <w:rPr>
          <w:i/>
          <w:iCs/>
          <w:lang w:val="en-GB" w:eastAsia="ja-JP"/>
        </w:rPr>
        <w:t>d</w:t>
      </w:r>
      <w:r w:rsidRPr="0019555C">
        <w:rPr>
          <w:lang w:val="en-GB" w:eastAsia="ja-JP"/>
        </w:rPr>
        <w:t xml:space="preserve"> is the diameter of the parabolic reflector, λ is the wavelength of the radio wave, and </w:t>
      </w:r>
      <w:r w:rsidRPr="0019555C">
        <w:rPr>
          <w:i/>
          <w:iCs/>
          <w:lang w:val="en-GB" w:eastAsia="ja-JP"/>
        </w:rPr>
        <w:t>e</w:t>
      </w:r>
      <w:r w:rsidRPr="0019555C">
        <w:rPr>
          <w:i/>
          <w:iCs/>
          <w:vertAlign w:val="subscript"/>
          <w:lang w:val="en-GB" w:eastAsia="ja-JP"/>
        </w:rPr>
        <w:t>A</w:t>
      </w:r>
      <w:r w:rsidRPr="0019555C">
        <w:rPr>
          <w:lang w:val="en-GB" w:eastAsia="ja-JP"/>
        </w:rPr>
        <w:t xml:space="preserve"> is a dimensionless parameter between 0 and 1 called </w:t>
      </w:r>
      <w:r w:rsidRPr="0019555C">
        <w:rPr>
          <w:lang w:val="en-GB" w:eastAsia="ja-JP"/>
        </w:rPr>
        <w:lastRenderedPageBreak/>
        <w:t>the aperture efficiency. The aperture efficiency of typical parabolic antennas is 0.55 to 0.70. Figure 18 shows the antenna gain calculated by using the Equation (1). The diameter of the parabolic antenna for FWS can be selected by considering the link distance, carrier frequency, output power, receiver sensitivity and availability of the link.</w:t>
      </w:r>
    </w:p>
    <w:p w:rsidR="00016D83" w:rsidRPr="0019555C" w:rsidRDefault="00016D83" w:rsidP="00016D83">
      <w:pPr>
        <w:spacing w:before="240"/>
        <w:rPr>
          <w:lang w:val="en-GB" w:eastAsia="ja-JP"/>
        </w:rPr>
      </w:pPr>
      <w:r w:rsidRPr="0019555C">
        <w:rPr>
          <w:lang w:val="en-GB" w:eastAsia="ja-JP"/>
        </w:rPr>
        <w:t>However, according to Recommendation ITU-R F.699 the 3 dB beamwidth (θ) angle of the main radiation lobe is roughly given by:</w:t>
      </w:r>
    </w:p>
    <w:p w:rsidR="00016D83" w:rsidRPr="0019555C" w:rsidRDefault="00016D83" w:rsidP="00CC506F">
      <w:pPr>
        <w:pStyle w:val="Equation"/>
        <w:rPr>
          <w:lang w:val="en-GB"/>
        </w:rPr>
      </w:pPr>
      <w:r w:rsidRPr="0019555C">
        <w:rPr>
          <w:lang w:val="en-GB"/>
        </w:rPr>
        <w:tab/>
      </w:r>
      <w:r w:rsidR="00CC506F">
        <w:rPr>
          <w:lang w:val="en-GB"/>
        </w:rPr>
        <w:tab/>
      </w:r>
      <w:r w:rsidR="00CC506F" w:rsidRPr="00CC506F">
        <w:rPr>
          <w:position w:val="-40"/>
          <w:lang w:val="en-GB"/>
        </w:rPr>
        <w:object w:dxaOrig="2280" w:dyaOrig="760">
          <v:shape id="_x0000_i1027" type="#_x0000_t75" style="width:115.2pt;height:34.55pt" o:ole="">
            <v:imagedata r:id="rId35" o:title=""/>
          </v:shape>
          <o:OLEObject Type="Embed" ProgID="Equation.3" ShapeID="_x0000_i1027" DrawAspect="Content" ObjectID="_1487763912" r:id="rId36"/>
        </w:object>
      </w:r>
      <w:r w:rsidRPr="0019555C">
        <w:rPr>
          <w:lang w:val="en-GB"/>
        </w:rPr>
        <w:tab/>
        <w:t>(2)</w:t>
      </w:r>
    </w:p>
    <w:p w:rsidR="00016D83" w:rsidRPr="0019555C" w:rsidRDefault="00016D83" w:rsidP="00016D83">
      <w:pPr>
        <w:spacing w:before="240"/>
        <w:rPr>
          <w:lang w:val="en-GB" w:eastAsia="ja-JP"/>
        </w:rPr>
      </w:pPr>
      <w:r w:rsidRPr="0019555C">
        <w:rPr>
          <w:lang w:val="en-GB" w:eastAsia="ja-JP"/>
        </w:rPr>
        <w:t>It is commonly intended that antennas with gains higher than about 50 dBi (i.e. with a 3 dB angle smaller than about 0.5 degrees) are not practically useable unless complex and expensive automatic pointing device is also implemented.</w:t>
      </w:r>
    </w:p>
    <w:p w:rsidR="00016D83" w:rsidRPr="0019555C" w:rsidRDefault="00016D83" w:rsidP="00016D83">
      <w:pPr>
        <w:pStyle w:val="FigureNo"/>
        <w:rPr>
          <w:lang w:val="en-GB"/>
        </w:rPr>
      </w:pPr>
      <w:r w:rsidRPr="0019555C">
        <w:rPr>
          <w:lang w:val="en-GB"/>
        </w:rPr>
        <w:t>FIGURE 18</w:t>
      </w:r>
    </w:p>
    <w:p w:rsidR="00016D83" w:rsidRPr="0019555C" w:rsidRDefault="00016D83" w:rsidP="00016D83">
      <w:pPr>
        <w:pStyle w:val="Figuretitle"/>
        <w:rPr>
          <w:lang w:val="en-GB"/>
        </w:rPr>
      </w:pPr>
      <w:r w:rsidRPr="0019555C">
        <w:rPr>
          <w:lang w:val="en-GB"/>
        </w:rPr>
        <w:t>Relationship between parabolic antenna gain and antenna diameter (</w:t>
      </w:r>
      <w:r w:rsidRPr="0019555C">
        <w:rPr>
          <w:i/>
          <w:iCs/>
          <w:lang w:val="en-GB"/>
        </w:rPr>
        <w:t>e</w:t>
      </w:r>
      <w:r w:rsidRPr="0019555C">
        <w:rPr>
          <w:i/>
          <w:iCs/>
          <w:vertAlign w:val="subscript"/>
          <w:lang w:val="en-GB"/>
        </w:rPr>
        <w:t>A</w:t>
      </w:r>
      <w:r w:rsidRPr="0019555C">
        <w:rPr>
          <w:lang w:val="en-GB"/>
        </w:rPr>
        <w:t xml:space="preserve"> =</w:t>
      </w:r>
      <w:r w:rsidR="00CC506F">
        <w:rPr>
          <w:lang w:val="en-GB"/>
        </w:rPr>
        <w:t xml:space="preserve"> </w:t>
      </w:r>
      <w:r w:rsidRPr="0019555C">
        <w:rPr>
          <w:lang w:val="en-GB"/>
        </w:rPr>
        <w:t>0.55)</w:t>
      </w:r>
    </w:p>
    <w:p w:rsidR="00016D83" w:rsidRPr="0019555C" w:rsidRDefault="00016D83" w:rsidP="00016D83">
      <w:pPr>
        <w:pStyle w:val="Figure"/>
        <w:rPr>
          <w:lang w:val="en-GB" w:eastAsia="ja-JP"/>
        </w:rPr>
      </w:pPr>
      <w:r w:rsidRPr="0019555C">
        <w:rPr>
          <w:noProof/>
          <w:lang w:val="en-US" w:eastAsia="zh-CN"/>
        </w:rPr>
        <w:drawing>
          <wp:inline distT="0" distB="0" distL="0" distR="0" wp14:anchorId="16879746" wp14:editId="6AC315CB">
            <wp:extent cx="5304155" cy="3450590"/>
            <wp:effectExtent l="0" t="0" r="0" b="0"/>
            <wp:docPr id="18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4155" cy="3450590"/>
                    </a:xfrm>
                    <a:prstGeom prst="rect">
                      <a:avLst/>
                    </a:prstGeom>
                    <a:noFill/>
                    <a:ln>
                      <a:noFill/>
                    </a:ln>
                  </pic:spPr>
                </pic:pic>
              </a:graphicData>
            </a:graphic>
          </wp:inline>
        </w:drawing>
      </w:r>
    </w:p>
    <w:p w:rsidR="00016D83" w:rsidRPr="0019555C" w:rsidRDefault="00016D83" w:rsidP="00016D83">
      <w:pPr>
        <w:rPr>
          <w:lang w:val="en-GB" w:eastAsia="ja-JP"/>
        </w:rPr>
      </w:pPr>
      <w:r w:rsidRPr="0019555C">
        <w:rPr>
          <w:lang w:val="en-GB" w:eastAsia="ja-JP"/>
        </w:rPr>
        <w:t>The use of antennas other than parabolic antennas, such as slot or patch arrays, has been investigated in order to reduce antenna cost, improve the antenna characteristics for specific applications and limit visual pollution, which can allow deployment in areas not possible using parabolic-type antennas.</w:t>
      </w:r>
    </w:p>
    <w:p w:rsidR="00016D83" w:rsidRPr="0019555C" w:rsidRDefault="00016D83" w:rsidP="00016D83">
      <w:pPr>
        <w:rPr>
          <w:lang w:val="en-GB" w:eastAsia="ja-JP"/>
        </w:rPr>
      </w:pPr>
      <w:r w:rsidRPr="0019555C">
        <w:rPr>
          <w:lang w:val="en-GB" w:eastAsia="ja-JP"/>
        </w:rPr>
        <w:t>One of the most promising technologies is slot array antenna; some examples in the 60 GHz range are already on the market.</w:t>
      </w:r>
    </w:p>
    <w:p w:rsidR="00016D83" w:rsidRPr="0019555C" w:rsidRDefault="00016D83" w:rsidP="00016D83">
      <w:pPr>
        <w:rPr>
          <w:lang w:val="en-GB" w:eastAsia="ja-JP"/>
        </w:rPr>
      </w:pPr>
      <w:r w:rsidRPr="0019555C">
        <w:rPr>
          <w:lang w:val="en-GB"/>
        </w:rPr>
        <w:t>This kind of integral antenna may offer additional benefits; for example, a prototype broadband point-to-point FWA system in</w:t>
      </w:r>
      <w:r w:rsidRPr="0019555C">
        <w:rPr>
          <w:lang w:val="en-GB" w:eastAsia="ja-JP"/>
        </w:rPr>
        <w:t xml:space="preserve"> the</w:t>
      </w:r>
      <w:r w:rsidRPr="0019555C">
        <w:rPr>
          <w:lang w:val="en-GB"/>
        </w:rPr>
        <w:t xml:space="preserve"> 38</w:t>
      </w:r>
      <w:r w:rsidRPr="0019555C">
        <w:rPr>
          <w:lang w:val="en-GB" w:eastAsia="ja-JP"/>
        </w:rPr>
        <w:t> </w:t>
      </w:r>
      <w:r w:rsidRPr="0019555C">
        <w:rPr>
          <w:lang w:val="en-GB"/>
        </w:rPr>
        <w:t>GHz band with a maximum throughput of 1 Gb</w:t>
      </w:r>
      <w:r w:rsidRPr="0019555C">
        <w:rPr>
          <w:lang w:val="en-GB" w:eastAsia="ja-JP"/>
        </w:rPr>
        <w:t>it/</w:t>
      </w:r>
      <w:r w:rsidRPr="0019555C">
        <w:rPr>
          <w:lang w:val="en-GB"/>
        </w:rPr>
        <w:t>s is being developed in Japan. A</w:t>
      </w:r>
      <w:r w:rsidRPr="0019555C">
        <w:rPr>
          <w:lang w:val="en-GB" w:eastAsia="ja-JP"/>
        </w:rPr>
        <w:t> </w:t>
      </w:r>
      <w:r w:rsidRPr="0019555C">
        <w:rPr>
          <w:lang w:val="en-GB"/>
        </w:rPr>
        <w:t>low</w:t>
      </w:r>
      <w:r w:rsidRPr="0019555C">
        <w:rPr>
          <w:lang w:val="en-GB"/>
        </w:rPr>
        <w:noBreakHyphen/>
        <w:t xml:space="preserve">profile waveguide slot array antenna is </w:t>
      </w:r>
      <w:r w:rsidRPr="0019555C">
        <w:rPr>
          <w:lang w:val="en-GB" w:eastAsia="ja-JP"/>
        </w:rPr>
        <w:t>incorporated</w:t>
      </w:r>
      <w:r w:rsidRPr="0019555C">
        <w:rPr>
          <w:lang w:val="en-GB"/>
        </w:rPr>
        <w:t xml:space="preserve"> in this system, since it has advantages of low loss and high antenna efficiency even in the millimetre-wave band. Moreover, this FWA system differs from the </w:t>
      </w:r>
      <w:r w:rsidRPr="0019555C">
        <w:rPr>
          <w:lang w:val="en-GB" w:eastAsia="ja-JP"/>
        </w:rPr>
        <w:t>conventional time division duplex (</w:t>
      </w:r>
      <w:r w:rsidRPr="0019555C">
        <w:rPr>
          <w:lang w:val="en-GB"/>
        </w:rPr>
        <w:t>TDD</w:t>
      </w:r>
      <w:r w:rsidRPr="0019555C">
        <w:rPr>
          <w:lang w:val="en-GB" w:eastAsia="ja-JP"/>
        </w:rPr>
        <w:t>)</w:t>
      </w:r>
      <w:r w:rsidRPr="0019555C">
        <w:rPr>
          <w:lang w:val="en-GB"/>
        </w:rPr>
        <w:t xml:space="preserve"> </w:t>
      </w:r>
      <w:r w:rsidRPr="0019555C">
        <w:rPr>
          <w:lang w:val="en-GB" w:eastAsia="ja-JP"/>
        </w:rPr>
        <w:t>and f</w:t>
      </w:r>
      <w:r w:rsidRPr="0019555C">
        <w:rPr>
          <w:lang w:val="en-GB"/>
        </w:rPr>
        <w:t xml:space="preserve">requency </w:t>
      </w:r>
      <w:r w:rsidRPr="0019555C">
        <w:rPr>
          <w:lang w:val="en-GB" w:eastAsia="ja-JP"/>
        </w:rPr>
        <w:t>d</w:t>
      </w:r>
      <w:r w:rsidRPr="0019555C">
        <w:rPr>
          <w:lang w:val="en-GB"/>
        </w:rPr>
        <w:t xml:space="preserve">ivision </w:t>
      </w:r>
      <w:r w:rsidRPr="0019555C">
        <w:rPr>
          <w:lang w:val="en-GB" w:eastAsia="ja-JP"/>
        </w:rPr>
        <w:t>d</w:t>
      </w:r>
      <w:r w:rsidRPr="0019555C">
        <w:rPr>
          <w:lang w:val="en-GB"/>
        </w:rPr>
        <w:t xml:space="preserve">uplex </w:t>
      </w:r>
      <w:r w:rsidRPr="0019555C">
        <w:rPr>
          <w:lang w:val="en-GB" w:eastAsia="ja-JP"/>
        </w:rPr>
        <w:t>(</w:t>
      </w:r>
      <w:r w:rsidRPr="0019555C">
        <w:rPr>
          <w:lang w:val="en-GB"/>
        </w:rPr>
        <w:t xml:space="preserve">FDD) systems and adopts a novel configuration </w:t>
      </w:r>
      <w:r w:rsidRPr="0019555C">
        <w:rPr>
          <w:lang w:val="en-GB" w:eastAsia="ja-JP"/>
        </w:rPr>
        <w:t xml:space="preserve">in which </w:t>
      </w:r>
      <w:r w:rsidRPr="0019555C">
        <w:rPr>
          <w:lang w:val="en-GB"/>
        </w:rPr>
        <w:t xml:space="preserve">two separate </w:t>
      </w:r>
      <w:r w:rsidRPr="0019555C">
        <w:rPr>
          <w:lang w:val="en-GB"/>
        </w:rPr>
        <w:lastRenderedPageBreak/>
        <w:t>antennas [M. Zhang</w:t>
      </w:r>
      <w:r w:rsidRPr="0019555C">
        <w:rPr>
          <w:lang w:val="en-GB" w:eastAsia="ja-JP"/>
        </w:rPr>
        <w:t xml:space="preserve"> </w:t>
      </w:r>
      <w:r w:rsidRPr="0019555C">
        <w:rPr>
          <w:i/>
          <w:iCs/>
          <w:lang w:val="en-GB" w:eastAsia="ja-JP"/>
        </w:rPr>
        <w:t>et al.</w:t>
      </w:r>
      <w:r w:rsidRPr="0019555C">
        <w:rPr>
          <w:lang w:val="en-GB" w:eastAsia="ja-JP"/>
        </w:rPr>
        <w:t>, 2010</w:t>
      </w:r>
      <w:r w:rsidRPr="0019555C">
        <w:rPr>
          <w:lang w:val="en-GB"/>
        </w:rPr>
        <w:t>]</w:t>
      </w:r>
      <w:r w:rsidRPr="0019555C">
        <w:rPr>
          <w:lang w:val="en-GB" w:eastAsia="ja-JP"/>
        </w:rPr>
        <w:t xml:space="preserve"> </w:t>
      </w:r>
      <w:r w:rsidRPr="0019555C">
        <w:rPr>
          <w:lang w:val="en-GB"/>
        </w:rPr>
        <w:t xml:space="preserve">operating at the same frequency with the same polarization are arranged in the H-plane for the individual transmission and reception as shown in Fig. </w:t>
      </w:r>
      <w:r w:rsidRPr="0019555C">
        <w:rPr>
          <w:lang w:val="en-GB" w:eastAsia="ja-JP"/>
        </w:rPr>
        <w:t>19</w:t>
      </w:r>
      <w:r w:rsidRPr="0019555C">
        <w:rPr>
          <w:lang w:val="en-GB"/>
        </w:rPr>
        <w:t xml:space="preserve">. From the viewpoint of </w:t>
      </w:r>
      <w:r w:rsidRPr="0019555C">
        <w:rPr>
          <w:lang w:val="en-GB" w:eastAsia="ja-JP"/>
        </w:rPr>
        <w:t xml:space="preserve">the </w:t>
      </w:r>
      <w:r w:rsidRPr="0019555C">
        <w:rPr>
          <w:lang w:val="en-GB"/>
        </w:rPr>
        <w:t>system design</w:t>
      </w:r>
      <w:r w:rsidRPr="0019555C">
        <w:rPr>
          <w:lang w:val="en-GB" w:eastAsia="ja-JP"/>
        </w:rPr>
        <w:t>s</w:t>
      </w:r>
      <w:r w:rsidRPr="0019555C">
        <w:rPr>
          <w:lang w:val="en-GB"/>
        </w:rPr>
        <w:t>, sufficiently high spatial isolation between those two antennas can dispense with the TDD</w:t>
      </w:r>
      <w:r w:rsidRPr="0019555C">
        <w:rPr>
          <w:lang w:val="en-GB"/>
        </w:rPr>
        <w:noBreakHyphen/>
        <w:t>switch, whose insertion loss in the millimetre-wave band is extremely high.</w:t>
      </w:r>
    </w:p>
    <w:p w:rsidR="00016D83" w:rsidRPr="0019555C" w:rsidRDefault="00016D83" w:rsidP="00016D83">
      <w:pPr>
        <w:rPr>
          <w:lang w:val="en-GB"/>
        </w:rPr>
      </w:pPr>
      <w:r w:rsidRPr="0019555C">
        <w:rPr>
          <w:lang w:val="en-GB"/>
        </w:rPr>
        <w:t>An antenna aperture size of 136</w:t>
      </w:r>
      <w:r w:rsidRPr="0019555C">
        <w:rPr>
          <w:lang w:val="en-GB" w:eastAsia="ja-JP"/>
        </w:rPr>
        <w:t xml:space="preserve"> </w:t>
      </w:r>
      <w:r w:rsidRPr="0019555C">
        <w:rPr>
          <w:lang w:val="en-GB"/>
        </w:rPr>
        <w:t>mm × 136</w:t>
      </w:r>
      <w:r w:rsidRPr="0019555C">
        <w:rPr>
          <w:lang w:val="en-GB" w:eastAsia="ja-JP"/>
        </w:rPr>
        <w:t xml:space="preserve"> </w:t>
      </w:r>
      <w:r w:rsidRPr="0019555C">
        <w:rPr>
          <w:lang w:val="en-GB"/>
        </w:rPr>
        <w:t xml:space="preserve">mm is provided to </w:t>
      </w:r>
      <w:r w:rsidRPr="0019555C">
        <w:rPr>
          <w:lang w:val="en-GB" w:eastAsia="ja-JP"/>
        </w:rPr>
        <w:t>achieve</w:t>
      </w:r>
      <w:r w:rsidRPr="0019555C">
        <w:rPr>
          <w:lang w:val="en-GB"/>
        </w:rPr>
        <w:t xml:space="preserve"> the desired antenna gain of more than 33.5</w:t>
      </w:r>
      <w:r w:rsidRPr="0019555C">
        <w:rPr>
          <w:lang w:val="en-GB" w:eastAsia="ja-JP"/>
        </w:rPr>
        <w:t xml:space="preserve"> </w:t>
      </w:r>
      <w:r w:rsidRPr="0019555C">
        <w:rPr>
          <w:lang w:val="en-GB"/>
        </w:rPr>
        <w:t>dBi with antenna efficiency of more than 70% over the frequency range of 38.0</w:t>
      </w:r>
      <w:r w:rsidRPr="0019555C">
        <w:rPr>
          <w:lang w:val="en-GB"/>
        </w:rPr>
        <w:noBreakHyphen/>
        <w:t>39.5 GHz.</w:t>
      </w:r>
      <w:r w:rsidRPr="0019555C">
        <w:rPr>
          <w:lang w:val="en-GB" w:eastAsia="ja-JP"/>
        </w:rPr>
        <w:t xml:space="preserve"> </w:t>
      </w:r>
      <w:r w:rsidRPr="0019555C">
        <w:rPr>
          <w:lang w:val="en-GB"/>
        </w:rPr>
        <w:t>The</w:t>
      </w:r>
      <w:r w:rsidRPr="0019555C">
        <w:rPr>
          <w:lang w:val="en-GB" w:eastAsia="ja-JP"/>
        </w:rPr>
        <w:t xml:space="preserve"> voltage standing wave ratio (</w:t>
      </w:r>
      <w:r w:rsidRPr="0019555C">
        <w:rPr>
          <w:lang w:val="en-GB"/>
        </w:rPr>
        <w:t>VSWR</w:t>
      </w:r>
      <w:r w:rsidRPr="0019555C">
        <w:rPr>
          <w:lang w:val="en-GB" w:eastAsia="ja-JP"/>
        </w:rPr>
        <w:t>)</w:t>
      </w:r>
      <w:r w:rsidRPr="0019555C">
        <w:rPr>
          <w:lang w:val="en-GB"/>
        </w:rPr>
        <w:t xml:space="preserve"> at the antenna input is less than 1.5 over this band. The antenna thickness is 5</w:t>
      </w:r>
      <w:r w:rsidRPr="0019555C">
        <w:rPr>
          <w:lang w:val="en-GB" w:eastAsia="ja-JP"/>
        </w:rPr>
        <w:t xml:space="preserve"> </w:t>
      </w:r>
      <w:r w:rsidRPr="0019555C">
        <w:rPr>
          <w:lang w:val="en-GB"/>
        </w:rPr>
        <w:t xml:space="preserve">mm. </w:t>
      </w:r>
      <w:r w:rsidRPr="0019555C">
        <w:rPr>
          <w:lang w:val="en-GB" w:eastAsia="ja-JP"/>
        </w:rPr>
        <w:t>A</w:t>
      </w:r>
      <w:r w:rsidRPr="0019555C">
        <w:rPr>
          <w:lang w:val="en-GB"/>
        </w:rPr>
        <w:t xml:space="preserve"> shielding metal wall with 12</w:t>
      </w:r>
      <w:r w:rsidRPr="0019555C">
        <w:rPr>
          <w:lang w:val="en-GB" w:eastAsia="ja-JP"/>
        </w:rPr>
        <w:t>-</w:t>
      </w:r>
      <w:r w:rsidRPr="0019555C">
        <w:rPr>
          <w:lang w:val="en-GB"/>
        </w:rPr>
        <w:t>mm width and 10 mm height between the antennas is</w:t>
      </w:r>
      <w:r w:rsidRPr="0019555C">
        <w:rPr>
          <w:lang w:val="en-GB" w:eastAsia="ja-JP"/>
        </w:rPr>
        <w:t xml:space="preserve"> used</w:t>
      </w:r>
      <w:r w:rsidRPr="0019555C">
        <w:rPr>
          <w:lang w:val="en-GB"/>
        </w:rPr>
        <w:t xml:space="preserve"> to enhance the spatial isolation </w:t>
      </w:r>
      <w:r w:rsidRPr="0019555C">
        <w:rPr>
          <w:lang w:val="en-GB" w:eastAsia="ja-JP"/>
        </w:rPr>
        <w:t>to</w:t>
      </w:r>
      <w:r w:rsidRPr="0019555C">
        <w:rPr>
          <w:lang w:val="en-GB"/>
        </w:rPr>
        <w:t xml:space="preserve"> more than 75</w:t>
      </w:r>
      <w:r w:rsidRPr="0019555C">
        <w:rPr>
          <w:lang w:val="en-GB" w:eastAsia="ja-JP"/>
        </w:rPr>
        <w:t xml:space="preserve"> </w:t>
      </w:r>
      <w:r w:rsidR="001C62B4" w:rsidRPr="0019555C">
        <w:rPr>
          <w:lang w:val="en-GB"/>
        </w:rPr>
        <w:t xml:space="preserve">dB. </w:t>
      </w:r>
      <w:r w:rsidRPr="0019555C">
        <w:rPr>
          <w:lang w:val="en-GB" w:eastAsia="ja-JP"/>
        </w:rPr>
        <w:t>D</w:t>
      </w:r>
      <w:r w:rsidRPr="0019555C">
        <w:rPr>
          <w:lang w:val="en-GB"/>
        </w:rPr>
        <w:t>at</w:t>
      </w:r>
      <w:r w:rsidRPr="0019555C">
        <w:rPr>
          <w:lang w:val="en-GB" w:eastAsia="ja-JP"/>
        </w:rPr>
        <w:t>a</w:t>
      </w:r>
      <w:r w:rsidRPr="0019555C">
        <w:rPr>
          <w:lang w:val="en-GB"/>
        </w:rPr>
        <w:t xml:space="preserve"> with 600 Mb</w:t>
      </w:r>
      <w:r w:rsidRPr="0019555C">
        <w:rPr>
          <w:lang w:val="en-GB" w:eastAsia="ja-JP"/>
        </w:rPr>
        <w:t>it/</w:t>
      </w:r>
      <w:r w:rsidRPr="0019555C">
        <w:rPr>
          <w:lang w:val="en-GB"/>
        </w:rPr>
        <w:t>s</w:t>
      </w:r>
      <w:r w:rsidRPr="0019555C">
        <w:rPr>
          <w:lang w:val="en-GB" w:eastAsia="ja-JP"/>
        </w:rPr>
        <w:t xml:space="preserve"> can be transmitted </w:t>
      </w:r>
      <w:r w:rsidRPr="0019555C">
        <w:rPr>
          <w:lang w:val="en-GB"/>
        </w:rPr>
        <w:t>for the maximum distance of 4.1</w:t>
      </w:r>
      <w:r w:rsidRPr="0019555C">
        <w:rPr>
          <w:lang w:val="en-GB" w:eastAsia="ja-JP"/>
        </w:rPr>
        <w:t xml:space="preserve"> </w:t>
      </w:r>
      <w:r w:rsidRPr="0019555C">
        <w:rPr>
          <w:lang w:val="en-GB"/>
        </w:rPr>
        <w:t xml:space="preserve">km using this system. </w:t>
      </w:r>
    </w:p>
    <w:p w:rsidR="00016D83" w:rsidRPr="0019555C" w:rsidRDefault="00016D83" w:rsidP="00016D83">
      <w:pPr>
        <w:rPr>
          <w:lang w:val="en-GB" w:eastAsia="ja-JP"/>
        </w:rPr>
      </w:pPr>
      <w:r w:rsidRPr="0019555C">
        <w:rPr>
          <w:lang w:val="en-GB" w:eastAsia="ja-JP"/>
        </w:rPr>
        <w:t>This antenna technology can be applied for higher frequency bands, such as over 120 GHz and 350 GHz. In the case of a 120 GHz-band waveguide planner slot array antenna, a 16 x 16-element array antenna shows 38 dBi gain with 70% antenna eff</w:t>
      </w:r>
      <w:r w:rsidR="001C62B4" w:rsidRPr="0019555C">
        <w:rPr>
          <w:lang w:val="en-GB" w:eastAsia="ja-JP"/>
        </w:rPr>
        <w:t xml:space="preserve">iciency over 13 GHz bandwidth, </w:t>
      </w:r>
      <w:r w:rsidRPr="0019555C">
        <w:rPr>
          <w:lang w:val="en-GB" w:eastAsia="ja-JP"/>
        </w:rPr>
        <w:t>and error</w:t>
      </w:r>
      <w:r w:rsidRPr="0019555C">
        <w:rPr>
          <w:lang w:val="en-GB" w:eastAsia="ja-JP"/>
        </w:rPr>
        <w:noBreakHyphen/>
        <w:t xml:space="preserve">free transmission up to 10 Gbit/s is achieved at the centre frequency of 125 GHz using a wireless link system with the proposed antenna. A 32x32-element array antenna shows over 38 dBi antenna gain with over 60% antenna efficiency and 15 GHz bandwidth (119.0-134.0 GHz) and a 64x64-element array shows over 43 dBi antenna gain with over 50% antenna efficiency and </w:t>
      </w:r>
      <w:r w:rsidR="002D354C">
        <w:rPr>
          <w:lang w:val="en-GB" w:eastAsia="ja-JP"/>
        </w:rPr>
        <w:t>14.5 GHz bandwidth (118.5-133.0 </w:t>
      </w:r>
      <w:r w:rsidRPr="0019555C">
        <w:rPr>
          <w:lang w:val="en-GB" w:eastAsia="ja-JP"/>
        </w:rPr>
        <w:t>GHz), respectively. In the case of a 16x16-element 350</w:t>
      </w:r>
      <w:r w:rsidRPr="0019555C">
        <w:rPr>
          <w:lang w:val="en-GB" w:eastAsia="ja-JP"/>
        </w:rPr>
        <w:noBreakHyphen/>
        <w:t>GHz</w:t>
      </w:r>
      <w:r w:rsidRPr="0019555C">
        <w:rPr>
          <w:lang w:val="en-GB" w:eastAsia="ja-JP"/>
        </w:rPr>
        <w:noBreakHyphen/>
        <w:t xml:space="preserve">band waveguide slot array antenna, the gain of 32 dBi with 74% antenna efficiency has been achieved. [J. Hirokawa </w:t>
      </w:r>
      <w:r w:rsidRPr="0019555C">
        <w:rPr>
          <w:i/>
          <w:iCs/>
          <w:lang w:val="en-GB" w:eastAsia="ja-JP"/>
        </w:rPr>
        <w:t>et al.</w:t>
      </w:r>
      <w:r w:rsidRPr="0019555C">
        <w:rPr>
          <w:lang w:val="en-GB" w:eastAsia="ja-JP"/>
        </w:rPr>
        <w:t xml:space="preserve">, 2013, D. Kim </w:t>
      </w:r>
      <w:r w:rsidRPr="0019555C">
        <w:rPr>
          <w:i/>
          <w:iCs/>
          <w:lang w:val="en-GB" w:eastAsia="ja-JP"/>
        </w:rPr>
        <w:t>et al.</w:t>
      </w:r>
      <w:r w:rsidRPr="0019555C">
        <w:rPr>
          <w:lang w:val="en-GB" w:eastAsia="ja-JP"/>
        </w:rPr>
        <w:t>, 2014].</w:t>
      </w:r>
    </w:p>
    <w:p w:rsidR="00016D83" w:rsidRPr="0019555C" w:rsidRDefault="00016D83" w:rsidP="00016D83">
      <w:pPr>
        <w:pStyle w:val="FigureNo"/>
        <w:rPr>
          <w:lang w:val="en-GB"/>
        </w:rPr>
      </w:pPr>
      <w:r w:rsidRPr="0019555C">
        <w:rPr>
          <w:lang w:val="en-GB"/>
        </w:rPr>
        <w:t>FIGURE 19</w:t>
      </w:r>
    </w:p>
    <w:p w:rsidR="00016D83" w:rsidRPr="0019555C" w:rsidRDefault="00016D83" w:rsidP="00016D83">
      <w:pPr>
        <w:pStyle w:val="Figuretitle"/>
        <w:rPr>
          <w:lang w:val="en-GB"/>
        </w:rPr>
      </w:pPr>
      <w:r w:rsidRPr="0019555C">
        <w:rPr>
          <w:lang w:val="en-GB"/>
        </w:rPr>
        <w:t>Low-profile waveguide slot array antennas with a shielding wall</w:t>
      </w:r>
    </w:p>
    <w:p w:rsidR="00016D83" w:rsidRPr="0019555C" w:rsidRDefault="00016D83" w:rsidP="00016D83">
      <w:pPr>
        <w:pStyle w:val="Figure"/>
        <w:rPr>
          <w:sz w:val="22"/>
          <w:lang w:val="en-GB" w:eastAsia="ja-JP"/>
        </w:rPr>
      </w:pPr>
      <w:r w:rsidRPr="0019555C">
        <w:rPr>
          <w:noProof/>
          <w:lang w:val="en-US" w:eastAsia="zh-CN"/>
        </w:rPr>
        <w:drawing>
          <wp:inline distT="0" distB="0" distL="0" distR="0" wp14:anchorId="592803E2" wp14:editId="6F29C798">
            <wp:extent cx="2990850" cy="2076450"/>
            <wp:effectExtent l="0" t="0" r="0" b="0"/>
            <wp:docPr id="1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0850" cy="2076450"/>
                    </a:xfrm>
                    <a:prstGeom prst="rect">
                      <a:avLst/>
                    </a:prstGeom>
                    <a:noFill/>
                    <a:ln>
                      <a:noFill/>
                    </a:ln>
                  </pic:spPr>
                </pic:pic>
              </a:graphicData>
            </a:graphic>
          </wp:inline>
        </w:drawing>
      </w:r>
    </w:p>
    <w:p w:rsidR="00016D83" w:rsidRPr="0019555C" w:rsidRDefault="00016D83" w:rsidP="00016D83">
      <w:pPr>
        <w:rPr>
          <w:lang w:val="en-GB"/>
        </w:rPr>
      </w:pPr>
      <w:r w:rsidRPr="0019555C">
        <w:rPr>
          <w:lang w:val="en-GB"/>
        </w:rPr>
        <w:t xml:space="preserve">Another alternative antenna </w:t>
      </w:r>
      <w:r w:rsidRPr="0019555C">
        <w:rPr>
          <w:lang w:val="en-GB" w:eastAsia="ja-JP"/>
        </w:rPr>
        <w:t>type</w:t>
      </w:r>
      <w:r w:rsidRPr="0019555C">
        <w:rPr>
          <w:lang w:val="en-GB"/>
        </w:rPr>
        <w:t xml:space="preserve"> is </w:t>
      </w:r>
      <w:r w:rsidRPr="0019555C">
        <w:rPr>
          <w:lang w:val="en-GB" w:eastAsia="ja-JP"/>
        </w:rPr>
        <w:t xml:space="preserve">a </w:t>
      </w:r>
      <w:r w:rsidRPr="0019555C">
        <w:rPr>
          <w:lang w:val="en-GB"/>
        </w:rPr>
        <w:t>flat panel</w:t>
      </w:r>
      <w:r w:rsidRPr="0019555C">
        <w:rPr>
          <w:lang w:val="en-GB" w:eastAsia="ja-JP"/>
        </w:rPr>
        <w:t xml:space="preserve"> antenna</w:t>
      </w:r>
      <w:r w:rsidRPr="0019555C">
        <w:rPr>
          <w:lang w:val="en-GB"/>
        </w:rPr>
        <w:t xml:space="preserve">. </w:t>
      </w:r>
      <w:r w:rsidRPr="0019555C">
        <w:rPr>
          <w:lang w:val="en-GB" w:eastAsia="ja-JP"/>
        </w:rPr>
        <w:t>This has</w:t>
      </w:r>
      <w:r w:rsidRPr="0019555C">
        <w:rPr>
          <w:lang w:val="en-GB"/>
        </w:rPr>
        <w:t xml:space="preserve"> the </w:t>
      </w:r>
      <w:r w:rsidRPr="0019555C">
        <w:rPr>
          <w:lang w:val="en-GB" w:eastAsia="ja-JP"/>
        </w:rPr>
        <w:t>advantages</w:t>
      </w:r>
      <w:r w:rsidRPr="0019555C">
        <w:rPr>
          <w:lang w:val="en-GB"/>
        </w:rPr>
        <w:t xml:space="preserve"> of being visually less obtrusive, which </w:t>
      </w:r>
      <w:r w:rsidRPr="0019555C">
        <w:rPr>
          <w:lang w:val="en-GB" w:eastAsia="ja-JP"/>
        </w:rPr>
        <w:t>has</w:t>
      </w:r>
      <w:r w:rsidRPr="0019555C">
        <w:rPr>
          <w:lang w:val="en-GB"/>
        </w:rPr>
        <w:t xml:space="preserve"> an advantage if the FWS is to be deployed in an area where planning restrictions may otherwise preclude </w:t>
      </w:r>
      <w:r w:rsidRPr="0019555C">
        <w:rPr>
          <w:lang w:val="en-GB" w:eastAsia="ja-JP"/>
        </w:rPr>
        <w:t xml:space="preserve">use of </w:t>
      </w:r>
      <w:r w:rsidRPr="0019555C">
        <w:rPr>
          <w:lang w:val="en-GB"/>
        </w:rPr>
        <w:t xml:space="preserve">traditional parabolic dishes. This is especially </w:t>
      </w:r>
      <w:r w:rsidRPr="0019555C">
        <w:rPr>
          <w:lang w:val="en-GB" w:eastAsia="ja-JP"/>
        </w:rPr>
        <w:t>suitable for</w:t>
      </w:r>
      <w:r w:rsidRPr="0019555C">
        <w:rPr>
          <w:lang w:val="en-GB"/>
        </w:rPr>
        <w:t xml:space="preserve"> the </w:t>
      </w:r>
      <w:r w:rsidRPr="0019555C">
        <w:rPr>
          <w:lang w:val="en-GB" w:eastAsia="ja-JP"/>
        </w:rPr>
        <w:t>millimetre</w:t>
      </w:r>
      <w:r w:rsidRPr="0019555C">
        <w:rPr>
          <w:lang w:val="en-GB"/>
        </w:rPr>
        <w:t xml:space="preserve"> wave bands where some applications, e.g. small cell backhaul, call for street level installation either on building sides/corners or street furniture.</w:t>
      </w:r>
    </w:p>
    <w:p w:rsidR="00016D83" w:rsidRPr="0019555C" w:rsidRDefault="00016D83" w:rsidP="00016D83">
      <w:pPr>
        <w:pStyle w:val="Heading3"/>
        <w:rPr>
          <w:lang w:val="en-GB" w:eastAsia="ja-JP"/>
        </w:rPr>
      </w:pPr>
      <w:bookmarkStart w:id="267" w:name="_Toc387091592"/>
      <w:bookmarkStart w:id="268" w:name="_Toc388871246"/>
      <w:bookmarkStart w:id="269" w:name="_Toc403043922"/>
      <w:bookmarkStart w:id="270" w:name="_Toc403044026"/>
      <w:bookmarkStart w:id="271" w:name="_Toc414014614"/>
      <w:bookmarkStart w:id="272" w:name="_Toc414014787"/>
      <w:r w:rsidRPr="0019555C">
        <w:rPr>
          <w:lang w:val="en-GB"/>
        </w:rPr>
        <w:t>4.</w:t>
      </w:r>
      <w:r w:rsidRPr="0019555C">
        <w:rPr>
          <w:lang w:val="en-GB" w:eastAsia="ja-JP"/>
        </w:rPr>
        <w:t>2</w:t>
      </w:r>
      <w:r w:rsidRPr="0019555C">
        <w:rPr>
          <w:lang w:val="en-GB"/>
        </w:rPr>
        <w:t>.2</w:t>
      </w:r>
      <w:r w:rsidRPr="0019555C">
        <w:rPr>
          <w:lang w:val="en-GB"/>
        </w:rPr>
        <w:tab/>
        <w:t>Active antennas</w:t>
      </w:r>
      <w:bookmarkEnd w:id="267"/>
      <w:bookmarkEnd w:id="268"/>
      <w:bookmarkEnd w:id="269"/>
      <w:bookmarkEnd w:id="270"/>
      <w:bookmarkEnd w:id="271"/>
      <w:bookmarkEnd w:id="272"/>
    </w:p>
    <w:p w:rsidR="00016D83" w:rsidRPr="0019555C" w:rsidRDefault="00016D83" w:rsidP="00016D83">
      <w:pPr>
        <w:rPr>
          <w:lang w:val="en-GB" w:eastAsia="ja-JP"/>
        </w:rPr>
      </w:pPr>
      <w:r w:rsidRPr="0019555C">
        <w:rPr>
          <w:lang w:val="en-GB"/>
        </w:rPr>
        <w:t xml:space="preserve">Near future evolution in the antenna technology may be related to the deployment of new mobile access networks, LTE and 4G, which will use smaller size cell footprint, especially in urban areas, the backhauling will require denser and shorter link networks </w:t>
      </w:r>
      <w:r w:rsidRPr="0019555C">
        <w:rPr>
          <w:lang w:val="en-GB" w:eastAsia="ja-JP"/>
        </w:rPr>
        <w:t>(see § 4.3.2)</w:t>
      </w:r>
      <w:r w:rsidRPr="0019555C">
        <w:rPr>
          <w:lang w:val="en-GB"/>
        </w:rPr>
        <w:t xml:space="preserve">. </w:t>
      </w:r>
      <w:r w:rsidRPr="0019555C">
        <w:rPr>
          <w:lang w:val="en-GB" w:eastAsia="ja-JP"/>
        </w:rPr>
        <w:t xml:space="preserve">For active antenna systems used in base stations of IMT systems, Report ITU-R M.2334-0 addresses </w:t>
      </w:r>
      <w:r w:rsidRPr="0019555C">
        <w:rPr>
          <w:lang w:val="en-GB" w:eastAsia="zh-CN"/>
        </w:rPr>
        <w:t>several aspect</w:t>
      </w:r>
      <w:r w:rsidRPr="0019555C">
        <w:rPr>
          <w:lang w:val="en-GB" w:eastAsia="ja-JP"/>
        </w:rPr>
        <w:t>s of these systems</w:t>
      </w:r>
      <w:r w:rsidRPr="0019555C">
        <w:rPr>
          <w:lang w:val="en-GB" w:eastAsia="zh-CN"/>
        </w:rPr>
        <w:t>.</w:t>
      </w:r>
      <w:r w:rsidRPr="0019555C">
        <w:rPr>
          <w:rFonts w:eastAsia="Batang"/>
          <w:lang w:val="en-GB"/>
        </w:rPr>
        <w:t xml:space="preserve"> </w:t>
      </w:r>
      <w:r w:rsidRPr="0019555C">
        <w:rPr>
          <w:lang w:val="en-GB"/>
        </w:rPr>
        <w:t xml:space="preserve">In addition equipment may be installed on light poles at street level and shall not have a large visual impact. This will drive the use of smaller antenna which would likely be integral to the equipment itself. </w:t>
      </w:r>
    </w:p>
    <w:p w:rsidR="00016D83" w:rsidRPr="0019555C" w:rsidRDefault="00016D83" w:rsidP="00016D83">
      <w:pPr>
        <w:rPr>
          <w:lang w:val="en-GB"/>
        </w:rPr>
      </w:pPr>
      <w:r w:rsidRPr="0019555C">
        <w:rPr>
          <w:lang w:val="en-GB"/>
        </w:rPr>
        <w:lastRenderedPageBreak/>
        <w:t>This could highly help in link activation and for compensate slight modification in pointing due to poles vibrations and bending due to various unpredictable reasons (road works, car accidents); it</w:t>
      </w:r>
      <w:r w:rsidR="002D354C">
        <w:rPr>
          <w:lang w:val="en-GB"/>
        </w:rPr>
        <w:t> </w:t>
      </w:r>
      <w:r w:rsidRPr="0019555C">
        <w:rPr>
          <w:lang w:val="en-GB"/>
        </w:rPr>
        <w:t>could possibly help in reducing effect of multipath reflections from buildings nearby.</w:t>
      </w:r>
    </w:p>
    <w:p w:rsidR="00016D83" w:rsidRPr="0019555C" w:rsidRDefault="00016D83" w:rsidP="00016D83">
      <w:pPr>
        <w:rPr>
          <w:lang w:val="en-GB" w:eastAsia="ja-JP"/>
        </w:rPr>
      </w:pPr>
      <w:r w:rsidRPr="0019555C">
        <w:rPr>
          <w:lang w:val="en-GB"/>
        </w:rPr>
        <w:t>The consequent loss of directivity might be compensated using steering antenna, which can keep pointing in adaptive way even in a</w:t>
      </w:r>
      <w:r w:rsidRPr="0019555C">
        <w:rPr>
          <w:lang w:val="en-GB" w:eastAsia="ja-JP"/>
        </w:rPr>
        <w:t>n</w:t>
      </w:r>
      <w:r w:rsidRPr="0019555C">
        <w:rPr>
          <w:lang w:val="en-GB"/>
        </w:rPr>
        <w:t xml:space="preserve"> urban and changing environment where pole can be bent causing pointing misalignment (see Fig. </w:t>
      </w:r>
      <w:r w:rsidRPr="0019555C">
        <w:rPr>
          <w:lang w:val="en-GB" w:eastAsia="ja-JP"/>
        </w:rPr>
        <w:t>20a</w:t>
      </w:r>
      <w:r w:rsidRPr="0019555C">
        <w:rPr>
          <w:lang w:val="en-GB"/>
        </w:rPr>
        <w:t xml:space="preserve">). </w:t>
      </w:r>
    </w:p>
    <w:p w:rsidR="00016D83" w:rsidRPr="0019555C" w:rsidRDefault="00016D83" w:rsidP="00016D83">
      <w:pPr>
        <w:rPr>
          <w:lang w:val="en-GB"/>
        </w:rPr>
      </w:pPr>
      <w:r w:rsidRPr="0019555C">
        <w:rPr>
          <w:lang w:val="en-GB"/>
        </w:rPr>
        <w:t xml:space="preserve">Furthermore, active antennas may also be driven by “beam-forming” algorithms for minimising interference, i.e. </w:t>
      </w:r>
      <w:r w:rsidRPr="0019555C">
        <w:rPr>
          <w:lang w:val="en-GB" w:eastAsia="ja-JP"/>
        </w:rPr>
        <w:t>minimizing</w:t>
      </w:r>
      <w:r w:rsidRPr="0019555C">
        <w:rPr>
          <w:lang w:val="en-GB"/>
        </w:rPr>
        <w:t xml:space="preserve"> </w:t>
      </w:r>
      <w:r w:rsidRPr="0019555C">
        <w:rPr>
          <w:lang w:val="en-GB" w:eastAsia="ja-JP"/>
        </w:rPr>
        <w:t xml:space="preserve">the gain </w:t>
      </w:r>
      <w:r w:rsidRPr="0019555C">
        <w:rPr>
          <w:lang w:val="en-GB"/>
        </w:rPr>
        <w:t>in the direction of the higher interference eventually detected. This might become of major interest in dense urban environment for street level BS backhauling where reflection/diffraction phenomena become of importance.</w:t>
      </w:r>
    </w:p>
    <w:p w:rsidR="00016D83" w:rsidRPr="0019555C" w:rsidRDefault="00016D83" w:rsidP="00016D83">
      <w:pPr>
        <w:pStyle w:val="FigureNo"/>
        <w:rPr>
          <w:lang w:val="en-GB"/>
        </w:rPr>
      </w:pPr>
      <w:r w:rsidRPr="0019555C">
        <w:rPr>
          <w:lang w:val="en-GB"/>
        </w:rPr>
        <w:t>FIGURE 20</w:t>
      </w:r>
    </w:p>
    <w:p w:rsidR="00016D83" w:rsidRPr="0019555C" w:rsidRDefault="00016D83" w:rsidP="00016D83">
      <w:pPr>
        <w:pStyle w:val="Figuretitle"/>
        <w:rPr>
          <w:szCs w:val="24"/>
          <w:lang w:val="en-GB" w:eastAsia="ja-JP"/>
        </w:rPr>
      </w:pPr>
      <w:r w:rsidRPr="0019555C">
        <w:rPr>
          <w:lang w:val="en-GB" w:eastAsia="ja-JP"/>
        </w:rPr>
        <w:t>a) Antenna with steering beam (both transmitting and receiving)</w:t>
      </w:r>
      <w:r w:rsidRPr="0019555C">
        <w:rPr>
          <w:szCs w:val="24"/>
          <w:lang w:val="en-GB" w:eastAsia="ja-JP"/>
        </w:rPr>
        <w:t xml:space="preserve"> </w:t>
      </w:r>
    </w:p>
    <w:p w:rsidR="00016D83" w:rsidRPr="0019555C" w:rsidRDefault="00016D83" w:rsidP="00016D83">
      <w:pPr>
        <w:pStyle w:val="Figure"/>
        <w:keepNext/>
        <w:rPr>
          <w:highlight w:val="cyan"/>
          <w:lang w:val="en-GB"/>
        </w:rPr>
      </w:pPr>
      <w:r w:rsidRPr="0019555C">
        <w:rPr>
          <w:noProof/>
          <w:highlight w:val="cyan"/>
          <w:lang w:val="en-US" w:eastAsia="zh-CN"/>
        </w:rPr>
        <w:drawing>
          <wp:inline distT="0" distB="0" distL="0" distR="0" wp14:anchorId="30DB11E6" wp14:editId="5F4A6BCF">
            <wp:extent cx="2642223" cy="1499236"/>
            <wp:effectExtent l="0" t="0" r="0" b="0"/>
            <wp:docPr id="190"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642997" cy="1499675"/>
                    </a:xfrm>
                    <a:prstGeom prst="rect">
                      <a:avLst/>
                    </a:prstGeom>
                  </pic:spPr>
                </pic:pic>
              </a:graphicData>
            </a:graphic>
          </wp:inline>
        </w:drawing>
      </w:r>
    </w:p>
    <w:p w:rsidR="00016D83" w:rsidRPr="0019555C" w:rsidRDefault="00016D83" w:rsidP="00016D83">
      <w:pPr>
        <w:pStyle w:val="Figuretitle"/>
        <w:rPr>
          <w:lang w:val="en-GB"/>
        </w:rPr>
      </w:pPr>
      <w:r w:rsidRPr="0019555C">
        <w:rPr>
          <w:lang w:val="en-GB"/>
        </w:rPr>
        <w:t>b) Antenna with beamforming capability (both transmitting and receiving)</w:t>
      </w:r>
    </w:p>
    <w:p w:rsidR="00016D83" w:rsidRPr="0019555C" w:rsidRDefault="00016D83" w:rsidP="00016D83">
      <w:pPr>
        <w:pStyle w:val="Figure"/>
        <w:rPr>
          <w:lang w:val="en-GB"/>
        </w:rPr>
      </w:pPr>
      <w:r w:rsidRPr="0019555C">
        <w:rPr>
          <w:lang w:val="en-GB"/>
        </w:rPr>
        <w:object w:dxaOrig="7071" w:dyaOrig="5299">
          <v:shape id="_x0000_i1028" type="#_x0000_t75" style="width:208.5pt;height:158.4pt" o:ole="">
            <v:imagedata r:id="rId40" o:title=""/>
          </v:shape>
          <o:OLEObject Type="Embed" ProgID="PowerPoint.Slide.12" ShapeID="_x0000_i1028" DrawAspect="Content" ObjectID="_1487763913" r:id="rId41"/>
        </w:object>
      </w:r>
    </w:p>
    <w:p w:rsidR="00016D83" w:rsidRPr="0019555C" w:rsidRDefault="00016D83" w:rsidP="00016D83">
      <w:pPr>
        <w:pStyle w:val="Heading3"/>
        <w:rPr>
          <w:lang w:val="en-GB"/>
        </w:rPr>
      </w:pPr>
      <w:bookmarkStart w:id="273" w:name="_Toc388871250"/>
      <w:bookmarkStart w:id="274" w:name="_Toc403043926"/>
      <w:bookmarkStart w:id="275" w:name="_Toc403044030"/>
      <w:bookmarkStart w:id="276" w:name="_Toc414014615"/>
      <w:bookmarkStart w:id="277" w:name="_Toc414014788"/>
      <w:r w:rsidRPr="0019555C">
        <w:rPr>
          <w:lang w:val="en-GB"/>
        </w:rPr>
        <w:t>4.</w:t>
      </w:r>
      <w:r w:rsidRPr="0019555C">
        <w:rPr>
          <w:lang w:val="en-GB" w:eastAsia="ja-JP"/>
        </w:rPr>
        <w:t>3</w:t>
      </w:r>
      <w:r w:rsidRPr="0019555C">
        <w:rPr>
          <w:lang w:val="en-GB"/>
        </w:rPr>
        <w:t>.3</w:t>
      </w:r>
      <w:r w:rsidRPr="0019555C">
        <w:rPr>
          <w:lang w:val="en-GB"/>
        </w:rPr>
        <w:tab/>
        <w:t>Further evolutionary scenario</w:t>
      </w:r>
      <w:bookmarkEnd w:id="273"/>
      <w:bookmarkEnd w:id="274"/>
      <w:bookmarkEnd w:id="275"/>
      <w:bookmarkEnd w:id="276"/>
      <w:bookmarkEnd w:id="277"/>
      <w:r w:rsidRPr="0019555C">
        <w:rPr>
          <w:lang w:val="en-GB"/>
        </w:rPr>
        <w:t xml:space="preserve"> </w:t>
      </w:r>
    </w:p>
    <w:p w:rsidR="00016D83" w:rsidRPr="0019555C" w:rsidRDefault="00016D83" w:rsidP="00016D83">
      <w:pPr>
        <w:keepNext/>
        <w:keepLines/>
        <w:rPr>
          <w:lang w:val="en-GB"/>
        </w:rPr>
      </w:pPr>
      <w:r w:rsidRPr="0019555C">
        <w:rPr>
          <w:lang w:val="en-GB"/>
        </w:rPr>
        <w:t>Other technological evolutions are under assessment for possible applications in the FS marketplace related to the evaluation of the possible options for effective backhauling evolution of mobile systems (i.e. related to small cells deployment and to significant increase in traffic capacity):</w:t>
      </w:r>
    </w:p>
    <w:p w:rsidR="00016D83" w:rsidRPr="0019555C" w:rsidRDefault="00016D83" w:rsidP="00016D83">
      <w:pPr>
        <w:pStyle w:val="enumlev1"/>
        <w:rPr>
          <w:lang w:val="en-GB"/>
        </w:rPr>
      </w:pPr>
      <w:r w:rsidRPr="0019555C">
        <w:rPr>
          <w:lang w:val="en-GB"/>
        </w:rPr>
        <w:t>–</w:t>
      </w:r>
      <w:r w:rsidRPr="0019555C">
        <w:rPr>
          <w:lang w:val="en-GB"/>
        </w:rPr>
        <w:tab/>
        <w:t>Non Line of Sight (NLOS) or Quasi Line of Sight (QLOS) backhauling applications in low frequency bands (typically below, but not limited to, 6 GHz</w:t>
      </w:r>
      <w:r w:rsidRPr="0019555C">
        <w:rPr>
          <w:rStyle w:val="FootnoteReference"/>
          <w:lang w:val="en-GB"/>
        </w:rPr>
        <w:footnoteReference w:id="10"/>
      </w:r>
      <w:r w:rsidRPr="0019555C">
        <w:rPr>
          <w:lang w:val="en-GB"/>
        </w:rPr>
        <w:t xml:space="preserve">); which may solve the interconnection of mobile pico-cells at street levels. An important part of the challenge is the search for suitable frequency band(s) for such applications; it is well known that </w:t>
      </w:r>
      <w:r w:rsidRPr="0019555C">
        <w:rPr>
          <w:lang w:val="en-GB"/>
        </w:rPr>
        <w:lastRenderedPageBreak/>
        <w:t xml:space="preserve">frequency resources below 6 GHz are very scarce and most of the “fixed allocations” have already been switched to, or looked for, MWA/BWA use, which imply, in common practice, that the bands are usually auctioned in blocks of relatively small size. This has already generated the idea of “in-band backhauling” (i.e. the use of the same auctioned block for both access and backhauling); however, this sometimes conflicts with the national licensing/auctioning rules (e.g. requiring “access only”) or, in any case, imply that the backhaul capacity would reduce the access capability and that, standing the limited block bandwidth, there will be strong limitation to the planning of P-P links (in term of capacity and availability of channels for interference reduction purpose). A second option could be the “off-band backhauling” (i.e. the use of a frequency band different from that of the access); possibly, the few bands still in use for conventional coordinated P-P deployment (e.g. 1.5 GHz, 2 GHz and 4 GHz), but not presently expected to support new systems deployment (see band-by-band analysis in Annex 1), might be taken into consideration. </w:t>
      </w:r>
      <w:r w:rsidR="00CC506F">
        <w:rPr>
          <w:lang w:val="en-GB"/>
        </w:rPr>
        <w:t>A </w:t>
      </w:r>
      <w:r w:rsidRPr="0019555C">
        <w:rPr>
          <w:lang w:val="en-GB"/>
        </w:rPr>
        <w:t>third option of using license exempt bands (e.g. 2.4 GHz and 5 GHz), provided that e.i.r.p. limitation currently enforced would permit practical P-P application could be limited by the already extensive use for “urban” applications (RLAN) and highly impacting technical limitations (DFS for primary radars protection); nevertheless, it still deserves careful analysis. Last but not least, recent field tests [HANSRYD J. and EDSTAM J. (January 2011)] have shown encouraging results in NLOS behaviour of links in the frequency range about 20 to 30 GHz</w:t>
      </w:r>
    </w:p>
    <w:p w:rsidR="00016D83" w:rsidRPr="0019555C" w:rsidRDefault="00016D83" w:rsidP="00016D83">
      <w:pPr>
        <w:pStyle w:val="enumlev1"/>
        <w:rPr>
          <w:lang w:val="en-GB"/>
        </w:rPr>
      </w:pPr>
      <w:r w:rsidRPr="0019555C">
        <w:rPr>
          <w:lang w:val="en-GB"/>
        </w:rPr>
        <w:t>–</w:t>
      </w:r>
      <w:r w:rsidRPr="0019555C">
        <w:rPr>
          <w:lang w:val="en-GB"/>
        </w:rPr>
        <w:tab/>
        <w:t>Multiple-Input and Multiple-Output (MIMO) systems; this is a technology currently looked at for MWA systems; however, it can be effectively applied for PP links in higher bands, e.g. above 15 GHz, where the required spatial distance of the various antennas becomes practical (see Fig. 23). Figure 23 shows an optimal distance for a maximum capacity increases function of frequency and length. This technology could increase capacity (Spatial Multiplexing) and/or link availability (Space Coding).</w:t>
      </w:r>
    </w:p>
    <w:p w:rsidR="00016D83" w:rsidRPr="0019555C" w:rsidRDefault="00016D83" w:rsidP="00016D83">
      <w:pPr>
        <w:pStyle w:val="enumlev1"/>
        <w:rPr>
          <w:lang w:val="en-GB"/>
        </w:rPr>
      </w:pPr>
      <w:r w:rsidRPr="0019555C">
        <w:rPr>
          <w:lang w:val="en-GB"/>
        </w:rPr>
        <w:t>–</w:t>
      </w:r>
      <w:r w:rsidRPr="0019555C">
        <w:rPr>
          <w:lang w:val="en-GB"/>
        </w:rPr>
        <w:tab/>
        <w:t>Significant deployment of high frequency bands, larger channel size and short hop length FWS are expected trend in coming years with large scale deployment of new broadband mobile technologies (e.g. IMT-Advanced system). Furthermore a combination of MIMO and Dual-Polarization frequency reuse system is becoming suitable in order to exploit dual-polarized antenna to simplify the deployment in field (see Annex 3). An example of systems using the Multi-Polarized MIMO technology in 18 GHz band is shown in Annex 3 [ETSI TR 102 311].</w:t>
      </w:r>
    </w:p>
    <w:p w:rsidR="00016D83" w:rsidRPr="0019555C" w:rsidRDefault="00016D83" w:rsidP="00016D83">
      <w:pPr>
        <w:pStyle w:val="FigureNo"/>
        <w:rPr>
          <w:lang w:val="en-GB"/>
        </w:rPr>
      </w:pPr>
      <w:r w:rsidRPr="0019555C">
        <w:rPr>
          <w:lang w:val="en-GB"/>
        </w:rPr>
        <w:lastRenderedPageBreak/>
        <w:t xml:space="preserve">FIGURE </w:t>
      </w:r>
      <w:r w:rsidRPr="0019555C">
        <w:rPr>
          <w:lang w:val="en-GB" w:eastAsia="ja-JP"/>
        </w:rPr>
        <w:t>23</w:t>
      </w:r>
    </w:p>
    <w:p w:rsidR="00016D83" w:rsidRPr="0019555C" w:rsidRDefault="00016D83" w:rsidP="00016D83">
      <w:pPr>
        <w:pStyle w:val="Figuretitle"/>
        <w:rPr>
          <w:lang w:val="en-GB" w:eastAsia="ja-JP"/>
        </w:rPr>
      </w:pPr>
      <w:r w:rsidRPr="0019555C">
        <w:rPr>
          <w:lang w:val="en-GB" w:eastAsia="ja-JP"/>
        </w:rPr>
        <w:t>Antenna spacing for maximal orthogonal case (d</w:t>
      </w:r>
      <w:r w:rsidRPr="0019555C">
        <w:rPr>
          <w:vertAlign w:val="subscript"/>
          <w:lang w:val="en-GB" w:eastAsia="ja-JP"/>
        </w:rPr>
        <w:t>opt</w:t>
      </w:r>
      <w:r w:rsidRPr="0019555C">
        <w:rPr>
          <w:lang w:val="en-GB" w:eastAsia="ja-JP"/>
        </w:rPr>
        <w:t>)</w:t>
      </w:r>
    </w:p>
    <w:bookmarkStart w:id="278" w:name="_MON_1476456400"/>
    <w:bookmarkEnd w:id="278"/>
    <w:p w:rsidR="00016D83" w:rsidRPr="0019555C" w:rsidRDefault="00016D83" w:rsidP="00016D83">
      <w:pPr>
        <w:pStyle w:val="Figure"/>
        <w:rPr>
          <w:lang w:val="en-GB"/>
        </w:rPr>
      </w:pPr>
      <w:r w:rsidRPr="0019555C">
        <w:rPr>
          <w:lang w:val="en-GB"/>
        </w:rPr>
        <w:object w:dxaOrig="9585" w:dyaOrig="6869">
          <v:shape id="_x0000_i1029" type="#_x0000_t75" style="width:309.3pt;height:223.5pt;mso-position-vertical:absolute" o:ole="">
            <v:imagedata r:id="rId42" o:title=""/>
          </v:shape>
          <o:OLEObject Type="Embed" ProgID="Word.Picture.8" ShapeID="_x0000_i1029" DrawAspect="Content" ObjectID="_1487763914" r:id="rId43"/>
        </w:object>
      </w:r>
    </w:p>
    <w:p w:rsidR="00016D83" w:rsidRPr="0019555C" w:rsidRDefault="00016D83" w:rsidP="00016D83">
      <w:pPr>
        <w:pStyle w:val="enumlev1"/>
        <w:rPr>
          <w:lang w:val="en-GB"/>
        </w:rPr>
      </w:pPr>
      <w:r w:rsidRPr="0019555C">
        <w:rPr>
          <w:lang w:val="en-GB"/>
        </w:rPr>
        <w:t>–</w:t>
      </w:r>
      <w:r w:rsidRPr="0019555C">
        <w:rPr>
          <w:lang w:val="en-GB"/>
        </w:rPr>
        <w:tab/>
        <w:t>Value of IP/MPLS networking in mobile backhaul: The need for increased networking capabilities in any network domain is pushing an increased adoption of the IP/MPLS protocol suite. The use of IP/MPLS networking in the mobile backhaul and aggregation network brings a number of advantages to the overall solution:</w:t>
      </w:r>
    </w:p>
    <w:p w:rsidR="00016D83" w:rsidRPr="0019555C" w:rsidRDefault="00016D83" w:rsidP="00016D83">
      <w:pPr>
        <w:pStyle w:val="enumlev2"/>
        <w:rPr>
          <w:lang w:val="en-GB"/>
        </w:rPr>
      </w:pPr>
      <w:r w:rsidRPr="0019555C">
        <w:rPr>
          <w:lang w:val="en-GB"/>
        </w:rPr>
        <w:t>•</w:t>
      </w:r>
      <w:r w:rsidRPr="0019555C">
        <w:rPr>
          <w:lang w:val="en-GB"/>
        </w:rPr>
        <w:tab/>
        <w:t>IP/MPLS operates over any Layer 1 media or Layer 2 protocol, allowing a great deal of freedom to leverage available media types (e.g. copper, fiber and microwave) for cost-effective scaling.</w:t>
      </w:r>
    </w:p>
    <w:p w:rsidR="00016D83" w:rsidRPr="0019555C" w:rsidRDefault="00016D83" w:rsidP="00016D83">
      <w:pPr>
        <w:pStyle w:val="enumlev2"/>
        <w:rPr>
          <w:lang w:val="en-GB"/>
        </w:rPr>
      </w:pPr>
      <w:r w:rsidRPr="0019555C">
        <w:rPr>
          <w:lang w:val="en-GB"/>
        </w:rPr>
        <w:t>•</w:t>
      </w:r>
      <w:r w:rsidRPr="0019555C">
        <w:rPr>
          <w:lang w:val="en-GB"/>
        </w:rPr>
        <w:tab/>
        <w:t>IP/MPLS can operate efficiently over a wide variety of topologies (e.g. linear, tree mesh and ring) with consistent, rapid protection techniques. Flexible architectures and resiliency techniques bring improved network availability. IP/MPLS architectures are ready to offer point-to-point, and point-to-multipoint, Layer 2- and Layer 3-based transport, providing a seamless evolution path for the support of LTE.</w:t>
      </w:r>
    </w:p>
    <w:p w:rsidR="00016D83" w:rsidRPr="0019555C" w:rsidRDefault="00016D83" w:rsidP="00016D83">
      <w:pPr>
        <w:pStyle w:val="enumlev2"/>
        <w:rPr>
          <w:lang w:val="en-GB"/>
        </w:rPr>
      </w:pPr>
      <w:r w:rsidRPr="0019555C">
        <w:rPr>
          <w:lang w:val="en-GB"/>
        </w:rPr>
        <w:t>•</w:t>
      </w:r>
      <w:r w:rsidRPr="0019555C">
        <w:rPr>
          <w:lang w:val="en-GB"/>
        </w:rPr>
        <w:tab/>
        <w:t xml:space="preserve">Powerful management tools, based on both MPLS and Ethernet operations, administration, and maintenance (OAM) standards, provide visibility and proactive control at the link, connection and service levels. Common tool suites allow rapid deployment and service level agreement (SLA) validation for fast time to revenue. </w:t>
      </w:r>
    </w:p>
    <w:p w:rsidR="00016D83" w:rsidRPr="0019555C" w:rsidRDefault="00016D83" w:rsidP="00016D83">
      <w:pPr>
        <w:pStyle w:val="enumlev1"/>
        <w:rPr>
          <w:lang w:val="en-GB" w:eastAsia="ja-JP"/>
        </w:rPr>
      </w:pPr>
      <w:r w:rsidRPr="0019555C">
        <w:rPr>
          <w:lang w:val="en-GB"/>
        </w:rPr>
        <w:t>–</w:t>
      </w:r>
      <w:r w:rsidRPr="0019555C">
        <w:rPr>
          <w:lang w:val="en-GB"/>
        </w:rPr>
        <w:tab/>
        <w:t xml:space="preserve">IP/MPLS </w:t>
      </w:r>
      <w:r w:rsidR="001C62B4" w:rsidRPr="0019555C">
        <w:rPr>
          <w:lang w:val="en-GB"/>
        </w:rPr>
        <w:t xml:space="preserve">for 2G, 3G, and LTE transport: </w:t>
      </w:r>
      <w:r w:rsidRPr="0019555C">
        <w:rPr>
          <w:lang w:val="en-GB"/>
        </w:rPr>
        <w:t>In 2G and 3G deployments, all mobile traffic is typically backhauled between the base station and the radio controller complex in a hub-and-spoke architecture. When evolving to LTE, to optimize the RAN architecture, the radio controller function is embedded in the enhanced Node B (eNB). Therefore inter-eNB communication may now be required during handoff for both control and data plane traffic, in addition to communication between eNBs and packet gateways at the mobile office. IP/MPLS can concurrently support a diverse set of networki</w:t>
      </w:r>
      <w:r w:rsidR="00CC506F">
        <w:rPr>
          <w:lang w:val="en-GB"/>
        </w:rPr>
        <w:t>ng capabilities including Layer </w:t>
      </w:r>
      <w:r w:rsidRPr="0019555C">
        <w:rPr>
          <w:lang w:val="en-GB"/>
        </w:rPr>
        <w:t>2 and Layer 3 virtual private networks (VPNs), which can be deployed to support the evolving business and technical requirements of the operator, on a common MPLS infrastructure.</w:t>
      </w:r>
    </w:p>
    <w:p w:rsidR="00016D83" w:rsidRPr="0019555C" w:rsidDel="004053A8" w:rsidRDefault="00016D83" w:rsidP="00016D83">
      <w:pPr>
        <w:pStyle w:val="Heading2"/>
        <w:rPr>
          <w:lang w:val="en-GB"/>
        </w:rPr>
      </w:pPr>
      <w:bookmarkStart w:id="279" w:name="_Toc388871251"/>
      <w:bookmarkStart w:id="280" w:name="_Toc403043927"/>
      <w:bookmarkStart w:id="281" w:name="_Toc403044031"/>
      <w:bookmarkStart w:id="282" w:name="_Toc414014616"/>
      <w:bookmarkStart w:id="283" w:name="_Toc414014789"/>
      <w:r w:rsidRPr="0019555C">
        <w:rPr>
          <w:lang w:val="en-GB"/>
        </w:rPr>
        <w:lastRenderedPageBreak/>
        <w:t>4.4</w:t>
      </w:r>
      <w:r w:rsidRPr="0019555C">
        <w:rPr>
          <w:lang w:val="en-GB"/>
        </w:rPr>
        <w:tab/>
        <w:t>Gigabit millimetre-wave links</w:t>
      </w:r>
      <w:bookmarkEnd w:id="279"/>
      <w:bookmarkEnd w:id="280"/>
      <w:bookmarkEnd w:id="281"/>
      <w:bookmarkEnd w:id="282"/>
      <w:bookmarkEnd w:id="283"/>
    </w:p>
    <w:p w:rsidR="00016D83" w:rsidRPr="0019555C" w:rsidRDefault="00016D83" w:rsidP="00016D83">
      <w:pPr>
        <w:pStyle w:val="Heading3"/>
        <w:rPr>
          <w:lang w:val="en-GB"/>
        </w:rPr>
      </w:pPr>
      <w:bookmarkStart w:id="284" w:name="_Toc387091594"/>
      <w:bookmarkStart w:id="285" w:name="_Toc388871252"/>
      <w:bookmarkStart w:id="286" w:name="_Toc403043928"/>
      <w:bookmarkStart w:id="287" w:name="_Toc403044032"/>
      <w:bookmarkStart w:id="288" w:name="_Toc414014617"/>
      <w:bookmarkStart w:id="289" w:name="_Toc414014790"/>
      <w:r w:rsidRPr="0019555C">
        <w:rPr>
          <w:lang w:val="en-GB"/>
        </w:rPr>
        <w:t>4.4.1</w:t>
      </w:r>
      <w:r w:rsidRPr="0019555C">
        <w:rPr>
          <w:lang w:val="en-GB"/>
        </w:rPr>
        <w:tab/>
        <w:t>Capacity increase in millimetre-wave bands</w:t>
      </w:r>
      <w:bookmarkEnd w:id="284"/>
      <w:bookmarkEnd w:id="285"/>
      <w:bookmarkEnd w:id="286"/>
      <w:bookmarkEnd w:id="287"/>
      <w:bookmarkEnd w:id="288"/>
      <w:bookmarkEnd w:id="289"/>
    </w:p>
    <w:p w:rsidR="00016D83" w:rsidRPr="0019555C" w:rsidRDefault="00016D83" w:rsidP="00016D83">
      <w:pPr>
        <w:rPr>
          <w:lang w:val="en-GB"/>
        </w:rPr>
      </w:pPr>
      <w:r w:rsidRPr="0019555C">
        <w:rPr>
          <w:lang w:val="en-GB"/>
        </w:rPr>
        <w:t>This section provides an example of the performance of gigabit millimetre-wave links. Millimetre</w:t>
      </w:r>
      <w:r w:rsidRPr="0019555C">
        <w:rPr>
          <w:lang w:val="en-GB"/>
        </w:rPr>
        <w:noBreakHyphen/>
        <w:t xml:space="preserve">wave links are used for short-haul and high-capacity transmission because they use </w:t>
      </w:r>
      <w:r w:rsidRPr="0019555C">
        <w:rPr>
          <w:lang w:val="en-GB" w:eastAsia="ja-JP"/>
        </w:rPr>
        <w:t>millimetre-wave bands</w:t>
      </w:r>
      <w:r w:rsidRPr="0019555C">
        <w:rPr>
          <w:lang w:val="en-GB"/>
        </w:rPr>
        <w:t xml:space="preserve"> and wide channel spacing. Their large bandwidth has been used to develop a high-capacity transmission system for mobile backhaul or local access networks that can transmit STM-4 (622 Mbit/s), or Gigabit Ethernet (more than 1 000 Mbit/s).</w:t>
      </w:r>
    </w:p>
    <w:p w:rsidR="00016D83" w:rsidRPr="0019555C" w:rsidRDefault="00016D83" w:rsidP="00CC506F">
      <w:pPr>
        <w:rPr>
          <w:lang w:val="en-GB" w:eastAsia="ja-JP"/>
        </w:rPr>
      </w:pPr>
      <w:r w:rsidRPr="0019555C">
        <w:rPr>
          <w:lang w:val="en-GB" w:eastAsia="ja-JP"/>
        </w:rPr>
        <w:t xml:space="preserve">As of 2012, </w:t>
      </w:r>
      <w:r w:rsidRPr="0019555C">
        <w:rPr>
          <w:lang w:val="en-GB"/>
        </w:rPr>
        <w:t xml:space="preserve">progress in high-speed devices </w:t>
      </w:r>
      <w:r w:rsidRPr="0019555C">
        <w:rPr>
          <w:lang w:val="en-GB" w:eastAsia="ja-JP"/>
        </w:rPr>
        <w:t xml:space="preserve">has </w:t>
      </w:r>
      <w:r w:rsidRPr="0019555C">
        <w:rPr>
          <w:lang w:val="en-GB"/>
        </w:rPr>
        <w:t>enable</w:t>
      </w:r>
      <w:r w:rsidRPr="0019555C">
        <w:rPr>
          <w:lang w:val="en-GB" w:eastAsia="ja-JP"/>
        </w:rPr>
        <w:t>d</w:t>
      </w:r>
      <w:r w:rsidRPr="0019555C">
        <w:rPr>
          <w:lang w:val="en-GB"/>
        </w:rPr>
        <w:t xml:space="preserve"> the use of bands above 100 GHz for FS applications. Report ITU-R F.2107 describes a feasibility study of a 120 GHz band wireless link that </w:t>
      </w:r>
      <w:r w:rsidRPr="0019555C">
        <w:rPr>
          <w:lang w:val="en-GB" w:eastAsia="ja-JP"/>
        </w:rPr>
        <w:t>employed ASK modulation scheme, and</w:t>
      </w:r>
      <w:r w:rsidRPr="0019555C">
        <w:rPr>
          <w:lang w:val="en-GB"/>
        </w:rPr>
        <w:t xml:space="preserve"> succeeded in transmitting 10-Gbit/s data over a distance of 5.8 km.</w:t>
      </w:r>
      <w:r w:rsidRPr="0019555C">
        <w:rPr>
          <w:lang w:val="en-GB" w:eastAsia="ja-JP"/>
        </w:rPr>
        <w:t xml:space="preserve"> 120-GHz-band wireless link equipment using QPSK modulation scheme has succeeded in 10-Gbit/s data transmissions over a short distance [H. Takahashi. </w:t>
      </w:r>
      <w:r w:rsidRPr="0019555C">
        <w:rPr>
          <w:i/>
          <w:iCs/>
          <w:lang w:val="en-GB" w:eastAsia="ja-JP"/>
        </w:rPr>
        <w:t>et al.</w:t>
      </w:r>
      <w:r w:rsidRPr="0019555C">
        <w:rPr>
          <w:lang w:val="en-GB" w:eastAsia="ja-JP"/>
        </w:rPr>
        <w:t xml:space="preserve">, 2013]. Moreover, 20-Gbit/s data transmissions using polarization multiplexing using orthomode transducer have been reported [J. Takeuchi </w:t>
      </w:r>
      <w:r w:rsidRPr="0019555C">
        <w:rPr>
          <w:i/>
          <w:iCs/>
          <w:lang w:val="en-GB" w:eastAsia="ja-JP"/>
        </w:rPr>
        <w:t>et al.</w:t>
      </w:r>
      <w:r w:rsidRPr="0019555C">
        <w:rPr>
          <w:lang w:val="en-GB" w:eastAsia="ja-JP"/>
        </w:rPr>
        <w:t>, 2012].</w:t>
      </w:r>
      <w:r w:rsidRPr="0019555C">
        <w:rPr>
          <w:lang w:val="en-GB"/>
        </w:rPr>
        <w:t xml:space="preserve"> </w:t>
      </w:r>
      <w:r w:rsidRPr="0019555C">
        <w:rPr>
          <w:lang w:val="en-GB" w:eastAsia="ja-JP"/>
        </w:rPr>
        <w:t xml:space="preserve">10-Gbit/s bi-directional data transmission have been achieved by using 16 x 16-element planar slot array antenna shown in </w:t>
      </w:r>
      <w:r w:rsidR="00CC506F">
        <w:rPr>
          <w:lang w:val="en-GB" w:eastAsia="ja-JP"/>
        </w:rPr>
        <w:t>§ 4.2.1 [A. Hirata </w:t>
      </w:r>
      <w:r w:rsidRPr="0019555C">
        <w:rPr>
          <w:i/>
          <w:iCs/>
          <w:lang w:val="en-GB" w:eastAsia="ja-JP"/>
        </w:rPr>
        <w:t>et al.</w:t>
      </w:r>
      <w:r w:rsidRPr="0019555C">
        <w:rPr>
          <w:lang w:val="en-GB" w:eastAsia="ja-JP"/>
        </w:rPr>
        <w:t>, 2013]</w:t>
      </w:r>
    </w:p>
    <w:p w:rsidR="00016D83" w:rsidRPr="0019555C" w:rsidRDefault="00016D83" w:rsidP="00016D83">
      <w:pPr>
        <w:rPr>
          <w:lang w:val="en-GB" w:eastAsia="ja-JP"/>
        </w:rPr>
      </w:pPr>
      <w:r w:rsidRPr="0019555C">
        <w:rPr>
          <w:lang w:val="en-GB" w:eastAsia="ja-JP"/>
        </w:rPr>
        <w:t>S</w:t>
      </w:r>
      <w:r w:rsidRPr="0019555C">
        <w:rPr>
          <w:lang w:val="en-GB"/>
        </w:rPr>
        <w:t>tudies of over-10 Gbit/s wireless transmission using millimetre-wave bands have</w:t>
      </w:r>
      <w:r w:rsidRPr="0019555C">
        <w:rPr>
          <w:lang w:val="en-GB" w:eastAsia="ja-JP"/>
        </w:rPr>
        <w:t xml:space="preserve"> been underway since 2010.</w:t>
      </w:r>
      <w:r w:rsidRPr="0019555C">
        <w:rPr>
          <w:lang w:val="en-GB"/>
        </w:rPr>
        <w:t xml:space="preserve"> Figure </w:t>
      </w:r>
      <w:r w:rsidRPr="0019555C">
        <w:rPr>
          <w:lang w:val="en-GB" w:eastAsia="ja-JP"/>
        </w:rPr>
        <w:t>23</w:t>
      </w:r>
      <w:r w:rsidRPr="0019555C">
        <w:rPr>
          <w:lang w:val="en-GB"/>
        </w:rPr>
        <w:t xml:space="preserve"> shows the data rates of experimental millimetre-wave wireless links reported in various technical papers. Most of these reports describe</w:t>
      </w:r>
      <w:r w:rsidRPr="0019555C">
        <w:rPr>
          <w:lang w:val="en-GB" w:eastAsia="ja-JP"/>
        </w:rPr>
        <w:t>d</w:t>
      </w:r>
      <w:r w:rsidRPr="0019555C">
        <w:rPr>
          <w:lang w:val="en-GB"/>
        </w:rPr>
        <w:t xml:space="preserve"> feasibility studies of indoor millimetre</w:t>
      </w:r>
      <w:r w:rsidRPr="0019555C">
        <w:rPr>
          <w:lang w:val="en-GB"/>
        </w:rPr>
        <w:noBreakHyphen/>
        <w:t>wave wireless links. Various types of over</w:t>
      </w:r>
      <w:r w:rsidRPr="0019555C">
        <w:rPr>
          <w:lang w:val="en-GB"/>
        </w:rPr>
        <w:noBreakHyphen/>
        <w:t>10 Gbit/s wireless links have been reported, and this trend has become significant since 2010.</w:t>
      </w:r>
    </w:p>
    <w:p w:rsidR="00016D83" w:rsidRPr="0019555C" w:rsidRDefault="00016D83" w:rsidP="00016D83">
      <w:pPr>
        <w:rPr>
          <w:lang w:val="en-GB" w:eastAsia="ja-JP"/>
        </w:rPr>
      </w:pPr>
      <w:r w:rsidRPr="0019555C">
        <w:rPr>
          <w:lang w:val="en-GB"/>
        </w:rPr>
        <w:t xml:space="preserve">These improvements in the millimetre-wave wireless link </w:t>
      </w:r>
      <w:r w:rsidRPr="0019555C">
        <w:rPr>
          <w:lang w:val="en-GB" w:eastAsia="ja-JP"/>
        </w:rPr>
        <w:t xml:space="preserve">shown in Fig. 24 </w:t>
      </w:r>
      <w:r w:rsidRPr="0019555C">
        <w:rPr>
          <w:lang w:val="en-GB"/>
        </w:rPr>
        <w:t xml:space="preserve">were achieved by the introduction of high-order modulation scheme or the increase of </w:t>
      </w:r>
      <w:r w:rsidRPr="0019555C">
        <w:rPr>
          <w:lang w:val="en-GB" w:eastAsia="ja-JP"/>
        </w:rPr>
        <w:t>bandwidth available with the use of higher frequency bands</w:t>
      </w:r>
      <w:r w:rsidRPr="0019555C">
        <w:rPr>
          <w:lang w:val="en-GB"/>
        </w:rPr>
        <w:t xml:space="preserve">. These technologies </w:t>
      </w:r>
      <w:r w:rsidRPr="0019555C">
        <w:rPr>
          <w:lang w:val="en-GB" w:eastAsia="ja-JP"/>
        </w:rPr>
        <w:t xml:space="preserve">are expected to be </w:t>
      </w:r>
      <w:r w:rsidRPr="0019555C">
        <w:rPr>
          <w:lang w:val="en-GB"/>
        </w:rPr>
        <w:t xml:space="preserve">introduced into FWS in the near future. Gigabit operation in the 57-64 GHz range using high gain directional antenna arrays is also capable of providing multiple gigabit operation in support of point-to-point links using technologies such as IEEE Std 802.11ad. </w:t>
      </w:r>
    </w:p>
    <w:p w:rsidR="00016D83" w:rsidRPr="0019555C" w:rsidRDefault="00016D83" w:rsidP="00016D83">
      <w:pPr>
        <w:pStyle w:val="FigureNo"/>
        <w:rPr>
          <w:lang w:val="en-GB"/>
        </w:rPr>
      </w:pPr>
      <w:r w:rsidRPr="0019555C">
        <w:rPr>
          <w:lang w:val="en-GB"/>
        </w:rPr>
        <w:t>FIGURE 24</w:t>
      </w:r>
    </w:p>
    <w:p w:rsidR="00016D83" w:rsidRPr="0019555C" w:rsidRDefault="00016D83" w:rsidP="00016D83">
      <w:pPr>
        <w:pStyle w:val="Figuretitle"/>
        <w:rPr>
          <w:lang w:val="en-GB"/>
        </w:rPr>
      </w:pPr>
      <w:r w:rsidRPr="0019555C">
        <w:rPr>
          <w:lang w:val="en-GB"/>
        </w:rPr>
        <w:t>Data rates of experimental millimetre-wave wireless links</w:t>
      </w:r>
    </w:p>
    <w:p w:rsidR="00016D83" w:rsidRPr="0019555C" w:rsidRDefault="00016D83" w:rsidP="00016D83">
      <w:pPr>
        <w:pStyle w:val="Figure"/>
        <w:rPr>
          <w:lang w:val="en-GB" w:eastAsia="ja-JP"/>
        </w:rPr>
      </w:pPr>
      <w:r w:rsidRPr="0019555C">
        <w:rPr>
          <w:noProof/>
          <w:lang w:val="en-US" w:eastAsia="zh-CN"/>
        </w:rPr>
        <w:drawing>
          <wp:inline distT="0" distB="0" distL="0" distR="0" wp14:anchorId="4516DA70" wp14:editId="18C6C64B">
            <wp:extent cx="4324350" cy="2647950"/>
            <wp:effectExtent l="0" t="0" r="0" b="0"/>
            <wp:docPr id="1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4350" cy="2647950"/>
                    </a:xfrm>
                    <a:prstGeom prst="rect">
                      <a:avLst/>
                    </a:prstGeom>
                    <a:noFill/>
                    <a:ln>
                      <a:noFill/>
                    </a:ln>
                  </pic:spPr>
                </pic:pic>
              </a:graphicData>
            </a:graphic>
          </wp:inline>
        </w:drawing>
      </w:r>
    </w:p>
    <w:p w:rsidR="00016D83" w:rsidRPr="0019555C" w:rsidRDefault="00016D83" w:rsidP="00016D83">
      <w:pPr>
        <w:rPr>
          <w:lang w:val="en-GB" w:eastAsia="ko-KR"/>
        </w:rPr>
      </w:pPr>
    </w:p>
    <w:p w:rsidR="00016D83" w:rsidRPr="0019555C" w:rsidRDefault="00016D83" w:rsidP="00016D83">
      <w:pPr>
        <w:pStyle w:val="Heading3"/>
        <w:rPr>
          <w:lang w:val="en-GB"/>
        </w:rPr>
      </w:pPr>
      <w:bookmarkStart w:id="290" w:name="_Toc387091595"/>
      <w:bookmarkStart w:id="291" w:name="_Toc388871253"/>
      <w:bookmarkStart w:id="292" w:name="_Toc403043929"/>
      <w:bookmarkStart w:id="293" w:name="_Toc403044033"/>
      <w:bookmarkStart w:id="294" w:name="_Toc414014618"/>
      <w:bookmarkStart w:id="295" w:name="_Toc414014791"/>
      <w:r w:rsidRPr="0019555C">
        <w:rPr>
          <w:lang w:val="en-GB"/>
        </w:rPr>
        <w:lastRenderedPageBreak/>
        <w:t>4.4.2</w:t>
      </w:r>
      <w:r w:rsidRPr="0019555C">
        <w:rPr>
          <w:lang w:val="en-GB"/>
        </w:rPr>
        <w:tab/>
        <w:t>Equipment simplification technology for high capacity transmission</w:t>
      </w:r>
      <w:bookmarkEnd w:id="290"/>
      <w:bookmarkEnd w:id="291"/>
      <w:bookmarkEnd w:id="292"/>
      <w:bookmarkEnd w:id="293"/>
      <w:bookmarkEnd w:id="294"/>
      <w:bookmarkEnd w:id="295"/>
    </w:p>
    <w:p w:rsidR="00016D83" w:rsidRPr="0019555C" w:rsidRDefault="00016D83" w:rsidP="00016D83">
      <w:pPr>
        <w:rPr>
          <w:rFonts w:eastAsia="MS PMincho"/>
          <w:lang w:val="en-GB" w:eastAsia="ja-JP"/>
        </w:rPr>
      </w:pPr>
      <w:r w:rsidRPr="0019555C">
        <w:rPr>
          <w:rFonts w:eastAsia="MS PMincho"/>
          <w:lang w:val="en-GB" w:eastAsia="ja-JP"/>
        </w:rPr>
        <w:t>This section also provides an example of a system of gigabit millimetre-wave links using the impulse radio (IR) technology which allows more advanced equipment. The IR technology is much suitable to achieve gigabit class communication in higher portion of certain millimetre wave bands, where wider bandwidth is available.</w:t>
      </w:r>
    </w:p>
    <w:p w:rsidR="00016D83" w:rsidRPr="0019555C" w:rsidRDefault="00016D83" w:rsidP="00016D83">
      <w:pPr>
        <w:rPr>
          <w:rFonts w:eastAsia="MS PMincho"/>
          <w:lang w:val="en-GB" w:eastAsia="ja-JP"/>
        </w:rPr>
      </w:pPr>
      <w:r w:rsidRPr="0019555C">
        <w:rPr>
          <w:rFonts w:eastAsia="MS PMincho"/>
          <w:lang w:val="en-GB" w:eastAsia="ja-JP"/>
        </w:rPr>
        <w:t>The IR technology is based on an ultra-short pulse generator and eliminates the need of an up</w:t>
      </w:r>
      <w:r w:rsidRPr="0019555C">
        <w:rPr>
          <w:rFonts w:eastAsia="MS PMincho"/>
          <w:lang w:val="en-GB" w:eastAsia="ja-JP"/>
        </w:rPr>
        <w:noBreakHyphen/>
        <w:t>or</w:t>
      </w:r>
      <w:r w:rsidRPr="0019555C">
        <w:rPr>
          <w:rFonts w:eastAsia="MS PMincho"/>
          <w:lang w:val="en-GB" w:eastAsia="ja-JP"/>
        </w:rPr>
        <w:noBreakHyphen/>
        <w:t>down converter composed of oscillators, multiplier/mixer, which is used in the conventional radio technology. Moreover, this technology allows simplified configuration, facilitating size reduction, lower power consumption and lower latency [</w:t>
      </w:r>
      <w:r w:rsidRPr="0019555C">
        <w:rPr>
          <w:lang w:val="en-GB" w:eastAsia="ja-JP"/>
        </w:rPr>
        <w:t xml:space="preserve">NAKASHA, Y. </w:t>
      </w:r>
      <w:r w:rsidRPr="0019555C">
        <w:rPr>
          <w:i/>
          <w:iCs/>
          <w:lang w:val="en-GB" w:eastAsia="ja-JP"/>
        </w:rPr>
        <w:t>et al.</w:t>
      </w:r>
      <w:r w:rsidRPr="0019555C">
        <w:rPr>
          <w:lang w:val="en-GB" w:eastAsia="ja-JP"/>
        </w:rPr>
        <w:t>, 2009].</w:t>
      </w:r>
    </w:p>
    <w:p w:rsidR="00016D83" w:rsidRPr="0019555C" w:rsidRDefault="00016D83" w:rsidP="00016D83">
      <w:pPr>
        <w:rPr>
          <w:rFonts w:eastAsia="MS PMincho"/>
          <w:szCs w:val="21"/>
          <w:lang w:val="en-GB" w:eastAsia="ja-JP"/>
        </w:rPr>
      </w:pPr>
      <w:r w:rsidRPr="0019555C">
        <w:rPr>
          <w:rFonts w:eastAsia="MS PMincho"/>
          <w:lang w:val="en-GB" w:eastAsia="ja-JP"/>
        </w:rPr>
        <w:t xml:space="preserve">Figure 25 shows a conceptual diagram of the IR technology. </w:t>
      </w:r>
      <w:r w:rsidRPr="0019555C">
        <w:rPr>
          <w:rFonts w:eastAsia="MS PMincho"/>
          <w:szCs w:val="21"/>
          <w:lang w:val="en-GB" w:eastAsia="ja-JP"/>
        </w:rPr>
        <w:t xml:space="preserve">Impulse is very short pulse in time domain and wide-band (&gt;100 GHz) discrete spectrum in frequency domain. In the IR technology, adopted modulation scheme is simple On-Off Keying (OOK) (ON=”1”, OFF=”0”) and in the transmitter, an impulse signal responding to the input “1” is generated by using the ultra-short pulse generation. </w:t>
      </w:r>
    </w:p>
    <w:p w:rsidR="00016D83" w:rsidRPr="0019555C" w:rsidRDefault="00016D83" w:rsidP="00016D83">
      <w:pPr>
        <w:rPr>
          <w:rFonts w:eastAsia="MS PMincho"/>
          <w:lang w:val="en-GB" w:eastAsia="ja-JP"/>
        </w:rPr>
      </w:pPr>
      <w:r w:rsidRPr="0019555C">
        <w:rPr>
          <w:rFonts w:eastAsia="MS PMincho"/>
          <w:szCs w:val="21"/>
          <w:lang w:val="en-GB" w:eastAsia="ja-JP"/>
        </w:rPr>
        <w:t>A band pass filter (BPF) limits transmit signals in the selected band. For example, when a transmitter frequency band is that of 80 GHz (81 to 86 GHz), the BPF bandwidth is set 5 GHz. In the receiver, “1” signal is detected using envelopes of the received wave packet. This technology might have further interest for bands above higher frequency band e.g. 120 GHz or more.</w:t>
      </w:r>
    </w:p>
    <w:p w:rsidR="00016D83" w:rsidRPr="0019555C" w:rsidRDefault="00016D83" w:rsidP="00016D83">
      <w:pPr>
        <w:pStyle w:val="FigureNo"/>
        <w:rPr>
          <w:lang w:val="en-GB"/>
        </w:rPr>
      </w:pPr>
      <w:r w:rsidRPr="0019555C">
        <w:rPr>
          <w:lang w:val="en-GB"/>
        </w:rPr>
        <w:t>FIGURE 25</w:t>
      </w:r>
    </w:p>
    <w:p w:rsidR="00016D83" w:rsidRPr="0019555C" w:rsidRDefault="00016D83" w:rsidP="00016D83">
      <w:pPr>
        <w:pStyle w:val="Figuretitle"/>
        <w:rPr>
          <w:lang w:val="en-GB"/>
        </w:rPr>
      </w:pPr>
      <w:r w:rsidRPr="0019555C">
        <w:rPr>
          <w:rFonts w:eastAsia="MS PMincho"/>
          <w:lang w:val="en-GB"/>
        </w:rPr>
        <w:t>Principle of Impulse Radio Technology</w:t>
      </w:r>
    </w:p>
    <w:p w:rsidR="00016D83" w:rsidRPr="0019555C" w:rsidRDefault="00016D83" w:rsidP="00016D83">
      <w:pPr>
        <w:pStyle w:val="Figure"/>
        <w:rPr>
          <w:rFonts w:eastAsia="MS PMincho"/>
          <w:lang w:val="en-GB" w:eastAsia="ja-JP"/>
        </w:rPr>
      </w:pPr>
      <w:r w:rsidRPr="0019555C">
        <w:rPr>
          <w:rFonts w:eastAsia="MS PMincho"/>
          <w:noProof/>
          <w:lang w:val="en-US" w:eastAsia="zh-CN"/>
        </w:rPr>
        <w:drawing>
          <wp:inline distT="0" distB="0" distL="0" distR="0" wp14:anchorId="1CB1E94A" wp14:editId="704F7EA4">
            <wp:extent cx="4226040" cy="3119040"/>
            <wp:effectExtent l="19050" t="19050" r="22225" b="24765"/>
            <wp:docPr id="19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26040" cy="3119040"/>
                    </a:xfrm>
                    <a:prstGeom prst="rect">
                      <a:avLst/>
                    </a:prstGeom>
                    <a:noFill/>
                    <a:ln w="12700">
                      <a:solidFill>
                        <a:schemeClr val="tx1">
                          <a:lumMod val="100000"/>
                          <a:lumOff val="0"/>
                        </a:schemeClr>
                      </a:solidFill>
                      <a:miter lim="800000"/>
                      <a:headEnd/>
                      <a:tailEnd/>
                    </a:ln>
                  </pic:spPr>
                </pic:pic>
              </a:graphicData>
            </a:graphic>
          </wp:inline>
        </w:drawing>
      </w:r>
    </w:p>
    <w:p w:rsidR="00016D83" w:rsidRPr="0019555C" w:rsidRDefault="00016D83" w:rsidP="00016D83">
      <w:pPr>
        <w:rPr>
          <w:lang w:val="en-GB" w:eastAsia="ja-JP"/>
        </w:rPr>
      </w:pPr>
      <w:r w:rsidRPr="0019555C">
        <w:rPr>
          <w:lang w:val="en-GB" w:eastAsia="ja-JP"/>
        </w:rPr>
        <w:t>An example of systems using the IR technology in 70/80 GHz band is shown in Annex 2. This example may be appropriate for developing similar systems in higher frequency bands in the future.</w:t>
      </w:r>
    </w:p>
    <w:p w:rsidR="00016D83" w:rsidRPr="0019555C" w:rsidRDefault="00016D83" w:rsidP="00016D83">
      <w:pPr>
        <w:pStyle w:val="Heading2"/>
        <w:rPr>
          <w:lang w:val="en-GB"/>
        </w:rPr>
      </w:pPr>
      <w:bookmarkStart w:id="296" w:name="_Toc353866427"/>
      <w:bookmarkStart w:id="297" w:name="_Toc354769824"/>
      <w:bookmarkStart w:id="298" w:name="_Toc387091596"/>
      <w:bookmarkStart w:id="299" w:name="_Toc388871254"/>
      <w:bookmarkStart w:id="300" w:name="_Toc403043930"/>
      <w:bookmarkStart w:id="301" w:name="_Toc403044034"/>
      <w:bookmarkStart w:id="302" w:name="_Toc414014619"/>
      <w:bookmarkStart w:id="303" w:name="_Toc414014792"/>
      <w:r w:rsidRPr="0019555C">
        <w:rPr>
          <w:lang w:val="en-GB"/>
        </w:rPr>
        <w:t>4.5</w:t>
      </w:r>
      <w:bookmarkEnd w:id="296"/>
      <w:bookmarkEnd w:id="297"/>
      <w:r w:rsidRPr="0019555C">
        <w:rPr>
          <w:lang w:val="en-GB"/>
        </w:rPr>
        <w:tab/>
        <w:t>Propagation considerations</w:t>
      </w:r>
      <w:bookmarkEnd w:id="298"/>
      <w:bookmarkEnd w:id="299"/>
      <w:bookmarkEnd w:id="300"/>
      <w:bookmarkEnd w:id="301"/>
      <w:bookmarkEnd w:id="302"/>
      <w:bookmarkEnd w:id="303"/>
    </w:p>
    <w:p w:rsidR="00016D83" w:rsidRPr="0019555C" w:rsidRDefault="00016D83" w:rsidP="00016D83">
      <w:pPr>
        <w:rPr>
          <w:lang w:val="en-GB" w:eastAsia="ja-JP"/>
        </w:rPr>
      </w:pPr>
      <w:r w:rsidRPr="0019555C">
        <w:rPr>
          <w:lang w:val="en-GB"/>
        </w:rPr>
        <w:t>Because many FWS are point-to-point and use a line-of-sight link; it is important to consider the propagation model of point-to-point, line-of-sight links.</w:t>
      </w:r>
      <w:r w:rsidRPr="0019555C">
        <w:rPr>
          <w:lang w:val="en-GB" w:eastAsia="ja-JP"/>
        </w:rPr>
        <w:t xml:space="preserve"> </w:t>
      </w:r>
      <w:r w:rsidRPr="0019555C">
        <w:rPr>
          <w:lang w:val="en-GB"/>
        </w:rPr>
        <w:t xml:space="preserve">Recommendation ITU-R P.530 provides guidance on prediction methods for the propagation effects that should be taken into </w:t>
      </w:r>
      <w:r w:rsidRPr="0019555C">
        <w:rPr>
          <w:lang w:val="en-GB"/>
        </w:rPr>
        <w:lastRenderedPageBreak/>
        <w:t>account in the design of digital fixed line-of-sight links, both in clear-air and rainfall conditions</w:t>
      </w:r>
      <w:r w:rsidRPr="0019555C">
        <w:rPr>
          <w:lang w:val="en-GB" w:eastAsia="ja-JP"/>
        </w:rPr>
        <w:t>, using the characteristics of rainfall given in Recommendations ITU-R P.837 and ITU-R P.838</w:t>
      </w:r>
      <w:r w:rsidRPr="0019555C">
        <w:rPr>
          <w:lang w:val="en-GB"/>
        </w:rPr>
        <w:t>. It also provides link design guidance in clear step-by-step procedures, including the use of mitigation techniques to minimize propagation impairments.</w:t>
      </w:r>
      <w:r w:rsidRPr="0019555C">
        <w:rPr>
          <w:lang w:val="en-GB" w:eastAsia="ja-JP"/>
        </w:rPr>
        <w:t xml:space="preserve"> For the assessment of interference between the FS and other terrestrial services in the same band, Recommendation ITU-R P.452 should be used.</w:t>
      </w:r>
    </w:p>
    <w:p w:rsidR="00016D83" w:rsidRPr="0019555C" w:rsidRDefault="00016D83" w:rsidP="00016D83">
      <w:pPr>
        <w:rPr>
          <w:szCs w:val="24"/>
          <w:lang w:val="en-GB" w:eastAsia="ja-JP"/>
        </w:rPr>
      </w:pPr>
      <w:r w:rsidRPr="0019555C">
        <w:rPr>
          <w:lang w:val="en-GB" w:eastAsia="ja-JP"/>
        </w:rPr>
        <w:t xml:space="preserve">In order to plan and carry out interference assessment involving fixed service links in bands above 50 GHz, in particular, the 70/80 GHz and 90 GHz bands, the propagation characteristics regarding these bands are required. It has been noted that while there is some experimental data sets for the bands above 50 GHz, Recommendations ITU-R P.530, ITU-R P.837 and ITU-R P.838 can be used for this purpose. </w:t>
      </w:r>
      <w:r w:rsidRPr="0019555C">
        <w:rPr>
          <w:szCs w:val="24"/>
          <w:lang w:val="en-GB" w:eastAsia="ja-JP"/>
        </w:rPr>
        <w:t xml:space="preserve">Regarding Recommendation ITU-R P.452, for evaluating interference </w:t>
      </w:r>
      <w:r w:rsidRPr="0019555C">
        <w:rPr>
          <w:lang w:val="en-GB"/>
        </w:rPr>
        <w:t xml:space="preserve">between the FS and </w:t>
      </w:r>
      <w:r w:rsidRPr="0019555C">
        <w:rPr>
          <w:szCs w:val="24"/>
          <w:lang w:val="en-GB"/>
        </w:rPr>
        <w:t xml:space="preserve">other terrestrial services in </w:t>
      </w:r>
      <w:r w:rsidRPr="0019555C">
        <w:rPr>
          <w:szCs w:val="24"/>
          <w:lang w:val="en-GB" w:eastAsia="ja-JP"/>
        </w:rPr>
        <w:t>bands above 50 GHz, clear air conditions should be considered, as worst case, until this Recommendation is sufficiently tested for these bands.</w:t>
      </w:r>
      <w:r w:rsidRPr="0019555C">
        <w:rPr>
          <w:szCs w:val="24"/>
          <w:lang w:val="en-GB"/>
        </w:rPr>
        <w:t xml:space="preserve"> Therefore, further experimental data and studies would enhance these propagation models.</w:t>
      </w:r>
    </w:p>
    <w:p w:rsidR="00016D83" w:rsidRPr="0019555C" w:rsidRDefault="00016D83" w:rsidP="00016D83">
      <w:pPr>
        <w:rPr>
          <w:lang w:val="en-GB"/>
        </w:rPr>
      </w:pPr>
      <w:r w:rsidRPr="0019555C">
        <w:rPr>
          <w:lang w:val="en-GB"/>
        </w:rPr>
        <w:t xml:space="preserve">The frequency bands </w:t>
      </w:r>
      <w:r w:rsidRPr="0019555C">
        <w:rPr>
          <w:lang w:val="en-GB" w:eastAsia="ja-JP"/>
        </w:rPr>
        <w:t xml:space="preserve">for FWS links </w:t>
      </w:r>
      <w:r w:rsidRPr="0019555C">
        <w:rPr>
          <w:lang w:val="en-GB"/>
        </w:rPr>
        <w:t xml:space="preserve">cover the </w:t>
      </w:r>
      <w:r w:rsidRPr="0019555C">
        <w:rPr>
          <w:lang w:val="en-GB" w:eastAsia="ja-JP"/>
        </w:rPr>
        <w:t>range</w:t>
      </w:r>
      <w:r w:rsidRPr="0019555C">
        <w:rPr>
          <w:lang w:val="en-GB"/>
        </w:rPr>
        <w:t xml:space="preserve"> from below 1 GHz to millimetre-wave (up to 95 GHz). The propagation characteristics of </w:t>
      </w:r>
      <w:r w:rsidRPr="0019555C">
        <w:rPr>
          <w:lang w:val="en-GB" w:eastAsia="ja-JP"/>
        </w:rPr>
        <w:t>SHF</w:t>
      </w:r>
      <w:r w:rsidRPr="0019555C">
        <w:rPr>
          <w:lang w:val="en-GB"/>
        </w:rPr>
        <w:t xml:space="preserve"> and those of millimetre waves are quite different</w:t>
      </w:r>
      <w:r w:rsidRPr="0019555C">
        <w:rPr>
          <w:lang w:val="en-GB" w:eastAsia="ja-JP"/>
        </w:rPr>
        <w:t xml:space="preserve"> because f</w:t>
      </w:r>
      <w:r w:rsidRPr="0019555C">
        <w:rPr>
          <w:lang w:val="en-GB"/>
        </w:rPr>
        <w:t>ree-space loss is proportional to the square of the operating frequency; therefore, the free</w:t>
      </w:r>
      <w:r w:rsidRPr="0019555C">
        <w:rPr>
          <w:lang w:val="en-GB"/>
        </w:rPr>
        <w:noBreakHyphen/>
        <w:t xml:space="preserve">space loss in the millimetre-wave region is much higher than that in the </w:t>
      </w:r>
      <w:r w:rsidRPr="0019555C">
        <w:rPr>
          <w:lang w:val="en-GB" w:eastAsia="ja-JP"/>
        </w:rPr>
        <w:t>SHF</w:t>
      </w:r>
      <w:r w:rsidRPr="0019555C">
        <w:rPr>
          <w:lang w:val="en-GB"/>
        </w:rPr>
        <w:t xml:space="preserve"> region. Report ITU-R F.2107 reports the relationship between the attenuation (dB/km) and the frequency (GHz) of radio waves due to gases and rain for radio transmission through the atmosphere. </w:t>
      </w:r>
      <w:r w:rsidRPr="0019555C">
        <w:rPr>
          <w:lang w:val="en-GB" w:eastAsia="ja-JP"/>
        </w:rPr>
        <w:t xml:space="preserve">Figure 26 shows the attenuation due to gasses and hydrometeors for transmission through the atmosphere. </w:t>
      </w:r>
      <w:r w:rsidRPr="0019555C">
        <w:rPr>
          <w:lang w:val="en-GB"/>
        </w:rPr>
        <w:t xml:space="preserve">In the </w:t>
      </w:r>
      <w:r w:rsidRPr="0019555C">
        <w:rPr>
          <w:lang w:val="en-GB" w:eastAsia="ja-JP"/>
        </w:rPr>
        <w:t>SHF</w:t>
      </w:r>
      <w:r w:rsidRPr="0019555C">
        <w:rPr>
          <w:lang w:val="en-GB"/>
        </w:rPr>
        <w:t xml:space="preserve"> region, gaseous and rain absorptions are negligible. The rain attenuation becomes significant in the millimetre-wave </w:t>
      </w:r>
      <w:r w:rsidRPr="0019555C">
        <w:rPr>
          <w:lang w:val="en-GB" w:eastAsia="ja-JP"/>
        </w:rPr>
        <w:t>bands</w:t>
      </w:r>
      <w:r w:rsidRPr="0019555C">
        <w:rPr>
          <w:lang w:val="en-GB"/>
        </w:rPr>
        <w:t>, and the rain attenuation of millimetre-waves (over 30 GHz) becomes over 20 dB/km when the rain rate is 150 mm/hr. Moreover, a large oxygen</w:t>
      </w:r>
      <w:r w:rsidRPr="0019555C">
        <w:rPr>
          <w:lang w:val="en-GB"/>
        </w:rPr>
        <w:noBreakHyphen/>
        <w:t>related absorption is observed at 60 GHz (~10 to 15 dB/km). These differences in propagation characteristics affect the transmission distance of FWS. The typical transmission distance for FWS from 5 to 10 GHz exceeds 30 km. The typical transmission distance in the millimetre-wave region is below 10 km, and that over 60 GHz becomes a few kilometres.</w:t>
      </w:r>
    </w:p>
    <w:p w:rsidR="00016D83" w:rsidRPr="0019555C" w:rsidRDefault="00016D83" w:rsidP="00016D83">
      <w:pPr>
        <w:pStyle w:val="FigureNo"/>
        <w:rPr>
          <w:lang w:val="en-GB"/>
        </w:rPr>
      </w:pPr>
      <w:r w:rsidRPr="0019555C">
        <w:rPr>
          <w:lang w:val="en-GB"/>
        </w:rPr>
        <w:t>Figure 26</w:t>
      </w:r>
    </w:p>
    <w:p w:rsidR="00016D83" w:rsidRPr="0019555C" w:rsidRDefault="00016D83" w:rsidP="00016D83">
      <w:pPr>
        <w:pStyle w:val="Figuretitle"/>
        <w:rPr>
          <w:lang w:val="en-GB"/>
        </w:rPr>
      </w:pPr>
      <w:r w:rsidRPr="0019555C">
        <w:rPr>
          <w:lang w:val="en-GB"/>
        </w:rPr>
        <w:t>Attenuation due to gasses and hydrometeors for transmission through the atmosphere</w:t>
      </w:r>
    </w:p>
    <w:p w:rsidR="00016D83" w:rsidRPr="0019555C" w:rsidRDefault="00016D83" w:rsidP="00016D83">
      <w:pPr>
        <w:pStyle w:val="Figure"/>
        <w:rPr>
          <w:lang w:val="en-GB" w:eastAsia="ja-JP"/>
        </w:rPr>
      </w:pPr>
      <w:r w:rsidRPr="0019555C">
        <w:rPr>
          <w:noProof/>
          <w:lang w:val="en-US" w:eastAsia="zh-CN"/>
        </w:rPr>
        <w:drawing>
          <wp:inline distT="0" distB="0" distL="0" distR="0" wp14:anchorId="34BA53B6" wp14:editId="6B2A49F3">
            <wp:extent cx="3617844" cy="2410875"/>
            <wp:effectExtent l="0" t="0" r="1905" b="8890"/>
            <wp:docPr id="19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プレゼンテーション3.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18243" cy="2411141"/>
                    </a:xfrm>
                    <a:prstGeom prst="rect">
                      <a:avLst/>
                    </a:prstGeom>
                  </pic:spPr>
                </pic:pic>
              </a:graphicData>
            </a:graphic>
          </wp:inline>
        </w:drawing>
      </w:r>
    </w:p>
    <w:p w:rsidR="00016D83" w:rsidRPr="0019555C" w:rsidRDefault="00016D83" w:rsidP="00016D83">
      <w:pPr>
        <w:rPr>
          <w:lang w:val="en-GB"/>
        </w:rPr>
      </w:pPr>
      <w:r w:rsidRPr="0019555C">
        <w:rPr>
          <w:lang w:val="en-GB"/>
        </w:rPr>
        <w:t>Recommendation ITU-R P.2001 predicts path loss due to both signal enhancements and fading over the range from 0% to 100% of an average year. The model covers the frequency range from 30 MHz to 50 GHz, and distances from 3 km to at least 1 000 km.</w:t>
      </w:r>
    </w:p>
    <w:p w:rsidR="00016D83" w:rsidRPr="0019555C" w:rsidRDefault="00016D83" w:rsidP="00016D83">
      <w:pPr>
        <w:rPr>
          <w:lang w:val="en-GB" w:eastAsia="ja-JP"/>
        </w:rPr>
      </w:pPr>
      <w:r w:rsidRPr="0019555C">
        <w:rPr>
          <w:lang w:val="en-GB"/>
        </w:rPr>
        <w:lastRenderedPageBreak/>
        <w:t>In the millimetre-wave region, the free-space loss is large, and high-gain antennas are used to compensate for it for FWS use. Moreover, millimetre waves travel straight and are hardly diffracted. These propagation characteristics enable us to prevent harmful interference, such as co</w:t>
      </w:r>
      <w:r w:rsidRPr="0019555C">
        <w:rPr>
          <w:lang w:val="en-GB"/>
        </w:rPr>
        <w:noBreakHyphen/>
        <w:t xml:space="preserve">channel interference, when these wireless links are set up in a small area. Moreover, the use of polarization multiplexing also enables us to set two links using the same frequency bands close to each other. The effectiveness of space division multiplexing and the polarization multiplexing in millimetre-wave FWS has been reported [A. Hirata </w:t>
      </w:r>
      <w:r w:rsidRPr="0019555C">
        <w:rPr>
          <w:i/>
          <w:iCs/>
          <w:lang w:val="en-GB"/>
        </w:rPr>
        <w:t>et al.</w:t>
      </w:r>
      <w:r w:rsidRPr="0019555C">
        <w:rPr>
          <w:lang w:val="en-GB"/>
        </w:rPr>
        <w:t>, 2011].</w:t>
      </w:r>
      <w:r w:rsidRPr="0019555C">
        <w:rPr>
          <w:lang w:val="en-GB" w:eastAsia="ja-JP"/>
        </w:rPr>
        <w:t xml:space="preserve"> S</w:t>
      </w:r>
      <w:r w:rsidRPr="0019555C">
        <w:rPr>
          <w:lang w:val="en-GB"/>
        </w:rPr>
        <w:t>pace division multiplexing</w:t>
      </w:r>
      <w:r w:rsidRPr="0019555C">
        <w:rPr>
          <w:lang w:val="en-GB" w:eastAsia="ja-JP"/>
        </w:rPr>
        <w:t xml:space="preserve"> is a method by which radio transmission media are physically separated by space in order to maintain channel separations.</w:t>
      </w:r>
      <w:r w:rsidRPr="0019555C">
        <w:rPr>
          <w:highlight w:val="yellow"/>
          <w:lang w:val="en-GB" w:eastAsia="ja-JP"/>
        </w:rPr>
        <w:t xml:space="preserve"> </w:t>
      </w:r>
    </w:p>
    <w:p w:rsidR="00016D83" w:rsidRPr="0019555C" w:rsidRDefault="00016D83" w:rsidP="00016D83">
      <w:pPr>
        <w:rPr>
          <w:lang w:val="en-GB" w:eastAsia="ja-JP"/>
        </w:rPr>
      </w:pPr>
      <w:r w:rsidRPr="0019555C">
        <w:rPr>
          <w:lang w:val="en-GB" w:eastAsia="ja-JP"/>
        </w:rPr>
        <w:t>Some FWS may use non-line-of-sight (NLoS) and quasi-non-line-of-sight (QNLoS) links. The propagation models for these conditions are evaluated using Recommendation ITU-R P.1411 and the applicable frequency bands of this Recommendation are below 20 GHz for the moment. According to recent studies, however, there are possibilities that this applicable frequency band can be extended up to 30 GHz and further studies are required.</w:t>
      </w:r>
    </w:p>
    <w:p w:rsidR="00016D83" w:rsidRPr="0019555C" w:rsidRDefault="00016D83" w:rsidP="00016D83">
      <w:pPr>
        <w:pStyle w:val="Heading2"/>
        <w:rPr>
          <w:lang w:val="en-GB"/>
        </w:rPr>
      </w:pPr>
      <w:bookmarkStart w:id="304" w:name="_Toc353866428"/>
      <w:bookmarkStart w:id="305" w:name="_Toc354769825"/>
      <w:bookmarkStart w:id="306" w:name="_Toc387091597"/>
      <w:bookmarkStart w:id="307" w:name="_Toc388871255"/>
      <w:bookmarkStart w:id="308" w:name="_Toc403043931"/>
      <w:bookmarkStart w:id="309" w:name="_Toc403044035"/>
      <w:bookmarkStart w:id="310" w:name="_Toc414014620"/>
      <w:bookmarkStart w:id="311" w:name="_Toc414014793"/>
      <w:r w:rsidRPr="0019555C">
        <w:rPr>
          <w:lang w:val="en-GB"/>
        </w:rPr>
        <w:t>4.6</w:t>
      </w:r>
      <w:r w:rsidRPr="0019555C">
        <w:rPr>
          <w:lang w:val="en-GB"/>
        </w:rPr>
        <w:tab/>
        <w:t>Future technologies</w:t>
      </w:r>
      <w:bookmarkEnd w:id="304"/>
      <w:bookmarkEnd w:id="305"/>
      <w:bookmarkEnd w:id="306"/>
      <w:bookmarkEnd w:id="307"/>
      <w:bookmarkEnd w:id="308"/>
      <w:bookmarkEnd w:id="309"/>
      <w:bookmarkEnd w:id="310"/>
      <w:bookmarkEnd w:id="311"/>
    </w:p>
    <w:p w:rsidR="00016D83" w:rsidRPr="0019555C" w:rsidRDefault="00016D83" w:rsidP="00016D83">
      <w:pPr>
        <w:rPr>
          <w:lang w:val="en-GB" w:eastAsia="ja-JP"/>
        </w:rPr>
      </w:pPr>
      <w:r w:rsidRPr="0019555C">
        <w:rPr>
          <w:lang w:val="en-GB" w:eastAsia="ja-JP"/>
        </w:rPr>
        <w:t xml:space="preserve">In order to catch up with the significant increase in data traffic, data rates of over 10 Gbit/s will be required for future FWS. </w:t>
      </w:r>
    </w:p>
    <w:p w:rsidR="00016D83" w:rsidRPr="0019555C" w:rsidRDefault="00016D83" w:rsidP="00016D83">
      <w:pPr>
        <w:rPr>
          <w:lang w:val="en-GB" w:eastAsia="ja-JP"/>
        </w:rPr>
      </w:pPr>
      <w:r w:rsidRPr="0019555C">
        <w:rPr>
          <w:lang w:val="en-GB" w:eastAsia="ja-JP"/>
        </w:rPr>
        <w:t xml:space="preserve">One of the ways to achieve these data rates is to introduce into the wireless link a digital coherent detection technology developed for optical links. Digital coherent detection technology is used in combination with digital signal processing, which allows for spectrally efficient modulation formats such as QPSK and multi-level QAM, to be used to generate higher-speed data signals with bit rates of up to 112 Gbit/s [P. Winzer </w:t>
      </w:r>
      <w:r w:rsidRPr="0019555C">
        <w:rPr>
          <w:i/>
          <w:iCs/>
          <w:lang w:val="en-GB" w:eastAsia="ja-JP"/>
        </w:rPr>
        <w:t>et al.</w:t>
      </w:r>
      <w:r w:rsidRPr="0019555C">
        <w:rPr>
          <w:lang w:val="en-GB" w:eastAsia="ja-JP"/>
        </w:rPr>
        <w:t>, 2010]. The use of digital coherent detection technologies enables feasibility studies of wireless multigigabit-per-second data transmission.</w:t>
      </w:r>
    </w:p>
    <w:p w:rsidR="00016D83" w:rsidRPr="0019555C" w:rsidRDefault="00016D83" w:rsidP="00016D83">
      <w:pPr>
        <w:rPr>
          <w:lang w:val="en-GB" w:eastAsia="ja-JP"/>
        </w:rPr>
      </w:pPr>
      <w:r w:rsidRPr="0019555C">
        <w:rPr>
          <w:lang w:val="en-GB" w:eastAsia="ja-JP"/>
        </w:rPr>
        <w:t xml:space="preserve">A successful 40-Gbit/s 16-QAM indoor data transmission experiment using digital coherent technologies has already been performed [A. Kannno </w:t>
      </w:r>
      <w:r w:rsidRPr="0019555C">
        <w:rPr>
          <w:i/>
          <w:iCs/>
          <w:lang w:val="en-GB" w:eastAsia="ja-JP"/>
        </w:rPr>
        <w:t>et al.</w:t>
      </w:r>
      <w:r w:rsidRPr="0019555C">
        <w:rPr>
          <w:lang w:val="en-GB" w:eastAsia="ja-JP"/>
        </w:rPr>
        <w:t>, 2011]. In this experiment, the 40 Gbit/s W-band (75-110 GHz) 16-QAM wireless signals were generated by an optical set-up consisting of a dual-parallel Mach-Zehnder modulator (DPMZM), dual-polarization QPSK modulator (DP</w:t>
      </w:r>
      <w:r w:rsidRPr="0019555C">
        <w:rPr>
          <w:lang w:val="en-GB" w:eastAsia="ja-JP"/>
        </w:rPr>
        <w:noBreakHyphen/>
        <w:t>QPSK), and uni-traveling carrier photodiode (UTC-PD). They succeeded in the 40-Gbit/s data transmission over a distance of 30 mm.</w:t>
      </w:r>
    </w:p>
    <w:p w:rsidR="00016D83" w:rsidRPr="0019555C" w:rsidRDefault="00016D83" w:rsidP="00016D83">
      <w:pPr>
        <w:rPr>
          <w:lang w:val="en-GB" w:eastAsia="ja-JP"/>
        </w:rPr>
      </w:pPr>
      <w:r w:rsidRPr="0019555C">
        <w:rPr>
          <w:lang w:val="en-GB" w:eastAsia="ja-JP"/>
        </w:rPr>
        <w:t xml:space="preserve">Moreover, 100 Gbit/s indoor data transmission over a W-band wireless link was experimentally demonstrated [X. Pang et al, 2011]. The transmitter also used optical signal generation technologies. The use of dual-polarization multiplexing of W-band wireless signal doubled the transmitted data rate to 100 Gbit/s. </w:t>
      </w:r>
    </w:p>
    <w:p w:rsidR="00016D83" w:rsidRPr="0019555C" w:rsidRDefault="00016D83" w:rsidP="00016D83">
      <w:pPr>
        <w:rPr>
          <w:lang w:val="en-GB" w:eastAsia="ja-JP"/>
        </w:rPr>
      </w:pPr>
      <w:r w:rsidRPr="0019555C">
        <w:rPr>
          <w:lang w:val="en-GB" w:eastAsia="ja-JP"/>
        </w:rPr>
        <w:t xml:space="preserve">Another way to increase the data rate of FWS is to use terahertz (THz) waves. In general, the data rate increases with the carrier frequency, and it is expected that the data rate of 10~100 Gbit/s can be achieved by using carrier frequencies of 100 to 500 GHz even with a simple modulation format like amplitude shift keying (ASK) and phase shift keying (PSK). </w:t>
      </w:r>
    </w:p>
    <w:p w:rsidR="00016D83" w:rsidRPr="0019555C" w:rsidRDefault="00016D83" w:rsidP="00016D83">
      <w:pPr>
        <w:rPr>
          <w:lang w:val="en-GB" w:eastAsia="ja-JP"/>
        </w:rPr>
      </w:pPr>
      <w:r w:rsidRPr="0019555C">
        <w:rPr>
          <w:lang w:val="en-GB" w:eastAsia="ja-JP"/>
        </w:rPr>
        <w:t>WRC-12 agenda item 1.6 covered the review of the Radio Regulations in order to update the spectrum use by the passive services between 275 GHz and 3 000 GHz. The revised footnote highlights that use of the range 275-1 000 GHz by the passive services does not preclude use of this range by active services. It also states that administrations wishing to use the frequency range 275</w:t>
      </w:r>
      <w:r w:rsidRPr="0019555C">
        <w:rPr>
          <w:lang w:val="en-GB" w:eastAsia="ja-JP"/>
        </w:rPr>
        <w:noBreakHyphen/>
        <w:t>1 000 GHz for active services are urged to take all practicable steps to protect passive services from harmful interference.</w:t>
      </w:r>
    </w:p>
    <w:p w:rsidR="00016D83" w:rsidRPr="0019555C" w:rsidRDefault="00016D83" w:rsidP="00016D83">
      <w:pPr>
        <w:rPr>
          <w:lang w:val="en-GB" w:eastAsia="ja-JP"/>
        </w:rPr>
      </w:pPr>
      <w:r w:rsidRPr="0019555C">
        <w:rPr>
          <w:lang w:val="en-GB" w:eastAsia="ja-JP"/>
        </w:rPr>
        <w:t xml:space="preserve">As of 2012, progress in semiconductor and photonic devices has enabled handling THz wave signal with a simple configuration. Oscillators and amplifiers with operating frequencies from 200 GHz to 400 GHz have been developed by using compound semiconductor technologies, such as Indium Phosphide (InP) high electron mobility transistors (HEMTs) and heterojunction bipolar transistors </w:t>
      </w:r>
      <w:r w:rsidRPr="0019555C">
        <w:rPr>
          <w:lang w:val="en-GB" w:eastAsia="ja-JP"/>
        </w:rPr>
        <w:lastRenderedPageBreak/>
        <w:t>(HBTs). According to the International Technology Roadmap for Semiconductors (ITRS), the cut</w:t>
      </w:r>
      <w:r w:rsidRPr="0019555C">
        <w:rPr>
          <w:lang w:val="en-GB" w:eastAsia="ja-JP"/>
        </w:rPr>
        <w:noBreakHyphen/>
        <w:t>off frequency of silicon complementary metal–oxide–semiconductors (Si CMOS)</w:t>
      </w:r>
      <w:r w:rsidRPr="0019555C">
        <w:rPr>
          <w:rFonts w:eastAsia="SimSun"/>
          <w:lang w:val="en-GB"/>
        </w:rPr>
        <w:t xml:space="preserve"> </w:t>
      </w:r>
      <w:r w:rsidRPr="0019555C">
        <w:rPr>
          <w:lang w:val="en-GB" w:eastAsia="ja-JP"/>
        </w:rPr>
        <w:t>will reach 1 THz before 2021.</w:t>
      </w:r>
    </w:p>
    <w:p w:rsidR="00016D83" w:rsidRPr="0019555C" w:rsidRDefault="00016D83" w:rsidP="00016D83">
      <w:pPr>
        <w:rPr>
          <w:lang w:val="en-GB" w:eastAsia="ja-JP"/>
        </w:rPr>
      </w:pPr>
      <w:r w:rsidRPr="0019555C">
        <w:rPr>
          <w:lang w:val="en-GB" w:eastAsia="ja-JP"/>
        </w:rPr>
        <w:t>One of the disadvantages of THz-wave signal is large absorption by air. Figure 27 shows the attenuation coefficient of THz waves. The attenuation coefficient of THz waves is generally larger than that in SHF and millimetre-wave region. However, the attenuation coefficient of THz waves specifically from 100 to 370 GHz is smaller than that in the 60 GHz band. Therefore, this THz band can be used for outdoor FS over a distance of several kilometres.</w:t>
      </w:r>
    </w:p>
    <w:p w:rsidR="00016D83" w:rsidRPr="0019555C" w:rsidRDefault="00016D83" w:rsidP="00016D83">
      <w:pPr>
        <w:rPr>
          <w:lang w:val="en-GB" w:eastAsia="ja-JP"/>
        </w:rPr>
      </w:pPr>
      <w:r w:rsidRPr="0019555C">
        <w:rPr>
          <w:lang w:val="en-GB" w:eastAsia="ja-JP"/>
        </w:rPr>
        <w:t>Various feasibility studies of indoor multi-gigabit-class data transmission over THz-wave wireless links have been reported since 2011. At 200 GHz frequency bands, there are several reports with different approaches. Monolithic microwave integrated circuit (MMIC)-based transmitters and receivers for a THz-wave wireless link have been reported. One example is a successfully demonstration of a Digital Video Broadcasting – Cable (DVB-C) transmission at 220 GHz reaching 15 Gbit/s with error-free transmission [KALLFASS I., 2011].</w:t>
      </w:r>
    </w:p>
    <w:p w:rsidR="00016D83" w:rsidRPr="0019555C" w:rsidRDefault="00016D83" w:rsidP="00016D83">
      <w:pPr>
        <w:rPr>
          <w:lang w:val="en-GB" w:eastAsia="ja-JP"/>
        </w:rPr>
      </w:pPr>
      <w:r w:rsidRPr="0019555C">
        <w:rPr>
          <w:lang w:val="en-GB" w:eastAsia="ja-JP"/>
        </w:rPr>
        <w:t>A 300 GHz wireless link based on commercially available electronic components, such as sub</w:t>
      </w:r>
      <w:r w:rsidRPr="0019555C">
        <w:rPr>
          <w:lang w:val="en-GB" w:eastAsia="ja-JP"/>
        </w:rPr>
        <w:noBreakHyphen/>
        <w:t xml:space="preserve">harmonic mixers and multipliers, achieved a transmission of analogue and digital TV signals. Moreover, successful 20 Gbit/s data transmission experiments for a 300 GHz band wireless link using a photonics-based transmitter have been reported [Song, </w:t>
      </w:r>
      <w:r w:rsidRPr="0019555C">
        <w:rPr>
          <w:i/>
          <w:iCs/>
          <w:lang w:val="en-GB" w:eastAsia="ja-JP"/>
        </w:rPr>
        <w:t>et al.</w:t>
      </w:r>
      <w:r w:rsidRPr="0019555C">
        <w:rPr>
          <w:lang w:val="en-GB" w:eastAsia="ja-JP"/>
        </w:rPr>
        <w:t>, 2013].</w:t>
      </w:r>
    </w:p>
    <w:p w:rsidR="00016D83" w:rsidRPr="0019555C" w:rsidRDefault="00016D83" w:rsidP="00016D83">
      <w:pPr>
        <w:pStyle w:val="FigureNo"/>
        <w:rPr>
          <w:lang w:val="en-GB"/>
        </w:rPr>
      </w:pPr>
      <w:r w:rsidRPr="0019555C">
        <w:rPr>
          <w:lang w:val="en-GB"/>
        </w:rPr>
        <w:t>FIGURE 27</w:t>
      </w:r>
    </w:p>
    <w:p w:rsidR="00016D83" w:rsidRPr="0019555C" w:rsidRDefault="00016D83" w:rsidP="00016D83">
      <w:pPr>
        <w:pStyle w:val="Figuretitle"/>
        <w:rPr>
          <w:lang w:val="en-GB"/>
        </w:rPr>
      </w:pPr>
      <w:r w:rsidRPr="0019555C">
        <w:rPr>
          <w:lang w:val="en-GB"/>
        </w:rPr>
        <w:t>Attenuation coefficient of THz-waves</w:t>
      </w:r>
    </w:p>
    <w:p w:rsidR="00016D83" w:rsidRPr="0019555C" w:rsidRDefault="00016D83" w:rsidP="00016D83">
      <w:pPr>
        <w:pStyle w:val="Figure"/>
        <w:rPr>
          <w:lang w:val="en-GB" w:eastAsia="ja-JP"/>
        </w:rPr>
      </w:pPr>
      <w:r w:rsidRPr="0019555C">
        <w:rPr>
          <w:noProof/>
          <w:lang w:val="en-US" w:eastAsia="zh-CN"/>
        </w:rPr>
        <w:drawing>
          <wp:inline distT="0" distB="0" distL="0" distR="0" wp14:anchorId="5063F181" wp14:editId="2534B004">
            <wp:extent cx="4276725" cy="24955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76725" cy="2495550"/>
                    </a:xfrm>
                    <a:prstGeom prst="rect">
                      <a:avLst/>
                    </a:prstGeom>
                    <a:noFill/>
                    <a:ln>
                      <a:noFill/>
                    </a:ln>
                  </pic:spPr>
                </pic:pic>
              </a:graphicData>
            </a:graphic>
          </wp:inline>
        </w:drawing>
      </w:r>
    </w:p>
    <w:p w:rsidR="00016D83" w:rsidRPr="0019555C" w:rsidRDefault="00016D83" w:rsidP="00016D83">
      <w:pPr>
        <w:rPr>
          <w:szCs w:val="24"/>
          <w:lang w:val="en-GB" w:eastAsia="ja-JP"/>
        </w:rPr>
      </w:pPr>
      <w:bookmarkStart w:id="312" w:name="_Toc371585984"/>
      <w:r w:rsidRPr="0019555C">
        <w:rPr>
          <w:szCs w:val="24"/>
          <w:lang w:val="en-GB"/>
        </w:rPr>
        <w:t>Non-line-of-sight and portable and mobile applications have also been tested in the 24-thru-40 GHz bands in 2013</w:t>
      </w:r>
      <w:r w:rsidRPr="0019555C">
        <w:rPr>
          <w:szCs w:val="24"/>
          <w:lang w:val="en-GB" w:eastAsia="ja-JP"/>
        </w:rPr>
        <w:t xml:space="preserve"> [HANSRYD, J., </w:t>
      </w:r>
      <w:r w:rsidRPr="0019555C">
        <w:rPr>
          <w:i/>
          <w:iCs/>
          <w:szCs w:val="24"/>
          <w:lang w:val="en-GB" w:eastAsia="ja-JP"/>
        </w:rPr>
        <w:t>et al.</w:t>
      </w:r>
      <w:r w:rsidRPr="0019555C">
        <w:rPr>
          <w:szCs w:val="24"/>
          <w:lang w:val="en-GB" w:eastAsia="ja-JP"/>
        </w:rPr>
        <w:t>, 2013]</w:t>
      </w:r>
      <w:r w:rsidRPr="0019555C">
        <w:rPr>
          <w:szCs w:val="24"/>
          <w:lang w:val="en-GB"/>
        </w:rPr>
        <w:t>.</w:t>
      </w:r>
      <w:bookmarkEnd w:id="312"/>
    </w:p>
    <w:p w:rsidR="00016D83" w:rsidRPr="0019555C" w:rsidRDefault="00016D83" w:rsidP="00016D83">
      <w:pPr>
        <w:rPr>
          <w:lang w:val="en-GB" w:eastAsia="ja-JP"/>
        </w:rPr>
      </w:pPr>
      <w:r w:rsidRPr="0019555C">
        <w:rPr>
          <w:lang w:val="en-GB"/>
        </w:rPr>
        <w:t>Concern for energy savings and environmental protection are increasing. To begin addressing this the European Union has issued a Directive on Energy Efficiency with a target of a 20% reduction of gas emissions from 1990 levels, a 20% increase of energy consumption from renewable resources, and a 20% improvement in the EU's energy efficiency. This emerging trend is motivating radio manufactures and network operators to continuously explore future technologies in order to bring improvements in the entire network infrastructure. The GreenTouch Consortium, which has grown to include 53 vendors, carriers and research institutions since it was initiated by Alcatel-Lucent in 2010, has the stated objective to make wireless and wireline networks 1 000 times more energy efficient than they currently are. It is now widely recognized that the microwave packet approach will significantly minimize the energy requirements of future networks.</w:t>
      </w:r>
    </w:p>
    <w:p w:rsidR="00016D83" w:rsidRPr="0019555C" w:rsidRDefault="00016D83" w:rsidP="00016D83">
      <w:pPr>
        <w:pStyle w:val="Heading1"/>
        <w:rPr>
          <w:lang w:val="en-GB" w:eastAsia="ja-JP"/>
        </w:rPr>
      </w:pPr>
      <w:bookmarkStart w:id="313" w:name="_Toc353866429"/>
      <w:bookmarkStart w:id="314" w:name="_Toc354769826"/>
      <w:bookmarkStart w:id="315" w:name="_Toc387091598"/>
      <w:bookmarkStart w:id="316" w:name="_Toc388871256"/>
      <w:bookmarkStart w:id="317" w:name="_Toc403043932"/>
      <w:bookmarkStart w:id="318" w:name="_Toc403044036"/>
      <w:bookmarkStart w:id="319" w:name="_Toc414014621"/>
      <w:bookmarkStart w:id="320" w:name="_Toc414014794"/>
      <w:r w:rsidRPr="0019555C">
        <w:rPr>
          <w:lang w:val="en-GB" w:eastAsia="ja-JP"/>
        </w:rPr>
        <w:lastRenderedPageBreak/>
        <w:t>5</w:t>
      </w:r>
      <w:r w:rsidRPr="0019555C">
        <w:rPr>
          <w:lang w:val="en-GB" w:eastAsia="ja-JP"/>
        </w:rPr>
        <w:tab/>
        <w:t>Spectrum aspects and requirement</w:t>
      </w:r>
      <w:bookmarkEnd w:id="313"/>
      <w:bookmarkEnd w:id="314"/>
      <w:bookmarkEnd w:id="315"/>
      <w:bookmarkEnd w:id="316"/>
      <w:r w:rsidRPr="0019555C">
        <w:rPr>
          <w:lang w:val="en-GB" w:eastAsia="ja-JP"/>
        </w:rPr>
        <w:t>s</w:t>
      </w:r>
      <w:bookmarkEnd w:id="317"/>
      <w:bookmarkEnd w:id="318"/>
      <w:bookmarkEnd w:id="319"/>
      <w:bookmarkEnd w:id="320"/>
    </w:p>
    <w:p w:rsidR="00016D83" w:rsidRPr="0019555C" w:rsidRDefault="00016D83" w:rsidP="00016D83">
      <w:pPr>
        <w:rPr>
          <w:lang w:val="en-GB" w:eastAsia="ja-JP"/>
        </w:rPr>
      </w:pPr>
      <w:r w:rsidRPr="0019555C">
        <w:rPr>
          <w:lang w:val="en-GB" w:eastAsia="ja-JP"/>
        </w:rPr>
        <w:t xml:space="preserve">As seen in this Report, FS continues to play a significant role in providing various telecommunication networks/services including key backhaul connectivity for a number of applications. Due to a variety and nature of these applications, access to frequency bands within the range up to 95 GHz will continue to be required for the foreseeable future. The bands within this range have their own particular characteristics making them suitable for different types of applications within the FS. </w:t>
      </w:r>
    </w:p>
    <w:p w:rsidR="00016D83" w:rsidRPr="0019555C" w:rsidRDefault="00016D83" w:rsidP="00016D83">
      <w:pPr>
        <w:rPr>
          <w:lang w:val="en-GB" w:eastAsia="ja-JP"/>
        </w:rPr>
      </w:pPr>
      <w:r w:rsidRPr="0019555C">
        <w:rPr>
          <w:lang w:val="en-GB" w:eastAsia="ja-JP"/>
        </w:rPr>
        <w:t>The bands below 3 GHz are suitable for various applications including use in remote areas; applications in these bands would likely to remain small in number and capacity offered but hardly replaceable.</w:t>
      </w:r>
    </w:p>
    <w:p w:rsidR="00016D83" w:rsidRPr="0019555C" w:rsidRDefault="00016D83" w:rsidP="00016D83">
      <w:pPr>
        <w:rPr>
          <w:lang w:val="en-GB" w:eastAsia="ja-JP"/>
        </w:rPr>
      </w:pPr>
      <w:r w:rsidRPr="0019555C">
        <w:rPr>
          <w:lang w:val="en-GB" w:eastAsia="ja-JP"/>
        </w:rPr>
        <w:t xml:space="preserve">The bands within the range 3-10 GHz are suitable for long distance link applications (e.g. long-haul trunking or high capacity, relatively long connection in mobile networks between large exchange centres of different cities where network latency and other economic factors are key considerations. </w:t>
      </w:r>
    </w:p>
    <w:p w:rsidR="00016D83" w:rsidRPr="0019555C" w:rsidRDefault="00016D83" w:rsidP="00016D83">
      <w:pPr>
        <w:rPr>
          <w:lang w:val="en-GB" w:eastAsia="ja-JP"/>
        </w:rPr>
      </w:pPr>
      <w:r w:rsidRPr="0019555C">
        <w:rPr>
          <w:lang w:val="en-GB" w:eastAsia="ja-JP"/>
        </w:rPr>
        <w:t>The bands within the range 10-43 GHz provide medium range links which are used for applications ranging from mobile backhaul to access networks. The demand for these bands will likely remain very high and with increasing capacity links also considering that the need for new typology of mobile base stations (e.g. small cells layer) would actually increase the demands (in number and capacity) for the current base stations (so called “macro” sites to which small cells BSs are generally connected)</w:t>
      </w:r>
    </w:p>
    <w:p w:rsidR="00016D83" w:rsidRPr="0019555C" w:rsidRDefault="00016D83" w:rsidP="00016D83">
      <w:pPr>
        <w:rPr>
          <w:lang w:val="en-GB" w:eastAsia="ja-JP"/>
        </w:rPr>
      </w:pPr>
      <w:r w:rsidRPr="0019555C">
        <w:rPr>
          <w:lang w:val="en-GB" w:eastAsia="ja-JP"/>
        </w:rPr>
        <w:t>The bands above 43 GHz have larger bandwidths but short links making greater frequency reuse efficiency. In these bands, also the economic aspect it is of utmost importance if large deployment is sought for the mobile backhauling; the cost of an expected large link density for very short hops network should cope with the cost target of the small cells base stations, which most operators expect to be an order of magnitude less than present base stations types. That means that also the cost of the backhauling (both in term of equipment and frequency usage rights) should be comparably lowered.</w:t>
      </w:r>
    </w:p>
    <w:p w:rsidR="00016D83" w:rsidRPr="0019555C" w:rsidRDefault="00016D83" w:rsidP="00016D83">
      <w:pPr>
        <w:rPr>
          <w:lang w:val="en-GB" w:eastAsia="ja-JP"/>
        </w:rPr>
      </w:pPr>
      <w:r w:rsidRPr="0019555C">
        <w:rPr>
          <w:lang w:val="en-GB" w:eastAsia="ja-JP"/>
        </w:rPr>
        <w:t>Furthermore, demand for high data rates is requiring larger channel bandwidths in bands below 40 GHz (channel separations up to about 112 MHz are provided by ITU-R Recommendations above 17 GHz) as well as increasing interest in the exploitation of higher bands well above 40 GHz for FS (e.g. 92 GHz / 120 GHz).</w:t>
      </w:r>
    </w:p>
    <w:p w:rsidR="00016D83" w:rsidRPr="0019555C" w:rsidRDefault="00016D83" w:rsidP="00016D83">
      <w:pPr>
        <w:rPr>
          <w:i/>
          <w:lang w:val="en-GB" w:eastAsia="ja-JP"/>
        </w:rPr>
      </w:pPr>
      <w:r w:rsidRPr="0019555C">
        <w:rPr>
          <w:lang w:val="en-GB" w:eastAsia="ja-JP"/>
        </w:rPr>
        <w:t>These different requirements and applications are expected to place varying demand on these bands and it is important to recognise and identify these requirements through appropriate measures so that spectrum availability is sufficiently catered for in various spectrum related discussions.</w:t>
      </w:r>
    </w:p>
    <w:p w:rsidR="00016D83" w:rsidRPr="0019555C" w:rsidRDefault="00016D83" w:rsidP="00016D83">
      <w:pPr>
        <w:pStyle w:val="Heading2"/>
        <w:rPr>
          <w:lang w:val="en-GB" w:eastAsia="ja-JP"/>
        </w:rPr>
      </w:pPr>
      <w:bookmarkStart w:id="321" w:name="_Toc353866430"/>
      <w:bookmarkStart w:id="322" w:name="_Toc354769827"/>
      <w:bookmarkStart w:id="323" w:name="_Toc387091599"/>
      <w:bookmarkStart w:id="324" w:name="_Toc388871257"/>
      <w:bookmarkStart w:id="325" w:name="_Toc403043933"/>
      <w:bookmarkStart w:id="326" w:name="_Toc403044037"/>
      <w:bookmarkStart w:id="327" w:name="_Toc414014622"/>
      <w:bookmarkStart w:id="328" w:name="_Toc414014795"/>
      <w:r w:rsidRPr="0019555C">
        <w:rPr>
          <w:lang w:val="en-GB" w:eastAsia="ja-JP"/>
        </w:rPr>
        <w:t>5.1</w:t>
      </w:r>
      <w:r w:rsidRPr="0019555C">
        <w:rPr>
          <w:lang w:val="en-GB" w:eastAsia="ja-JP"/>
        </w:rPr>
        <w:tab/>
        <w:t>Evolving deployment scenarios</w:t>
      </w:r>
      <w:bookmarkEnd w:id="321"/>
      <w:bookmarkEnd w:id="322"/>
      <w:bookmarkEnd w:id="323"/>
      <w:bookmarkEnd w:id="324"/>
      <w:bookmarkEnd w:id="325"/>
      <w:bookmarkEnd w:id="326"/>
      <w:bookmarkEnd w:id="327"/>
      <w:bookmarkEnd w:id="328"/>
    </w:p>
    <w:p w:rsidR="00016D83" w:rsidRPr="0019555C" w:rsidRDefault="00016D83" w:rsidP="00016D83">
      <w:pPr>
        <w:rPr>
          <w:lang w:val="en-GB" w:eastAsia="ja-JP"/>
        </w:rPr>
      </w:pPr>
      <w:r w:rsidRPr="0019555C">
        <w:rPr>
          <w:lang w:val="en-GB" w:eastAsia="ja-JP"/>
        </w:rPr>
        <w:t>Documented and funded government network, commercial network, public safety and community network construction plans are now placing unprecedented pressures on the FS. In particular, some evolving scenarios may require different technical parameters, e.g. elevation angles, with respect to conventional assumptions. However, due to larger number of links expected overall costs should be considered; license exempt or light license options should also be considered. In addition, the planning of conventional “licensed” links should be carefully considered in low height (street level) urban environment where reflection/diffraction effect may become predominant.</w:t>
      </w:r>
    </w:p>
    <w:p w:rsidR="00016D83" w:rsidRPr="0019555C" w:rsidRDefault="00016D83" w:rsidP="00016D83">
      <w:pPr>
        <w:pStyle w:val="Heading3"/>
        <w:rPr>
          <w:lang w:val="en-GB" w:eastAsia="ja-JP"/>
        </w:rPr>
      </w:pPr>
      <w:bookmarkStart w:id="329" w:name="_Toc403043934"/>
      <w:bookmarkStart w:id="330" w:name="_Toc403044038"/>
      <w:bookmarkStart w:id="331" w:name="_Toc414014623"/>
      <w:bookmarkStart w:id="332" w:name="_Toc414014796"/>
      <w:r w:rsidRPr="0019555C">
        <w:rPr>
          <w:lang w:val="en-GB" w:eastAsia="ja-JP"/>
        </w:rPr>
        <w:t>5.1.1</w:t>
      </w:r>
      <w:r w:rsidRPr="0019555C">
        <w:rPr>
          <w:lang w:val="en-GB"/>
        </w:rPr>
        <w:tab/>
      </w:r>
      <w:r w:rsidRPr="0019555C">
        <w:rPr>
          <w:lang w:val="en-GB" w:eastAsia="ja-JP"/>
        </w:rPr>
        <w:t>Small Cell backhauling</w:t>
      </w:r>
      <w:bookmarkEnd w:id="329"/>
      <w:bookmarkEnd w:id="330"/>
      <w:bookmarkEnd w:id="331"/>
      <w:bookmarkEnd w:id="332"/>
    </w:p>
    <w:p w:rsidR="00016D83" w:rsidRPr="0019555C" w:rsidRDefault="00016D83" w:rsidP="00016D83">
      <w:pPr>
        <w:rPr>
          <w:lang w:val="en-GB" w:eastAsia="ja-JP"/>
        </w:rPr>
      </w:pPr>
      <w:r w:rsidRPr="0019555C">
        <w:rPr>
          <w:lang w:val="en-GB" w:eastAsia="ja-JP"/>
        </w:rPr>
        <w:t xml:space="preserve">Small cells will be built on the order of anywhere from 5 small cells per 1 macro cell (in rural areas) to 20 or more small cells per 1 macro cell (in urban areas). These small cells will all require backhaul, and the technical and economic factors surrounding those necessary backhaul </w:t>
      </w:r>
      <w:r w:rsidRPr="0019555C">
        <w:rPr>
          <w:lang w:val="en-GB" w:eastAsia="ja-JP"/>
        </w:rPr>
        <w:lastRenderedPageBreak/>
        <w:t xml:space="preserve">deployments require that a significant percentage will require high QoS licensed fixed service connections provided that the cost of the license is affordable for that business case. </w:t>
      </w:r>
    </w:p>
    <w:p w:rsidR="00016D83" w:rsidRPr="0019555C" w:rsidRDefault="00016D83" w:rsidP="00016D83">
      <w:pPr>
        <w:pStyle w:val="Heading3"/>
        <w:rPr>
          <w:lang w:val="en-GB"/>
        </w:rPr>
      </w:pPr>
      <w:bookmarkStart w:id="333" w:name="_Toc403043935"/>
      <w:bookmarkStart w:id="334" w:name="_Toc403044039"/>
      <w:bookmarkStart w:id="335" w:name="_Toc414014624"/>
      <w:bookmarkStart w:id="336" w:name="_Toc414014797"/>
      <w:r w:rsidRPr="0019555C">
        <w:rPr>
          <w:lang w:val="en-GB"/>
        </w:rPr>
        <w:t>5.1.2</w:t>
      </w:r>
      <w:r w:rsidRPr="0019555C">
        <w:rPr>
          <w:lang w:val="en-GB"/>
        </w:rPr>
        <w:tab/>
        <w:t>Urban links scenarios</w:t>
      </w:r>
      <w:bookmarkEnd w:id="333"/>
      <w:bookmarkEnd w:id="334"/>
      <w:bookmarkEnd w:id="335"/>
      <w:bookmarkEnd w:id="336"/>
    </w:p>
    <w:p w:rsidR="00016D83" w:rsidRPr="0019555C" w:rsidRDefault="00016D83" w:rsidP="00016D83">
      <w:pPr>
        <w:rPr>
          <w:lang w:val="en-GB"/>
        </w:rPr>
      </w:pPr>
      <w:r w:rsidRPr="0019555C">
        <w:rPr>
          <w:lang w:val="en-GB"/>
        </w:rPr>
        <w:t xml:space="preserve">Urban LoS, nearly LoS and NLoS links </w:t>
      </w:r>
      <w:r w:rsidRPr="0019555C">
        <w:rPr>
          <w:lang w:val="en-GB" w:eastAsia="ja-JP"/>
        </w:rPr>
        <w:t xml:space="preserve">(e.g. </w:t>
      </w:r>
      <w:r w:rsidRPr="0019555C">
        <w:rPr>
          <w:lang w:val="en-GB"/>
        </w:rPr>
        <w:t>for small cells</w:t>
      </w:r>
      <w:r w:rsidRPr="0019555C">
        <w:rPr>
          <w:lang w:val="en-GB" w:eastAsia="ja-JP"/>
        </w:rPr>
        <w:t>)</w:t>
      </w:r>
      <w:r w:rsidRPr="0019555C">
        <w:rPr>
          <w:lang w:val="en-GB"/>
        </w:rPr>
        <w:t xml:space="preserve"> backhauling represent a challenging deployment from the point of view of FS performance prediction and related propagation scenarios. Presently ITU-R propagation recommendations have not yet considered in detail these specific deployment scenarios e.g.:</w:t>
      </w:r>
    </w:p>
    <w:p w:rsidR="00016D83" w:rsidRPr="0019555C" w:rsidRDefault="00016D83" w:rsidP="00016D83">
      <w:pPr>
        <w:pStyle w:val="enumlev1"/>
        <w:rPr>
          <w:lang w:val="en-GB"/>
        </w:rPr>
      </w:pPr>
      <w:r w:rsidRPr="0019555C">
        <w:rPr>
          <w:lang w:val="en-GB"/>
        </w:rPr>
        <w:t>a)</w:t>
      </w:r>
      <w:r w:rsidRPr="0019555C">
        <w:rPr>
          <w:lang w:val="en-GB"/>
        </w:rPr>
        <w:tab/>
        <w:t>FS NLoS links normally use relatively high gain antennas, which are generally not considered in recommendations developed for mobile deployment scenarios.</w:t>
      </w:r>
    </w:p>
    <w:p w:rsidR="00016D83" w:rsidRPr="0019555C" w:rsidRDefault="00016D83" w:rsidP="00016D83">
      <w:pPr>
        <w:pStyle w:val="enumlev1"/>
        <w:rPr>
          <w:lang w:val="en-GB"/>
        </w:rPr>
      </w:pPr>
      <w:r w:rsidRPr="0019555C">
        <w:rPr>
          <w:lang w:val="en-GB"/>
        </w:rPr>
        <w:t>b)</w:t>
      </w:r>
      <w:r w:rsidRPr="0019555C">
        <w:rPr>
          <w:lang w:val="en-GB"/>
        </w:rPr>
        <w:tab/>
        <w:t>Even LoS links in the expected cases of street-to-street and roof-to-street deployment (see § 4.3.2) will be affected by multipath interference due to reflections on buildings and clutter elements; therefore, while the “main path” could still be planned with the conventional link-by-link methodology, the expected interference might be addressed with a statistical approach.</w:t>
      </w:r>
    </w:p>
    <w:p w:rsidR="00016D83" w:rsidRPr="0019555C" w:rsidRDefault="00016D83" w:rsidP="00016D83">
      <w:pPr>
        <w:pStyle w:val="Heading3"/>
        <w:rPr>
          <w:lang w:val="en-GB"/>
        </w:rPr>
      </w:pPr>
      <w:bookmarkStart w:id="337" w:name="_Toc403043936"/>
      <w:bookmarkStart w:id="338" w:name="_Toc403044040"/>
      <w:bookmarkStart w:id="339" w:name="_Toc414014625"/>
      <w:bookmarkStart w:id="340" w:name="_Toc414014798"/>
      <w:r w:rsidRPr="0019555C">
        <w:rPr>
          <w:lang w:val="en-GB"/>
        </w:rPr>
        <w:t>5.1.3</w:t>
      </w:r>
      <w:r w:rsidRPr="0019555C">
        <w:rPr>
          <w:lang w:val="en-GB"/>
        </w:rPr>
        <w:tab/>
        <w:t>Machine to Machine (M2M)</w:t>
      </w:r>
      <w:bookmarkEnd w:id="337"/>
      <w:bookmarkEnd w:id="338"/>
      <w:bookmarkEnd w:id="339"/>
      <w:bookmarkEnd w:id="340"/>
    </w:p>
    <w:p w:rsidR="00016D83" w:rsidRPr="0019555C" w:rsidRDefault="00016D83" w:rsidP="00016D83">
      <w:pPr>
        <w:rPr>
          <w:lang w:val="en-GB"/>
        </w:rPr>
      </w:pPr>
      <w:r w:rsidRPr="0019555C">
        <w:rPr>
          <w:lang w:val="en-GB"/>
        </w:rPr>
        <w:t xml:space="preserve">In addition to the small cell networks that are being built, a vast array of M2M applications are being brought to the market. These applications will result in unprecedented high volume interactions from fixed and mobile locations, many featuring low </w:t>
      </w:r>
      <w:r w:rsidRPr="0019555C">
        <w:rPr>
          <w:lang w:val="en-GB" w:eastAsia="ja-JP"/>
        </w:rPr>
        <w:t>profile</w:t>
      </w:r>
      <w:r w:rsidRPr="0019555C">
        <w:rPr>
          <w:lang w:val="en-GB"/>
        </w:rPr>
        <w:t xml:space="preserve"> (i.e. small, lightweight) yet high broadband capacity capabilities. These networks will also require backhaul, and due to economic and technical characteristics, the fixed service will necessarily need to be utilized to satisfy a meaningful percentage of the backhaul connectivity.</w:t>
      </w:r>
    </w:p>
    <w:p w:rsidR="00016D83" w:rsidRPr="0019555C" w:rsidRDefault="00016D83" w:rsidP="00016D83">
      <w:pPr>
        <w:pStyle w:val="Heading3"/>
        <w:rPr>
          <w:lang w:val="en-GB"/>
        </w:rPr>
      </w:pPr>
      <w:bookmarkStart w:id="341" w:name="_Toc403043937"/>
      <w:bookmarkStart w:id="342" w:name="_Toc403044041"/>
      <w:bookmarkStart w:id="343" w:name="_Toc414014626"/>
      <w:bookmarkStart w:id="344" w:name="_Toc414014799"/>
      <w:r w:rsidRPr="0019555C">
        <w:rPr>
          <w:lang w:val="en-GB"/>
        </w:rPr>
        <w:t>5.1.4</w:t>
      </w:r>
      <w:r w:rsidRPr="0019555C">
        <w:rPr>
          <w:lang w:val="en-GB"/>
        </w:rPr>
        <w:tab/>
        <w:t>Physical diversity</w:t>
      </w:r>
      <w:bookmarkEnd w:id="341"/>
      <w:bookmarkEnd w:id="342"/>
      <w:bookmarkEnd w:id="343"/>
      <w:bookmarkEnd w:id="344"/>
    </w:p>
    <w:p w:rsidR="00016D83" w:rsidRPr="0019555C" w:rsidRDefault="00016D83" w:rsidP="00016D83">
      <w:pPr>
        <w:rPr>
          <w:lang w:val="en-GB"/>
        </w:rPr>
      </w:pPr>
      <w:r w:rsidRPr="0019555C">
        <w:rPr>
          <w:lang w:val="en-GB"/>
        </w:rPr>
        <w:t>As more critical infrastructure requirements become more reliant on broadband systems, the contract requirements will make certain to deleverage sole reliance on wireline backbone and backhaul infrastructures. Fixed wireless, with its physical-diversity and independently-powerable characteristics, will fill a meaningful percentage of those contract requirements.</w:t>
      </w:r>
    </w:p>
    <w:p w:rsidR="00016D83" w:rsidRPr="0019555C" w:rsidRDefault="00016D83" w:rsidP="00016D83">
      <w:pPr>
        <w:pStyle w:val="Heading3"/>
        <w:rPr>
          <w:lang w:val="en-GB"/>
        </w:rPr>
      </w:pPr>
      <w:bookmarkStart w:id="345" w:name="_Toc403043938"/>
      <w:bookmarkStart w:id="346" w:name="_Toc403044042"/>
      <w:bookmarkStart w:id="347" w:name="_Toc414014627"/>
      <w:bookmarkStart w:id="348" w:name="_Toc414014800"/>
      <w:r w:rsidRPr="0019555C">
        <w:rPr>
          <w:lang w:val="en-GB"/>
        </w:rPr>
        <w:t>5.1.5</w:t>
      </w:r>
      <w:r w:rsidRPr="0019555C">
        <w:rPr>
          <w:lang w:val="en-GB"/>
        </w:rPr>
        <w:tab/>
        <w:t>Long haul broadband</w:t>
      </w:r>
      <w:bookmarkEnd w:id="345"/>
      <w:bookmarkEnd w:id="346"/>
      <w:bookmarkEnd w:id="347"/>
      <w:bookmarkEnd w:id="348"/>
    </w:p>
    <w:p w:rsidR="00016D83" w:rsidRPr="0019555C" w:rsidRDefault="00016D83" w:rsidP="00016D83">
      <w:pPr>
        <w:rPr>
          <w:lang w:val="en-GB" w:eastAsia="ja-JP"/>
        </w:rPr>
      </w:pPr>
      <w:r w:rsidRPr="0019555C">
        <w:rPr>
          <w:lang w:val="en-GB" w:eastAsia="ja-JP"/>
        </w:rPr>
        <w:t>T</w:t>
      </w:r>
      <w:r w:rsidRPr="0019555C">
        <w:rPr>
          <w:lang w:val="en-GB"/>
        </w:rPr>
        <w:t>here are proven, emerged digital broadband fixed wireless technologies that can and will supplement, extend or replace long-haul broadband wireline systems due to economic, technical, or speed-to-market advantages.</w:t>
      </w:r>
      <w:r w:rsidRPr="0019555C" w:rsidDel="00692B4B">
        <w:rPr>
          <w:lang w:val="en-GB"/>
        </w:rPr>
        <w:t xml:space="preserve"> </w:t>
      </w:r>
      <w:r w:rsidRPr="0019555C">
        <w:rPr>
          <w:lang w:val="en-GB" w:eastAsia="ja-JP"/>
        </w:rPr>
        <w:t xml:space="preserve">Superior spectrum reuse capabilities in the wide-area licensed 24, 26, 28, 31 and 39 GHz bands allow for 200 or </w:t>
      </w:r>
      <w:r w:rsidRPr="0019555C">
        <w:rPr>
          <w:lang w:val="en-GB"/>
        </w:rPr>
        <w:t>more</w:t>
      </w:r>
      <w:r w:rsidRPr="0019555C">
        <w:rPr>
          <w:lang w:val="en-GB" w:eastAsia="ja-JP"/>
        </w:rPr>
        <w:t xml:space="preserve"> links per square kilometre. The emerging small cell and M2M requirements only further expand this movement to these bands. By offloading capacity in these bands, the lower bands can be more thoroughly dedicated to either mobile or long</w:t>
      </w:r>
      <w:r w:rsidRPr="0019555C">
        <w:rPr>
          <w:lang w:val="en-GB" w:eastAsia="ja-JP"/>
        </w:rPr>
        <w:noBreakHyphen/>
        <w:t>haul uses.</w:t>
      </w:r>
    </w:p>
    <w:p w:rsidR="00016D83" w:rsidRPr="0019555C" w:rsidRDefault="00016D83" w:rsidP="00016D83">
      <w:pPr>
        <w:pStyle w:val="Heading2"/>
        <w:rPr>
          <w:lang w:val="en-GB" w:eastAsia="ja-JP"/>
        </w:rPr>
      </w:pPr>
      <w:bookmarkStart w:id="349" w:name="_Toc353866431"/>
      <w:bookmarkStart w:id="350" w:name="_Toc354769828"/>
      <w:bookmarkStart w:id="351" w:name="_Toc387091600"/>
      <w:bookmarkStart w:id="352" w:name="_Toc388871258"/>
      <w:bookmarkStart w:id="353" w:name="_Toc403043939"/>
      <w:bookmarkStart w:id="354" w:name="_Toc403044043"/>
      <w:bookmarkStart w:id="355" w:name="_Toc414014628"/>
      <w:bookmarkStart w:id="356" w:name="_Toc414014801"/>
      <w:r w:rsidRPr="0019555C">
        <w:rPr>
          <w:lang w:val="en-GB" w:eastAsia="ja-JP"/>
        </w:rPr>
        <w:t>5.2</w:t>
      </w:r>
      <w:r w:rsidRPr="0019555C">
        <w:rPr>
          <w:lang w:val="en-GB" w:eastAsia="ja-JP"/>
        </w:rPr>
        <w:tab/>
        <w:t>Capacity and spectrum requirements</w:t>
      </w:r>
      <w:bookmarkEnd w:id="349"/>
      <w:bookmarkEnd w:id="350"/>
      <w:bookmarkEnd w:id="351"/>
      <w:bookmarkEnd w:id="352"/>
      <w:bookmarkEnd w:id="353"/>
      <w:bookmarkEnd w:id="354"/>
      <w:bookmarkEnd w:id="355"/>
      <w:bookmarkEnd w:id="356"/>
    </w:p>
    <w:p w:rsidR="00016D83" w:rsidRPr="0019555C" w:rsidRDefault="00016D83" w:rsidP="00016D83">
      <w:pPr>
        <w:rPr>
          <w:lang w:val="en-GB" w:eastAsia="ja-JP"/>
        </w:rPr>
      </w:pPr>
      <w:r w:rsidRPr="0019555C">
        <w:rPr>
          <w:lang w:val="en-GB" w:eastAsia="ja-JP"/>
        </w:rPr>
        <w:t xml:space="preserve">Although there has been an order of magnitude increase in mobile capacity requirements and new spectrum being sought for mobile broadband applications over the last decade, it is currently too early to tell definitively how the overall corresponding fixed service spectrum requirements are likely to change in the future. As broadband network topologies change and capacity requirements increase a corresponding shift to higher capacity fixed links will also become necessary, potentially placing more challenges on the available spectrum, particularly in hot spot areas. Advances in technology and different architectures such as ‘C-RAN’ and ‘Fronthaul’ where baseband data is transported could also lead to significant step changes in the amount of data being required to be transported via a given link (e.g. 10 GBits / s and possibly higher), leading to wider channels and </w:t>
      </w:r>
      <w:r w:rsidRPr="0019555C">
        <w:rPr>
          <w:lang w:val="en-GB" w:eastAsia="ja-JP"/>
        </w:rPr>
        <w:lastRenderedPageBreak/>
        <w:t>increased spectrum use. NLOS systems could also become a more significant feature of network planner’s requirements with the associated spectrum being necessary to be identified. These areas all require further study in order to better quantify the changing spectrum requirements for the future.</w:t>
      </w:r>
    </w:p>
    <w:p w:rsidR="00016D83" w:rsidRPr="0019555C" w:rsidRDefault="00016D83" w:rsidP="00BA72E0">
      <w:pPr>
        <w:rPr>
          <w:lang w:val="en-GB" w:eastAsia="ja-JP"/>
        </w:rPr>
      </w:pPr>
      <w:r w:rsidRPr="0019555C">
        <w:rPr>
          <w:lang w:val="en-GB" w:eastAsia="ja-JP"/>
        </w:rPr>
        <w:t xml:space="preserve">In addition the other aspect to the spectrum question is the corresponding current spectrum </w:t>
      </w:r>
      <w:r w:rsidRPr="0019555C">
        <w:rPr>
          <w:iCs/>
          <w:lang w:val="en-GB" w:eastAsia="ja-JP"/>
        </w:rPr>
        <w:t>supply</w:t>
      </w:r>
      <w:r w:rsidRPr="0019555C">
        <w:rPr>
          <w:lang w:val="en-GB" w:eastAsia="ja-JP"/>
        </w:rPr>
        <w:t xml:space="preserve"> for the fixed service and whilst currently spanning a wide range of bands from the UHF frequencies up to the higher millimetre wave bands this could also change in the future depending on the new applications or services that are looking for access in the higher bands, currently used by fixed service systems. For example mobile broadband systems are currently being considering in a range of bands above 6 GHz which may impact the availability of the spectrum for the FS in the future. This may be partly mitigated by advances in technology enabling the fixed links to correspondingly increase throughput and reliability and the addition, of new fibre projects that have increased fixed station access, in urban and suburban locations, obviating the need for previous fixed backhaul from those locations. However, it still currently remains uncertain how these will develop in different regions of the world and the associated impact on the spectrum used by fixed service systems. Further uncertainty is added to the determination of spectrum requirements as not all of the spectrum allocated to the Fixed Service in the Radio Regulations may be practical or available for such use on a national basis due to a number of different reasons; for example, the spectrum may already be used by other services or may not be suitable for a variety of technical and/or spectrum management reasons. If administrations can make this already internationally</w:t>
      </w:r>
      <w:r w:rsidR="00BA72E0">
        <w:rPr>
          <w:lang w:val="en-GB" w:eastAsia="ja-JP"/>
        </w:rPr>
        <w:t xml:space="preserve"> </w:t>
      </w:r>
      <w:r w:rsidRPr="0019555C">
        <w:rPr>
          <w:lang w:val="en-GB" w:eastAsia="ja-JP"/>
        </w:rPr>
        <w:t>allocated spectrum available for use by fixed service systems, for example, by introducing increased or new sharing approaches, it may ease national spectrum requirements. Further study is required into this taking into account that increased use of new or enhanced sharing techniques to improve overall spectrum utilisation also applies across other allocated services.</w:t>
      </w:r>
    </w:p>
    <w:p w:rsidR="00016D83" w:rsidRPr="0019555C" w:rsidRDefault="00016D83" w:rsidP="00016D83">
      <w:pPr>
        <w:pStyle w:val="Heading2"/>
        <w:rPr>
          <w:lang w:val="en-GB" w:eastAsia="ja-JP"/>
        </w:rPr>
      </w:pPr>
      <w:bookmarkStart w:id="357" w:name="_Toc403043940"/>
      <w:bookmarkStart w:id="358" w:name="_Toc403044044"/>
      <w:bookmarkStart w:id="359" w:name="_Toc414014629"/>
      <w:bookmarkStart w:id="360" w:name="_Toc414014802"/>
      <w:r w:rsidRPr="0019555C">
        <w:rPr>
          <w:lang w:val="en-GB" w:eastAsia="ja-JP"/>
        </w:rPr>
        <w:t>5.3</w:t>
      </w:r>
      <w:r w:rsidRPr="0019555C">
        <w:rPr>
          <w:lang w:val="en-GB" w:eastAsia="ja-JP"/>
        </w:rPr>
        <w:tab/>
        <w:t>Spectrum assignment and economical impact on small cells FS backhauling</w:t>
      </w:r>
      <w:bookmarkEnd w:id="357"/>
      <w:bookmarkEnd w:id="358"/>
      <w:bookmarkEnd w:id="359"/>
      <w:bookmarkEnd w:id="360"/>
    </w:p>
    <w:p w:rsidR="00016D83" w:rsidRPr="0019555C" w:rsidRDefault="00016D83" w:rsidP="00016D83">
      <w:pPr>
        <w:rPr>
          <w:lang w:val="en-GB" w:eastAsia="ja-JP"/>
        </w:rPr>
      </w:pPr>
      <w:r w:rsidRPr="0019555C">
        <w:rPr>
          <w:lang w:val="en-GB" w:eastAsia="ja-JP"/>
        </w:rPr>
        <w:t>The success of small cells deployment depends on an affordable business case for the operators. The expected urban deployment density of base-stations for small cells (micro/pico cells) is an order of magnitude higher than that of the present base-station (macro cells); also the handled capacity would be correspondingly lower. Logically the target cost for a small cell deployment should be lower of about one order of magnitude; the overall cost includes the base-station itself, the backhauling equipment and the spectrum cost. While the hardware cost could be managed by technology and large scale production, the cost of the spectrum may need further consideration.</w:t>
      </w:r>
    </w:p>
    <w:p w:rsidR="00016D83" w:rsidRPr="0019555C" w:rsidRDefault="00016D83" w:rsidP="00016D83">
      <w:pPr>
        <w:pStyle w:val="Heading1"/>
        <w:rPr>
          <w:lang w:val="en-GB" w:eastAsia="ja-JP"/>
        </w:rPr>
      </w:pPr>
      <w:bookmarkStart w:id="361" w:name="_Toc353866432"/>
      <w:bookmarkStart w:id="362" w:name="_Toc354769829"/>
      <w:bookmarkStart w:id="363" w:name="_Toc387091601"/>
      <w:bookmarkStart w:id="364" w:name="_Toc388871259"/>
      <w:bookmarkStart w:id="365" w:name="_Toc403043941"/>
      <w:bookmarkStart w:id="366" w:name="_Toc403044045"/>
      <w:bookmarkStart w:id="367" w:name="_Toc414014630"/>
      <w:bookmarkStart w:id="368" w:name="_Toc414014803"/>
      <w:r w:rsidRPr="0019555C">
        <w:rPr>
          <w:lang w:val="en-GB" w:eastAsia="ja-JP"/>
        </w:rPr>
        <w:t>6</w:t>
      </w:r>
      <w:r w:rsidRPr="0019555C">
        <w:rPr>
          <w:lang w:val="en-GB" w:eastAsia="ja-JP"/>
        </w:rPr>
        <w:tab/>
        <w:t>Future subjects for the development of FWS applications</w:t>
      </w:r>
      <w:bookmarkEnd w:id="361"/>
      <w:bookmarkEnd w:id="362"/>
      <w:bookmarkEnd w:id="363"/>
      <w:bookmarkEnd w:id="364"/>
      <w:bookmarkEnd w:id="365"/>
      <w:bookmarkEnd w:id="366"/>
      <w:bookmarkEnd w:id="367"/>
      <w:bookmarkEnd w:id="368"/>
    </w:p>
    <w:p w:rsidR="00016D83" w:rsidRPr="0019555C" w:rsidRDefault="00016D83" w:rsidP="00016D83">
      <w:pPr>
        <w:rPr>
          <w:lang w:val="en-GB" w:eastAsia="ja-JP"/>
        </w:rPr>
      </w:pPr>
      <w:r w:rsidRPr="0019555C">
        <w:rPr>
          <w:lang w:val="en-GB" w:eastAsia="ja-JP"/>
        </w:rPr>
        <w:t>Future subject for the development of FWS applications are considered from the view of the following elements:</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Applications.</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Band usage including licensing regimes.</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Technologies.</w:t>
      </w:r>
    </w:p>
    <w:p w:rsidR="00016D83" w:rsidRPr="0019555C" w:rsidRDefault="00016D83" w:rsidP="00016D83">
      <w:pPr>
        <w:pStyle w:val="Heading2"/>
        <w:rPr>
          <w:lang w:val="en-GB" w:eastAsia="ja-JP"/>
        </w:rPr>
      </w:pPr>
      <w:bookmarkStart w:id="369" w:name="_Toc414014631"/>
      <w:bookmarkStart w:id="370" w:name="_Toc414014804"/>
      <w:r w:rsidRPr="0019555C">
        <w:rPr>
          <w:lang w:val="en-GB" w:eastAsia="ja-JP"/>
        </w:rPr>
        <w:t>6.1</w:t>
      </w:r>
      <w:r w:rsidRPr="0019555C">
        <w:rPr>
          <w:lang w:val="en-GB" w:eastAsia="ja-JP"/>
        </w:rPr>
        <w:tab/>
        <w:t>Applications</w:t>
      </w:r>
      <w:bookmarkEnd w:id="369"/>
      <w:bookmarkEnd w:id="370"/>
    </w:p>
    <w:p w:rsidR="00016D83" w:rsidRPr="0019555C" w:rsidRDefault="00016D83" w:rsidP="00016D83">
      <w:pPr>
        <w:rPr>
          <w:lang w:val="en-GB" w:eastAsia="ja-JP"/>
        </w:rPr>
      </w:pPr>
      <w:r w:rsidRPr="0019555C">
        <w:rPr>
          <w:lang w:val="en-GB" w:eastAsia="ja-JP"/>
        </w:rPr>
        <w:t>A FWS is used in telecommunication networks in various situations such as transport or trunking networks, mobile backhaul, FWA systems and temporary use.</w:t>
      </w:r>
    </w:p>
    <w:p w:rsidR="00016D83" w:rsidRPr="0019555C" w:rsidRDefault="00016D83" w:rsidP="00016D83">
      <w:pPr>
        <w:rPr>
          <w:lang w:val="en-GB" w:eastAsia="ja-JP"/>
        </w:rPr>
      </w:pPr>
      <w:r w:rsidRPr="0019555C">
        <w:rPr>
          <w:lang w:val="en-GB" w:eastAsia="ja-JP"/>
        </w:rPr>
        <w:t xml:space="preserve">Increase of mobile backhaul will become dominant among these applications because introducing mobile terminals such as smartphones which generate explosive traffic requires much more capacity for mobile backhaul. This expected growth in mobile backhaul will require the smaller cell size of </w:t>
      </w:r>
      <w:r w:rsidRPr="0019555C">
        <w:rPr>
          <w:lang w:val="en-GB" w:eastAsia="ja-JP"/>
        </w:rPr>
        <w:lastRenderedPageBreak/>
        <w:t xml:space="preserve">base stations so that their density will increase. Consequently, the trends of smaller cell sizes result in shorter hop and the use of smaller/integral and/or adaptive antennas. </w:t>
      </w:r>
    </w:p>
    <w:p w:rsidR="00016D83" w:rsidRPr="0019555C" w:rsidRDefault="00016D83" w:rsidP="00016D83">
      <w:pPr>
        <w:pStyle w:val="Heading2"/>
        <w:rPr>
          <w:lang w:val="en-GB" w:eastAsia="ja-JP"/>
        </w:rPr>
      </w:pPr>
      <w:bookmarkStart w:id="371" w:name="_Toc414014632"/>
      <w:bookmarkStart w:id="372" w:name="_Toc414014805"/>
      <w:r w:rsidRPr="0019555C">
        <w:rPr>
          <w:lang w:val="en-GB" w:eastAsia="ja-JP"/>
        </w:rPr>
        <w:t>6.2</w:t>
      </w:r>
      <w:r w:rsidRPr="0019555C">
        <w:rPr>
          <w:lang w:val="en-GB" w:eastAsia="ja-JP"/>
        </w:rPr>
        <w:tab/>
        <w:t>Band usage</w:t>
      </w:r>
      <w:bookmarkEnd w:id="371"/>
      <w:bookmarkEnd w:id="372"/>
    </w:p>
    <w:p w:rsidR="00016D83" w:rsidRPr="0019555C" w:rsidRDefault="00016D83" w:rsidP="00016D83">
      <w:pPr>
        <w:rPr>
          <w:lang w:val="en-GB" w:eastAsia="ja-JP"/>
        </w:rPr>
      </w:pPr>
      <w:r w:rsidRPr="0019555C">
        <w:rPr>
          <w:lang w:val="en-GB" w:eastAsia="ja-JP"/>
        </w:rPr>
        <w:t>In order to catch up with the recent explosive traffic increase for the mobile backhaul, increasing capacity of FWS is required. However, frequency resources are tight, especially in the SHF</w:t>
      </w:r>
      <w:r w:rsidRPr="0019555C">
        <w:rPr>
          <w:lang w:val="en-GB"/>
        </w:rPr>
        <w:t xml:space="preserve"> region</w:t>
      </w:r>
      <w:r w:rsidRPr="0019555C">
        <w:rPr>
          <w:lang w:val="en-GB" w:eastAsia="ja-JP"/>
        </w:rPr>
        <w:t xml:space="preserve"> and improvements to spectrum efficiency are required. Although a hop distance is much shorter than that of SHF bands as described in section 4.3, wider bandwidth can be used in millimetre</w:t>
      </w:r>
      <w:r w:rsidRPr="0019555C">
        <w:rPr>
          <w:lang w:val="en-GB" w:eastAsia="ja-JP"/>
        </w:rPr>
        <w:noBreakHyphen/>
        <w:t xml:space="preserve">wave bands than SHF bands. </w:t>
      </w:r>
    </w:p>
    <w:p w:rsidR="00016D83" w:rsidRPr="0019555C" w:rsidRDefault="00016D83" w:rsidP="00016D83">
      <w:pPr>
        <w:rPr>
          <w:lang w:val="en-GB" w:eastAsia="ja-JP"/>
        </w:rPr>
      </w:pPr>
      <w:r w:rsidRPr="0019555C">
        <w:rPr>
          <w:lang w:val="en-GB" w:eastAsia="ja-JP"/>
        </w:rPr>
        <w:t>Millimetre-wave bands will be important frequency bands for mobile backhaul because required hop distance for mobile backhaul will become smaller for certain cases as mentioned above.</w:t>
      </w:r>
    </w:p>
    <w:p w:rsidR="00016D83" w:rsidRPr="0019555C" w:rsidRDefault="00016D83" w:rsidP="00016D83">
      <w:pPr>
        <w:rPr>
          <w:lang w:val="en-GB" w:eastAsia="ja-JP"/>
        </w:rPr>
      </w:pPr>
      <w:r w:rsidRPr="0019555C">
        <w:rPr>
          <w:lang w:val="en-GB" w:eastAsia="ja-JP"/>
        </w:rPr>
        <w:t xml:space="preserve">Long hop distance of mobile backhaul will be still required, and for such the purpose, SHF bands will occupy important position in FS. Therefore, it is important to estimate how much the demand will increase for each FS application and to analyze the impact on frequency spectrum management (e.g., available bandwidth, system capacity requirements, channel reuse schemes, possible sharing with other services) in both millimetre-wave and SHF bands. </w:t>
      </w:r>
    </w:p>
    <w:p w:rsidR="00016D83" w:rsidRPr="0019555C" w:rsidRDefault="00016D83" w:rsidP="00016D83">
      <w:pPr>
        <w:rPr>
          <w:lang w:val="en-GB" w:eastAsia="ja-JP"/>
        </w:rPr>
      </w:pPr>
      <w:r w:rsidRPr="0019555C">
        <w:rPr>
          <w:lang w:val="en-GB" w:eastAsia="ja-JP"/>
        </w:rPr>
        <w:t xml:space="preserve">Another point of band usage is an asymmetric assignment plan. Downlink traffic towards subscribers is usually 3-4 times higher than uplink traffic and asymmetric assignment plans are discussed in some mobile applications. Taking into account these facts, applying asymmetric assignment plans to mobile backhaul will be possible. </w:t>
      </w:r>
    </w:p>
    <w:p w:rsidR="00016D83" w:rsidRPr="0019555C" w:rsidRDefault="00016D83" w:rsidP="00016D83">
      <w:pPr>
        <w:rPr>
          <w:lang w:val="en-GB" w:eastAsia="ja-JP"/>
        </w:rPr>
      </w:pPr>
      <w:r w:rsidRPr="0019555C">
        <w:rPr>
          <w:lang w:val="en-GB" w:eastAsia="ja-JP"/>
        </w:rPr>
        <w:t>As for the spectrum use, it is found that the number of links in all frequency bands has increased in most of countries and the growth in the higher frequency bands is remarkable. This trend is essential for the demand of the mobile backhaul network and expected to continue for coming years.</w:t>
      </w:r>
    </w:p>
    <w:p w:rsidR="00016D83" w:rsidRPr="0019555C" w:rsidRDefault="00016D83" w:rsidP="00016D83">
      <w:pPr>
        <w:rPr>
          <w:lang w:val="en-GB" w:eastAsia="ja-JP"/>
        </w:rPr>
      </w:pPr>
      <w:r w:rsidRPr="0019555C">
        <w:rPr>
          <w:lang w:val="en-GB" w:eastAsia="ja-JP"/>
        </w:rPr>
        <w:t>From the view point of regulatory regimes, protecting spectrum is essential and usual licensing is basically required to use spectrum. However, under some circumstance, other regulatory regime such as light-licensing is available and this licensing regime enables rapid installation of FWS and protecting spectrum, and</w:t>
      </w:r>
      <w:r w:rsidR="001C62B4" w:rsidRPr="0019555C">
        <w:rPr>
          <w:lang w:val="en-GB" w:eastAsia="ja-JP"/>
        </w:rPr>
        <w:t xml:space="preserve"> drive deployment of FWS.</w:t>
      </w:r>
      <w:r w:rsidRPr="0019555C">
        <w:rPr>
          <w:lang w:val="en-GB" w:eastAsia="ja-JP"/>
        </w:rPr>
        <w:t xml:space="preserve"> To achieve it, for examples, following items should be studied.</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Sharing and compatibility study with other services.</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Technical and economical spectrum access conditions.</w:t>
      </w:r>
    </w:p>
    <w:p w:rsidR="00016D83" w:rsidRPr="0019555C" w:rsidDel="00643DD2" w:rsidRDefault="00016D83" w:rsidP="00016D83">
      <w:pPr>
        <w:pStyle w:val="enumlev1"/>
        <w:rPr>
          <w:lang w:val="en-GB" w:eastAsia="ja-JP"/>
        </w:rPr>
      </w:pPr>
      <w:r w:rsidRPr="0019555C">
        <w:rPr>
          <w:lang w:val="en-GB" w:eastAsia="ja-JP"/>
        </w:rPr>
        <w:t>–</w:t>
      </w:r>
      <w:r w:rsidRPr="0019555C">
        <w:rPr>
          <w:lang w:val="en-GB" w:eastAsia="ja-JP"/>
        </w:rPr>
        <w:tab/>
        <w:t>Propagation characteristics.</w:t>
      </w:r>
    </w:p>
    <w:p w:rsidR="00016D83" w:rsidRPr="0019555C" w:rsidRDefault="00016D83" w:rsidP="00016D83">
      <w:pPr>
        <w:pStyle w:val="Heading2"/>
        <w:rPr>
          <w:lang w:val="en-GB" w:eastAsia="ja-JP"/>
        </w:rPr>
      </w:pPr>
      <w:bookmarkStart w:id="373" w:name="_Toc414014633"/>
      <w:bookmarkStart w:id="374" w:name="_Toc414014806"/>
      <w:r w:rsidRPr="0019555C">
        <w:rPr>
          <w:lang w:val="en-GB" w:eastAsia="ja-JP"/>
        </w:rPr>
        <w:t>6.3</w:t>
      </w:r>
      <w:r w:rsidRPr="0019555C">
        <w:rPr>
          <w:lang w:val="en-GB" w:eastAsia="ja-JP"/>
        </w:rPr>
        <w:tab/>
        <w:t>Technologies</w:t>
      </w:r>
      <w:bookmarkEnd w:id="373"/>
      <w:bookmarkEnd w:id="374"/>
    </w:p>
    <w:p w:rsidR="00016D83" w:rsidRPr="0019555C" w:rsidRDefault="00016D83" w:rsidP="00016D83">
      <w:pPr>
        <w:rPr>
          <w:lang w:val="en-GB" w:eastAsia="ja-JP"/>
        </w:rPr>
      </w:pPr>
      <w:r w:rsidRPr="0019555C">
        <w:rPr>
          <w:lang w:val="en-GB" w:eastAsia="ja-JP"/>
        </w:rPr>
        <w:t>Higher-level QAM such as 1 024 QAM improves capacity of FWS. However, even 1 024 QAM (10 bits/symbol) increase data rate only by 1.25 compared with 256 QAM (8 bits/symbol) and then increasing modulation level doesn’t seem effective to achieve higher capacity. To achieve higher capacity of FWS, wider bandwidth and channel bonding technologies are needed for FWS. Promising alternative is also the spatial reuse (MIMO) for the higher bands.</w:t>
      </w:r>
      <w:r w:rsidRPr="0019555C" w:rsidDel="008D2148">
        <w:rPr>
          <w:lang w:val="en-GB" w:eastAsia="ja-JP"/>
        </w:rPr>
        <w:t xml:space="preserve"> </w:t>
      </w:r>
      <w:r w:rsidRPr="0019555C">
        <w:rPr>
          <w:lang w:val="en-GB" w:eastAsia="ja-JP"/>
        </w:rPr>
        <w:t xml:space="preserve">Long distance transmission of mobile backhaul will still be required as described in the part of Band usage. When using millimetre-wave bands, in order to build long-distance transmission, a large number of repeater stations are necessary, which necessitate a reduction of size and cost of repeater stations. Exploration of higher frequency bands, such as over 100 GHz, is important in preparation for the future shortage of millimetre-wave band resources. To make practical use of these frequency bands, it is necessary to develop inexpensive RF devices, propagation models and antenna pattern models that cover the frequency region over 100 GHz. </w:t>
      </w:r>
    </w:p>
    <w:p w:rsidR="00016D83" w:rsidRPr="0019555C" w:rsidRDefault="00016D83" w:rsidP="002D354C">
      <w:pPr>
        <w:keepNext/>
        <w:keepLines/>
        <w:rPr>
          <w:lang w:val="en-GB" w:eastAsia="ja-JP"/>
        </w:rPr>
      </w:pPr>
      <w:r w:rsidRPr="0019555C">
        <w:rPr>
          <w:lang w:val="en-GB" w:eastAsia="ja-JP"/>
        </w:rPr>
        <w:lastRenderedPageBreak/>
        <w:t xml:space="preserve">In addition, the future subjects regarding technologies used in FWS includes: </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Link design enhancement when the joint use of ATPC and AM/ACM.</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New links topology including ITU-T G.8032v2 networking.</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Payload Management taking into account the progressive evolution of the radio traffic from TDM to Packet traffic.</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Urban deployment of street-level FS stations for Line of Sight (LoS), Non Line of Sight (NLOS) or Quasi Line of Sight (QLOS) small cells backhaul.</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IP/MPLS networking in mobile backhaul.</w:t>
      </w:r>
    </w:p>
    <w:p w:rsidR="00016D83" w:rsidRPr="0019555C" w:rsidRDefault="00016D83" w:rsidP="00016D83">
      <w:pPr>
        <w:pStyle w:val="enumlev1"/>
        <w:rPr>
          <w:lang w:val="en-GB" w:eastAsia="ja-JP"/>
        </w:rPr>
      </w:pPr>
      <w:r w:rsidRPr="0019555C">
        <w:rPr>
          <w:lang w:val="en-GB" w:eastAsia="ja-JP"/>
        </w:rPr>
        <w:t>–</w:t>
      </w:r>
      <w:r w:rsidRPr="0019555C">
        <w:rPr>
          <w:lang w:val="en-GB" w:eastAsia="ja-JP"/>
        </w:rPr>
        <w:tab/>
        <w:t>Inter-base station communication.</w:t>
      </w:r>
    </w:p>
    <w:p w:rsidR="00016D83" w:rsidRPr="0019555C" w:rsidRDefault="00016D83" w:rsidP="00016D83">
      <w:pPr>
        <w:pStyle w:val="Heading1"/>
        <w:rPr>
          <w:lang w:val="en-GB" w:eastAsia="ja-JP"/>
        </w:rPr>
      </w:pPr>
      <w:bookmarkStart w:id="375" w:name="_Toc353866433"/>
      <w:bookmarkStart w:id="376" w:name="_Toc354769830"/>
      <w:bookmarkStart w:id="377" w:name="_Toc387091602"/>
      <w:bookmarkStart w:id="378" w:name="_Toc388871260"/>
      <w:bookmarkStart w:id="379" w:name="_Toc403043942"/>
      <w:bookmarkStart w:id="380" w:name="_Toc403044046"/>
      <w:bookmarkStart w:id="381" w:name="_Toc414014634"/>
      <w:bookmarkStart w:id="382" w:name="_Toc414014807"/>
      <w:r w:rsidRPr="0019555C">
        <w:rPr>
          <w:lang w:val="en-GB" w:eastAsia="ja-JP"/>
        </w:rPr>
        <w:t>7</w:t>
      </w:r>
      <w:r w:rsidRPr="0019555C">
        <w:rPr>
          <w:lang w:val="en-GB" w:eastAsia="ja-JP"/>
        </w:rPr>
        <w:tab/>
        <w:t>Conclusions</w:t>
      </w:r>
      <w:bookmarkEnd w:id="375"/>
      <w:bookmarkEnd w:id="376"/>
      <w:bookmarkEnd w:id="377"/>
      <w:bookmarkEnd w:id="378"/>
      <w:bookmarkEnd w:id="379"/>
      <w:bookmarkEnd w:id="380"/>
      <w:bookmarkEnd w:id="381"/>
      <w:bookmarkEnd w:id="382"/>
    </w:p>
    <w:p w:rsidR="00016D83" w:rsidRPr="0019555C" w:rsidRDefault="00016D83" w:rsidP="00016D83">
      <w:pPr>
        <w:rPr>
          <w:lang w:val="en-GB" w:eastAsia="ja-JP"/>
        </w:rPr>
      </w:pPr>
      <w:r w:rsidRPr="0019555C">
        <w:rPr>
          <w:lang w:val="en-GB" w:eastAsia="ja-JP"/>
        </w:rPr>
        <w:t>The importance of FWS is increasing in transport or trunking networks, macro and small-cell mobile backhaul networks, FWA systems, Machine-to-Machine (M2M), temporary FS including physical-diversity and disaster recovery links and ENG and evolving deployment scenarios are also emerging. The success of small cells deployment depends on an affordable business case for the</w:t>
      </w:r>
      <w:r w:rsidRPr="0019555C">
        <w:rPr>
          <w:b/>
          <w:lang w:val="en-GB" w:eastAsia="ja-JP"/>
        </w:rPr>
        <w:t> </w:t>
      </w:r>
      <w:r w:rsidRPr="0019555C">
        <w:rPr>
          <w:lang w:val="en-GB" w:eastAsia="ja-JP"/>
        </w:rPr>
        <w:t xml:space="preserve">operators. The expected urban deployment density of base-stations for small cells (micro/pico cells) is an order of magnitude higher than that of the present base-station (macro cells). Increases in speed and reliability of links are required for FWS in many applications, and moreover, the use of millimetre-wave bands is spreading in order to achieve gigabit-class data rates and to solve the scarcity of frequency resources. </w:t>
      </w:r>
    </w:p>
    <w:p w:rsidR="00016D83" w:rsidRPr="0019555C" w:rsidRDefault="00016D83" w:rsidP="00016D83">
      <w:pPr>
        <w:rPr>
          <w:lang w:val="en-GB" w:eastAsia="ja-JP"/>
        </w:rPr>
      </w:pPr>
      <w:r w:rsidRPr="0019555C">
        <w:rPr>
          <w:lang w:val="en-GB" w:eastAsia="ja-JP"/>
        </w:rPr>
        <w:t xml:space="preserve">NLOS and portable and mobile technologies for the FWS bands are being deployed in certain test environments [AZAR. Y., </w:t>
      </w:r>
      <w:r w:rsidRPr="0019555C">
        <w:rPr>
          <w:i/>
          <w:iCs/>
          <w:lang w:val="en-GB" w:eastAsia="ja-JP"/>
        </w:rPr>
        <w:t>et al.</w:t>
      </w:r>
      <w:r w:rsidRPr="0019555C">
        <w:rPr>
          <w:lang w:val="en-GB" w:eastAsia="ja-JP"/>
        </w:rPr>
        <w:t xml:space="preserve">, 2013]. </w:t>
      </w:r>
      <w:r w:rsidRPr="0019555C">
        <w:rPr>
          <w:lang w:val="en-GB"/>
        </w:rPr>
        <w:t>Further technological progress is, e.g. on use of antenna array beamfo</w:t>
      </w:r>
      <w:r w:rsidRPr="0019555C">
        <w:rPr>
          <w:lang w:val="en-GB" w:eastAsia="ja-JP"/>
        </w:rPr>
        <w:t>rming</w:t>
      </w:r>
      <w:r w:rsidRPr="0019555C">
        <w:rPr>
          <w:lang w:val="en-GB"/>
        </w:rPr>
        <w:t xml:space="preserve">, are required to </w:t>
      </w:r>
      <w:r w:rsidRPr="0019555C">
        <w:rPr>
          <w:lang w:val="en-GB" w:eastAsia="ja-JP"/>
        </w:rPr>
        <w:t>achieve long distance transmission for gigabit-class and 10</w:t>
      </w:r>
      <w:r w:rsidRPr="0019555C">
        <w:rPr>
          <w:lang w:val="en-GB" w:eastAsia="ja-JP"/>
        </w:rPr>
        <w:noBreakHyphen/>
        <w:t xml:space="preserve">gigabit-class communications. </w:t>
      </w:r>
    </w:p>
    <w:p w:rsidR="00016D83" w:rsidRPr="0019555C" w:rsidRDefault="00016D83" w:rsidP="00016D83">
      <w:pPr>
        <w:rPr>
          <w:lang w:val="en-GB" w:eastAsia="ja-JP"/>
        </w:rPr>
      </w:pPr>
      <w:r w:rsidRPr="0019555C">
        <w:rPr>
          <w:lang w:val="en-GB" w:eastAsia="ja-JP"/>
        </w:rPr>
        <w:t>Moreover, establishing overviews of frequency spectrum management is important in order to achieve optimum allocation of scarce</w:t>
      </w:r>
      <w:r w:rsidRPr="0019555C" w:rsidDel="001B2678">
        <w:rPr>
          <w:lang w:val="en-GB" w:eastAsia="ja-JP"/>
        </w:rPr>
        <w:t xml:space="preserve"> </w:t>
      </w:r>
      <w:r w:rsidRPr="0019555C">
        <w:rPr>
          <w:lang w:val="en-GB" w:eastAsia="ja-JP"/>
        </w:rPr>
        <w:t>frequency resources and also to recognize and identify through appropriate measures the different and changing requirements for applications in the FS</w:t>
      </w:r>
      <w:r w:rsidRPr="0019555C">
        <w:rPr>
          <w:lang w:val="en-GB"/>
        </w:rPr>
        <w:t>.</w:t>
      </w:r>
      <w:bookmarkStart w:id="383" w:name="_Toc387091603"/>
      <w:bookmarkStart w:id="384" w:name="_Toc353866434"/>
      <w:bookmarkStart w:id="385" w:name="_Toc354769831"/>
      <w:r w:rsidRPr="0019555C">
        <w:rPr>
          <w:lang w:val="en-GB" w:eastAsia="ja-JP"/>
        </w:rPr>
        <w:t xml:space="preserve"> In the same way, alternative ways to assign and share spectrum, in order to facilitate implementation and meet the needs of the users/operators should be considered.</w:t>
      </w:r>
    </w:p>
    <w:p w:rsidR="00016D83" w:rsidRPr="0019555C" w:rsidRDefault="00016D83" w:rsidP="00016D83">
      <w:pPr>
        <w:rPr>
          <w:lang w:val="en-GB" w:eastAsia="ja-JP"/>
        </w:rPr>
      </w:pPr>
    </w:p>
    <w:p w:rsidR="00016D83" w:rsidRDefault="00016D83" w:rsidP="00016D83">
      <w:pPr>
        <w:rPr>
          <w:lang w:val="en-GB"/>
        </w:rPr>
      </w:pPr>
    </w:p>
    <w:p w:rsidR="00733202" w:rsidRPr="0019555C" w:rsidRDefault="00733202" w:rsidP="00016D83">
      <w:pPr>
        <w:rPr>
          <w:lang w:val="en-GB"/>
        </w:rPr>
      </w:pPr>
    </w:p>
    <w:p w:rsidR="00016D83" w:rsidRPr="0019555C" w:rsidRDefault="00733202" w:rsidP="00733202">
      <w:pPr>
        <w:pStyle w:val="AnnexNoTitle"/>
        <w:rPr>
          <w:lang w:val="en-GB" w:eastAsia="ja-JP"/>
        </w:rPr>
      </w:pPr>
      <w:bookmarkStart w:id="386" w:name="_Toc403044047"/>
      <w:bookmarkStart w:id="387" w:name="_Toc414014635"/>
      <w:bookmarkStart w:id="388" w:name="_Toc414014808"/>
      <w:r w:rsidRPr="0019555C">
        <w:rPr>
          <w:lang w:val="en-GB"/>
        </w:rPr>
        <w:t xml:space="preserve">Annex </w:t>
      </w:r>
      <w:r w:rsidR="00016D83" w:rsidRPr="0019555C">
        <w:rPr>
          <w:lang w:val="en-GB"/>
        </w:rPr>
        <w:t>1</w:t>
      </w:r>
      <w:bookmarkEnd w:id="386"/>
      <w:r w:rsidR="00016D83" w:rsidRPr="0019555C">
        <w:rPr>
          <w:lang w:val="en-GB"/>
        </w:rPr>
        <w:t xml:space="preserve"> </w:t>
      </w:r>
      <w:bookmarkStart w:id="389" w:name="_Toc403044048"/>
      <w:bookmarkEnd w:id="383"/>
      <w:r>
        <w:rPr>
          <w:lang w:val="en-GB"/>
        </w:rPr>
        <w:br/>
      </w:r>
      <w:r>
        <w:rPr>
          <w:lang w:val="en-GB"/>
        </w:rPr>
        <w:br/>
      </w:r>
      <w:r w:rsidR="00016D83" w:rsidRPr="0019555C">
        <w:rPr>
          <w:lang w:val="en-GB" w:eastAsia="ja-JP"/>
        </w:rPr>
        <w:t>Applications making use</w:t>
      </w:r>
      <w:r w:rsidR="00016D83" w:rsidRPr="0019555C">
        <w:rPr>
          <w:lang w:val="en-GB"/>
        </w:rPr>
        <w:t xml:space="preserve"> of FWA </w:t>
      </w:r>
      <w:bookmarkEnd w:id="384"/>
      <w:bookmarkEnd w:id="385"/>
      <w:r w:rsidR="00016D83" w:rsidRPr="0019555C">
        <w:rPr>
          <w:lang w:val="en-GB" w:eastAsia="ja-JP"/>
        </w:rPr>
        <w:t>technology</w:t>
      </w:r>
      <w:bookmarkEnd w:id="389"/>
      <w:bookmarkEnd w:id="387"/>
      <w:bookmarkEnd w:id="388"/>
    </w:p>
    <w:p w:rsidR="00016D83" w:rsidRPr="0019555C" w:rsidRDefault="00016D83" w:rsidP="00016D83">
      <w:pPr>
        <w:pStyle w:val="Normalaftertitle"/>
        <w:rPr>
          <w:lang w:val="en-GB" w:eastAsia="ja-JP"/>
        </w:rPr>
      </w:pPr>
      <w:r w:rsidRPr="0019555C">
        <w:rPr>
          <w:lang w:val="en-GB"/>
        </w:rPr>
        <w:t xml:space="preserve">While FWA systems are designed as access networks, </w:t>
      </w:r>
      <w:r w:rsidRPr="0019555C">
        <w:rPr>
          <w:lang w:val="en-GB" w:eastAsia="ja-JP"/>
        </w:rPr>
        <w:t xml:space="preserve">such </w:t>
      </w:r>
      <w:r w:rsidRPr="0019555C">
        <w:rPr>
          <w:lang w:val="en-GB"/>
        </w:rPr>
        <w:t>equipment can be also used for various</w:t>
      </w:r>
      <w:r w:rsidRPr="0019555C">
        <w:rPr>
          <w:lang w:val="en-GB" w:eastAsia="ja-JP"/>
        </w:rPr>
        <w:t xml:space="preserve"> other applications</w:t>
      </w:r>
      <w:r w:rsidRPr="0019555C">
        <w:rPr>
          <w:lang w:val="en-GB"/>
        </w:rPr>
        <w:t xml:space="preserve">. </w:t>
      </w:r>
      <w:r w:rsidRPr="0019555C">
        <w:rPr>
          <w:lang w:val="en-GB" w:eastAsia="ja-JP"/>
        </w:rPr>
        <w:t xml:space="preserve">Figure 28 depicts examples of such applications. </w:t>
      </w:r>
    </w:p>
    <w:p w:rsidR="00016D83" w:rsidRPr="0019555C" w:rsidRDefault="00016D83" w:rsidP="00016D83">
      <w:pPr>
        <w:pStyle w:val="FigureNo"/>
        <w:rPr>
          <w:lang w:val="en-GB"/>
        </w:rPr>
      </w:pPr>
      <w:r w:rsidRPr="0019555C">
        <w:rPr>
          <w:lang w:val="en-GB"/>
        </w:rPr>
        <w:lastRenderedPageBreak/>
        <w:t>FIGURE 28</w:t>
      </w:r>
    </w:p>
    <w:p w:rsidR="00016D83" w:rsidRPr="0019555C" w:rsidRDefault="00016D83" w:rsidP="00016D83">
      <w:pPr>
        <w:pStyle w:val="Figuretitle"/>
        <w:rPr>
          <w:lang w:val="en-GB"/>
        </w:rPr>
      </w:pPr>
      <w:r w:rsidRPr="0019555C">
        <w:rPr>
          <w:lang w:val="en-GB"/>
        </w:rPr>
        <w:t>Examples of applications making use of same equipment as FWA</w:t>
      </w:r>
    </w:p>
    <w:p w:rsidR="00016D83" w:rsidRPr="0019555C" w:rsidRDefault="00016D83" w:rsidP="00016D83">
      <w:pPr>
        <w:pStyle w:val="Figurelegend"/>
        <w:jc w:val="center"/>
        <w:rPr>
          <w:lang w:val="en-GB" w:eastAsia="ja-JP"/>
        </w:rPr>
      </w:pPr>
      <w:r w:rsidRPr="0019555C">
        <w:rPr>
          <w:lang w:val="en-GB" w:eastAsia="ja-JP"/>
        </w:rPr>
        <w:t>(a) Bridging two local/private area networks between separate buildings</w:t>
      </w:r>
    </w:p>
    <w:p w:rsidR="00016D83" w:rsidRPr="0019555C" w:rsidRDefault="00016D83" w:rsidP="00016D83">
      <w:pPr>
        <w:pStyle w:val="Figure"/>
        <w:rPr>
          <w:lang w:val="en-GB" w:eastAsia="ja-JP"/>
        </w:rPr>
      </w:pPr>
      <w:r w:rsidRPr="0019555C">
        <w:rPr>
          <w:noProof/>
          <w:lang w:val="en-US" w:eastAsia="zh-CN"/>
        </w:rPr>
        <w:drawing>
          <wp:inline distT="0" distB="0" distL="0" distR="0" wp14:anchorId="71514E3C" wp14:editId="57334A42">
            <wp:extent cx="5096510" cy="1792605"/>
            <wp:effectExtent l="0" t="0" r="8890" b="0"/>
            <wp:docPr id="19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96510" cy="1792605"/>
                    </a:xfrm>
                    <a:prstGeom prst="rect">
                      <a:avLst/>
                    </a:prstGeom>
                    <a:noFill/>
                    <a:ln>
                      <a:noFill/>
                    </a:ln>
                  </pic:spPr>
                </pic:pic>
              </a:graphicData>
            </a:graphic>
          </wp:inline>
        </w:drawing>
      </w:r>
    </w:p>
    <w:p w:rsidR="00016D83" w:rsidRPr="0019555C" w:rsidRDefault="00016D83" w:rsidP="00016D83">
      <w:pPr>
        <w:pStyle w:val="Figurelegend"/>
        <w:jc w:val="center"/>
        <w:rPr>
          <w:lang w:val="en-GB"/>
        </w:rPr>
      </w:pPr>
      <w:r w:rsidRPr="0019555C">
        <w:rPr>
          <w:lang w:val="en-GB"/>
        </w:rPr>
        <w:t>(b) P-P and P-MP backhaul</w:t>
      </w:r>
      <w:r w:rsidRPr="0019555C">
        <w:rPr>
          <w:rStyle w:val="FootnoteReference"/>
          <w:sz w:val="14"/>
          <w:szCs w:val="14"/>
          <w:lang w:val="en-GB"/>
        </w:rPr>
        <w:footnoteReference w:id="11"/>
      </w:r>
    </w:p>
    <w:p w:rsidR="00016D83" w:rsidRPr="0019555C" w:rsidRDefault="00016D83" w:rsidP="00016D83">
      <w:pPr>
        <w:pStyle w:val="Figure"/>
        <w:rPr>
          <w:lang w:val="en-GB" w:eastAsia="ja-JP"/>
        </w:rPr>
      </w:pPr>
      <w:r w:rsidRPr="0019555C">
        <w:rPr>
          <w:noProof/>
          <w:lang w:val="en-US" w:eastAsia="zh-CN"/>
        </w:rPr>
        <w:drawing>
          <wp:inline distT="0" distB="0" distL="0" distR="0" wp14:anchorId="65B4A68F" wp14:editId="5E669AF5">
            <wp:extent cx="5231130" cy="1932305"/>
            <wp:effectExtent l="0" t="0" r="7620" b="0"/>
            <wp:docPr id="19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31130" cy="1932305"/>
                    </a:xfrm>
                    <a:prstGeom prst="rect">
                      <a:avLst/>
                    </a:prstGeom>
                    <a:noFill/>
                    <a:ln>
                      <a:noFill/>
                    </a:ln>
                  </pic:spPr>
                </pic:pic>
              </a:graphicData>
            </a:graphic>
          </wp:inline>
        </w:drawing>
      </w:r>
    </w:p>
    <w:p w:rsidR="00016D83" w:rsidRPr="0019555C" w:rsidRDefault="00016D83" w:rsidP="00016D83">
      <w:pPr>
        <w:pStyle w:val="Figurelegend"/>
        <w:jc w:val="center"/>
        <w:rPr>
          <w:lang w:val="en-GB" w:eastAsia="ja-JP"/>
        </w:rPr>
      </w:pPr>
      <w:r w:rsidRPr="0019555C">
        <w:rPr>
          <w:lang w:val="en-GB" w:eastAsia="ja-JP"/>
        </w:rPr>
        <w:t>(c) Machine type communications</w:t>
      </w:r>
    </w:p>
    <w:p w:rsidR="00016D83" w:rsidRPr="0019555C" w:rsidRDefault="00016D83" w:rsidP="00016D83">
      <w:pPr>
        <w:pStyle w:val="Figure"/>
        <w:rPr>
          <w:lang w:val="en-GB" w:eastAsia="ja-JP"/>
        </w:rPr>
      </w:pPr>
      <w:r w:rsidRPr="0019555C">
        <w:rPr>
          <w:noProof/>
          <w:lang w:val="en-US" w:eastAsia="zh-CN"/>
        </w:rPr>
        <w:drawing>
          <wp:inline distT="0" distB="0" distL="0" distR="0" wp14:anchorId="21538F22" wp14:editId="1DA6D4EF">
            <wp:extent cx="4871085" cy="1499870"/>
            <wp:effectExtent l="0" t="0" r="5715" b="5080"/>
            <wp:docPr id="19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71085" cy="1499870"/>
                    </a:xfrm>
                    <a:prstGeom prst="rect">
                      <a:avLst/>
                    </a:prstGeom>
                    <a:noFill/>
                    <a:ln>
                      <a:noFill/>
                    </a:ln>
                  </pic:spPr>
                </pic:pic>
              </a:graphicData>
            </a:graphic>
          </wp:inline>
        </w:drawing>
      </w:r>
    </w:p>
    <w:p w:rsidR="00016D83" w:rsidRPr="0019555C" w:rsidRDefault="00016D83" w:rsidP="00016D83">
      <w:pPr>
        <w:pStyle w:val="Figurelegend"/>
        <w:jc w:val="center"/>
        <w:rPr>
          <w:lang w:val="en-GB" w:eastAsia="ja-JP"/>
        </w:rPr>
      </w:pPr>
      <w:r w:rsidRPr="0019555C">
        <w:rPr>
          <w:lang w:val="en-GB" w:eastAsia="ja-JP"/>
        </w:rPr>
        <w:lastRenderedPageBreak/>
        <w:t>(d) Home networks connected to FWA systems</w:t>
      </w:r>
    </w:p>
    <w:p w:rsidR="00016D83" w:rsidRPr="0019555C" w:rsidRDefault="00016D83" w:rsidP="00016D83">
      <w:pPr>
        <w:pStyle w:val="Figure"/>
        <w:rPr>
          <w:lang w:val="en-GB" w:eastAsia="ja-JP"/>
        </w:rPr>
      </w:pPr>
      <w:r w:rsidRPr="0019555C">
        <w:rPr>
          <w:noProof/>
          <w:lang w:val="en-US" w:eastAsia="zh-CN"/>
        </w:rPr>
        <w:drawing>
          <wp:inline distT="0" distB="0" distL="0" distR="0" wp14:anchorId="2443968A" wp14:editId="4FF2EB12">
            <wp:extent cx="5435354" cy="2079914"/>
            <wp:effectExtent l="0" t="0" r="0" b="0"/>
            <wp:docPr id="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33918" cy="2079364"/>
                    </a:xfrm>
                    <a:prstGeom prst="rect">
                      <a:avLst/>
                    </a:prstGeom>
                    <a:noFill/>
                    <a:ln>
                      <a:noFill/>
                    </a:ln>
                  </pic:spPr>
                </pic:pic>
              </a:graphicData>
            </a:graphic>
          </wp:inline>
        </w:drawing>
      </w:r>
    </w:p>
    <w:p w:rsidR="00016D83" w:rsidRPr="0019555C" w:rsidRDefault="00016D83" w:rsidP="00016D83">
      <w:pPr>
        <w:spacing w:before="240"/>
        <w:rPr>
          <w:lang w:val="en-GB" w:eastAsia="ja-JP"/>
        </w:rPr>
      </w:pPr>
      <w:r w:rsidRPr="0019555C">
        <w:rPr>
          <w:lang w:val="en-GB" w:eastAsia="ja-JP"/>
        </w:rPr>
        <w:t>One example of such application is to bridge two local/private networks between separate buildings. These networks are usually IP-based networks and sometimes operated by private entities. A link bridging networks using FWA systems can be installed rapidly and economically making use of the advantage aspects listed in § 2. Additionally, as demand for IP communication increases same as the demand for ordinary FWA systems, broadband IP communication interfaces are also required for this application</w:t>
      </w:r>
    </w:p>
    <w:p w:rsidR="00016D83" w:rsidRPr="0019555C" w:rsidRDefault="00016D83" w:rsidP="00016D83">
      <w:pPr>
        <w:rPr>
          <w:lang w:val="en-GB" w:eastAsia="ja-JP"/>
        </w:rPr>
      </w:pPr>
      <w:r w:rsidRPr="0019555C">
        <w:rPr>
          <w:lang w:val="en-GB" w:eastAsia="ja-JP"/>
        </w:rPr>
        <w:t xml:space="preserve">Another example is for the last mile of mobile backhaul. </w:t>
      </w:r>
      <w:r w:rsidRPr="0019555C">
        <w:rPr>
          <w:lang w:val="en-GB"/>
        </w:rPr>
        <w:t>The demand for mobile backhaul is expanding to support new mobile services such as LTE</w:t>
      </w:r>
      <w:r w:rsidRPr="0019555C">
        <w:rPr>
          <w:lang w:val="en-GB" w:eastAsia="ja-JP"/>
        </w:rPr>
        <w:t xml:space="preserve"> technology</w:t>
      </w:r>
      <w:r w:rsidRPr="0019555C">
        <w:rPr>
          <w:lang w:val="en-GB"/>
        </w:rPr>
        <w:t>. These services provide</w:t>
      </w:r>
      <w:r w:rsidRPr="0019555C">
        <w:rPr>
          <w:lang w:val="en-GB" w:eastAsia="ja-JP"/>
        </w:rPr>
        <w:t xml:space="preserve"> each user with higher</w:t>
      </w:r>
      <w:r w:rsidRPr="0019555C">
        <w:rPr>
          <w:lang w:val="en-GB"/>
        </w:rPr>
        <w:t xml:space="preserve"> data transmission rates than the previous mobile technologies with the result</w:t>
      </w:r>
      <w:r w:rsidRPr="0019555C">
        <w:rPr>
          <w:lang w:val="en-GB" w:eastAsia="ja-JP"/>
        </w:rPr>
        <w:t xml:space="preserve"> </w:t>
      </w:r>
      <w:r w:rsidRPr="0019555C">
        <w:rPr>
          <w:lang w:val="en-GB"/>
        </w:rPr>
        <w:t xml:space="preserve">that the </w:t>
      </w:r>
      <w:r w:rsidRPr="0019555C">
        <w:rPr>
          <w:lang w:val="en-GB" w:eastAsia="ja-JP"/>
        </w:rPr>
        <w:t>last hop</w:t>
      </w:r>
      <w:r w:rsidRPr="0019555C">
        <w:rPr>
          <w:lang w:val="en-GB"/>
        </w:rPr>
        <w:t xml:space="preserve"> also requires </w:t>
      </w:r>
      <w:r w:rsidRPr="0019555C">
        <w:rPr>
          <w:lang w:val="en-GB" w:eastAsia="ja-JP"/>
        </w:rPr>
        <w:t>broadband</w:t>
      </w:r>
      <w:r w:rsidRPr="0019555C">
        <w:rPr>
          <w:lang w:val="en-GB"/>
        </w:rPr>
        <w:t xml:space="preserve"> transmission. Moreover, these services are </w:t>
      </w:r>
      <w:r w:rsidRPr="0019555C">
        <w:rPr>
          <w:lang w:val="en-GB" w:eastAsia="ja-JP"/>
        </w:rPr>
        <w:t xml:space="preserve">expected to be </w:t>
      </w:r>
      <w:r w:rsidRPr="0019555C">
        <w:rPr>
          <w:lang w:val="en-GB"/>
        </w:rPr>
        <w:t xml:space="preserve">provided </w:t>
      </w:r>
      <w:r w:rsidRPr="0019555C">
        <w:rPr>
          <w:lang w:val="en-GB" w:eastAsia="ja-JP"/>
        </w:rPr>
        <w:t>in many cases using</w:t>
      </w:r>
      <w:r w:rsidRPr="0019555C">
        <w:rPr>
          <w:lang w:val="en-GB"/>
        </w:rPr>
        <w:t xml:space="preserve"> very small cell-sizes, </w:t>
      </w:r>
      <w:r w:rsidRPr="0019555C">
        <w:rPr>
          <w:lang w:val="en-GB" w:eastAsia="ja-JP"/>
        </w:rPr>
        <w:t>therefore</w:t>
      </w:r>
      <w:r w:rsidRPr="0019555C">
        <w:rPr>
          <w:lang w:val="en-GB"/>
        </w:rPr>
        <w:t xml:space="preserve"> there </w:t>
      </w:r>
      <w:r w:rsidRPr="0019555C">
        <w:rPr>
          <w:lang w:val="en-GB" w:eastAsia="ja-JP"/>
        </w:rPr>
        <w:t>may be</w:t>
      </w:r>
      <w:r w:rsidRPr="0019555C">
        <w:rPr>
          <w:lang w:val="en-GB"/>
        </w:rPr>
        <w:t xml:space="preserve"> many more base stations </w:t>
      </w:r>
      <w:r w:rsidRPr="0019555C">
        <w:rPr>
          <w:lang w:val="en-GB" w:eastAsia="ja-JP"/>
        </w:rPr>
        <w:t>in a given</w:t>
      </w:r>
      <w:r w:rsidRPr="0019555C">
        <w:rPr>
          <w:lang w:val="en-GB"/>
        </w:rPr>
        <w:t xml:space="preserve"> area. There can be anywhere from 5-to-20 small cells deployed in the future for every macro-cell base station</w:t>
      </w:r>
      <w:r w:rsidRPr="0019555C">
        <w:rPr>
          <w:lang w:val="en-GB" w:eastAsia="ja-JP"/>
        </w:rPr>
        <w:t xml:space="preserve"> [ADELSTEIN, J., </w:t>
      </w:r>
      <w:r w:rsidRPr="0019555C">
        <w:rPr>
          <w:i/>
          <w:iCs/>
          <w:lang w:val="en-GB" w:eastAsia="ja-JP"/>
        </w:rPr>
        <w:t>et al.</w:t>
      </w:r>
      <w:r w:rsidRPr="0019555C">
        <w:rPr>
          <w:lang w:val="en-GB" w:eastAsia="ja-JP"/>
        </w:rPr>
        <w:t>, 2013]</w:t>
      </w:r>
      <w:r w:rsidRPr="0019555C">
        <w:rPr>
          <w:lang w:val="en-GB"/>
        </w:rPr>
        <w:t>. As a result, each base station must be more compact, light</w:t>
      </w:r>
      <w:r w:rsidRPr="0019555C">
        <w:rPr>
          <w:lang w:val="en-GB" w:eastAsia="ja-JP"/>
        </w:rPr>
        <w:t>-weight</w:t>
      </w:r>
      <w:r w:rsidRPr="0019555C">
        <w:rPr>
          <w:lang w:val="en-GB"/>
        </w:rPr>
        <w:t xml:space="preserve">, and economical than conventional ones, including the supporting backhaul, equipment. </w:t>
      </w:r>
      <w:r w:rsidRPr="0019555C">
        <w:rPr>
          <w:lang w:val="en-GB" w:eastAsia="ja-JP"/>
        </w:rPr>
        <w:t xml:space="preserve">Broadband </w:t>
      </w:r>
      <w:r w:rsidRPr="0019555C">
        <w:rPr>
          <w:lang w:val="en-GB"/>
        </w:rPr>
        <w:t xml:space="preserve">FWA systems </w:t>
      </w:r>
      <w:r w:rsidRPr="0019555C">
        <w:rPr>
          <w:lang w:val="en-GB" w:eastAsia="ja-JP"/>
        </w:rPr>
        <w:t xml:space="preserve">can </w:t>
      </w:r>
      <w:r w:rsidRPr="0019555C">
        <w:rPr>
          <w:lang w:val="en-GB"/>
        </w:rPr>
        <w:t xml:space="preserve">satisfy these requirements </w:t>
      </w:r>
      <w:r w:rsidRPr="0019555C">
        <w:rPr>
          <w:lang w:val="en-GB" w:eastAsia="ja-JP"/>
        </w:rPr>
        <w:t>of</w:t>
      </w:r>
      <w:r w:rsidRPr="0019555C">
        <w:rPr>
          <w:lang w:val="en-GB"/>
        </w:rPr>
        <w:t xml:space="preserve"> compact size, light-weight and economical design.</w:t>
      </w:r>
    </w:p>
    <w:p w:rsidR="00016D83" w:rsidRPr="0019555C" w:rsidRDefault="00016D83" w:rsidP="00016D83">
      <w:pPr>
        <w:rPr>
          <w:lang w:val="en-GB" w:eastAsia="ja-JP"/>
        </w:rPr>
      </w:pPr>
      <w:r w:rsidRPr="0019555C">
        <w:rPr>
          <w:lang w:val="en-GB" w:eastAsia="ja-JP"/>
        </w:rPr>
        <w:t xml:space="preserve">The same equipment as FWA can also be used for machine type communications (MTC) </w:t>
      </w:r>
      <w:r w:rsidRPr="0019555C">
        <w:rPr>
          <w:lang w:val="en-GB"/>
        </w:rPr>
        <w:t>such as wide-area sensor and/or actuator networks (WASN)</w:t>
      </w:r>
      <w:r w:rsidRPr="0019555C">
        <w:rPr>
          <w:lang w:val="en-GB" w:eastAsia="ja-JP"/>
        </w:rPr>
        <w:t xml:space="preserve"> (see Recommendation ITU-R M.2002). </w:t>
      </w:r>
      <w:r w:rsidRPr="0019555C">
        <w:rPr>
          <w:lang w:val="en-GB"/>
        </w:rPr>
        <w:t xml:space="preserve">As for </w:t>
      </w:r>
      <w:r w:rsidRPr="0019555C">
        <w:rPr>
          <w:lang w:val="en-GB" w:eastAsia="ja-JP"/>
        </w:rPr>
        <w:t>MTC</w:t>
      </w:r>
      <w:r w:rsidRPr="0019555C">
        <w:rPr>
          <w:lang w:val="en-GB"/>
        </w:rPr>
        <w:t xml:space="preserve">, wireless is useful in </w:t>
      </w:r>
      <w:r w:rsidRPr="0019555C">
        <w:rPr>
          <w:lang w:val="en-GB" w:eastAsia="ja-JP"/>
        </w:rPr>
        <w:t xml:space="preserve">easily and rapidly </w:t>
      </w:r>
      <w:r w:rsidRPr="0019555C">
        <w:rPr>
          <w:lang w:val="en-GB"/>
        </w:rPr>
        <w:t xml:space="preserve">constructing temporary networks or constructing permanent networks where it is difficult to lay wires, e.g. rivers, marshes, and deserts. </w:t>
      </w:r>
      <w:r w:rsidRPr="0019555C">
        <w:rPr>
          <w:lang w:val="en-GB" w:eastAsia="ja-JP"/>
        </w:rPr>
        <w:t>As a recently trend</w:t>
      </w:r>
      <w:r w:rsidRPr="0019555C">
        <w:rPr>
          <w:lang w:val="en-GB"/>
        </w:rPr>
        <w:t xml:space="preserve">, networks connecting </w:t>
      </w:r>
      <w:r w:rsidRPr="0019555C">
        <w:rPr>
          <w:lang w:val="en-GB" w:eastAsia="ja-JP"/>
        </w:rPr>
        <w:t xml:space="preserve">to </w:t>
      </w:r>
      <w:r w:rsidRPr="0019555C">
        <w:rPr>
          <w:lang w:val="en-GB"/>
        </w:rPr>
        <w:t xml:space="preserve">a control centre and service areas must provide </w:t>
      </w:r>
      <w:r w:rsidRPr="0019555C">
        <w:rPr>
          <w:lang w:val="en-GB" w:eastAsia="ja-JP"/>
        </w:rPr>
        <w:t>higher capacity</w:t>
      </w:r>
      <w:r w:rsidRPr="0019555C">
        <w:rPr>
          <w:lang w:val="en-GB"/>
        </w:rPr>
        <w:t xml:space="preserve"> to support emerging applications, such as video monitoring systems, all of which require </w:t>
      </w:r>
      <w:r w:rsidRPr="0019555C">
        <w:rPr>
          <w:lang w:val="en-GB" w:eastAsia="ja-JP"/>
        </w:rPr>
        <w:t>broadband communications</w:t>
      </w:r>
      <w:r w:rsidRPr="0019555C">
        <w:rPr>
          <w:lang w:val="en-GB"/>
        </w:rPr>
        <w:t xml:space="preserve">. </w:t>
      </w:r>
      <w:r w:rsidRPr="0019555C">
        <w:rPr>
          <w:lang w:val="en-GB" w:eastAsia="ja-JP"/>
        </w:rPr>
        <w:t>Broadband</w:t>
      </w:r>
      <w:r w:rsidRPr="0019555C">
        <w:rPr>
          <w:lang w:val="en-GB"/>
        </w:rPr>
        <w:t xml:space="preserve"> FWA systems also satisfy these requirements with their features of broadband transmission, and compact size, light-weight and economical design which achieves easy and flexible installation. </w:t>
      </w:r>
    </w:p>
    <w:p w:rsidR="00016D83" w:rsidRPr="0019555C" w:rsidRDefault="00016D83" w:rsidP="00016D83">
      <w:pPr>
        <w:rPr>
          <w:lang w:val="en-GB"/>
        </w:rPr>
      </w:pPr>
      <w:r w:rsidRPr="0019555C">
        <w:rPr>
          <w:lang w:val="en-GB" w:eastAsia="ja-JP"/>
        </w:rPr>
        <w:t>The above-mentioned applications making use of FWA equipment have already been deployed in some area</w:t>
      </w:r>
      <w:r w:rsidRPr="0019555C">
        <w:rPr>
          <w:lang w:val="en-GB"/>
        </w:rPr>
        <w:t>s</w:t>
      </w:r>
      <w:r w:rsidRPr="0019555C">
        <w:rPr>
          <w:lang w:val="en-GB" w:eastAsia="ja-JP"/>
        </w:rPr>
        <w:t xml:space="preserve">. Some examples of these deployments are shown in Figs 21 through 24. </w:t>
      </w:r>
      <w:r w:rsidRPr="0019555C">
        <w:rPr>
          <w:lang w:val="en-GB"/>
        </w:rPr>
        <w:t xml:space="preserve">In these examples, </w:t>
      </w:r>
      <w:r w:rsidRPr="0019555C">
        <w:rPr>
          <w:lang w:val="en-GB" w:eastAsia="ja-JP"/>
        </w:rPr>
        <w:t xml:space="preserve">products of </w:t>
      </w:r>
      <w:r w:rsidRPr="0019555C">
        <w:rPr>
          <w:lang w:val="en-GB"/>
        </w:rPr>
        <w:t>Wireless IP Access System (WIPAS)</w:t>
      </w:r>
      <w:r w:rsidRPr="0019555C">
        <w:rPr>
          <w:lang w:val="en-GB" w:eastAsia="ja-JP"/>
        </w:rPr>
        <w:t xml:space="preserve"> are</w:t>
      </w:r>
      <w:r w:rsidRPr="0019555C">
        <w:rPr>
          <w:lang w:val="en-GB"/>
        </w:rPr>
        <w:t xml:space="preserve"> used. The system parameters of WIPAS are shown in Table </w:t>
      </w:r>
      <w:r w:rsidRPr="0019555C">
        <w:rPr>
          <w:lang w:val="en-GB" w:eastAsia="ja-JP"/>
        </w:rPr>
        <w:t>4</w:t>
      </w:r>
      <w:r w:rsidRPr="0019555C">
        <w:rPr>
          <w:lang w:val="en-GB"/>
        </w:rPr>
        <w:t>.</w:t>
      </w:r>
    </w:p>
    <w:p w:rsidR="00016D83" w:rsidRPr="0019555C" w:rsidRDefault="00016D83" w:rsidP="00016D83">
      <w:pPr>
        <w:rPr>
          <w:lang w:val="en-GB" w:eastAsia="ja-JP"/>
        </w:rPr>
      </w:pPr>
    </w:p>
    <w:p w:rsidR="00016D83" w:rsidRPr="0019555C" w:rsidRDefault="00016D83" w:rsidP="00016D83">
      <w:pPr>
        <w:pStyle w:val="TableNo"/>
        <w:rPr>
          <w:lang w:val="en-GB"/>
        </w:rPr>
      </w:pPr>
      <w:r w:rsidRPr="0019555C">
        <w:rPr>
          <w:lang w:val="en-GB"/>
        </w:rPr>
        <w:lastRenderedPageBreak/>
        <w:t>TABLE 4</w:t>
      </w:r>
    </w:p>
    <w:p w:rsidR="00016D83" w:rsidRPr="0019555C" w:rsidRDefault="00016D83" w:rsidP="00016D83">
      <w:pPr>
        <w:pStyle w:val="Tabletitle"/>
        <w:rPr>
          <w:lang w:val="en-GB"/>
        </w:rPr>
      </w:pPr>
      <w:r w:rsidRPr="0019555C">
        <w:rPr>
          <w:lang w:val="en-GB"/>
        </w:rPr>
        <w:t>System parameters of WIPAS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6124"/>
      </w:tblGrid>
      <w:tr w:rsidR="00016D83" w:rsidRPr="0019555C" w:rsidTr="002277C0">
        <w:tc>
          <w:tcPr>
            <w:tcW w:w="2381" w:type="dxa"/>
            <w:shd w:val="clear" w:color="auto" w:fill="92D050"/>
            <w:vAlign w:val="center"/>
          </w:tcPr>
          <w:p w:rsidR="00016D83" w:rsidRPr="0019555C" w:rsidRDefault="00016D83" w:rsidP="00A330D0">
            <w:pPr>
              <w:pStyle w:val="Tablehead"/>
              <w:rPr>
                <w:lang w:val="en-GB"/>
              </w:rPr>
            </w:pPr>
            <w:r w:rsidRPr="0019555C">
              <w:rPr>
                <w:lang w:val="en-GB"/>
              </w:rPr>
              <w:t>Items</w:t>
            </w:r>
          </w:p>
        </w:tc>
        <w:tc>
          <w:tcPr>
            <w:tcW w:w="6124" w:type="dxa"/>
            <w:shd w:val="clear" w:color="auto" w:fill="92D050"/>
            <w:vAlign w:val="center"/>
          </w:tcPr>
          <w:p w:rsidR="00016D83" w:rsidRPr="0019555C" w:rsidRDefault="00016D83" w:rsidP="00A330D0">
            <w:pPr>
              <w:pStyle w:val="Tablehead"/>
              <w:rPr>
                <w:lang w:val="en-GB"/>
              </w:rPr>
            </w:pPr>
            <w:r w:rsidRPr="0019555C">
              <w:rPr>
                <w:lang w:val="en-GB"/>
              </w:rPr>
              <w:t>Specification</w:t>
            </w:r>
          </w:p>
        </w:tc>
      </w:tr>
      <w:tr w:rsidR="00016D83" w:rsidRPr="0019555C" w:rsidTr="002277C0">
        <w:tc>
          <w:tcPr>
            <w:tcW w:w="2381" w:type="dxa"/>
            <w:vAlign w:val="center"/>
          </w:tcPr>
          <w:p w:rsidR="00016D83" w:rsidRPr="0019555C" w:rsidRDefault="00016D83" w:rsidP="00A330D0">
            <w:pPr>
              <w:pStyle w:val="Tabletext"/>
              <w:rPr>
                <w:lang w:val="en-GB"/>
              </w:rPr>
            </w:pPr>
            <w:r w:rsidRPr="0019555C">
              <w:rPr>
                <w:lang w:val="en-GB"/>
              </w:rPr>
              <w:t>Frequency band</w:t>
            </w:r>
          </w:p>
        </w:tc>
        <w:tc>
          <w:tcPr>
            <w:tcW w:w="6124" w:type="dxa"/>
            <w:vAlign w:val="center"/>
          </w:tcPr>
          <w:p w:rsidR="00016D83" w:rsidRPr="0019555C" w:rsidRDefault="00016D83" w:rsidP="00A330D0">
            <w:pPr>
              <w:pStyle w:val="Tabletext"/>
              <w:jc w:val="left"/>
              <w:rPr>
                <w:lang w:val="en-GB"/>
              </w:rPr>
            </w:pPr>
            <w:r w:rsidRPr="0019555C">
              <w:rPr>
                <w:lang w:val="en-GB"/>
              </w:rPr>
              <w:t>25.27-26.98 GHz</w:t>
            </w:r>
          </w:p>
        </w:tc>
      </w:tr>
      <w:tr w:rsidR="00016D83" w:rsidRPr="0019555C" w:rsidTr="002277C0">
        <w:tc>
          <w:tcPr>
            <w:tcW w:w="2381" w:type="dxa"/>
            <w:vAlign w:val="center"/>
          </w:tcPr>
          <w:p w:rsidR="00016D83" w:rsidRPr="0019555C" w:rsidRDefault="00016D83" w:rsidP="00A330D0">
            <w:pPr>
              <w:pStyle w:val="Tabletext"/>
              <w:rPr>
                <w:lang w:val="en-GB"/>
              </w:rPr>
            </w:pPr>
            <w:r w:rsidRPr="0019555C">
              <w:rPr>
                <w:lang w:val="en-GB"/>
              </w:rPr>
              <w:t xml:space="preserve">Occupied bandwidth </w:t>
            </w:r>
          </w:p>
        </w:tc>
        <w:tc>
          <w:tcPr>
            <w:tcW w:w="6124" w:type="dxa"/>
            <w:vAlign w:val="center"/>
          </w:tcPr>
          <w:p w:rsidR="00016D83" w:rsidRPr="0019555C" w:rsidRDefault="00016D83" w:rsidP="00A330D0">
            <w:pPr>
              <w:pStyle w:val="Tabletext"/>
              <w:jc w:val="left"/>
              <w:rPr>
                <w:lang w:val="en-GB"/>
              </w:rPr>
            </w:pPr>
            <w:r w:rsidRPr="0019555C">
              <w:rPr>
                <w:lang w:val="en-GB"/>
              </w:rPr>
              <w:t>52 MHz</w:t>
            </w:r>
          </w:p>
        </w:tc>
      </w:tr>
      <w:tr w:rsidR="00016D83" w:rsidRPr="00A21BE8" w:rsidTr="002277C0">
        <w:tc>
          <w:tcPr>
            <w:tcW w:w="2381" w:type="dxa"/>
            <w:vAlign w:val="center"/>
          </w:tcPr>
          <w:p w:rsidR="00016D83" w:rsidRPr="0019555C" w:rsidRDefault="00016D83" w:rsidP="00A330D0">
            <w:pPr>
              <w:pStyle w:val="Tabletext"/>
              <w:rPr>
                <w:lang w:val="en-GB"/>
              </w:rPr>
            </w:pPr>
            <w:r w:rsidRPr="0019555C">
              <w:rPr>
                <w:lang w:val="en-GB"/>
              </w:rPr>
              <w:t xml:space="preserve">Transmission scheme </w:t>
            </w:r>
          </w:p>
        </w:tc>
        <w:tc>
          <w:tcPr>
            <w:tcW w:w="6124" w:type="dxa"/>
            <w:vAlign w:val="center"/>
          </w:tcPr>
          <w:p w:rsidR="00016D83" w:rsidRPr="0019555C" w:rsidRDefault="00016D83" w:rsidP="00A330D0">
            <w:pPr>
              <w:pStyle w:val="Tabletext"/>
              <w:jc w:val="left"/>
              <w:rPr>
                <w:lang w:val="en-GB"/>
              </w:rPr>
            </w:pPr>
            <w:r w:rsidRPr="0019555C">
              <w:rPr>
                <w:lang w:val="en-GB"/>
              </w:rPr>
              <w:t>TDM, TDMA, and dynamic TDD</w:t>
            </w:r>
          </w:p>
        </w:tc>
      </w:tr>
      <w:tr w:rsidR="00016D83" w:rsidRPr="00A21BE8" w:rsidTr="002277C0">
        <w:tc>
          <w:tcPr>
            <w:tcW w:w="2381" w:type="dxa"/>
            <w:vAlign w:val="center"/>
          </w:tcPr>
          <w:p w:rsidR="00016D83" w:rsidRPr="0019555C" w:rsidRDefault="00016D83" w:rsidP="00A330D0">
            <w:pPr>
              <w:pStyle w:val="Tabletext"/>
              <w:rPr>
                <w:lang w:val="en-GB"/>
              </w:rPr>
            </w:pPr>
            <w:r w:rsidRPr="0019555C">
              <w:rPr>
                <w:lang w:val="en-GB"/>
              </w:rPr>
              <w:t>Transmission power</w:t>
            </w:r>
          </w:p>
        </w:tc>
        <w:tc>
          <w:tcPr>
            <w:tcW w:w="6124" w:type="dxa"/>
            <w:vAlign w:val="center"/>
          </w:tcPr>
          <w:p w:rsidR="00016D83" w:rsidRPr="0019555C" w:rsidRDefault="00016D83" w:rsidP="00A330D0">
            <w:pPr>
              <w:pStyle w:val="Tabletext"/>
              <w:jc w:val="left"/>
              <w:rPr>
                <w:lang w:val="en-GB"/>
              </w:rPr>
            </w:pPr>
            <w:r w:rsidRPr="0019555C">
              <w:rPr>
                <w:lang w:val="en-GB"/>
              </w:rPr>
              <w:t>AP: Max. 27 dBm, WT: Max. 14 dBm</w:t>
            </w:r>
          </w:p>
        </w:tc>
      </w:tr>
      <w:tr w:rsidR="00016D83" w:rsidRPr="0019555C" w:rsidTr="002277C0">
        <w:tc>
          <w:tcPr>
            <w:tcW w:w="2381" w:type="dxa"/>
            <w:vAlign w:val="center"/>
          </w:tcPr>
          <w:p w:rsidR="00016D83" w:rsidRPr="0019555C" w:rsidRDefault="00016D83" w:rsidP="00A330D0">
            <w:pPr>
              <w:pStyle w:val="Tabletext"/>
              <w:rPr>
                <w:lang w:val="en-GB"/>
              </w:rPr>
            </w:pPr>
            <w:r w:rsidRPr="0019555C">
              <w:rPr>
                <w:lang w:val="en-GB"/>
              </w:rPr>
              <w:t>Symbol rate</w:t>
            </w:r>
          </w:p>
        </w:tc>
        <w:tc>
          <w:tcPr>
            <w:tcW w:w="6124" w:type="dxa"/>
            <w:vAlign w:val="center"/>
          </w:tcPr>
          <w:p w:rsidR="00016D83" w:rsidRPr="0019555C" w:rsidRDefault="00016D83" w:rsidP="00A330D0">
            <w:pPr>
              <w:pStyle w:val="Tabletext"/>
              <w:jc w:val="left"/>
              <w:rPr>
                <w:lang w:val="en-GB"/>
              </w:rPr>
            </w:pPr>
            <w:r w:rsidRPr="0019555C">
              <w:rPr>
                <w:lang w:val="en-GB"/>
              </w:rPr>
              <w:t>40 Mbaud</w:t>
            </w:r>
          </w:p>
        </w:tc>
      </w:tr>
      <w:tr w:rsidR="00016D83" w:rsidRPr="00A21BE8" w:rsidTr="002277C0">
        <w:tc>
          <w:tcPr>
            <w:tcW w:w="2381" w:type="dxa"/>
            <w:vAlign w:val="center"/>
          </w:tcPr>
          <w:p w:rsidR="00016D83" w:rsidRPr="0019555C" w:rsidRDefault="00016D83" w:rsidP="00A330D0">
            <w:pPr>
              <w:pStyle w:val="Tabletext"/>
              <w:rPr>
                <w:lang w:val="en-GB"/>
              </w:rPr>
            </w:pPr>
            <w:r w:rsidRPr="0019555C">
              <w:rPr>
                <w:lang w:val="en-GB"/>
              </w:rPr>
              <w:t>Payload rate</w:t>
            </w:r>
          </w:p>
        </w:tc>
        <w:tc>
          <w:tcPr>
            <w:tcW w:w="6124" w:type="dxa"/>
            <w:vAlign w:val="center"/>
          </w:tcPr>
          <w:p w:rsidR="00016D83" w:rsidRPr="0019555C" w:rsidRDefault="00016D83" w:rsidP="00A330D0">
            <w:pPr>
              <w:pStyle w:val="Tabletext"/>
              <w:jc w:val="left"/>
              <w:rPr>
                <w:lang w:val="en-GB"/>
              </w:rPr>
            </w:pPr>
            <w:r w:rsidRPr="0019555C">
              <w:rPr>
                <w:lang w:val="en-GB"/>
              </w:rPr>
              <w:t>Approximately 180 Mbit/s (total of down and uplink)</w:t>
            </w:r>
          </w:p>
        </w:tc>
      </w:tr>
      <w:tr w:rsidR="00016D83" w:rsidRPr="00A21BE8" w:rsidTr="002277C0">
        <w:tc>
          <w:tcPr>
            <w:tcW w:w="2381" w:type="dxa"/>
            <w:vAlign w:val="center"/>
          </w:tcPr>
          <w:p w:rsidR="00016D83" w:rsidRPr="0019555C" w:rsidRDefault="00016D83" w:rsidP="00A330D0">
            <w:pPr>
              <w:pStyle w:val="Tabletext"/>
              <w:rPr>
                <w:lang w:val="en-GB"/>
              </w:rPr>
            </w:pPr>
            <w:r w:rsidRPr="0019555C">
              <w:rPr>
                <w:lang w:val="en-GB"/>
              </w:rPr>
              <w:t>Modulation mode</w:t>
            </w:r>
          </w:p>
        </w:tc>
        <w:tc>
          <w:tcPr>
            <w:tcW w:w="6124" w:type="dxa"/>
            <w:vAlign w:val="center"/>
          </w:tcPr>
          <w:p w:rsidR="00016D83" w:rsidRPr="0019555C" w:rsidRDefault="00016D83" w:rsidP="00A330D0">
            <w:pPr>
              <w:pStyle w:val="Tabletext"/>
              <w:jc w:val="left"/>
              <w:rPr>
                <w:lang w:val="en-GB"/>
              </w:rPr>
            </w:pPr>
            <w:r w:rsidRPr="0019555C">
              <w:rPr>
                <w:lang w:val="en-GB"/>
              </w:rPr>
              <w:t>64 QAM, 16 QAM or QPSK (Adaptive modulation supported)</w:t>
            </w:r>
          </w:p>
        </w:tc>
      </w:tr>
      <w:tr w:rsidR="00016D83" w:rsidRPr="00A21BE8" w:rsidTr="002277C0">
        <w:tc>
          <w:tcPr>
            <w:tcW w:w="2381" w:type="dxa"/>
            <w:vAlign w:val="center"/>
          </w:tcPr>
          <w:p w:rsidR="00016D83" w:rsidRPr="0019555C" w:rsidRDefault="00016D83" w:rsidP="00A330D0">
            <w:pPr>
              <w:pStyle w:val="Tabletext"/>
              <w:rPr>
                <w:lang w:val="en-GB"/>
              </w:rPr>
            </w:pPr>
            <w:r w:rsidRPr="0019555C">
              <w:rPr>
                <w:lang w:val="en-GB"/>
              </w:rPr>
              <w:t>Priority queuing</w:t>
            </w:r>
          </w:p>
        </w:tc>
        <w:tc>
          <w:tcPr>
            <w:tcW w:w="6124" w:type="dxa"/>
            <w:vAlign w:val="center"/>
          </w:tcPr>
          <w:p w:rsidR="00016D83" w:rsidRPr="0019555C" w:rsidRDefault="00016D83" w:rsidP="00A330D0">
            <w:pPr>
              <w:pStyle w:val="Tabletext"/>
              <w:jc w:val="left"/>
              <w:rPr>
                <w:lang w:val="en-GB"/>
              </w:rPr>
            </w:pPr>
            <w:r w:rsidRPr="0019555C">
              <w:rPr>
                <w:lang w:val="en-GB"/>
              </w:rPr>
              <w:t>8 class QoS (POTS-quality VoIP supported)</w:t>
            </w:r>
          </w:p>
        </w:tc>
      </w:tr>
      <w:tr w:rsidR="00016D83" w:rsidRPr="00A21BE8" w:rsidTr="002277C0">
        <w:tc>
          <w:tcPr>
            <w:tcW w:w="2381" w:type="dxa"/>
            <w:vAlign w:val="center"/>
          </w:tcPr>
          <w:p w:rsidR="00016D83" w:rsidRPr="0019555C" w:rsidRDefault="00016D83" w:rsidP="00A330D0">
            <w:pPr>
              <w:pStyle w:val="Tabletext"/>
              <w:rPr>
                <w:lang w:val="en-GB"/>
              </w:rPr>
            </w:pPr>
            <w:r w:rsidRPr="0019555C">
              <w:rPr>
                <w:lang w:val="en-GB"/>
              </w:rPr>
              <w:t>Multicast</w:t>
            </w:r>
          </w:p>
        </w:tc>
        <w:tc>
          <w:tcPr>
            <w:tcW w:w="6124" w:type="dxa"/>
            <w:vAlign w:val="center"/>
          </w:tcPr>
          <w:p w:rsidR="00016D83" w:rsidRPr="0019555C" w:rsidRDefault="00016D83" w:rsidP="00A330D0">
            <w:pPr>
              <w:pStyle w:val="Tabletext"/>
              <w:jc w:val="left"/>
              <w:rPr>
                <w:lang w:val="en-GB"/>
              </w:rPr>
            </w:pPr>
            <w:r w:rsidRPr="0019555C">
              <w:rPr>
                <w:lang w:val="en-GB"/>
              </w:rPr>
              <w:t>HDTV video signal multicast supported</w:t>
            </w:r>
          </w:p>
        </w:tc>
      </w:tr>
      <w:tr w:rsidR="00016D83" w:rsidRPr="0019555C" w:rsidTr="002277C0">
        <w:tc>
          <w:tcPr>
            <w:tcW w:w="2381" w:type="dxa"/>
            <w:vAlign w:val="center"/>
          </w:tcPr>
          <w:p w:rsidR="00016D83" w:rsidRPr="0019555C" w:rsidRDefault="00016D83" w:rsidP="00A330D0">
            <w:pPr>
              <w:pStyle w:val="Tabletext"/>
              <w:rPr>
                <w:lang w:val="en-GB"/>
              </w:rPr>
            </w:pPr>
            <w:r w:rsidRPr="0019555C">
              <w:rPr>
                <w:lang w:val="en-GB"/>
              </w:rPr>
              <w:t>Antenna Type / Gain</w:t>
            </w:r>
          </w:p>
        </w:tc>
        <w:tc>
          <w:tcPr>
            <w:tcW w:w="6124" w:type="dxa"/>
            <w:vAlign w:val="center"/>
          </w:tcPr>
          <w:p w:rsidR="00016D83" w:rsidRPr="0019555C" w:rsidRDefault="00016D83" w:rsidP="00A330D0">
            <w:pPr>
              <w:pStyle w:val="Tabletext"/>
              <w:jc w:val="left"/>
              <w:rPr>
                <w:lang w:val="en-GB"/>
              </w:rPr>
            </w:pPr>
            <w:r w:rsidRPr="0019555C">
              <w:rPr>
                <w:lang w:val="en-GB"/>
              </w:rPr>
              <w:t xml:space="preserve">AP: Omni-directional antenna / 5 dBi, etc., </w:t>
            </w:r>
            <w:r w:rsidRPr="0019555C">
              <w:rPr>
                <w:lang w:val="en-GB"/>
              </w:rPr>
              <w:br/>
              <w:t>WT: Planar antenna / 31.5 dBi</w:t>
            </w:r>
          </w:p>
        </w:tc>
      </w:tr>
      <w:tr w:rsidR="00016D83" w:rsidRPr="00A21BE8" w:rsidTr="002277C0">
        <w:tc>
          <w:tcPr>
            <w:tcW w:w="2381" w:type="dxa"/>
            <w:vAlign w:val="center"/>
          </w:tcPr>
          <w:p w:rsidR="00016D83" w:rsidRPr="0019555C" w:rsidRDefault="00016D83" w:rsidP="00A330D0">
            <w:pPr>
              <w:pStyle w:val="Tabletext"/>
              <w:rPr>
                <w:lang w:val="en-GB"/>
              </w:rPr>
            </w:pPr>
            <w:r w:rsidRPr="0019555C">
              <w:rPr>
                <w:lang w:val="en-GB"/>
              </w:rPr>
              <w:t>Propagation distance</w:t>
            </w:r>
          </w:p>
        </w:tc>
        <w:tc>
          <w:tcPr>
            <w:tcW w:w="6124" w:type="dxa"/>
            <w:vAlign w:val="center"/>
          </w:tcPr>
          <w:p w:rsidR="00016D83" w:rsidRPr="0019555C" w:rsidRDefault="00016D83" w:rsidP="00A330D0">
            <w:pPr>
              <w:pStyle w:val="Tabletext"/>
              <w:jc w:val="left"/>
              <w:rPr>
                <w:lang w:val="en-GB"/>
              </w:rPr>
            </w:pPr>
            <w:r w:rsidRPr="0019555C">
              <w:rPr>
                <w:lang w:val="en-GB"/>
              </w:rPr>
              <w:t>P-P: Max. approximately 7 km / P-MP: Max. approximately 2 km</w:t>
            </w:r>
          </w:p>
        </w:tc>
      </w:tr>
      <w:tr w:rsidR="00016D83" w:rsidRPr="00A21BE8" w:rsidTr="002277C0">
        <w:tc>
          <w:tcPr>
            <w:tcW w:w="2381" w:type="dxa"/>
            <w:vAlign w:val="center"/>
          </w:tcPr>
          <w:p w:rsidR="00016D83" w:rsidRPr="0019555C" w:rsidRDefault="00016D83" w:rsidP="00A330D0">
            <w:pPr>
              <w:pStyle w:val="Tabletext"/>
              <w:rPr>
                <w:lang w:val="en-GB"/>
              </w:rPr>
            </w:pPr>
            <w:r w:rsidRPr="0019555C">
              <w:rPr>
                <w:lang w:val="en-GB"/>
              </w:rPr>
              <w:t>Application services</w:t>
            </w:r>
          </w:p>
        </w:tc>
        <w:tc>
          <w:tcPr>
            <w:tcW w:w="6124" w:type="dxa"/>
            <w:vAlign w:val="center"/>
          </w:tcPr>
          <w:p w:rsidR="00016D83" w:rsidRPr="0019555C" w:rsidRDefault="00016D83" w:rsidP="00A330D0">
            <w:pPr>
              <w:pStyle w:val="Tabletext"/>
              <w:jc w:val="left"/>
              <w:rPr>
                <w:lang w:val="en-GB"/>
              </w:rPr>
            </w:pPr>
            <w:r w:rsidRPr="0019555C">
              <w:rPr>
                <w:lang w:val="en-GB"/>
              </w:rPr>
              <w:t>Internet, POTS-quality VoIP and HDTV</w:t>
            </w:r>
          </w:p>
        </w:tc>
      </w:tr>
    </w:tbl>
    <w:p w:rsidR="00016D83" w:rsidRPr="0019555C" w:rsidRDefault="00016D83" w:rsidP="00016D83">
      <w:pPr>
        <w:pStyle w:val="Tablefin"/>
        <w:rPr>
          <w:lang w:eastAsia="ja-JP"/>
        </w:rPr>
      </w:pPr>
    </w:p>
    <w:p w:rsidR="00016D83" w:rsidRPr="0019555C" w:rsidRDefault="00016D83" w:rsidP="00016D83">
      <w:pPr>
        <w:rPr>
          <w:lang w:val="en-GB"/>
        </w:rPr>
      </w:pPr>
      <w:r w:rsidRPr="0019555C">
        <w:rPr>
          <w:lang w:val="en-GB" w:eastAsia="ja-JP"/>
        </w:rPr>
        <w:t>WIPAS is basically designed to provide wireless broadband services. Figure 29</w:t>
      </w:r>
      <w:r w:rsidRPr="0019555C">
        <w:rPr>
          <w:lang w:val="en-GB"/>
        </w:rPr>
        <w:t xml:space="preserve"> shows a deployment example of broadband service</w:t>
      </w:r>
      <w:r w:rsidRPr="0019555C">
        <w:rPr>
          <w:lang w:val="en-GB" w:eastAsia="ja-JP"/>
        </w:rPr>
        <w:t>s</w:t>
      </w:r>
      <w:r w:rsidRPr="0019555C">
        <w:rPr>
          <w:lang w:val="en-GB"/>
        </w:rPr>
        <w:t xml:space="preserve"> in Japan. The technology is also available in the United States of America.</w:t>
      </w:r>
      <w:r w:rsidRPr="0019555C">
        <w:rPr>
          <w:position w:val="6"/>
          <w:sz w:val="18"/>
          <w:lang w:val="en-GB"/>
        </w:rPr>
        <w:footnoteReference w:id="12"/>
      </w:r>
      <w:r w:rsidRPr="0019555C">
        <w:rPr>
          <w:lang w:val="en-GB"/>
        </w:rPr>
        <w:t xml:space="preserve"> </w:t>
      </w:r>
      <w:r w:rsidRPr="0019555C">
        <w:rPr>
          <w:lang w:val="en-GB" w:eastAsia="ja-JP"/>
        </w:rPr>
        <w:t>The b</w:t>
      </w:r>
      <w:r w:rsidRPr="0019555C">
        <w:rPr>
          <w:lang w:val="en-GB"/>
        </w:rPr>
        <w:t>roadband service using WIPAS</w:t>
      </w:r>
      <w:r w:rsidRPr="0019555C">
        <w:rPr>
          <w:lang w:val="en-GB" w:eastAsia="ja-JP"/>
        </w:rPr>
        <w:t xml:space="preserve"> is</w:t>
      </w:r>
      <w:r w:rsidRPr="0019555C">
        <w:rPr>
          <w:lang w:val="en-GB"/>
        </w:rPr>
        <w:t xml:space="preserve"> provided </w:t>
      </w:r>
      <w:r w:rsidRPr="0019555C">
        <w:rPr>
          <w:lang w:val="en-GB" w:eastAsia="ja-JP"/>
        </w:rPr>
        <w:t>in</w:t>
      </w:r>
      <w:r w:rsidRPr="0019555C">
        <w:rPr>
          <w:lang w:val="en-GB"/>
        </w:rPr>
        <w:t xml:space="preserve"> some areas where FTTH service is difficult to be introduced.</w:t>
      </w:r>
    </w:p>
    <w:p w:rsidR="00016D83" w:rsidRPr="0019555C" w:rsidRDefault="00016D83" w:rsidP="00016D83">
      <w:pPr>
        <w:pStyle w:val="FigureNo"/>
        <w:rPr>
          <w:lang w:val="en-GB"/>
        </w:rPr>
      </w:pPr>
      <w:r w:rsidRPr="0019555C">
        <w:rPr>
          <w:lang w:val="en-GB"/>
        </w:rPr>
        <w:t>FIGURE 29</w:t>
      </w:r>
    </w:p>
    <w:p w:rsidR="00016D83" w:rsidRPr="0019555C" w:rsidRDefault="00016D83" w:rsidP="00016D83">
      <w:pPr>
        <w:pStyle w:val="Figuretitle"/>
        <w:rPr>
          <w:lang w:val="en-GB"/>
        </w:rPr>
      </w:pPr>
      <w:r w:rsidRPr="0019555C">
        <w:rPr>
          <w:lang w:val="en-GB"/>
        </w:rPr>
        <w:t>Broadband service using WIPAS</w:t>
      </w:r>
    </w:p>
    <w:p w:rsidR="00016D83" w:rsidRPr="0019555C" w:rsidRDefault="00016D83" w:rsidP="00016D83">
      <w:pPr>
        <w:pStyle w:val="Figure"/>
        <w:rPr>
          <w:lang w:val="en-GB"/>
        </w:rPr>
      </w:pPr>
      <w:r w:rsidRPr="0019555C">
        <w:rPr>
          <w:noProof/>
          <w:lang w:val="en-US" w:eastAsia="zh-CN"/>
        </w:rPr>
        <w:drawing>
          <wp:inline distT="0" distB="0" distL="0" distR="0" wp14:anchorId="3531018F" wp14:editId="341593A1">
            <wp:extent cx="5219700" cy="2228850"/>
            <wp:effectExtent l="0" t="0" r="0" b="0"/>
            <wp:docPr id="2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19700" cy="2228850"/>
                    </a:xfrm>
                    <a:prstGeom prst="rect">
                      <a:avLst/>
                    </a:prstGeom>
                    <a:noFill/>
                    <a:ln>
                      <a:noFill/>
                    </a:ln>
                  </pic:spPr>
                </pic:pic>
              </a:graphicData>
            </a:graphic>
          </wp:inline>
        </w:drawing>
      </w:r>
    </w:p>
    <w:p w:rsidR="00016D83" w:rsidRPr="0019555C" w:rsidRDefault="00016D83" w:rsidP="00016D83">
      <w:pPr>
        <w:spacing w:beforeLines="100" w:before="240"/>
        <w:rPr>
          <w:lang w:val="en-GB"/>
        </w:rPr>
      </w:pPr>
      <w:r w:rsidRPr="0019555C">
        <w:rPr>
          <w:lang w:val="en-GB"/>
        </w:rPr>
        <w:t>Figure</w:t>
      </w:r>
      <w:r w:rsidRPr="0019555C">
        <w:rPr>
          <w:lang w:val="en-GB" w:eastAsia="ja-JP"/>
        </w:rPr>
        <w:t xml:space="preserve"> 30 </w:t>
      </w:r>
      <w:r w:rsidRPr="0019555C">
        <w:rPr>
          <w:lang w:val="en-GB"/>
        </w:rPr>
        <w:t>presents a deployment of mobile backhaul to provide an Internet access service for passengers in the trains on Tsukuba Express Line in Japan. In this example, WIPAS is adopted as backhaul forming access links between the radio-relay stations along the rail track.</w:t>
      </w:r>
    </w:p>
    <w:p w:rsidR="00016D83" w:rsidRPr="0019555C" w:rsidRDefault="00016D83" w:rsidP="00016D83">
      <w:pPr>
        <w:pStyle w:val="FigureNo"/>
        <w:rPr>
          <w:lang w:val="en-GB"/>
        </w:rPr>
      </w:pPr>
      <w:r w:rsidRPr="0019555C">
        <w:rPr>
          <w:lang w:val="en-GB"/>
        </w:rPr>
        <w:lastRenderedPageBreak/>
        <w:t>FIGURE 30</w:t>
      </w:r>
    </w:p>
    <w:p w:rsidR="00016D83" w:rsidRPr="0019555C" w:rsidRDefault="00016D83" w:rsidP="00016D83">
      <w:pPr>
        <w:pStyle w:val="Figuretitle"/>
        <w:rPr>
          <w:lang w:val="en-GB"/>
        </w:rPr>
      </w:pPr>
      <w:r w:rsidRPr="0019555C">
        <w:rPr>
          <w:lang w:val="en-GB"/>
        </w:rPr>
        <w:t>Backhaul for Internet access service in moving trains</w:t>
      </w:r>
    </w:p>
    <w:p w:rsidR="00016D83" w:rsidRPr="0019555C" w:rsidRDefault="00016D83" w:rsidP="00016D83">
      <w:pPr>
        <w:pStyle w:val="Figure"/>
        <w:rPr>
          <w:lang w:val="en-GB" w:eastAsia="ja-JP"/>
        </w:rPr>
      </w:pPr>
      <w:r w:rsidRPr="0019555C">
        <w:rPr>
          <w:noProof/>
          <w:lang w:val="en-US" w:eastAsia="zh-CN"/>
        </w:rPr>
        <w:drawing>
          <wp:inline distT="0" distB="0" distL="0" distR="0" wp14:anchorId="3ACD68AC" wp14:editId="75355883">
            <wp:extent cx="5610225" cy="3105150"/>
            <wp:effectExtent l="0" t="0" r="9525" b="0"/>
            <wp:docPr id="2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p>
    <w:p w:rsidR="00016D83" w:rsidRPr="0019555C" w:rsidRDefault="00016D83" w:rsidP="00016D83">
      <w:pPr>
        <w:rPr>
          <w:lang w:val="en-GB" w:eastAsia="ja-JP"/>
        </w:rPr>
      </w:pPr>
      <w:r w:rsidRPr="0019555C">
        <w:rPr>
          <w:lang w:val="en-GB"/>
        </w:rPr>
        <w:t xml:space="preserve">Figure </w:t>
      </w:r>
      <w:r w:rsidRPr="0019555C">
        <w:rPr>
          <w:lang w:val="en-GB" w:eastAsia="ja-JP"/>
        </w:rPr>
        <w:t>31</w:t>
      </w:r>
      <w:r w:rsidRPr="0019555C">
        <w:rPr>
          <w:lang w:val="en-GB"/>
        </w:rPr>
        <w:t xml:space="preserve"> depicts an example of MTC applications, which is a remote monitoring system that enhances safety and efficiency in an open-pit mine in Chile. The</w:t>
      </w:r>
      <w:r w:rsidRPr="0019555C">
        <w:rPr>
          <w:lang w:val="en-GB" w:eastAsia="ja-JP"/>
        </w:rPr>
        <w:t xml:space="preserve"> application </w:t>
      </w:r>
      <w:r w:rsidRPr="0019555C">
        <w:rPr>
          <w:lang w:val="en-GB"/>
        </w:rPr>
        <w:t xml:space="preserve">field of this MTC </w:t>
      </w:r>
      <w:r w:rsidRPr="0019555C">
        <w:rPr>
          <w:lang w:val="en-GB" w:eastAsia="ja-JP"/>
        </w:rPr>
        <w:t>deployment</w:t>
      </w:r>
      <w:r w:rsidRPr="0019555C">
        <w:rPr>
          <w:lang w:val="en-GB"/>
        </w:rPr>
        <w:t xml:space="preserve"> model </w:t>
      </w:r>
      <w:r w:rsidRPr="0019555C">
        <w:rPr>
          <w:lang w:val="en-GB" w:eastAsia="ja-JP"/>
        </w:rPr>
        <w:t>is expected to</w:t>
      </w:r>
      <w:r w:rsidRPr="0019555C">
        <w:rPr>
          <w:lang w:val="en-GB"/>
        </w:rPr>
        <w:t xml:space="preserve"> be </w:t>
      </w:r>
      <w:r w:rsidRPr="0019555C">
        <w:rPr>
          <w:lang w:val="en-GB" w:eastAsia="ja-JP"/>
        </w:rPr>
        <w:t>further</w:t>
      </w:r>
      <w:r w:rsidRPr="0019555C">
        <w:rPr>
          <w:lang w:val="en-GB"/>
        </w:rPr>
        <w:t xml:space="preserve"> expanded to other industries, such as the construction industry.</w:t>
      </w:r>
    </w:p>
    <w:p w:rsidR="00016D83" w:rsidRPr="0019555C" w:rsidRDefault="00016D83" w:rsidP="00016D83">
      <w:pPr>
        <w:pStyle w:val="FigureNo"/>
        <w:rPr>
          <w:lang w:val="en-GB"/>
        </w:rPr>
      </w:pPr>
      <w:r w:rsidRPr="0019555C">
        <w:rPr>
          <w:lang w:val="en-GB"/>
        </w:rPr>
        <w:t>FIGURE 31</w:t>
      </w:r>
    </w:p>
    <w:p w:rsidR="00016D83" w:rsidRPr="0019555C" w:rsidRDefault="00016D83" w:rsidP="00016D83">
      <w:pPr>
        <w:pStyle w:val="Figuretitle"/>
        <w:rPr>
          <w:lang w:val="en-GB"/>
        </w:rPr>
      </w:pPr>
      <w:r w:rsidRPr="0019555C">
        <w:rPr>
          <w:lang w:val="en-GB"/>
        </w:rPr>
        <w:t>Example of MTC applications</w:t>
      </w:r>
    </w:p>
    <w:p w:rsidR="00016D83" w:rsidRPr="0019555C" w:rsidRDefault="00016D83" w:rsidP="00016D83">
      <w:pPr>
        <w:pStyle w:val="Figure"/>
        <w:rPr>
          <w:lang w:val="en-GB" w:eastAsia="ja-JP"/>
        </w:rPr>
      </w:pPr>
      <w:r w:rsidRPr="0019555C">
        <w:rPr>
          <w:noProof/>
          <w:lang w:val="en-US" w:eastAsia="zh-CN"/>
        </w:rPr>
        <w:drawing>
          <wp:inline distT="0" distB="0" distL="0" distR="0" wp14:anchorId="1A91851D" wp14:editId="5BAC762F">
            <wp:extent cx="5572125" cy="3171825"/>
            <wp:effectExtent l="0" t="0" r="9525" b="9525"/>
            <wp:docPr id="2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72125" cy="3171825"/>
                    </a:xfrm>
                    <a:prstGeom prst="rect">
                      <a:avLst/>
                    </a:prstGeom>
                    <a:noFill/>
                    <a:ln>
                      <a:noFill/>
                    </a:ln>
                  </pic:spPr>
                </pic:pic>
              </a:graphicData>
            </a:graphic>
          </wp:inline>
        </w:drawing>
      </w:r>
    </w:p>
    <w:p w:rsidR="00016D83" w:rsidRPr="0019555C" w:rsidRDefault="00016D83" w:rsidP="002277C0">
      <w:pPr>
        <w:keepNext/>
        <w:keepLines/>
        <w:rPr>
          <w:lang w:val="en-GB" w:eastAsia="ja-JP"/>
        </w:rPr>
      </w:pPr>
      <w:r w:rsidRPr="0019555C">
        <w:rPr>
          <w:lang w:val="en-GB"/>
        </w:rPr>
        <w:lastRenderedPageBreak/>
        <w:t xml:space="preserve">Figure </w:t>
      </w:r>
      <w:r w:rsidRPr="0019555C">
        <w:rPr>
          <w:lang w:val="en-GB" w:eastAsia="ja-JP"/>
        </w:rPr>
        <w:t xml:space="preserve">32 </w:t>
      </w:r>
      <w:r w:rsidRPr="0019555C">
        <w:rPr>
          <w:lang w:val="en-GB"/>
        </w:rPr>
        <w:t>shows an example of a wireless link using WIPAS for emergency response, which was used at the mine roof collapse site in Chile. A WIPAS point-to-point system connected the rescue office to one of the drilling sites, located 300 m</w:t>
      </w:r>
      <w:r w:rsidRPr="0019555C">
        <w:rPr>
          <w:lang w:val="en-GB" w:eastAsia="ja-JP"/>
        </w:rPr>
        <w:t>etres</w:t>
      </w:r>
      <w:r w:rsidRPr="0019555C">
        <w:rPr>
          <w:lang w:val="en-GB"/>
        </w:rPr>
        <w:t xml:space="preserve"> apart. A wired link would have taken too long</w:t>
      </w:r>
      <w:r w:rsidRPr="0019555C">
        <w:rPr>
          <w:lang w:val="en-GB" w:eastAsia="ja-JP"/>
        </w:rPr>
        <w:t xml:space="preserve"> time</w:t>
      </w:r>
      <w:r w:rsidRPr="0019555C">
        <w:rPr>
          <w:lang w:val="en-GB"/>
        </w:rPr>
        <w:t xml:space="preserve"> to set up and would have been prone to damage.</w:t>
      </w:r>
    </w:p>
    <w:p w:rsidR="00016D83" w:rsidRPr="0019555C" w:rsidRDefault="00016D83" w:rsidP="00016D83">
      <w:pPr>
        <w:pStyle w:val="FigureNo"/>
        <w:rPr>
          <w:lang w:val="en-GB"/>
        </w:rPr>
      </w:pPr>
      <w:r w:rsidRPr="0019555C">
        <w:rPr>
          <w:lang w:val="en-GB"/>
        </w:rPr>
        <w:t>FIGURE 32</w:t>
      </w:r>
    </w:p>
    <w:p w:rsidR="00016D83" w:rsidRPr="0019555C" w:rsidRDefault="00016D83" w:rsidP="00016D83">
      <w:pPr>
        <w:pStyle w:val="Figuretitle"/>
        <w:rPr>
          <w:lang w:val="en-GB"/>
        </w:rPr>
      </w:pPr>
      <w:r w:rsidRPr="0019555C">
        <w:rPr>
          <w:lang w:val="en-GB"/>
        </w:rPr>
        <w:t>Example of a wireless link using WIPAS for emergency</w:t>
      </w:r>
    </w:p>
    <w:p w:rsidR="00016D83" w:rsidRPr="0019555C" w:rsidRDefault="00016D83" w:rsidP="00016D83">
      <w:pPr>
        <w:pStyle w:val="Figure"/>
        <w:keepNext/>
        <w:spacing w:after="120"/>
        <w:rPr>
          <w:lang w:val="en-GB"/>
        </w:rPr>
      </w:pPr>
      <w:r w:rsidRPr="0019555C">
        <w:rPr>
          <w:noProof/>
          <w:lang w:val="en-US" w:eastAsia="zh-CN"/>
        </w:rPr>
        <w:drawing>
          <wp:inline distT="0" distB="0" distL="0" distR="0" wp14:anchorId="023EE250" wp14:editId="417CC67E">
            <wp:extent cx="5610225" cy="3143250"/>
            <wp:effectExtent l="0" t="0" r="9525" b="0"/>
            <wp:docPr id="2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inline>
        </w:drawing>
      </w:r>
    </w:p>
    <w:p w:rsidR="00016D83" w:rsidRPr="0019555C" w:rsidRDefault="00016D83" w:rsidP="00016D83">
      <w:pPr>
        <w:pStyle w:val="Tablelegend"/>
        <w:spacing w:before="0" w:after="240"/>
        <w:jc w:val="center"/>
        <w:rPr>
          <w:i/>
          <w:iCs/>
          <w:lang w:val="en-GB" w:eastAsia="ja-JP"/>
        </w:rPr>
      </w:pPr>
      <w:r w:rsidRPr="0019555C">
        <w:rPr>
          <w:i/>
          <w:iCs/>
          <w:lang w:val="en-GB"/>
        </w:rPr>
        <w:t>Source: Adapted from graphics on BBC News website (http://www.bbc.co.uk/news/special_reports/chile_mine/)</w:t>
      </w:r>
    </w:p>
    <w:p w:rsidR="00016D83" w:rsidRPr="0019555C" w:rsidRDefault="00016D83" w:rsidP="00016D83">
      <w:pPr>
        <w:rPr>
          <w:lang w:val="en-GB"/>
        </w:rPr>
      </w:pPr>
      <w:r w:rsidRPr="0019555C">
        <w:rPr>
          <w:lang w:val="en-GB"/>
        </w:rPr>
        <w:t>Besides these examples, WIPAS is also being utilized in Indonesia. A wireless broadband network connecting a university, a local ICT centre, and several high schools has been constructed by WIPAS point-to-point</w:t>
      </w:r>
      <w:r w:rsidRPr="0019555C" w:rsidDel="00A67C97">
        <w:rPr>
          <w:lang w:val="en-GB"/>
        </w:rPr>
        <w:t xml:space="preserve"> </w:t>
      </w:r>
      <w:r w:rsidRPr="0019555C">
        <w:rPr>
          <w:lang w:val="en-GB"/>
        </w:rPr>
        <w:t>connections.</w:t>
      </w:r>
    </w:p>
    <w:p w:rsidR="00016D83" w:rsidRPr="0019555C" w:rsidRDefault="00016D83" w:rsidP="00016D83">
      <w:pPr>
        <w:rPr>
          <w:lang w:val="en-GB"/>
        </w:rPr>
      </w:pPr>
      <w:r w:rsidRPr="0019555C">
        <w:rPr>
          <w:lang w:val="en-GB"/>
        </w:rPr>
        <w:t xml:space="preserve">WIPAS has the excellent benefits of high-speed/broadband data transmission, high reliability and flexible installation and so can satisfy various telecommunication demands of many </w:t>
      </w:r>
      <w:r w:rsidRPr="0019555C">
        <w:rPr>
          <w:lang w:val="en-GB" w:eastAsia="ja-JP"/>
        </w:rPr>
        <w:t xml:space="preserve">application </w:t>
      </w:r>
      <w:r w:rsidRPr="0019555C">
        <w:rPr>
          <w:lang w:val="en-GB"/>
        </w:rPr>
        <w:t>types around the world.</w:t>
      </w:r>
    </w:p>
    <w:p w:rsidR="00016D83" w:rsidRPr="0019555C" w:rsidRDefault="00016D83" w:rsidP="00016D83">
      <w:pPr>
        <w:rPr>
          <w:lang w:val="en-GB" w:eastAsia="ja-JP"/>
        </w:rPr>
      </w:pPr>
      <w:r w:rsidRPr="0019555C">
        <w:rPr>
          <w:lang w:val="en-GB" w:eastAsia="ja-JP"/>
        </w:rPr>
        <w:t>Another application for home networks connected to FWA systems that can be considered as an extension of FWA systems, is shown in Fig. 16 (d). One example of such applications is a gigabit link using millimetre wave which has an ability to transmit high definition video data. Usually, such a gigabit links can be used for high capacity transmission inside the home</w:t>
      </w:r>
    </w:p>
    <w:p w:rsidR="00016D83" w:rsidRPr="0019555C" w:rsidRDefault="00016D83" w:rsidP="00016D83">
      <w:pPr>
        <w:rPr>
          <w:lang w:val="en-GB" w:eastAsia="ja-JP"/>
        </w:rPr>
      </w:pPr>
      <w:r w:rsidRPr="0019555C">
        <w:rPr>
          <w:lang w:val="en-GB"/>
        </w:rPr>
        <w:t xml:space="preserve">The 60-GHz </w:t>
      </w:r>
      <w:r w:rsidRPr="0019555C">
        <w:rPr>
          <w:lang w:val="en-GB" w:eastAsia="ja-JP"/>
        </w:rPr>
        <w:t>band, which is</w:t>
      </w:r>
      <w:r w:rsidRPr="0019555C">
        <w:rPr>
          <w:lang w:val="en-GB"/>
        </w:rPr>
        <w:t xml:space="preserve"> a</w:t>
      </w:r>
      <w:r w:rsidRPr="0019555C">
        <w:rPr>
          <w:lang w:val="en-GB" w:eastAsia="ja-JP"/>
        </w:rPr>
        <w:t xml:space="preserve"> license-exempt</w:t>
      </w:r>
      <w:r w:rsidRPr="0019555C">
        <w:rPr>
          <w:lang w:val="en-GB"/>
        </w:rPr>
        <w:t xml:space="preserve"> band</w:t>
      </w:r>
      <w:r w:rsidRPr="0019555C">
        <w:rPr>
          <w:lang w:val="en-GB" w:eastAsia="ja-JP"/>
        </w:rPr>
        <w:t xml:space="preserve"> in many countries, has</w:t>
      </w:r>
      <w:r w:rsidRPr="0019555C">
        <w:rPr>
          <w:lang w:val="en-GB"/>
        </w:rPr>
        <w:t xml:space="preserve"> </w:t>
      </w:r>
      <w:r w:rsidRPr="0019555C">
        <w:rPr>
          <w:lang w:val="en-GB" w:eastAsia="ja-JP"/>
        </w:rPr>
        <w:t>a wide bandwidth</w:t>
      </w:r>
      <w:r w:rsidRPr="0019555C">
        <w:rPr>
          <w:lang w:val="en-GB"/>
        </w:rPr>
        <w:t xml:space="preserve"> </w:t>
      </w:r>
      <w:r w:rsidRPr="0019555C">
        <w:rPr>
          <w:lang w:val="en-GB" w:eastAsia="ja-JP"/>
        </w:rPr>
        <w:t xml:space="preserve">of </w:t>
      </w:r>
      <w:r w:rsidRPr="0019555C">
        <w:rPr>
          <w:lang w:val="en-GB"/>
        </w:rPr>
        <w:t>9</w:t>
      </w:r>
      <w:r w:rsidRPr="0019555C">
        <w:rPr>
          <w:lang w:val="en-GB" w:eastAsia="ja-JP"/>
        </w:rPr>
        <w:t> </w:t>
      </w:r>
      <w:r w:rsidRPr="0019555C">
        <w:rPr>
          <w:lang w:val="en-GB"/>
        </w:rPr>
        <w:t>GHz</w:t>
      </w:r>
      <w:r w:rsidRPr="0019555C">
        <w:rPr>
          <w:lang w:val="en-GB" w:eastAsia="ja-JP"/>
        </w:rPr>
        <w:t xml:space="preserve"> making it an ideal candidate for such gigabit link systems. A wideband antenna/RF module used in the home network has been developed [M. Kawashima </w:t>
      </w:r>
      <w:r w:rsidRPr="0019555C">
        <w:rPr>
          <w:i/>
          <w:iCs/>
          <w:lang w:val="en-GB" w:eastAsia="ja-JP"/>
        </w:rPr>
        <w:t>et al.</w:t>
      </w:r>
      <w:r w:rsidRPr="0019555C">
        <w:rPr>
          <w:lang w:val="en-GB" w:eastAsia="ja-JP"/>
        </w:rPr>
        <w:t>, 2011] (see Fig. 33). The antenna and BPFs, which are passive components, are formed in a multi-layer low-temperature co-fired ceramic (LTCC) substrate. The amplifiers, frequency converters and frequency multipliers, which are active components, have been developed as monolithic microwave integrated circuits (MMICs) and are mounted on the back side of the antenna as shown in Fig. 33. The module is 12 </w:t>
      </w:r>
      <w:r w:rsidRPr="0019555C">
        <w:rPr>
          <w:rFonts w:ascii="Symbol" w:hAnsi="Symbol"/>
          <w:lang w:val="en-GB" w:eastAsia="ja-JP"/>
        </w:rPr>
        <w:t></w:t>
      </w:r>
      <w:r w:rsidR="002277C0">
        <w:rPr>
          <w:lang w:val="en-GB" w:eastAsia="ja-JP"/>
        </w:rPr>
        <w:t> </w:t>
      </w:r>
      <w:r w:rsidRPr="0019555C">
        <w:rPr>
          <w:lang w:val="en-GB" w:eastAsia="ja-JP"/>
        </w:rPr>
        <w:t xml:space="preserve">12 </w:t>
      </w:r>
      <w:r w:rsidRPr="0019555C">
        <w:rPr>
          <w:rFonts w:ascii="Symbol" w:hAnsi="Symbol"/>
          <w:lang w:val="en-GB" w:eastAsia="ja-JP"/>
        </w:rPr>
        <w:t></w:t>
      </w:r>
      <w:r w:rsidRPr="0019555C">
        <w:rPr>
          <w:lang w:val="en-GB" w:eastAsia="ja-JP"/>
        </w:rPr>
        <w:t xml:space="preserve"> 1 mm in size. The antenna uses a microstrip antenna structure with stacked rings [T. Seki </w:t>
      </w:r>
      <w:r w:rsidRPr="0019555C">
        <w:rPr>
          <w:i/>
          <w:iCs/>
          <w:lang w:val="en-GB" w:eastAsia="ja-JP"/>
        </w:rPr>
        <w:t>et al.</w:t>
      </w:r>
      <w:r w:rsidRPr="0019555C">
        <w:rPr>
          <w:lang w:val="en-GB" w:eastAsia="ja-JP"/>
        </w:rPr>
        <w:t xml:space="preserve">, 2009]. </w:t>
      </w:r>
    </w:p>
    <w:p w:rsidR="00016D83" w:rsidRPr="0019555C" w:rsidRDefault="00016D83" w:rsidP="00016D83">
      <w:pPr>
        <w:rPr>
          <w:lang w:val="en-GB" w:eastAsia="ja-JP"/>
        </w:rPr>
      </w:pPr>
      <w:r w:rsidRPr="0019555C">
        <w:rPr>
          <w:lang w:val="en-GB" w:eastAsia="ja-JP"/>
        </w:rPr>
        <w:lastRenderedPageBreak/>
        <w:t xml:space="preserve">The measured maximum absolute gain of the fabricated antenna is 10.5 dBi. The antenna/RF module has the measured conversion gain of more than 10 dB over the entire 9-GHz bandwidth. The transceiver using the antenna/RF module can transmit uncompressed HD videos at a transmission rate of 3.8 Gbit/s per channel. The antenna/RF module can also be applied to the transceiver for a </w:t>
      </w:r>
      <w:r w:rsidRPr="0019555C">
        <w:rPr>
          <w:lang w:val="en-GB"/>
        </w:rPr>
        <w:t>non-contact data transmission system</w:t>
      </w:r>
      <w:r w:rsidRPr="0019555C">
        <w:rPr>
          <w:lang w:val="en-GB" w:eastAsia="ja-JP"/>
        </w:rPr>
        <w:t xml:space="preserve"> [T. Nakagawa </w:t>
      </w:r>
      <w:r w:rsidRPr="0019555C">
        <w:rPr>
          <w:i/>
          <w:iCs/>
          <w:lang w:val="en-GB" w:eastAsia="ja-JP"/>
        </w:rPr>
        <w:t>et al.</w:t>
      </w:r>
      <w:r w:rsidRPr="0019555C">
        <w:rPr>
          <w:lang w:val="en-GB" w:eastAsia="ja-JP"/>
        </w:rPr>
        <w:t xml:space="preserve">, 2013]. </w:t>
      </w:r>
    </w:p>
    <w:p w:rsidR="00016D83" w:rsidRPr="0019555C" w:rsidRDefault="00016D83" w:rsidP="00016D83">
      <w:pPr>
        <w:pStyle w:val="FigureNo"/>
        <w:rPr>
          <w:lang w:val="en-GB"/>
        </w:rPr>
      </w:pPr>
      <w:r w:rsidRPr="0019555C">
        <w:rPr>
          <w:lang w:val="en-GB"/>
        </w:rPr>
        <w:t>FIGURE 33</w:t>
      </w:r>
    </w:p>
    <w:p w:rsidR="00016D83" w:rsidRPr="0019555C" w:rsidRDefault="00016D83" w:rsidP="00016D83">
      <w:pPr>
        <w:pStyle w:val="Figuretitle"/>
        <w:rPr>
          <w:lang w:val="en-GB"/>
        </w:rPr>
      </w:pPr>
      <w:r w:rsidRPr="0019555C">
        <w:rPr>
          <w:lang w:val="en-GB"/>
        </w:rPr>
        <w:t>Photograph of the antenna/RF module</w:t>
      </w:r>
    </w:p>
    <w:p w:rsidR="00016D83" w:rsidRPr="0019555C" w:rsidRDefault="005D6687" w:rsidP="00016D83">
      <w:pPr>
        <w:pStyle w:val="Figure"/>
        <w:rPr>
          <w:lang w:val="en-GB" w:eastAsia="ja-JP"/>
        </w:rPr>
      </w:pPr>
      <w:r>
        <w:rPr>
          <w:noProof/>
          <w:lang w:val="en-GB"/>
        </w:rPr>
        <w:pict>
          <v:shapetype id="_x0000_t202" coordsize="21600,21600" o:spt="202" path="m,l,21600r21600,l21600,xe">
            <v:stroke joinstyle="miter"/>
            <v:path gradientshapeok="t" o:connecttype="rect"/>
          </v:shapetype>
          <v:shape id="テキスト ボックス 7" o:spid="_x0000_s1028" type="#_x0000_t202" style="position:absolute;left:0;text-align:left;margin-left:355.8pt;margin-top:41.35pt;width:45.1pt;height:2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" fillcolor="window" stroked="f" strokeweight=".5pt">
            <v:path arrowok="t"/>
            <v:textbox>
              <w:txbxContent>
                <w:p w:rsidR="00016D83" w:rsidRDefault="00016D83" w:rsidP="00016D83">
                  <w:pPr>
                    <w:rPr>
                      <w:lang w:eastAsia="ja-JP"/>
                    </w:rPr>
                  </w:pPr>
                  <w:r>
                    <w:rPr>
                      <w:rFonts w:hint="eastAsia"/>
                      <w:lang w:eastAsia="ja-JP"/>
                    </w:rPr>
                    <w:t>12</w:t>
                  </w:r>
                  <w:r>
                    <w:rPr>
                      <w:lang w:eastAsia="ja-JP"/>
                    </w:rPr>
                    <w:t> </w:t>
                  </w:r>
                  <w:r>
                    <w:rPr>
                      <w:rFonts w:hint="eastAsia"/>
                      <w:lang w:eastAsia="ja-JP"/>
                    </w:rPr>
                    <w:t>mm</w:t>
                  </w:r>
                </w:p>
              </w:txbxContent>
            </v:textbox>
          </v:shape>
        </w:pict>
      </w:r>
      <w:r>
        <w:rPr>
          <w:noProof/>
          <w:lang w:val="en-GB"/>
        </w:rPr>
        <w:pict>
          <v:shapetype id="_x0000_t32" coordsize="21600,21600" o:spt="32" o:oned="t" path="m,l21600,21600e" filled="f">
            <v:path arrowok="t" fillok="f" o:connecttype="none"/>
            <o:lock v:ext="edit" shapetype="t"/>
          </v:shapetype>
          <v:shape id="直線矢印コネクタ 6" o:spid="_x0000_s1027" type="#_x0000_t32" style="position:absolute;left:0;text-align:left;margin-left:353.55pt;margin-top:15.1pt;width:0;height:90.7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">
            <v:stroke startarrow="block" endarrow="block"/>
            <o:lock v:ext="edit" shapetype="f"/>
          </v:shape>
        </w:pict>
      </w:r>
      <w:r w:rsidR="00016D83" w:rsidRPr="0019555C">
        <w:rPr>
          <w:noProof/>
          <w:lang w:val="en-US" w:eastAsia="zh-CN"/>
        </w:rPr>
        <w:drawing>
          <wp:inline distT="0" distB="0" distL="0" distR="0" wp14:anchorId="6AD7A8CA" wp14:editId="6E733621">
            <wp:extent cx="2642781" cy="1623281"/>
            <wp:effectExtent l="0" t="0" r="5715" b="0"/>
            <wp:docPr id="2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0863" cy="1628245"/>
                    </a:xfrm>
                    <a:prstGeom prst="rect">
                      <a:avLst/>
                    </a:prstGeom>
                    <a:noFill/>
                    <a:ln>
                      <a:noFill/>
                    </a:ln>
                  </pic:spPr>
                </pic:pic>
              </a:graphicData>
            </a:graphic>
          </wp:inline>
        </w:drawing>
      </w:r>
    </w:p>
    <w:p w:rsidR="002277C0" w:rsidRDefault="002277C0" w:rsidP="002277C0">
      <w:pPr>
        <w:rPr>
          <w:lang w:val="en-GB"/>
        </w:rPr>
      </w:pPr>
      <w:bookmarkStart w:id="390" w:name="_Toc403044049"/>
    </w:p>
    <w:p w:rsidR="002277C0" w:rsidRDefault="002277C0" w:rsidP="002277C0">
      <w:pPr>
        <w:rPr>
          <w:lang w:val="en-GB"/>
        </w:rPr>
      </w:pPr>
    </w:p>
    <w:p w:rsidR="002277C0" w:rsidRDefault="002277C0" w:rsidP="002277C0">
      <w:pPr>
        <w:rPr>
          <w:lang w:val="en-GB"/>
        </w:rPr>
      </w:pPr>
    </w:p>
    <w:p w:rsidR="00016D83" w:rsidRPr="0019555C" w:rsidRDefault="00DA5AC1" w:rsidP="00DA5AC1">
      <w:pPr>
        <w:pStyle w:val="AnnexNoTitle"/>
        <w:rPr>
          <w:lang w:val="en-GB" w:eastAsia="ja-JP"/>
        </w:rPr>
      </w:pPr>
      <w:bookmarkStart w:id="391" w:name="_Toc414014636"/>
      <w:bookmarkStart w:id="392" w:name="_Toc414014809"/>
      <w:r w:rsidRPr="0019555C">
        <w:rPr>
          <w:lang w:val="en-GB"/>
        </w:rPr>
        <w:t xml:space="preserve">Annex </w:t>
      </w:r>
      <w:r w:rsidR="00016D83" w:rsidRPr="0019555C">
        <w:rPr>
          <w:lang w:val="en-GB" w:eastAsia="ja-JP"/>
        </w:rPr>
        <w:t>2</w:t>
      </w:r>
      <w:bookmarkStart w:id="393" w:name="_Toc403044050"/>
      <w:bookmarkEnd w:id="390"/>
      <w:r w:rsidRPr="0019555C">
        <w:rPr>
          <w:lang w:val="en-GB" w:eastAsia="ja-JP"/>
        </w:rPr>
        <w:br/>
      </w:r>
      <w:r w:rsidRPr="0019555C">
        <w:rPr>
          <w:lang w:val="en-GB" w:eastAsia="ja-JP"/>
        </w:rPr>
        <w:br/>
      </w:r>
      <w:r w:rsidR="00016D83" w:rsidRPr="0019555C">
        <w:rPr>
          <w:lang w:val="en-GB" w:eastAsia="ja-JP"/>
        </w:rPr>
        <w:t>Example System using the IR technology described in section 4.4.2</w:t>
      </w:r>
      <w:bookmarkEnd w:id="393"/>
      <w:bookmarkEnd w:id="391"/>
      <w:bookmarkEnd w:id="392"/>
    </w:p>
    <w:p w:rsidR="00016D83" w:rsidRPr="0019555C" w:rsidRDefault="00016D83" w:rsidP="00016D83">
      <w:pPr>
        <w:pStyle w:val="Normalaftertitle"/>
        <w:rPr>
          <w:rFonts w:eastAsia="MS PMincho"/>
          <w:lang w:val="en-GB" w:eastAsia="ja-JP"/>
        </w:rPr>
      </w:pPr>
      <w:r w:rsidRPr="0019555C">
        <w:rPr>
          <w:rFonts w:eastAsia="MS PMincho"/>
          <w:lang w:val="en-GB" w:eastAsia="ja-JP"/>
        </w:rPr>
        <w:t>The appearance of the equipment using the IR technology in the 70/80 GHz band (E-band) is shown in Fig. 34. This equipment is an all-in-one integrated transmitter/receiver intended for outdoor use that has a user interface. Channel spacing is 5 GHz in the 70/80 GHz band and 3 Gbit/s transmission is achieved in the up and down streams respectively. Adopting the IR technology has enabled a simpler circuit configuration, which has led to achievement of compact, light weighted and low-power consumption equipment. The antenna size and type is selectable depending on transmission distance, circuit availability and rainfall condition. Typical available distances are 1 km for 1-feet parabolic antenna and 3 km for 2-feet parabolic antenna. Table 5 shows parameters of the system.</w:t>
      </w:r>
    </w:p>
    <w:p w:rsidR="00016D83" w:rsidRPr="0019555C" w:rsidRDefault="00016D83" w:rsidP="00016D83">
      <w:pPr>
        <w:pStyle w:val="FigureNo"/>
        <w:spacing w:before="240"/>
        <w:rPr>
          <w:lang w:val="en-GB"/>
        </w:rPr>
      </w:pPr>
      <w:r w:rsidRPr="0019555C">
        <w:rPr>
          <w:lang w:val="en-GB"/>
        </w:rPr>
        <w:lastRenderedPageBreak/>
        <w:t>FIGURE 34</w:t>
      </w:r>
    </w:p>
    <w:p w:rsidR="00016D83" w:rsidRPr="0019555C" w:rsidRDefault="00016D83" w:rsidP="00016D83">
      <w:pPr>
        <w:pStyle w:val="Figuretitle"/>
        <w:rPr>
          <w:lang w:val="en-GB"/>
        </w:rPr>
      </w:pPr>
      <w:r w:rsidRPr="0019555C">
        <w:rPr>
          <w:rFonts w:eastAsia="MS PMincho"/>
          <w:lang w:val="en-GB"/>
        </w:rPr>
        <w:t>Appearance of the equipment using the IR technology</w:t>
      </w:r>
    </w:p>
    <w:p w:rsidR="00016D83" w:rsidRPr="0019555C" w:rsidRDefault="00016D83" w:rsidP="00016D83">
      <w:pPr>
        <w:pStyle w:val="Figure"/>
        <w:rPr>
          <w:rFonts w:eastAsia="MS PMincho"/>
          <w:lang w:val="en-GB" w:eastAsia="ja-JP"/>
        </w:rPr>
      </w:pPr>
      <w:r w:rsidRPr="0019555C">
        <w:rPr>
          <w:rFonts w:eastAsia="MS PMincho"/>
          <w:noProof/>
          <w:lang w:val="en-US" w:eastAsia="zh-CN"/>
        </w:rPr>
        <w:drawing>
          <wp:inline distT="0" distB="0" distL="0" distR="0" wp14:anchorId="54F08DCB" wp14:editId="2B7C7DB0">
            <wp:extent cx="2310556" cy="2178658"/>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10637" cy="2178734"/>
                    </a:xfrm>
                    <a:prstGeom prst="rect">
                      <a:avLst/>
                    </a:prstGeom>
                    <a:noFill/>
                    <a:ln>
                      <a:noFill/>
                    </a:ln>
                  </pic:spPr>
                </pic:pic>
              </a:graphicData>
            </a:graphic>
          </wp:inline>
        </w:drawing>
      </w:r>
    </w:p>
    <w:p w:rsidR="00016D83" w:rsidRPr="0019555C" w:rsidRDefault="002277C0" w:rsidP="002277C0">
      <w:pPr>
        <w:pStyle w:val="TableNo"/>
        <w:rPr>
          <w:lang w:val="en-GB"/>
        </w:rPr>
      </w:pPr>
      <w:r w:rsidRPr="002277C0">
        <w:t>TABLE</w:t>
      </w:r>
      <w:r w:rsidRPr="0019555C">
        <w:rPr>
          <w:lang w:val="en-GB"/>
        </w:rPr>
        <w:t xml:space="preserve"> </w:t>
      </w:r>
      <w:r w:rsidR="00016D83" w:rsidRPr="0019555C">
        <w:rPr>
          <w:lang w:val="en-GB"/>
        </w:rPr>
        <w:t>5</w:t>
      </w:r>
    </w:p>
    <w:p w:rsidR="00016D83" w:rsidRPr="0019555C" w:rsidRDefault="00016D83" w:rsidP="002277C0">
      <w:pPr>
        <w:pStyle w:val="Tabletitle"/>
        <w:rPr>
          <w:lang w:val="en-GB" w:eastAsia="ja-JP"/>
        </w:rPr>
      </w:pPr>
      <w:r w:rsidRPr="0019555C">
        <w:rPr>
          <w:rFonts w:eastAsia="MS PMincho"/>
          <w:lang w:val="en-GB" w:eastAsia="ja-JP"/>
        </w:rPr>
        <w:t xml:space="preserve">System </w:t>
      </w:r>
      <w:r w:rsidRPr="002277C0">
        <w:rPr>
          <w:rFonts w:eastAsia="MS PMincho"/>
        </w:rPr>
        <w:t>parameters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969"/>
      </w:tblGrid>
      <w:tr w:rsidR="00016D83" w:rsidRPr="002277C0" w:rsidTr="00A330D0">
        <w:tc>
          <w:tcPr>
            <w:tcW w:w="2977" w:type="dxa"/>
            <w:shd w:val="clear" w:color="auto" w:fill="92D050"/>
            <w:vAlign w:val="center"/>
          </w:tcPr>
          <w:p w:rsidR="00016D83" w:rsidRPr="002277C0" w:rsidRDefault="00016D83" w:rsidP="002277C0">
            <w:pPr>
              <w:pStyle w:val="Tablehead"/>
            </w:pPr>
            <w:r w:rsidRPr="002277C0">
              <w:t>Items</w:t>
            </w:r>
          </w:p>
        </w:tc>
        <w:tc>
          <w:tcPr>
            <w:tcW w:w="3969" w:type="dxa"/>
            <w:shd w:val="clear" w:color="auto" w:fill="92D050"/>
            <w:vAlign w:val="center"/>
          </w:tcPr>
          <w:p w:rsidR="00016D83" w:rsidRPr="002277C0" w:rsidRDefault="00016D83" w:rsidP="002277C0">
            <w:pPr>
              <w:pStyle w:val="Tablehead"/>
            </w:pPr>
            <w:r w:rsidRPr="002277C0">
              <w:t>Parameters</w:t>
            </w:r>
          </w:p>
        </w:tc>
      </w:tr>
      <w:tr w:rsidR="00016D83" w:rsidRPr="0019555C" w:rsidTr="00A330D0">
        <w:tc>
          <w:tcPr>
            <w:tcW w:w="2977" w:type="dxa"/>
            <w:vAlign w:val="center"/>
          </w:tcPr>
          <w:p w:rsidR="00016D83" w:rsidRPr="0019555C" w:rsidRDefault="00016D83" w:rsidP="00A330D0">
            <w:pPr>
              <w:pStyle w:val="Tabletext"/>
              <w:rPr>
                <w:lang w:val="en-GB"/>
              </w:rPr>
            </w:pPr>
            <w:r w:rsidRPr="0019555C">
              <w:rPr>
                <w:lang w:val="en-GB"/>
              </w:rPr>
              <w:t>Frequency band</w:t>
            </w:r>
          </w:p>
        </w:tc>
        <w:tc>
          <w:tcPr>
            <w:tcW w:w="3969" w:type="dxa"/>
            <w:vAlign w:val="center"/>
          </w:tcPr>
          <w:p w:rsidR="00016D83" w:rsidRPr="0019555C" w:rsidRDefault="00016D83" w:rsidP="00A330D0">
            <w:pPr>
              <w:pStyle w:val="Tabletext"/>
              <w:jc w:val="left"/>
              <w:rPr>
                <w:lang w:val="en-GB"/>
              </w:rPr>
            </w:pPr>
            <w:r w:rsidRPr="0019555C">
              <w:rPr>
                <w:lang w:val="en-GB"/>
              </w:rPr>
              <w:t>71-76/81-86 GHz</w:t>
            </w:r>
          </w:p>
        </w:tc>
      </w:tr>
      <w:tr w:rsidR="00016D83" w:rsidRPr="0019555C" w:rsidTr="00A330D0">
        <w:tc>
          <w:tcPr>
            <w:tcW w:w="2977" w:type="dxa"/>
            <w:vAlign w:val="center"/>
          </w:tcPr>
          <w:p w:rsidR="00016D83" w:rsidRPr="0019555C" w:rsidRDefault="00016D83" w:rsidP="00A330D0">
            <w:pPr>
              <w:pStyle w:val="Tabletext"/>
              <w:rPr>
                <w:lang w:val="en-GB"/>
              </w:rPr>
            </w:pPr>
            <w:r w:rsidRPr="0019555C">
              <w:rPr>
                <w:lang w:val="en-GB"/>
              </w:rPr>
              <w:t>Throughput</w:t>
            </w:r>
          </w:p>
        </w:tc>
        <w:tc>
          <w:tcPr>
            <w:tcW w:w="3969" w:type="dxa"/>
            <w:vAlign w:val="center"/>
          </w:tcPr>
          <w:p w:rsidR="00016D83" w:rsidRPr="0019555C" w:rsidRDefault="00016D83" w:rsidP="00A330D0">
            <w:pPr>
              <w:pStyle w:val="Tabletext"/>
              <w:jc w:val="left"/>
              <w:rPr>
                <w:lang w:val="en-GB"/>
              </w:rPr>
            </w:pPr>
            <w:r w:rsidRPr="0019555C">
              <w:rPr>
                <w:lang w:val="en-GB"/>
              </w:rPr>
              <w:t>3.0 Gbit/s</w:t>
            </w:r>
          </w:p>
        </w:tc>
      </w:tr>
      <w:tr w:rsidR="00016D83" w:rsidRPr="0019555C" w:rsidTr="00A330D0">
        <w:tc>
          <w:tcPr>
            <w:tcW w:w="2977" w:type="dxa"/>
            <w:vAlign w:val="center"/>
          </w:tcPr>
          <w:p w:rsidR="00016D83" w:rsidRPr="0019555C" w:rsidRDefault="00016D83" w:rsidP="00A330D0">
            <w:pPr>
              <w:pStyle w:val="Tabletext"/>
              <w:rPr>
                <w:lang w:val="en-GB"/>
              </w:rPr>
            </w:pPr>
            <w:r w:rsidRPr="0019555C">
              <w:rPr>
                <w:lang w:val="en-GB"/>
              </w:rPr>
              <w:t>Transmission Power (Peak)</w:t>
            </w:r>
          </w:p>
        </w:tc>
        <w:tc>
          <w:tcPr>
            <w:tcW w:w="3969" w:type="dxa"/>
            <w:vAlign w:val="center"/>
          </w:tcPr>
          <w:p w:rsidR="00016D83" w:rsidRPr="0019555C" w:rsidRDefault="00016D83" w:rsidP="00A330D0">
            <w:pPr>
              <w:pStyle w:val="Tabletext"/>
              <w:jc w:val="left"/>
              <w:rPr>
                <w:lang w:val="en-GB"/>
              </w:rPr>
            </w:pPr>
            <w:r w:rsidRPr="0019555C">
              <w:rPr>
                <w:lang w:val="en-GB"/>
              </w:rPr>
              <w:t>+17 dBm</w:t>
            </w:r>
          </w:p>
        </w:tc>
      </w:tr>
      <w:tr w:rsidR="00016D83" w:rsidRPr="00A21BE8" w:rsidTr="00A330D0">
        <w:tc>
          <w:tcPr>
            <w:tcW w:w="2977" w:type="dxa"/>
            <w:vAlign w:val="center"/>
          </w:tcPr>
          <w:p w:rsidR="00016D83" w:rsidRPr="0019555C" w:rsidRDefault="00016D83" w:rsidP="00A330D0">
            <w:pPr>
              <w:pStyle w:val="Tabletext"/>
              <w:rPr>
                <w:lang w:val="en-GB"/>
              </w:rPr>
            </w:pPr>
            <w:r w:rsidRPr="0019555C">
              <w:rPr>
                <w:lang w:val="en-GB"/>
              </w:rPr>
              <w:t>Line Interface</w:t>
            </w:r>
          </w:p>
        </w:tc>
        <w:tc>
          <w:tcPr>
            <w:tcW w:w="3969" w:type="dxa"/>
            <w:vAlign w:val="center"/>
          </w:tcPr>
          <w:p w:rsidR="00016D83" w:rsidRPr="0019555C" w:rsidRDefault="00016D83" w:rsidP="00A330D0">
            <w:pPr>
              <w:pStyle w:val="Tabletext"/>
              <w:jc w:val="left"/>
              <w:rPr>
                <w:lang w:val="en-GB"/>
              </w:rPr>
            </w:pPr>
            <w:r w:rsidRPr="0019555C">
              <w:rPr>
                <w:lang w:val="en-GB"/>
              </w:rPr>
              <w:t>Ethernet (10 GbE, GbE)</w:t>
            </w:r>
            <w:r w:rsidRPr="0019555C">
              <w:rPr>
                <w:lang w:val="en-GB"/>
              </w:rPr>
              <w:br/>
              <w:t>CPRI (2.4 Gbit/s)</w:t>
            </w:r>
          </w:p>
        </w:tc>
      </w:tr>
      <w:tr w:rsidR="00016D83" w:rsidRPr="0019555C" w:rsidTr="00A330D0">
        <w:tc>
          <w:tcPr>
            <w:tcW w:w="2977" w:type="dxa"/>
            <w:vAlign w:val="center"/>
          </w:tcPr>
          <w:p w:rsidR="00016D83" w:rsidRPr="0019555C" w:rsidRDefault="00016D83" w:rsidP="00A330D0">
            <w:pPr>
              <w:pStyle w:val="Tabletext"/>
              <w:rPr>
                <w:lang w:val="en-GB"/>
              </w:rPr>
            </w:pPr>
            <w:r w:rsidRPr="0019555C">
              <w:rPr>
                <w:lang w:val="en-GB"/>
              </w:rPr>
              <w:t>Latency</w:t>
            </w:r>
          </w:p>
        </w:tc>
        <w:tc>
          <w:tcPr>
            <w:tcW w:w="3969" w:type="dxa"/>
            <w:vAlign w:val="center"/>
          </w:tcPr>
          <w:p w:rsidR="00016D83" w:rsidRPr="0019555C" w:rsidRDefault="00016D83" w:rsidP="00A330D0">
            <w:pPr>
              <w:pStyle w:val="Tabletext"/>
              <w:jc w:val="left"/>
              <w:rPr>
                <w:lang w:val="en-GB"/>
              </w:rPr>
            </w:pPr>
            <w:r w:rsidRPr="0019555C">
              <w:rPr>
                <w:lang w:val="en-GB"/>
              </w:rPr>
              <w:t>Ethernet: 77 µsec</w:t>
            </w:r>
            <w:r w:rsidRPr="0019555C">
              <w:rPr>
                <w:lang w:val="en-GB"/>
              </w:rPr>
              <w:br/>
              <w:t>CPRI: 18 µsec</w:t>
            </w:r>
          </w:p>
        </w:tc>
      </w:tr>
      <w:tr w:rsidR="00016D83" w:rsidRPr="00A21BE8" w:rsidTr="00A330D0">
        <w:tc>
          <w:tcPr>
            <w:tcW w:w="2977" w:type="dxa"/>
            <w:vAlign w:val="center"/>
          </w:tcPr>
          <w:p w:rsidR="00016D83" w:rsidRPr="0019555C" w:rsidRDefault="00016D83" w:rsidP="00A330D0">
            <w:pPr>
              <w:pStyle w:val="Tabletext"/>
              <w:rPr>
                <w:lang w:val="en-GB"/>
              </w:rPr>
            </w:pPr>
            <w:r w:rsidRPr="0019555C">
              <w:rPr>
                <w:lang w:val="en-GB"/>
              </w:rPr>
              <w:t>Operations and Maintenance</w:t>
            </w:r>
          </w:p>
        </w:tc>
        <w:tc>
          <w:tcPr>
            <w:tcW w:w="3969" w:type="dxa"/>
            <w:vAlign w:val="center"/>
          </w:tcPr>
          <w:p w:rsidR="00016D83" w:rsidRPr="0019555C" w:rsidRDefault="00016D83" w:rsidP="00A330D0">
            <w:pPr>
              <w:pStyle w:val="Tabletext"/>
              <w:jc w:val="left"/>
              <w:rPr>
                <w:lang w:val="en-GB"/>
              </w:rPr>
            </w:pPr>
            <w:r w:rsidRPr="0019555C">
              <w:rPr>
                <w:lang w:val="en-GB"/>
              </w:rPr>
              <w:t>Remote: SNMP</w:t>
            </w:r>
            <w:r w:rsidRPr="0019555C">
              <w:rPr>
                <w:lang w:val="en-GB"/>
              </w:rPr>
              <w:br/>
              <w:t>Local: Local Terminal</w:t>
            </w:r>
          </w:p>
        </w:tc>
      </w:tr>
      <w:tr w:rsidR="00016D83" w:rsidRPr="0019555C" w:rsidTr="00A330D0">
        <w:tc>
          <w:tcPr>
            <w:tcW w:w="2977" w:type="dxa"/>
            <w:vAlign w:val="center"/>
          </w:tcPr>
          <w:p w:rsidR="00016D83" w:rsidRPr="0019555C" w:rsidRDefault="00016D83" w:rsidP="00A330D0">
            <w:pPr>
              <w:pStyle w:val="Tabletext"/>
              <w:rPr>
                <w:lang w:val="en-GB"/>
              </w:rPr>
            </w:pPr>
            <w:r w:rsidRPr="0019555C">
              <w:rPr>
                <w:lang w:val="en-GB"/>
              </w:rPr>
              <w:t>Power Consumption</w:t>
            </w:r>
          </w:p>
        </w:tc>
        <w:tc>
          <w:tcPr>
            <w:tcW w:w="3969" w:type="dxa"/>
            <w:vAlign w:val="center"/>
          </w:tcPr>
          <w:p w:rsidR="00016D83" w:rsidRPr="0019555C" w:rsidRDefault="00016D83" w:rsidP="00A330D0">
            <w:pPr>
              <w:pStyle w:val="Tabletext"/>
              <w:jc w:val="left"/>
              <w:rPr>
                <w:lang w:val="en-GB"/>
              </w:rPr>
            </w:pPr>
            <w:r w:rsidRPr="0019555C">
              <w:rPr>
                <w:lang w:val="en-GB"/>
              </w:rPr>
              <w:t>25 W</w:t>
            </w:r>
          </w:p>
        </w:tc>
      </w:tr>
      <w:tr w:rsidR="00016D83" w:rsidRPr="0019555C" w:rsidTr="00A330D0">
        <w:tc>
          <w:tcPr>
            <w:tcW w:w="2977" w:type="dxa"/>
            <w:vAlign w:val="center"/>
          </w:tcPr>
          <w:p w:rsidR="00016D83" w:rsidRPr="0019555C" w:rsidRDefault="00016D83" w:rsidP="00A330D0">
            <w:pPr>
              <w:pStyle w:val="Tabletext"/>
              <w:rPr>
                <w:lang w:val="en-GB"/>
              </w:rPr>
            </w:pPr>
            <w:r w:rsidRPr="0019555C">
              <w:rPr>
                <w:lang w:val="en-GB"/>
              </w:rPr>
              <w:t>Volume</w:t>
            </w:r>
          </w:p>
        </w:tc>
        <w:tc>
          <w:tcPr>
            <w:tcW w:w="3969" w:type="dxa"/>
            <w:vAlign w:val="center"/>
          </w:tcPr>
          <w:p w:rsidR="00016D83" w:rsidRPr="0019555C" w:rsidRDefault="00016D83" w:rsidP="00A330D0">
            <w:pPr>
              <w:pStyle w:val="Tabletext"/>
              <w:jc w:val="left"/>
              <w:rPr>
                <w:lang w:val="en-GB"/>
              </w:rPr>
            </w:pPr>
            <w:r w:rsidRPr="0019555C">
              <w:rPr>
                <w:lang w:val="en-GB"/>
              </w:rPr>
              <w:t>3 Liter</w:t>
            </w:r>
          </w:p>
        </w:tc>
      </w:tr>
      <w:tr w:rsidR="00016D83" w:rsidRPr="0019555C" w:rsidTr="00A330D0">
        <w:tc>
          <w:tcPr>
            <w:tcW w:w="2977" w:type="dxa"/>
            <w:vAlign w:val="center"/>
          </w:tcPr>
          <w:p w:rsidR="00016D83" w:rsidRPr="0019555C" w:rsidRDefault="00016D83" w:rsidP="00A330D0">
            <w:pPr>
              <w:pStyle w:val="Tabletext"/>
              <w:rPr>
                <w:lang w:val="en-GB"/>
              </w:rPr>
            </w:pPr>
            <w:r w:rsidRPr="0019555C">
              <w:rPr>
                <w:lang w:val="en-GB"/>
              </w:rPr>
              <w:t>Weight</w:t>
            </w:r>
          </w:p>
        </w:tc>
        <w:tc>
          <w:tcPr>
            <w:tcW w:w="3969" w:type="dxa"/>
            <w:vAlign w:val="center"/>
          </w:tcPr>
          <w:p w:rsidR="00016D83" w:rsidRPr="0019555C" w:rsidRDefault="00016D83" w:rsidP="00A330D0">
            <w:pPr>
              <w:pStyle w:val="Tabletext"/>
              <w:jc w:val="left"/>
              <w:rPr>
                <w:lang w:val="en-GB"/>
              </w:rPr>
            </w:pPr>
            <w:r w:rsidRPr="0019555C">
              <w:rPr>
                <w:lang w:val="en-GB"/>
              </w:rPr>
              <w:t>&lt; 3.0 kg</w:t>
            </w:r>
          </w:p>
        </w:tc>
      </w:tr>
      <w:tr w:rsidR="00016D83" w:rsidRPr="0019555C" w:rsidTr="00A330D0">
        <w:tc>
          <w:tcPr>
            <w:tcW w:w="2977" w:type="dxa"/>
            <w:vAlign w:val="center"/>
          </w:tcPr>
          <w:p w:rsidR="00016D83" w:rsidRPr="0019555C" w:rsidRDefault="00016D83" w:rsidP="00A330D0">
            <w:pPr>
              <w:pStyle w:val="Tabletext"/>
              <w:rPr>
                <w:lang w:val="en-GB"/>
              </w:rPr>
            </w:pPr>
            <w:r w:rsidRPr="0019555C">
              <w:rPr>
                <w:lang w:val="en-GB"/>
              </w:rPr>
              <w:t>Antenna Size and Gain</w:t>
            </w:r>
          </w:p>
        </w:tc>
        <w:tc>
          <w:tcPr>
            <w:tcW w:w="3969" w:type="dxa"/>
            <w:vAlign w:val="center"/>
          </w:tcPr>
          <w:p w:rsidR="00016D83" w:rsidRPr="0019555C" w:rsidRDefault="00016D83" w:rsidP="00A330D0">
            <w:pPr>
              <w:pStyle w:val="Tabletext"/>
              <w:jc w:val="left"/>
              <w:rPr>
                <w:lang w:val="en-GB"/>
              </w:rPr>
            </w:pPr>
            <w:r w:rsidRPr="0019555C">
              <w:rPr>
                <w:lang w:val="en-GB"/>
              </w:rPr>
              <w:t>30 cm (1FT): 43 dBi</w:t>
            </w:r>
            <w:r w:rsidRPr="0019555C">
              <w:rPr>
                <w:lang w:val="en-GB"/>
              </w:rPr>
              <w:br/>
              <w:t>60 cm (2FT): 48 dBi</w:t>
            </w:r>
          </w:p>
        </w:tc>
      </w:tr>
    </w:tbl>
    <w:p w:rsidR="00016D83" w:rsidRPr="0019555C" w:rsidRDefault="00016D83" w:rsidP="00016D83">
      <w:pPr>
        <w:pStyle w:val="Tablefin"/>
      </w:pPr>
    </w:p>
    <w:p w:rsidR="00016D83" w:rsidRPr="0019555C" w:rsidRDefault="00016D83" w:rsidP="00B024C4">
      <w:pPr>
        <w:pStyle w:val="Headingb"/>
        <w:rPr>
          <w:rFonts w:eastAsia="MS PMincho"/>
          <w:lang w:val="en-GB" w:eastAsia="ja-JP"/>
        </w:rPr>
      </w:pPr>
      <w:r w:rsidRPr="00B024C4">
        <w:rPr>
          <w:rFonts w:eastAsia="MS PMincho"/>
        </w:rPr>
        <w:t>Application</w:t>
      </w:r>
      <w:r w:rsidRPr="0019555C">
        <w:rPr>
          <w:rFonts w:eastAsia="MS PMincho"/>
          <w:lang w:val="en-GB" w:eastAsia="ja-JP"/>
        </w:rPr>
        <w:t xml:space="preserve"> Examples</w:t>
      </w:r>
    </w:p>
    <w:p w:rsidR="00016D83" w:rsidRPr="0019555C" w:rsidRDefault="00016D83" w:rsidP="00016D83">
      <w:pPr>
        <w:pStyle w:val="enumlev1"/>
        <w:rPr>
          <w:rFonts w:eastAsia="MS PMincho"/>
          <w:lang w:val="en-GB" w:eastAsia="ja-JP"/>
        </w:rPr>
      </w:pPr>
      <w:r w:rsidRPr="0019555C">
        <w:rPr>
          <w:rFonts w:eastAsia="MS PMincho"/>
          <w:lang w:val="en-GB" w:eastAsia="ja-JP"/>
        </w:rPr>
        <w:t>–</w:t>
      </w:r>
      <w:r w:rsidRPr="0019555C">
        <w:rPr>
          <w:rFonts w:eastAsia="MS PMincho"/>
          <w:lang w:val="en-GB" w:eastAsia="ja-JP"/>
        </w:rPr>
        <w:tab/>
        <w:t>Mobile access network</w:t>
      </w:r>
    </w:p>
    <w:p w:rsidR="00016D83" w:rsidRPr="0019555C" w:rsidRDefault="00016D83" w:rsidP="00016D83">
      <w:pPr>
        <w:pStyle w:val="enumlev1"/>
        <w:rPr>
          <w:rFonts w:eastAsia="MS PMincho"/>
          <w:lang w:val="en-GB" w:eastAsia="ja-JP"/>
        </w:rPr>
      </w:pPr>
      <w:r w:rsidRPr="0019555C">
        <w:rPr>
          <w:rFonts w:eastAsia="MS PMincho"/>
          <w:lang w:val="en-GB" w:eastAsia="ja-JP"/>
        </w:rPr>
        <w:tab/>
        <w:t xml:space="preserve">In case of newly introducing a mobile network such as IMT-Advanced/LTE/WiMAX backhaul, and interconnecting macro or small cells use of the E-band IR links could be beneficial in a number of ways, such as rapid deployment and relatively low establishment cost in comparison with installing a new fibre link. Especially in the mobile access network, E-band IR has interface in accordance with CPRI (Common Public Radio Interface) specification between remote radio head (RRH) and eNodeB. </w:t>
      </w:r>
    </w:p>
    <w:p w:rsidR="00016D83" w:rsidRPr="0019555C" w:rsidRDefault="00016D83" w:rsidP="00016D83">
      <w:pPr>
        <w:pStyle w:val="enumlev1"/>
        <w:rPr>
          <w:rFonts w:eastAsia="MS PMincho"/>
          <w:lang w:val="en-GB" w:eastAsia="ja-JP"/>
        </w:rPr>
      </w:pPr>
      <w:r w:rsidRPr="0019555C">
        <w:rPr>
          <w:rFonts w:eastAsia="MS PMincho"/>
          <w:lang w:val="en-GB" w:eastAsia="ja-JP"/>
        </w:rPr>
        <w:t>–</w:t>
      </w:r>
      <w:r w:rsidRPr="0019555C">
        <w:rPr>
          <w:rFonts w:eastAsia="MS PMincho"/>
          <w:lang w:val="en-GB" w:eastAsia="ja-JP"/>
        </w:rPr>
        <w:tab/>
        <w:t>Inter-premise network (Intra-network in enterprise, etc.).</w:t>
      </w:r>
    </w:p>
    <w:p w:rsidR="00016D83" w:rsidRPr="0019555C" w:rsidRDefault="00016D83" w:rsidP="00016D83">
      <w:pPr>
        <w:pStyle w:val="enumlev1"/>
        <w:rPr>
          <w:rFonts w:eastAsia="MS PMincho"/>
          <w:lang w:val="en-GB"/>
        </w:rPr>
      </w:pPr>
      <w:r w:rsidRPr="0019555C">
        <w:rPr>
          <w:rFonts w:eastAsia="MS PMincho"/>
          <w:lang w:val="en-GB"/>
        </w:rPr>
        <w:tab/>
        <w:t xml:space="preserve">To construct a local area network within premises of an enterprise, E-band IR system allows a high-speed network instead of optical fiber link without construction across the road or over a river. Figure </w:t>
      </w:r>
      <w:r w:rsidRPr="0019555C">
        <w:rPr>
          <w:rFonts w:eastAsia="MS PMincho"/>
          <w:lang w:val="en-GB" w:eastAsia="ja-JP"/>
        </w:rPr>
        <w:t>35</w:t>
      </w:r>
      <w:r w:rsidRPr="0019555C">
        <w:rPr>
          <w:rFonts w:eastAsia="MS PMincho"/>
          <w:lang w:val="en-GB"/>
        </w:rPr>
        <w:t xml:space="preserve"> shows an example.</w:t>
      </w:r>
    </w:p>
    <w:p w:rsidR="00016D83" w:rsidRPr="0019555C" w:rsidRDefault="00016D83" w:rsidP="00016D83">
      <w:pPr>
        <w:pStyle w:val="FigureNo"/>
        <w:rPr>
          <w:lang w:val="en-GB"/>
        </w:rPr>
      </w:pPr>
      <w:r w:rsidRPr="0019555C">
        <w:rPr>
          <w:lang w:val="en-GB"/>
        </w:rPr>
        <w:lastRenderedPageBreak/>
        <w:t>FIGURE 35</w:t>
      </w:r>
    </w:p>
    <w:p w:rsidR="00016D83" w:rsidRPr="0019555C" w:rsidRDefault="00016D83" w:rsidP="00016D83">
      <w:pPr>
        <w:pStyle w:val="Figuretitle"/>
        <w:rPr>
          <w:lang w:val="en-GB"/>
        </w:rPr>
      </w:pPr>
      <w:r w:rsidRPr="0019555C">
        <w:rPr>
          <w:rFonts w:eastAsia="MS PMincho"/>
          <w:lang w:val="en-GB"/>
        </w:rPr>
        <w:t>Inter-premise network</w:t>
      </w:r>
    </w:p>
    <w:p w:rsidR="00016D83" w:rsidRPr="0019555C" w:rsidRDefault="00016D83" w:rsidP="00016D83">
      <w:pPr>
        <w:pStyle w:val="Figure"/>
        <w:rPr>
          <w:rFonts w:eastAsia="MS PMincho"/>
          <w:lang w:val="en-GB" w:eastAsia="ja-JP"/>
        </w:rPr>
      </w:pPr>
      <w:r w:rsidRPr="0019555C">
        <w:rPr>
          <w:rFonts w:eastAsia="MS PMincho"/>
          <w:noProof/>
          <w:lang w:val="en-US" w:eastAsia="zh-CN"/>
        </w:rPr>
        <w:drawing>
          <wp:inline distT="0" distB="0" distL="0" distR="0" wp14:anchorId="61EE93B7" wp14:editId="18A5B7F6">
            <wp:extent cx="3474720" cy="1973313"/>
            <wp:effectExtent l="0" t="0" r="0" b="0"/>
            <wp:docPr id="20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80361" cy="1976517"/>
                    </a:xfrm>
                    <a:prstGeom prst="rect">
                      <a:avLst/>
                    </a:prstGeom>
                    <a:noFill/>
                    <a:ln>
                      <a:noFill/>
                    </a:ln>
                  </pic:spPr>
                </pic:pic>
              </a:graphicData>
            </a:graphic>
          </wp:inline>
        </w:drawing>
      </w:r>
    </w:p>
    <w:p w:rsidR="00016D83" w:rsidRPr="0019555C" w:rsidRDefault="00016D83" w:rsidP="00016D83">
      <w:pPr>
        <w:pStyle w:val="enumlev1"/>
        <w:rPr>
          <w:rFonts w:eastAsia="MS PMincho"/>
          <w:lang w:val="en-GB"/>
        </w:rPr>
      </w:pPr>
      <w:r w:rsidRPr="0019555C">
        <w:rPr>
          <w:rFonts w:eastAsia="MS PMincho"/>
          <w:lang w:val="en-GB"/>
        </w:rPr>
        <w:t>–</w:t>
      </w:r>
      <w:r w:rsidRPr="0019555C">
        <w:rPr>
          <w:rFonts w:eastAsia="MS PMincho"/>
          <w:lang w:val="en-GB"/>
        </w:rPr>
        <w:tab/>
        <w:t>Live broadcasting</w:t>
      </w:r>
    </w:p>
    <w:p w:rsidR="00016D83" w:rsidRPr="0019555C" w:rsidRDefault="00016D83" w:rsidP="00016D83">
      <w:pPr>
        <w:pStyle w:val="enumlev1"/>
        <w:rPr>
          <w:rFonts w:eastAsia="MS PMincho"/>
          <w:lang w:val="en-GB"/>
        </w:rPr>
      </w:pPr>
      <w:r w:rsidRPr="0019555C">
        <w:rPr>
          <w:rFonts w:eastAsia="MS PMincho"/>
          <w:lang w:val="en-GB"/>
        </w:rPr>
        <w:tab/>
        <w:t>When conducting a live broadcasting of events or such like, use of E-band IR systems as a temporary link eliminates the need of installing an optical fibre from the broadcasting site to the communication station building. In addition, the high-capacity transmission allows uncompressed high-definition video signals to be transmitted with low latency.</w:t>
      </w:r>
    </w:p>
    <w:p w:rsidR="00016D83" w:rsidRPr="0019555C" w:rsidRDefault="00016D83" w:rsidP="00016D83">
      <w:pPr>
        <w:pStyle w:val="enumlev1"/>
        <w:rPr>
          <w:rFonts w:eastAsia="MS PMincho"/>
          <w:lang w:val="en-GB"/>
        </w:rPr>
      </w:pPr>
      <w:r w:rsidRPr="0019555C">
        <w:rPr>
          <w:rFonts w:eastAsia="MS PMincho"/>
          <w:lang w:val="en-GB"/>
        </w:rPr>
        <w:t>–</w:t>
      </w:r>
      <w:r w:rsidRPr="0019555C">
        <w:rPr>
          <w:rFonts w:eastAsia="MS PMincho"/>
          <w:lang w:val="en-GB"/>
        </w:rPr>
        <w:tab/>
        <w:t>Quicker disaster recovery from disconnected Optical Link</w:t>
      </w:r>
    </w:p>
    <w:p w:rsidR="00016D83" w:rsidRPr="0019555C" w:rsidRDefault="00016D83" w:rsidP="00016D83">
      <w:pPr>
        <w:pStyle w:val="enumlev1"/>
        <w:rPr>
          <w:rFonts w:eastAsia="MS PMincho"/>
          <w:lang w:val="en-GB"/>
        </w:rPr>
      </w:pPr>
      <w:r w:rsidRPr="0019555C">
        <w:rPr>
          <w:rFonts w:eastAsia="MS PMincho"/>
          <w:lang w:val="en-GB"/>
        </w:rPr>
        <w:tab/>
        <w:t>When an optical fibre link is disconnected due to a disaster, E-band IR equipment installing as temporary link can recover traffic at an early stage.</w:t>
      </w:r>
    </w:p>
    <w:p w:rsidR="00016D83" w:rsidRDefault="00016D83" w:rsidP="00016D83">
      <w:pPr>
        <w:rPr>
          <w:rFonts w:eastAsia="MS PMincho"/>
          <w:lang w:val="en-GB" w:eastAsia="ja-JP"/>
        </w:rPr>
      </w:pPr>
    </w:p>
    <w:p w:rsidR="002D354C" w:rsidRPr="0019555C" w:rsidRDefault="002D354C" w:rsidP="00016D83">
      <w:pPr>
        <w:rPr>
          <w:rFonts w:eastAsia="MS PMincho"/>
          <w:lang w:val="en-GB" w:eastAsia="ja-JP"/>
        </w:rPr>
      </w:pPr>
    </w:p>
    <w:p w:rsidR="00016D83" w:rsidRPr="0019555C" w:rsidRDefault="00B024C4" w:rsidP="00B024C4">
      <w:pPr>
        <w:pStyle w:val="AnnexNoTitle"/>
        <w:rPr>
          <w:lang w:val="en-GB" w:eastAsia="ja-JP"/>
        </w:rPr>
      </w:pPr>
      <w:bookmarkStart w:id="394" w:name="_Toc403044051"/>
      <w:bookmarkStart w:id="395" w:name="_Toc414014637"/>
      <w:bookmarkStart w:id="396" w:name="_Toc414014810"/>
      <w:r w:rsidRPr="0019555C">
        <w:rPr>
          <w:lang w:val="en-GB"/>
        </w:rPr>
        <w:t xml:space="preserve">Annex </w:t>
      </w:r>
      <w:r w:rsidR="00016D83" w:rsidRPr="0019555C">
        <w:rPr>
          <w:lang w:val="en-GB" w:eastAsia="ja-JP"/>
        </w:rPr>
        <w:t>3</w:t>
      </w:r>
      <w:bookmarkStart w:id="397" w:name="_Toc403044052"/>
      <w:bookmarkEnd w:id="394"/>
      <w:r>
        <w:rPr>
          <w:lang w:val="en-GB" w:eastAsia="ja-JP"/>
        </w:rPr>
        <w:br/>
      </w:r>
      <w:r>
        <w:rPr>
          <w:lang w:val="en-GB" w:eastAsia="ja-JP"/>
        </w:rPr>
        <w:br/>
      </w:r>
      <w:r w:rsidR="00016D83" w:rsidRPr="0019555C">
        <w:rPr>
          <w:lang w:val="en-GB" w:eastAsia="ja-JP"/>
        </w:rPr>
        <w:t xml:space="preserve">Example of Field-Trial on 18 GHz System using MIMO </w:t>
      </w:r>
      <w:r>
        <w:rPr>
          <w:lang w:val="en-GB" w:eastAsia="ja-JP"/>
        </w:rPr>
        <w:br/>
      </w:r>
      <w:r w:rsidR="00016D83" w:rsidRPr="0019555C">
        <w:rPr>
          <w:lang w:val="en-GB" w:eastAsia="ja-JP"/>
        </w:rPr>
        <w:t>(</w:t>
      </w:r>
      <w:r w:rsidR="00016D83" w:rsidRPr="0019555C">
        <w:rPr>
          <w:lang w:val="en-GB"/>
        </w:rPr>
        <w:t>Spatial</w:t>
      </w:r>
      <w:r w:rsidR="00016D83" w:rsidRPr="0019555C">
        <w:rPr>
          <w:lang w:val="en-GB" w:eastAsia="ja-JP"/>
        </w:rPr>
        <w:t xml:space="preserve"> Frequency Reuse) described in section 4.3.3</w:t>
      </w:r>
      <w:bookmarkEnd w:id="397"/>
      <w:bookmarkEnd w:id="395"/>
      <w:bookmarkEnd w:id="396"/>
    </w:p>
    <w:p w:rsidR="00016D83" w:rsidRPr="0019555C" w:rsidRDefault="00016D83" w:rsidP="00016D83">
      <w:pPr>
        <w:pStyle w:val="Headingb"/>
        <w:rPr>
          <w:lang w:val="en-GB"/>
        </w:rPr>
      </w:pPr>
      <w:r w:rsidRPr="0019555C">
        <w:rPr>
          <w:lang w:val="en-GB"/>
        </w:rPr>
        <w:t>MIMO channel measurement experiment – Aims</w:t>
      </w:r>
    </w:p>
    <w:p w:rsidR="00016D83" w:rsidRPr="0019555C" w:rsidRDefault="00016D83" w:rsidP="00016D83">
      <w:pPr>
        <w:rPr>
          <w:rFonts w:eastAsia="MS PMincho"/>
          <w:lang w:val="en-GB" w:eastAsia="ja-JP"/>
        </w:rPr>
      </w:pPr>
      <w:r w:rsidRPr="0019555C">
        <w:rPr>
          <w:rFonts w:eastAsia="MS PMincho"/>
          <w:lang w:val="en-GB" w:eastAsia="ja-JP"/>
        </w:rPr>
        <w:t>A MIMO trial was set and tested in Spain in order to analyze Multi-Polarized 2x2 MIMO in LOS condition without any power constraint (i.e. the MIMO transmission power is double with respect to an equivalent SISO one). The selected carrier frequency is 18 GHz</w:t>
      </w:r>
      <w:r w:rsidR="00B25B7D">
        <w:rPr>
          <w:rFonts w:eastAsia="MS PMincho"/>
          <w:lang w:val="en-GB" w:eastAsia="ja-JP"/>
        </w:rPr>
        <w:t xml:space="preserve"> with channel separation (CS) = </w:t>
      </w:r>
      <w:r w:rsidRPr="0019555C">
        <w:rPr>
          <w:rFonts w:eastAsia="MS PMincho"/>
          <w:lang w:val="en-GB" w:eastAsia="ja-JP"/>
        </w:rPr>
        <w:t>55 MHz and the modulation format is 256-QAM. The frequency band was chosen due to the availability of an existing experimental SISO link which was upgraded to MIMO saving the installation of one of the two dual-polar antennas.</w:t>
      </w:r>
    </w:p>
    <w:p w:rsidR="00016D83" w:rsidRPr="0019555C" w:rsidRDefault="00016D83" w:rsidP="00016D83">
      <w:pPr>
        <w:rPr>
          <w:rFonts w:eastAsia="MS PMincho"/>
          <w:lang w:val="en-GB" w:eastAsia="ja-JP"/>
        </w:rPr>
      </w:pPr>
      <w:r w:rsidRPr="0019555C">
        <w:rPr>
          <w:rFonts w:eastAsia="MS PMincho"/>
          <w:lang w:val="en-GB" w:eastAsia="ja-JP"/>
        </w:rPr>
        <w:t>One of the main scope of the experimentation was to proof the increase of the link capacity according to the MIMO theory.</w:t>
      </w:r>
    </w:p>
    <w:p w:rsidR="00016D83" w:rsidRPr="0019555C" w:rsidRDefault="00016D83" w:rsidP="00016D83">
      <w:pPr>
        <w:pStyle w:val="Headingb"/>
        <w:rPr>
          <w:lang w:val="en-GB"/>
        </w:rPr>
      </w:pPr>
      <w:r w:rsidRPr="0019555C">
        <w:rPr>
          <w:lang w:val="en-GB"/>
        </w:rPr>
        <w:t>MIMO channel measurement experiment – Configuration and plan</w:t>
      </w:r>
    </w:p>
    <w:p w:rsidR="00016D83" w:rsidRPr="0019555C" w:rsidRDefault="00016D83" w:rsidP="00016D83">
      <w:pPr>
        <w:rPr>
          <w:rFonts w:eastAsia="MS PMincho"/>
          <w:lang w:val="en-GB" w:eastAsia="ja-JP"/>
        </w:rPr>
      </w:pPr>
      <w:r w:rsidRPr="0019555C">
        <w:rPr>
          <w:rFonts w:eastAsia="MS PMincho"/>
          <w:lang w:val="en-GB" w:eastAsia="ja-JP"/>
        </w:rPr>
        <w:t>Figure 36 shows configurations and plans of the experiment. The optimal antenna distance (d</w:t>
      </w:r>
      <w:r w:rsidRPr="0019555C">
        <w:rPr>
          <w:rFonts w:eastAsia="MS PMincho"/>
          <w:vertAlign w:val="subscript"/>
          <w:lang w:val="en-GB" w:eastAsia="ja-JP"/>
        </w:rPr>
        <w:t>opt</w:t>
      </w:r>
      <w:r w:rsidRPr="0019555C">
        <w:rPr>
          <w:rFonts w:eastAsia="MS PMincho"/>
          <w:lang w:val="en-GB" w:eastAsia="ja-JP"/>
        </w:rPr>
        <w:t>) for MIMO operation, over a 6.2 km link hop length, is 7.1 m but for practical installation matter it was only possible to install antennas with 4.3 m of separation. The last value corresponds to the 60% of the optimal distance and it drives to around 4.5 dB drop in SNR gain.</w:t>
      </w:r>
    </w:p>
    <w:p w:rsidR="00016D83" w:rsidRPr="0019555C" w:rsidRDefault="00016D83" w:rsidP="00016D83">
      <w:pPr>
        <w:rPr>
          <w:rFonts w:eastAsia="MS PMincho"/>
          <w:lang w:val="en-GB" w:eastAsia="ja-JP"/>
        </w:rPr>
      </w:pPr>
      <w:r w:rsidRPr="0019555C">
        <w:rPr>
          <w:rFonts w:eastAsia="MS PMincho"/>
          <w:lang w:val="en-GB" w:eastAsia="ja-JP"/>
        </w:rPr>
        <w:t>The MIMO configuration is 2x2 plus CCDP (Co-Channel Dual Polarization) arrangement thus four (4) sub-channels were achieved.</w:t>
      </w:r>
    </w:p>
    <w:p w:rsidR="00016D83" w:rsidRPr="0019555C" w:rsidRDefault="00016D83" w:rsidP="00016D83">
      <w:pPr>
        <w:pStyle w:val="FigureNo"/>
        <w:rPr>
          <w:lang w:val="en-GB" w:eastAsia="ja-JP"/>
        </w:rPr>
      </w:pPr>
      <w:r w:rsidRPr="0019555C">
        <w:rPr>
          <w:rFonts w:eastAsiaTheme="minorEastAsia"/>
          <w:lang w:val="en-GB" w:eastAsia="ja-JP"/>
        </w:rPr>
        <w:lastRenderedPageBreak/>
        <w:t>FIGURE</w:t>
      </w:r>
      <w:r w:rsidRPr="0019555C">
        <w:rPr>
          <w:rFonts w:eastAsiaTheme="minorEastAsia"/>
          <w:lang w:val="en-GB"/>
        </w:rPr>
        <w:t xml:space="preserve"> </w:t>
      </w:r>
      <w:r w:rsidRPr="0019555C">
        <w:rPr>
          <w:lang w:val="en-GB" w:eastAsia="ja-JP"/>
        </w:rPr>
        <w:t>36</w:t>
      </w:r>
    </w:p>
    <w:p w:rsidR="00016D83" w:rsidRPr="0019555C" w:rsidRDefault="00016D83" w:rsidP="00016D83">
      <w:pPr>
        <w:pStyle w:val="Figuretitle"/>
        <w:rPr>
          <w:rFonts w:eastAsiaTheme="minorEastAsia"/>
          <w:lang w:val="en-GB" w:eastAsia="ja-JP"/>
        </w:rPr>
      </w:pPr>
      <w:r w:rsidRPr="0019555C">
        <w:rPr>
          <w:rFonts w:eastAsia="MS PMincho"/>
          <w:lang w:val="en-GB" w:eastAsia="ja-JP"/>
        </w:rPr>
        <w:t>MIMO link details</w:t>
      </w:r>
    </w:p>
    <w:p w:rsidR="00016D83" w:rsidRPr="0019555C" w:rsidRDefault="00016D83" w:rsidP="00016D83">
      <w:pPr>
        <w:pStyle w:val="Figure"/>
        <w:rPr>
          <w:rFonts w:eastAsia="MS PMincho"/>
          <w:lang w:val="en-GB" w:eastAsia="ja-JP"/>
        </w:rPr>
      </w:pPr>
      <w:r w:rsidRPr="0019555C">
        <w:rPr>
          <w:rFonts w:eastAsiaTheme="minorEastAsia"/>
          <w:noProof/>
          <w:lang w:val="en-US" w:eastAsia="zh-CN"/>
        </w:rPr>
        <w:drawing>
          <wp:inline distT="0" distB="0" distL="0" distR="0" wp14:anchorId="5FE3AAB8" wp14:editId="3C193E6B">
            <wp:extent cx="6108700" cy="2368550"/>
            <wp:effectExtent l="0" t="0" r="6350" b="0"/>
            <wp:docPr id="2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6108700" cy="2368550"/>
                    </a:xfrm>
                    <a:prstGeom prst="rect">
                      <a:avLst/>
                    </a:prstGeom>
                    <a:noFill/>
                    <a:ln w="9525">
                      <a:noFill/>
                      <a:miter lim="800000"/>
                      <a:headEnd/>
                      <a:tailEnd/>
                    </a:ln>
                  </pic:spPr>
                </pic:pic>
              </a:graphicData>
            </a:graphic>
          </wp:inline>
        </w:drawing>
      </w:r>
    </w:p>
    <w:p w:rsidR="00016D83" w:rsidRPr="0019555C" w:rsidRDefault="00016D83" w:rsidP="00016D83">
      <w:pPr>
        <w:pStyle w:val="Headingb"/>
        <w:rPr>
          <w:lang w:val="en-GB" w:eastAsia="ja-JP"/>
        </w:rPr>
      </w:pPr>
      <w:r w:rsidRPr="0019555C">
        <w:rPr>
          <w:lang w:val="en-GB" w:eastAsia="ja-JP"/>
        </w:rPr>
        <w:t>MIMO channel measurement setup</w:t>
      </w:r>
    </w:p>
    <w:p w:rsidR="00016D83" w:rsidRPr="0019555C" w:rsidRDefault="00016D83" w:rsidP="00016D83">
      <w:pPr>
        <w:rPr>
          <w:rFonts w:eastAsia="MS PMincho"/>
          <w:lang w:val="en-GB" w:eastAsia="ja-JP"/>
        </w:rPr>
      </w:pPr>
      <w:r w:rsidRPr="0019555C">
        <w:rPr>
          <w:rFonts w:eastAsia="MS PMincho"/>
          <w:lang w:val="en-GB" w:eastAsia="ja-JP"/>
        </w:rPr>
        <w:t>In Fig. 37 a sketch of the used MIMO setup is presented. It comprises: eight available ODU’s and two IDU’s with a new MIMO modem board, four dual-polarized 60 cm diameter dish antennas, a traffic generator/analyzer instrument, a data logger, a weather station meter and laptop for controlling the link.</w:t>
      </w:r>
    </w:p>
    <w:p w:rsidR="00016D83" w:rsidRPr="0019555C" w:rsidRDefault="00016D83" w:rsidP="00016D83">
      <w:pPr>
        <w:pStyle w:val="FigureNo"/>
        <w:rPr>
          <w:rFonts w:eastAsiaTheme="minorEastAsia"/>
          <w:lang w:val="en-GB" w:eastAsia="ja-JP"/>
        </w:rPr>
      </w:pPr>
      <w:r w:rsidRPr="0019555C">
        <w:rPr>
          <w:rFonts w:eastAsiaTheme="minorEastAsia"/>
          <w:lang w:val="en-GB" w:eastAsia="ja-JP"/>
        </w:rPr>
        <w:t>FIGURE 37</w:t>
      </w:r>
    </w:p>
    <w:p w:rsidR="00016D83" w:rsidRPr="0019555C" w:rsidRDefault="00016D83" w:rsidP="00016D83">
      <w:pPr>
        <w:pStyle w:val="Figuretitle"/>
        <w:rPr>
          <w:rFonts w:eastAsia="MS PMincho"/>
          <w:lang w:val="en-GB" w:eastAsia="ja-JP"/>
        </w:rPr>
      </w:pPr>
      <w:r w:rsidRPr="0019555C">
        <w:rPr>
          <w:rFonts w:eastAsia="MS PMincho"/>
          <w:lang w:val="en-GB" w:eastAsia="ja-JP"/>
        </w:rPr>
        <w:t>MIMO link layout</w:t>
      </w:r>
    </w:p>
    <w:p w:rsidR="00016D83" w:rsidRPr="0019555C" w:rsidRDefault="00016D83" w:rsidP="00016D83">
      <w:pPr>
        <w:pStyle w:val="Figure"/>
        <w:rPr>
          <w:rFonts w:eastAsiaTheme="minorEastAsia"/>
          <w:lang w:val="en-GB" w:eastAsia="zh-CN"/>
        </w:rPr>
      </w:pPr>
      <w:r w:rsidRPr="0019555C">
        <w:rPr>
          <w:rFonts w:eastAsiaTheme="minorEastAsia"/>
          <w:noProof/>
          <w:lang w:val="en-US" w:eastAsia="zh-CN"/>
        </w:rPr>
        <w:drawing>
          <wp:inline distT="0" distB="0" distL="0" distR="0" wp14:anchorId="2F7C6617" wp14:editId="52654451">
            <wp:extent cx="6115050" cy="2965450"/>
            <wp:effectExtent l="0" t="0" r="0" b="0"/>
            <wp:docPr id="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6115050" cy="2965450"/>
                    </a:xfrm>
                    <a:prstGeom prst="rect">
                      <a:avLst/>
                    </a:prstGeom>
                    <a:noFill/>
                    <a:ln w="9525">
                      <a:noFill/>
                      <a:miter lim="800000"/>
                      <a:headEnd/>
                      <a:tailEnd/>
                    </a:ln>
                  </pic:spPr>
                </pic:pic>
              </a:graphicData>
            </a:graphic>
          </wp:inline>
        </w:drawing>
      </w:r>
    </w:p>
    <w:p w:rsidR="00016D83" w:rsidRPr="0019555C" w:rsidRDefault="00016D83" w:rsidP="002D354C">
      <w:pPr>
        <w:pStyle w:val="Headingb"/>
        <w:rPr>
          <w:lang w:val="en-GB" w:eastAsia="ja-JP"/>
        </w:rPr>
      </w:pPr>
      <w:r w:rsidRPr="0019555C">
        <w:rPr>
          <w:lang w:val="en-GB" w:eastAsia="ja-JP"/>
        </w:rPr>
        <w:t>Test results and analysis</w:t>
      </w:r>
    </w:p>
    <w:p w:rsidR="00016D83" w:rsidRPr="0019555C" w:rsidRDefault="00016D83" w:rsidP="002D354C">
      <w:pPr>
        <w:keepNext/>
        <w:keepLines/>
        <w:rPr>
          <w:rFonts w:eastAsia="MS PMincho"/>
          <w:lang w:val="en-GB" w:eastAsia="ja-JP"/>
        </w:rPr>
      </w:pPr>
      <w:r w:rsidRPr="0019555C">
        <w:rPr>
          <w:rFonts w:eastAsia="MS PMincho"/>
          <w:lang w:val="en-GB" w:eastAsia="ja-JP"/>
        </w:rPr>
        <w:t>In the three layers of the following Fig. 38 are shown:</w:t>
      </w:r>
    </w:p>
    <w:p w:rsidR="00016D83" w:rsidRPr="0019555C" w:rsidRDefault="00016D83" w:rsidP="00016D83">
      <w:pPr>
        <w:pStyle w:val="enumlev1"/>
        <w:rPr>
          <w:rFonts w:eastAsia="MS PMincho"/>
          <w:lang w:val="en-GB" w:eastAsia="ja-JP"/>
        </w:rPr>
      </w:pPr>
      <w:r w:rsidRPr="0019555C">
        <w:rPr>
          <w:rFonts w:eastAsia="MS PMincho"/>
          <w:lang w:val="en-GB" w:eastAsia="ja-JP"/>
        </w:rPr>
        <w:t>–</w:t>
      </w:r>
      <w:r w:rsidRPr="0019555C">
        <w:rPr>
          <w:rFonts w:eastAsia="MS PMincho"/>
          <w:lang w:val="en-GB" w:eastAsia="ja-JP"/>
        </w:rPr>
        <w:tab/>
        <w:t>The Received Signal Level (RSL) values for the four MIMO sub-channel in one direction. Due to many tolerance sources in the link setup the RSL values are not at the same level, anyway the RSL values for links with the same polarization are kept in a reasonable ±3 dB spread.</w:t>
      </w:r>
    </w:p>
    <w:p w:rsidR="00016D83" w:rsidRPr="0019555C" w:rsidRDefault="00016D83" w:rsidP="00016D83">
      <w:pPr>
        <w:pStyle w:val="enumlev1"/>
        <w:rPr>
          <w:rFonts w:eastAsia="MS PMincho"/>
          <w:lang w:val="en-GB" w:eastAsia="ja-JP"/>
        </w:rPr>
      </w:pPr>
      <w:r w:rsidRPr="0019555C">
        <w:rPr>
          <w:rFonts w:eastAsia="MS PMincho"/>
          <w:szCs w:val="24"/>
          <w:lang w:val="en-GB" w:eastAsia="ja-JP"/>
        </w:rPr>
        <w:lastRenderedPageBreak/>
        <w:t>–</w:t>
      </w:r>
      <w:r w:rsidRPr="0019555C">
        <w:rPr>
          <w:rFonts w:eastAsia="MS PMincho"/>
          <w:szCs w:val="24"/>
          <w:lang w:val="en-GB" w:eastAsia="ja-JP"/>
        </w:rPr>
        <w:tab/>
        <w:t xml:space="preserve">The Mean Square Error (MSE) values at RX side for the four MIMO sub-channel in one direction. </w:t>
      </w:r>
      <w:r w:rsidRPr="0019555C">
        <w:rPr>
          <w:rFonts w:eastAsia="MS PMincho"/>
          <w:lang w:val="en-GB" w:eastAsia="ja-JP"/>
        </w:rPr>
        <w:t xml:space="preserve">For the four sub-channels the MSE evolutions are very irregular with an average level of 32 dB. </w:t>
      </w:r>
    </w:p>
    <w:p w:rsidR="00016D83" w:rsidRPr="0019555C" w:rsidRDefault="00016D83" w:rsidP="00016D83">
      <w:pPr>
        <w:pStyle w:val="enumlev1"/>
        <w:rPr>
          <w:rFonts w:eastAsia="MS PMincho"/>
          <w:lang w:val="en-GB" w:eastAsia="ja-JP"/>
        </w:rPr>
      </w:pPr>
      <w:r w:rsidRPr="0019555C">
        <w:rPr>
          <w:rFonts w:eastAsia="MS PMincho"/>
          <w:szCs w:val="24"/>
          <w:lang w:val="en-GB" w:eastAsia="ja-JP"/>
        </w:rPr>
        <w:t>–</w:t>
      </w:r>
      <w:r w:rsidRPr="0019555C">
        <w:rPr>
          <w:rFonts w:eastAsia="MS PMincho"/>
          <w:szCs w:val="24"/>
          <w:lang w:val="en-GB" w:eastAsia="ja-JP"/>
        </w:rPr>
        <w:tab/>
        <w:t xml:space="preserve">The whole MIMO capacity. </w:t>
      </w:r>
      <w:r w:rsidRPr="0019555C">
        <w:rPr>
          <w:rFonts w:eastAsia="MS PMincho"/>
          <w:lang w:val="en-GB" w:eastAsia="ja-JP"/>
        </w:rPr>
        <w:t>The resulting capacity measured was around 1.4 Gbps and it was quite stable during the recording time.</w:t>
      </w:r>
    </w:p>
    <w:p w:rsidR="00016D83" w:rsidRPr="0019555C" w:rsidRDefault="00016D83" w:rsidP="00016D83">
      <w:pPr>
        <w:rPr>
          <w:rFonts w:eastAsia="MS PMincho"/>
          <w:lang w:val="en-GB" w:eastAsia="ja-JP"/>
        </w:rPr>
      </w:pPr>
      <w:r w:rsidRPr="0019555C">
        <w:rPr>
          <w:rFonts w:eastAsia="MS PMincho"/>
          <w:lang w:val="en-GB" w:eastAsia="ja-JP"/>
        </w:rPr>
        <w:t>Considering that an average throughput for a SISO 256-QAM over 55 MHz CS system configuration is around 410 Mbps, MIMO capacity improvement results around 3.4 times the typical SISO capacity.</w:t>
      </w:r>
    </w:p>
    <w:p w:rsidR="00016D83" w:rsidRPr="0019555C" w:rsidRDefault="00016D83" w:rsidP="00016D83">
      <w:pPr>
        <w:rPr>
          <w:rFonts w:eastAsia="MS PMincho"/>
          <w:lang w:val="en-GB" w:eastAsia="ja-JP"/>
        </w:rPr>
      </w:pPr>
      <w:r w:rsidRPr="0019555C">
        <w:rPr>
          <w:rFonts w:eastAsia="MS PMincho"/>
          <w:lang w:val="en-GB" w:eastAsia="ja-JP"/>
        </w:rPr>
        <w:t>These results are a subset of the measurements performed during the experimental period, in particular just seven days registration is reported.</w:t>
      </w:r>
    </w:p>
    <w:p w:rsidR="00016D83" w:rsidRPr="0019555C" w:rsidRDefault="00016D83" w:rsidP="00016D83">
      <w:pPr>
        <w:pStyle w:val="FigureNo"/>
        <w:rPr>
          <w:rFonts w:eastAsiaTheme="minorEastAsia"/>
          <w:lang w:val="en-GB" w:eastAsia="ja-JP"/>
        </w:rPr>
      </w:pPr>
      <w:r w:rsidRPr="0019555C">
        <w:rPr>
          <w:rFonts w:eastAsiaTheme="minorEastAsia"/>
          <w:lang w:val="en-GB" w:eastAsia="ja-JP"/>
        </w:rPr>
        <w:t>FIGURE 38</w:t>
      </w:r>
    </w:p>
    <w:p w:rsidR="00016D83" w:rsidRPr="0019555C" w:rsidRDefault="00016D83" w:rsidP="00016D83">
      <w:pPr>
        <w:pStyle w:val="Figuretitle"/>
        <w:rPr>
          <w:rFonts w:eastAsia="MS PMincho"/>
          <w:lang w:val="en-GB" w:eastAsia="ja-JP"/>
        </w:rPr>
      </w:pPr>
      <w:r w:rsidRPr="0019555C">
        <w:rPr>
          <w:rFonts w:eastAsia="MS PMincho"/>
          <w:lang w:val="en-GB" w:eastAsia="ja-JP"/>
        </w:rPr>
        <w:t>RSL, MSE and Capacity results</w:t>
      </w:r>
    </w:p>
    <w:p w:rsidR="00016D83" w:rsidRPr="0019555C" w:rsidRDefault="00016D83" w:rsidP="00016D83">
      <w:pPr>
        <w:pStyle w:val="Figure"/>
        <w:rPr>
          <w:rFonts w:eastAsiaTheme="minorEastAsia"/>
          <w:lang w:val="en-GB" w:eastAsia="zh-CN"/>
        </w:rPr>
      </w:pPr>
      <w:r w:rsidRPr="0019555C">
        <w:rPr>
          <w:rFonts w:eastAsiaTheme="minorEastAsia"/>
          <w:noProof/>
          <w:lang w:val="en-US" w:eastAsia="zh-CN"/>
        </w:rPr>
        <w:drawing>
          <wp:inline distT="0" distB="0" distL="0" distR="0" wp14:anchorId="11FAA79A" wp14:editId="57FC800F">
            <wp:extent cx="5111750" cy="3632200"/>
            <wp:effectExtent l="19050" t="0" r="0" b="0"/>
            <wp:docPr id="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5111750" cy="3632200"/>
                    </a:xfrm>
                    <a:prstGeom prst="rect">
                      <a:avLst/>
                    </a:prstGeom>
                    <a:noFill/>
                    <a:ln w="9525">
                      <a:noFill/>
                      <a:miter lim="800000"/>
                      <a:headEnd/>
                      <a:tailEnd/>
                    </a:ln>
                  </pic:spPr>
                </pic:pic>
              </a:graphicData>
            </a:graphic>
          </wp:inline>
        </w:drawing>
      </w:r>
    </w:p>
    <w:p w:rsidR="00016D83" w:rsidRPr="0019555C" w:rsidRDefault="00016D83" w:rsidP="00016D83">
      <w:pPr>
        <w:rPr>
          <w:lang w:val="en-GB" w:eastAsia="zh-CN"/>
        </w:rPr>
      </w:pPr>
    </w:p>
    <w:p w:rsidR="00016D83" w:rsidRPr="0019555C" w:rsidRDefault="00016D83" w:rsidP="00DA5AC1">
      <w:pPr>
        <w:rPr>
          <w:lang w:val="en-GB"/>
        </w:rPr>
      </w:pPr>
    </w:p>
    <w:p w:rsidR="003D3D0E" w:rsidRDefault="003D3D0E">
      <w:pPr>
        <w:tabs>
          <w:tab w:val="clear" w:pos="794"/>
          <w:tab w:val="clear" w:pos="1191"/>
          <w:tab w:val="clear" w:pos="1588"/>
          <w:tab w:val="clear" w:pos="1985"/>
        </w:tabs>
        <w:overflowPunct/>
        <w:autoSpaceDE/>
        <w:autoSpaceDN/>
        <w:adjustRightInd/>
        <w:spacing w:before="0"/>
        <w:jc w:val="left"/>
        <w:textAlignment w:val="auto"/>
        <w:rPr>
          <w:b/>
          <w:sz w:val="28"/>
          <w:lang w:val="en-GB" w:eastAsia="ko-KR"/>
        </w:rPr>
      </w:pPr>
      <w:r>
        <w:rPr>
          <w:lang w:val="en-GB" w:eastAsia="ko-KR"/>
        </w:rPr>
        <w:br w:type="page"/>
      </w:r>
    </w:p>
    <w:p w:rsidR="00016D83" w:rsidRDefault="003D3D0E" w:rsidP="003D3D0E">
      <w:pPr>
        <w:pStyle w:val="AnnexNoTitle"/>
        <w:rPr>
          <w:lang w:val="en-GB" w:eastAsia="ko-KR"/>
        </w:rPr>
      </w:pPr>
      <w:bookmarkStart w:id="398" w:name="_Toc414014638"/>
      <w:bookmarkStart w:id="399" w:name="_Toc414014811"/>
      <w:r>
        <w:rPr>
          <w:lang w:val="en-GB" w:eastAsia="ko-KR"/>
        </w:rPr>
        <w:lastRenderedPageBreak/>
        <w:t>References</w:t>
      </w:r>
      <w:bookmarkEnd w:id="398"/>
      <w:bookmarkEnd w:id="399"/>
    </w:p>
    <w:p w:rsidR="003D3D0E" w:rsidRPr="003D3D0E" w:rsidRDefault="003D3D0E" w:rsidP="003D3D0E">
      <w:pPr>
        <w:pStyle w:val="Normalaftertitle"/>
        <w:rPr>
          <w:lang w:val="en-GB" w:eastAsia="ko-KR"/>
        </w:rPr>
      </w:pPr>
    </w:p>
    <w:p w:rsidR="00016D83" w:rsidRPr="0019555C" w:rsidRDefault="00016D83" w:rsidP="003D3D0E">
      <w:pPr>
        <w:pStyle w:val="Reftext"/>
        <w:ind w:left="0" w:firstLine="0"/>
        <w:rPr>
          <w:lang w:val="en-GB"/>
        </w:rPr>
      </w:pPr>
      <w:r w:rsidRPr="0019555C">
        <w:rPr>
          <w:lang w:val="en-GB"/>
        </w:rPr>
        <w:t xml:space="preserve">UMTS </w:t>
      </w:r>
      <w:r w:rsidRPr="0019555C">
        <w:rPr>
          <w:lang w:val="en-GB" w:eastAsia="ja-JP"/>
        </w:rPr>
        <w:t>Forum</w:t>
      </w:r>
      <w:r w:rsidRPr="0019555C">
        <w:rPr>
          <w:lang w:val="en-GB"/>
        </w:rPr>
        <w:t xml:space="preserve"> Report 44: Mobile Traffic forecasts 2010-2020, January 2011. </w:t>
      </w:r>
      <w:r w:rsidRPr="0019555C">
        <w:rPr>
          <w:lang w:val="en-GB" w:eastAsia="ja-JP"/>
        </w:rPr>
        <w:t>ADELSTEIN, J., KRUFKY, K., TURNER, P. and SANDRI, J., “Small Cell Acceleration,” July 2013 (</w:t>
      </w:r>
      <w:hyperlink r:id="rId62" w:history="1">
        <w:r w:rsidR="003D3D0E" w:rsidRPr="00C579D1">
          <w:rPr>
            <w:rStyle w:val="Hyperlink"/>
            <w:lang w:val="en-GB" w:eastAsia="ja-JP"/>
          </w:rPr>
          <w:t>http://www.thedasforum.org/wp-content/uploads/2013/07/HetNet-Forum-Small-Cell-Acceleration-Seminar-Presentations.pdf</w:t>
        </w:r>
      </w:hyperlink>
      <w:r w:rsidRPr="0019555C">
        <w:rPr>
          <w:lang w:val="en-GB" w:eastAsia="ja-JP"/>
        </w:rPr>
        <w:t>)</w:t>
      </w:r>
    </w:p>
    <w:p w:rsidR="00016D83" w:rsidRPr="0019555C" w:rsidRDefault="00016D83" w:rsidP="003D3D0E">
      <w:pPr>
        <w:pStyle w:val="Reftext"/>
        <w:ind w:left="0" w:firstLine="0"/>
        <w:rPr>
          <w:lang w:val="en-GB"/>
        </w:rPr>
      </w:pPr>
      <w:r w:rsidRPr="0019555C">
        <w:rPr>
          <w:lang w:val="en-GB" w:eastAsia="ja-JP"/>
        </w:rPr>
        <w:t xml:space="preserve">AZAR, </w:t>
      </w:r>
      <w:r w:rsidRPr="0019555C">
        <w:rPr>
          <w:lang w:val="en-GB"/>
        </w:rPr>
        <w:t>Y.</w:t>
      </w:r>
      <w:r w:rsidRPr="0019555C">
        <w:rPr>
          <w:lang w:val="en-GB" w:eastAsia="ja-JP"/>
        </w:rPr>
        <w:t>,</w:t>
      </w:r>
      <w:r w:rsidRPr="0019555C">
        <w:rPr>
          <w:lang w:val="en-GB"/>
        </w:rPr>
        <w:t xml:space="preserve"> </w:t>
      </w:r>
      <w:r w:rsidRPr="0019555C">
        <w:rPr>
          <w:lang w:val="en-GB" w:eastAsia="ja-JP"/>
        </w:rPr>
        <w:t xml:space="preserve">WONG, </w:t>
      </w:r>
      <w:r w:rsidRPr="0019555C">
        <w:rPr>
          <w:lang w:val="en-GB"/>
        </w:rPr>
        <w:t>G.</w:t>
      </w:r>
      <w:r w:rsidRPr="0019555C">
        <w:rPr>
          <w:lang w:val="en-GB" w:eastAsia="ja-JP"/>
        </w:rPr>
        <w:t>,</w:t>
      </w:r>
      <w:r w:rsidRPr="0019555C">
        <w:rPr>
          <w:lang w:val="en-GB"/>
        </w:rPr>
        <w:t xml:space="preserve"> </w:t>
      </w:r>
      <w:r w:rsidRPr="0019555C">
        <w:rPr>
          <w:lang w:val="en-GB" w:eastAsia="ja-JP"/>
        </w:rPr>
        <w:t xml:space="preserve">WANG, </w:t>
      </w:r>
      <w:r w:rsidRPr="0019555C">
        <w:rPr>
          <w:lang w:val="en-GB"/>
        </w:rPr>
        <w:t>K</w:t>
      </w:r>
      <w:r w:rsidRPr="0019555C">
        <w:rPr>
          <w:lang w:val="en-GB" w:eastAsia="ja-JP"/>
        </w:rPr>
        <w:t>.,</w:t>
      </w:r>
      <w:r w:rsidRPr="0019555C">
        <w:rPr>
          <w:lang w:val="en-GB"/>
        </w:rPr>
        <w:t xml:space="preserve"> </w:t>
      </w:r>
      <w:r w:rsidRPr="0019555C">
        <w:rPr>
          <w:lang w:val="en-GB" w:eastAsia="ja-JP"/>
        </w:rPr>
        <w:t xml:space="preserve">MAZYZUS, </w:t>
      </w:r>
      <w:r w:rsidRPr="0019555C">
        <w:rPr>
          <w:lang w:val="en-GB"/>
        </w:rPr>
        <w:t>R.</w:t>
      </w:r>
      <w:r w:rsidRPr="0019555C">
        <w:rPr>
          <w:lang w:val="en-GB" w:eastAsia="ja-JP"/>
        </w:rPr>
        <w:t>,</w:t>
      </w:r>
      <w:r w:rsidRPr="0019555C">
        <w:rPr>
          <w:lang w:val="en-GB"/>
        </w:rPr>
        <w:t xml:space="preserve"> </w:t>
      </w:r>
      <w:r w:rsidRPr="0019555C">
        <w:rPr>
          <w:lang w:val="en-GB" w:eastAsia="ja-JP"/>
        </w:rPr>
        <w:t xml:space="preserve">SCHULZ, </w:t>
      </w:r>
      <w:r w:rsidRPr="0019555C">
        <w:rPr>
          <w:lang w:val="en-GB"/>
        </w:rPr>
        <w:t>J</w:t>
      </w:r>
      <w:r w:rsidRPr="0019555C">
        <w:rPr>
          <w:lang w:val="en-GB" w:eastAsia="ja-JP"/>
        </w:rPr>
        <w:t xml:space="preserve">. ZHAO, </w:t>
      </w:r>
      <w:r w:rsidRPr="0019555C">
        <w:rPr>
          <w:lang w:val="en-GB"/>
        </w:rPr>
        <w:t>H</w:t>
      </w:r>
      <w:r w:rsidRPr="0019555C">
        <w:rPr>
          <w:lang w:val="en-GB" w:eastAsia="ja-JP"/>
        </w:rPr>
        <w:t>.</w:t>
      </w:r>
      <w:r w:rsidRPr="0019555C">
        <w:rPr>
          <w:lang w:val="en-GB"/>
        </w:rPr>
        <w:t xml:space="preserve"> </w:t>
      </w:r>
      <w:r w:rsidRPr="0019555C">
        <w:rPr>
          <w:lang w:val="en-GB" w:eastAsia="ja-JP"/>
        </w:rPr>
        <w:t xml:space="preserve">GUTIERREZ, </w:t>
      </w:r>
      <w:r w:rsidRPr="0019555C">
        <w:rPr>
          <w:lang w:val="en-GB"/>
        </w:rPr>
        <w:t>F</w:t>
      </w:r>
      <w:r w:rsidRPr="0019555C">
        <w:rPr>
          <w:lang w:val="en-GB" w:eastAsia="ja-JP"/>
        </w:rPr>
        <w:t>.,</w:t>
      </w:r>
      <w:r w:rsidRPr="0019555C">
        <w:rPr>
          <w:lang w:val="en-GB"/>
        </w:rPr>
        <w:t xml:space="preserve"> </w:t>
      </w:r>
      <w:r w:rsidRPr="0019555C">
        <w:rPr>
          <w:lang w:val="en-GB" w:eastAsia="ja-JP"/>
        </w:rPr>
        <w:t xml:space="preserve">HWANG, </w:t>
      </w:r>
      <w:r w:rsidRPr="0019555C">
        <w:rPr>
          <w:lang w:val="en-GB"/>
        </w:rPr>
        <w:t>D.</w:t>
      </w:r>
      <w:r w:rsidRPr="0019555C">
        <w:rPr>
          <w:lang w:val="en-GB" w:eastAsia="ja-JP"/>
        </w:rPr>
        <w:t xml:space="preserve"> and RAPPAPORT, </w:t>
      </w:r>
      <w:r w:rsidRPr="0019555C">
        <w:rPr>
          <w:lang w:val="en-GB"/>
        </w:rPr>
        <w:t>T.</w:t>
      </w:r>
      <w:r w:rsidRPr="0019555C">
        <w:rPr>
          <w:lang w:val="en-GB" w:eastAsia="ja-JP"/>
        </w:rPr>
        <w:t>,</w:t>
      </w:r>
      <w:r w:rsidRPr="0019555C">
        <w:rPr>
          <w:lang w:val="en-GB"/>
        </w:rPr>
        <w:t xml:space="preserve"> “28 GHz Propagation Measurements for Outdoor Cellular Communications using Steerable Beam Antennas in New York City”, to appear in the 2013 IEEE International Conference on Communications (ICC), June 9-13, 2013. (</w:t>
      </w:r>
      <w:hyperlink r:id="rId63" w:history="1">
        <w:r w:rsidR="003D3D0E" w:rsidRPr="00C579D1">
          <w:rPr>
            <w:rStyle w:val="Hyperlink"/>
            <w:lang w:val="en-GB"/>
          </w:rPr>
          <w:t>http://faculty.poly.edu/~tsr/Publications/ICC_2013_28.pdf</w:t>
        </w:r>
      </w:hyperlink>
      <w:r w:rsidRPr="0019555C">
        <w:rPr>
          <w:lang w:val="en-GB"/>
        </w:rPr>
        <w:t>)</w:t>
      </w:r>
    </w:p>
    <w:p w:rsidR="00016D83" w:rsidRPr="0019555C" w:rsidRDefault="00016D83" w:rsidP="003D3D0E">
      <w:pPr>
        <w:pStyle w:val="Reftext"/>
        <w:ind w:left="0" w:firstLine="0"/>
        <w:rPr>
          <w:lang w:val="en-GB"/>
        </w:rPr>
      </w:pPr>
      <w:r w:rsidRPr="0019555C">
        <w:rPr>
          <w:caps/>
          <w:lang w:val="en-GB"/>
        </w:rPr>
        <w:t>Hirata, A.</w:t>
      </w:r>
      <w:r w:rsidRPr="0019555C">
        <w:rPr>
          <w:caps/>
          <w:lang w:val="en-GB" w:eastAsia="ja-JP"/>
        </w:rPr>
        <w:t>,</w:t>
      </w:r>
      <w:r w:rsidRPr="0019555C">
        <w:rPr>
          <w:caps/>
          <w:lang w:val="en-GB"/>
        </w:rPr>
        <w:t xml:space="preserve"> Takeuchi, J; Takahashi, H.</w:t>
      </w:r>
      <w:r w:rsidRPr="0019555C">
        <w:rPr>
          <w:caps/>
          <w:lang w:val="en-GB" w:eastAsia="ja-JP"/>
        </w:rPr>
        <w:t>,</w:t>
      </w:r>
      <w:r w:rsidRPr="0019555C">
        <w:rPr>
          <w:caps/>
          <w:lang w:val="en-GB"/>
        </w:rPr>
        <w:t xml:space="preserve"> Kukutsu, N.</w:t>
      </w:r>
      <w:r w:rsidRPr="0019555C">
        <w:rPr>
          <w:caps/>
          <w:lang w:val="en-GB" w:eastAsia="ja-JP"/>
        </w:rPr>
        <w:t>,</w:t>
      </w:r>
      <w:r w:rsidRPr="0019555C">
        <w:rPr>
          <w:caps/>
          <w:lang w:val="en-GB"/>
        </w:rPr>
        <w:t xml:space="preserve"> Nishikawa, H.</w:t>
      </w:r>
      <w:r w:rsidRPr="0019555C">
        <w:rPr>
          <w:caps/>
          <w:lang w:val="en-GB" w:eastAsia="ja-JP"/>
        </w:rPr>
        <w:t>,</w:t>
      </w:r>
      <w:r w:rsidRPr="0019555C">
        <w:rPr>
          <w:caps/>
          <w:lang w:val="en-GB"/>
        </w:rPr>
        <w:t xml:space="preserve"> Irino, A.</w:t>
      </w:r>
      <w:r w:rsidRPr="0019555C">
        <w:rPr>
          <w:caps/>
          <w:lang w:val="en-GB" w:eastAsia="ja-JP"/>
        </w:rPr>
        <w:t>,</w:t>
      </w:r>
      <w:r w:rsidRPr="0019555C">
        <w:rPr>
          <w:caps/>
          <w:lang w:val="en-GB"/>
        </w:rPr>
        <w:t xml:space="preserve"> Nakayama, T.</w:t>
      </w:r>
      <w:r w:rsidRPr="0019555C">
        <w:rPr>
          <w:caps/>
          <w:lang w:val="en-GB" w:eastAsia="ja-JP"/>
        </w:rPr>
        <w:t>,</w:t>
      </w:r>
      <w:r w:rsidRPr="0019555C">
        <w:rPr>
          <w:caps/>
          <w:lang w:val="en-GB"/>
        </w:rPr>
        <w:t xml:space="preserve"> </w:t>
      </w:r>
      <w:r w:rsidRPr="0019555C">
        <w:rPr>
          <w:lang w:val="en-GB"/>
        </w:rPr>
        <w:t xml:space="preserve">and </w:t>
      </w:r>
      <w:r w:rsidRPr="0019555C">
        <w:rPr>
          <w:caps/>
          <w:lang w:val="en-GB"/>
        </w:rPr>
        <w:t>Sudo, N.</w:t>
      </w:r>
      <w:r w:rsidRPr="0019555C">
        <w:rPr>
          <w:caps/>
          <w:lang w:val="en-GB" w:eastAsia="ja-JP"/>
        </w:rPr>
        <w:t>,</w:t>
      </w:r>
      <w:r w:rsidRPr="0019555C">
        <w:rPr>
          <w:caps/>
          <w:lang w:val="en-GB"/>
        </w:rPr>
        <w:t xml:space="preserve"> (</w:t>
      </w:r>
      <w:r w:rsidRPr="0019555C">
        <w:rPr>
          <w:lang w:val="en-GB"/>
        </w:rPr>
        <w:t>October</w:t>
      </w:r>
      <w:r w:rsidRPr="0019555C">
        <w:rPr>
          <w:caps/>
          <w:lang w:val="en-GB"/>
        </w:rPr>
        <w:t xml:space="preserve"> 2011)</w:t>
      </w:r>
      <w:r w:rsidRPr="0019555C">
        <w:rPr>
          <w:caps/>
          <w:lang w:val="en-GB" w:eastAsia="ja-JP"/>
        </w:rPr>
        <w:t>”</w:t>
      </w:r>
      <w:r w:rsidRPr="0019555C">
        <w:rPr>
          <w:caps/>
          <w:lang w:val="en-GB"/>
        </w:rPr>
        <w:t xml:space="preserve"> </w:t>
      </w:r>
      <w:r w:rsidRPr="0019555C">
        <w:rPr>
          <w:lang w:val="en-GB"/>
        </w:rPr>
        <w:t>Space division multiplexing of 120-GHz-band wireless links using high-gain antennas</w:t>
      </w:r>
      <w:r w:rsidRPr="0019555C">
        <w:rPr>
          <w:lang w:val="en-GB" w:eastAsia="ja-JP"/>
        </w:rPr>
        <w:t>,”</w:t>
      </w:r>
      <w:r w:rsidRPr="0019555C">
        <w:rPr>
          <w:lang w:val="en-GB"/>
        </w:rPr>
        <w:t xml:space="preserve"> Euro</w:t>
      </w:r>
      <w:r w:rsidR="001C62B4" w:rsidRPr="0019555C">
        <w:rPr>
          <w:lang w:val="en-GB"/>
        </w:rPr>
        <w:t xml:space="preserve">pean Microwave Conference, pp. </w:t>
      </w:r>
      <w:r w:rsidRPr="0019555C">
        <w:rPr>
          <w:lang w:val="en-GB"/>
        </w:rPr>
        <w:t xml:space="preserve">25-28. </w:t>
      </w:r>
    </w:p>
    <w:p w:rsidR="00016D83" w:rsidRPr="0019555C" w:rsidRDefault="00016D83" w:rsidP="003D3D0E">
      <w:pPr>
        <w:pStyle w:val="Reftext"/>
        <w:ind w:left="0" w:firstLine="0"/>
        <w:rPr>
          <w:lang w:val="en-GB" w:eastAsia="ja-JP"/>
        </w:rPr>
      </w:pPr>
      <w:r w:rsidRPr="0019555C">
        <w:rPr>
          <w:lang w:val="en-GB" w:eastAsia="ja-JP"/>
        </w:rPr>
        <w:t>HANSRYD J., and EDSTAM J., (January 2011) Microwave capacity evolution, Ericson Review (</w:t>
      </w:r>
      <w:hyperlink r:id="rId64" w:history="1">
        <w:r w:rsidR="003D3D0E" w:rsidRPr="00C579D1">
          <w:rPr>
            <w:rStyle w:val="Hyperlink"/>
            <w:lang w:val="en-GB" w:eastAsia="ja-JP"/>
          </w:rPr>
          <w:t>http://www.ericsson.com/res/docs/review/Microwave-Capacity-Evolution.pdf</w:t>
        </w:r>
      </w:hyperlink>
      <w:r w:rsidRPr="0019555C">
        <w:rPr>
          <w:lang w:val="en-GB" w:eastAsia="ja-JP"/>
        </w:rPr>
        <w:t>)</w:t>
      </w:r>
    </w:p>
    <w:p w:rsidR="00016D83" w:rsidRPr="0019555C" w:rsidRDefault="00016D83" w:rsidP="003D3D0E">
      <w:pPr>
        <w:pStyle w:val="Reftext"/>
        <w:ind w:left="0" w:firstLine="0"/>
        <w:rPr>
          <w:lang w:val="en-GB" w:eastAsia="ja-JP"/>
        </w:rPr>
      </w:pPr>
      <w:r w:rsidRPr="0019555C">
        <w:rPr>
          <w:lang w:val="en-GB" w:eastAsia="ja-JP"/>
        </w:rPr>
        <w:t xml:space="preserve">HANSRYD, J., EDSTAM, J., OLSSON, E., and LARSSON, C., “Non-line-of-sight microwave backhaul for small cells,” </w:t>
      </w:r>
      <w:r w:rsidRPr="0019555C">
        <w:rPr>
          <w:lang w:val="en-GB"/>
        </w:rPr>
        <w:t>Ericsson Review, 22 February 2013</w:t>
      </w:r>
      <w:r w:rsidRPr="0019555C">
        <w:rPr>
          <w:lang w:val="en-GB" w:eastAsia="ja-JP"/>
        </w:rPr>
        <w:t xml:space="preserve">, </w:t>
      </w:r>
      <w:r w:rsidRPr="0019555C">
        <w:rPr>
          <w:lang w:val="en-GB"/>
        </w:rPr>
        <w:t>(</w:t>
      </w:r>
      <w:hyperlink r:id="rId65" w:history="1">
        <w:r w:rsidR="001C62B4" w:rsidRPr="0019555C">
          <w:rPr>
            <w:rStyle w:val="Hyperlink"/>
            <w:lang w:val="en-GB"/>
          </w:rPr>
          <w:t>http://www.ericsson.com/res/thecompany/docs/publications/ericsson_review/2013/er-nlos-microwave-backhaul.pdf</w:t>
        </w:r>
      </w:hyperlink>
      <w:r w:rsidRPr="0019555C">
        <w:rPr>
          <w:lang w:val="en-GB"/>
        </w:rPr>
        <w:t>)</w:t>
      </w:r>
      <w:r w:rsidRPr="0019555C">
        <w:rPr>
          <w:lang w:val="en-GB" w:eastAsia="ja-JP"/>
        </w:rPr>
        <w:t>.</w:t>
      </w:r>
    </w:p>
    <w:p w:rsidR="00016D83" w:rsidRPr="0019555C" w:rsidRDefault="00016D83" w:rsidP="003D3D0E">
      <w:pPr>
        <w:pStyle w:val="Reftext"/>
        <w:ind w:left="0" w:firstLine="0"/>
        <w:rPr>
          <w:lang w:val="en-GB" w:eastAsia="ja-JP"/>
        </w:rPr>
      </w:pPr>
      <w:r w:rsidRPr="0019555C">
        <w:rPr>
          <w:lang w:val="en-GB" w:eastAsia="ja-JP"/>
        </w:rPr>
        <w:t xml:space="preserve">HIRATA A., TAKEUCHI J., KIM D., HIROKAWA J., 10-Gbit/s dual channel transmission of 120-GHz-band wireless link using planar slot array antennas (2013) European Microwave Conference, pp. 744-747. </w:t>
      </w:r>
    </w:p>
    <w:p w:rsidR="00016D83" w:rsidRPr="0019555C" w:rsidRDefault="00016D83" w:rsidP="003D3D0E">
      <w:pPr>
        <w:pStyle w:val="Reftext"/>
        <w:ind w:left="0" w:firstLine="0"/>
        <w:rPr>
          <w:caps/>
          <w:lang w:val="en-GB" w:eastAsia="ja-JP"/>
        </w:rPr>
      </w:pPr>
      <w:r w:rsidRPr="0019555C">
        <w:rPr>
          <w:lang w:val="en-GB" w:eastAsia="ja-JP"/>
        </w:rPr>
        <w:t xml:space="preserve">HIROKAWA J., </w:t>
      </w:r>
      <w:r w:rsidRPr="0019555C">
        <w:rPr>
          <w:lang w:val="en-GB"/>
        </w:rPr>
        <w:t>Kim</w:t>
      </w:r>
      <w:r w:rsidRPr="0019555C">
        <w:rPr>
          <w:lang w:val="en-GB" w:eastAsia="ja-JP"/>
        </w:rPr>
        <w:t xml:space="preserve"> D.</w:t>
      </w:r>
      <w:r w:rsidRPr="0019555C">
        <w:rPr>
          <w:lang w:val="en-GB"/>
        </w:rPr>
        <w:t>, A</w:t>
      </w:r>
      <w:r w:rsidRPr="0019555C">
        <w:rPr>
          <w:lang w:val="en-GB" w:eastAsia="ja-JP"/>
        </w:rPr>
        <w:t>NDO M.</w:t>
      </w:r>
      <w:r w:rsidRPr="0019555C">
        <w:rPr>
          <w:lang w:val="en-GB"/>
        </w:rPr>
        <w:t>, N</w:t>
      </w:r>
      <w:r w:rsidRPr="0019555C">
        <w:rPr>
          <w:lang w:val="en-GB" w:eastAsia="ja-JP"/>
        </w:rPr>
        <w:t>AGATSUMA T.</w:t>
      </w:r>
      <w:r w:rsidRPr="0019555C">
        <w:rPr>
          <w:lang w:val="en-GB"/>
        </w:rPr>
        <w:t>, T</w:t>
      </w:r>
      <w:r w:rsidRPr="0019555C">
        <w:rPr>
          <w:lang w:val="en-GB" w:eastAsia="ja-JP"/>
        </w:rPr>
        <w:t>AKEUCHI J.</w:t>
      </w:r>
      <w:r w:rsidRPr="0019555C">
        <w:rPr>
          <w:lang w:val="en-GB"/>
        </w:rPr>
        <w:t xml:space="preserve">, </w:t>
      </w:r>
      <w:r w:rsidRPr="0019555C">
        <w:rPr>
          <w:lang w:val="en-GB" w:eastAsia="ja-JP"/>
        </w:rPr>
        <w:t xml:space="preserve">and </w:t>
      </w:r>
      <w:r w:rsidRPr="0019555C">
        <w:rPr>
          <w:lang w:val="en-GB"/>
        </w:rPr>
        <w:t>H</w:t>
      </w:r>
      <w:r w:rsidRPr="0019555C">
        <w:rPr>
          <w:lang w:val="en-GB" w:eastAsia="ja-JP"/>
        </w:rPr>
        <w:t>IRATA A., (March 2013), Wideband Waveguide Slot Array Antennas with Corporate-feed in</w:t>
      </w:r>
      <w:r w:rsidRPr="0019555C" w:rsidDel="00B7297D">
        <w:rPr>
          <w:lang w:val="en-GB"/>
        </w:rPr>
        <w:t xml:space="preserve"> </w:t>
      </w:r>
      <w:r w:rsidRPr="0019555C">
        <w:rPr>
          <w:lang w:val="en-GB" w:eastAsia="ja-JP"/>
        </w:rPr>
        <w:t>120 GHz and 350 GHz bands, 2013 International Symposium on Electromagnetic Theory (EMTS 2013), 24AM1C-6.</w:t>
      </w:r>
    </w:p>
    <w:p w:rsidR="00016D83" w:rsidRPr="0019555C" w:rsidRDefault="00016D83" w:rsidP="003D3D0E">
      <w:pPr>
        <w:pStyle w:val="Reftext"/>
        <w:ind w:left="0" w:firstLine="0"/>
        <w:rPr>
          <w:lang w:val="en-GB"/>
        </w:rPr>
      </w:pPr>
      <w:r w:rsidRPr="0019555C">
        <w:rPr>
          <w:caps/>
          <w:lang w:val="en-GB"/>
        </w:rPr>
        <w:t xml:space="preserve">Kallfass I., Antes J., Lopez-Diaz D., Diaz S., Diebold S., Massler H., Leuther A., </w:t>
      </w:r>
      <w:r w:rsidRPr="0019555C">
        <w:rPr>
          <w:lang w:val="en-GB"/>
        </w:rPr>
        <w:t>and</w:t>
      </w:r>
      <w:r w:rsidRPr="0019555C">
        <w:rPr>
          <w:caps/>
          <w:lang w:val="en-GB"/>
        </w:rPr>
        <w:t> Tessmann A. (N</w:t>
      </w:r>
      <w:r w:rsidRPr="0019555C">
        <w:rPr>
          <w:lang w:val="en-GB"/>
        </w:rPr>
        <w:t>ovember 2011). All active MMIC based wireless communication at 220 GHz. IEEE Trans. Terahertz Science and Technology, Vol. 1, pp. 477-487.</w:t>
      </w:r>
    </w:p>
    <w:p w:rsidR="00016D83" w:rsidRPr="0019555C" w:rsidRDefault="00016D83" w:rsidP="003D3D0E">
      <w:pPr>
        <w:pStyle w:val="Reftext"/>
        <w:ind w:left="0" w:firstLine="0"/>
        <w:rPr>
          <w:lang w:val="en-GB" w:eastAsia="ja-JP"/>
        </w:rPr>
      </w:pPr>
      <w:r w:rsidRPr="0019555C">
        <w:rPr>
          <w:caps/>
          <w:lang w:val="en-GB"/>
        </w:rPr>
        <w:t xml:space="preserve">Kanno A., Inagaki K., Morohashi I., Sakamoto T., Kuri T., Hosako I., Kawanishi T., YoshidA Y. </w:t>
      </w:r>
      <w:r w:rsidRPr="0019555C">
        <w:rPr>
          <w:lang w:val="en-GB"/>
        </w:rPr>
        <w:t>and</w:t>
      </w:r>
      <w:r w:rsidRPr="0019555C">
        <w:rPr>
          <w:caps/>
          <w:lang w:val="en-GB"/>
        </w:rPr>
        <w:t xml:space="preserve"> Kitayama K. (2011)</w:t>
      </w:r>
      <w:r w:rsidRPr="0019555C">
        <w:rPr>
          <w:lang w:val="en-GB"/>
        </w:rPr>
        <w:t>,</w:t>
      </w:r>
      <w:r w:rsidR="003D3D0E">
        <w:rPr>
          <w:lang w:val="en-GB"/>
        </w:rPr>
        <w:t xml:space="preserve"> </w:t>
      </w:r>
      <w:r w:rsidRPr="0019555C">
        <w:rPr>
          <w:lang w:val="en-GB"/>
        </w:rPr>
        <w:t>40 Gb/s W-band</w:t>
      </w:r>
      <w:r w:rsidR="003D3D0E">
        <w:rPr>
          <w:lang w:val="en-GB"/>
        </w:rPr>
        <w:t xml:space="preserve"> </w:t>
      </w:r>
      <w:r w:rsidRPr="0019555C">
        <w:rPr>
          <w:lang w:val="en-GB"/>
        </w:rPr>
        <w:t>(75-110 GHz) 16</w:t>
      </w:r>
      <w:r w:rsidR="003D3D0E">
        <w:rPr>
          <w:lang w:val="en-GB"/>
        </w:rPr>
        <w:noBreakHyphen/>
      </w:r>
      <w:r w:rsidRPr="0019555C">
        <w:rPr>
          <w:lang w:val="en-GB"/>
        </w:rPr>
        <w:t>QAMradio-over-fiber signal generation and its wireless transmission. European Conference and Exhibition on Optical Communication (ECOC). pp. 1-3.</w:t>
      </w:r>
    </w:p>
    <w:p w:rsidR="00016D83" w:rsidRPr="0019555C" w:rsidRDefault="00016D83" w:rsidP="003D3D0E">
      <w:pPr>
        <w:pStyle w:val="Reftext"/>
        <w:ind w:left="0" w:firstLine="0"/>
        <w:rPr>
          <w:lang w:val="en-GB" w:eastAsia="ja-JP"/>
        </w:rPr>
      </w:pPr>
      <w:r w:rsidRPr="0019555C">
        <w:rPr>
          <w:lang w:val="en-GB" w:eastAsia="ja-JP"/>
        </w:rPr>
        <w:t>KAWASHIMA M., SEKI T., HIRATA A., and KOSUGI T., (2011) Millimeter-wave/terahertz circuits and transceivers for broadband wireless systems, in Proc. The 54th IEEE International Midwest Symposium on Circuits and Systems (MWSCAS 2011), pp. 1-4.</w:t>
      </w:r>
    </w:p>
    <w:p w:rsidR="00016D83" w:rsidRPr="0019555C" w:rsidRDefault="00016D83" w:rsidP="003D3D0E">
      <w:pPr>
        <w:pStyle w:val="Reftext"/>
        <w:ind w:left="0" w:firstLine="0"/>
        <w:rPr>
          <w:lang w:val="en-GB" w:eastAsia="ja-JP"/>
        </w:rPr>
      </w:pPr>
      <w:r w:rsidRPr="0019555C">
        <w:rPr>
          <w:lang w:val="en-GB" w:eastAsia="ja-JP"/>
        </w:rPr>
        <w:t>KIM D., HIROKAWA J., ANDO M.,</w:t>
      </w:r>
      <w:r w:rsidR="001C62B4" w:rsidRPr="0019555C">
        <w:rPr>
          <w:lang w:val="en-GB" w:eastAsia="ja-JP"/>
        </w:rPr>
        <w:t xml:space="preserve"> TAKEUCHI J., HIRATA A. (2014) </w:t>
      </w:r>
      <w:r w:rsidRPr="0019555C">
        <w:rPr>
          <w:lang w:val="en-GB" w:eastAsia="ja-JP"/>
        </w:rPr>
        <w:t>64x64-element and 32x32-element slot</w:t>
      </w:r>
      <w:r w:rsidR="003D3D0E">
        <w:rPr>
          <w:lang w:val="en-GB" w:eastAsia="ja-JP"/>
        </w:rPr>
        <w:t xml:space="preserve"> </w:t>
      </w:r>
      <w:r w:rsidRPr="0019555C">
        <w:rPr>
          <w:lang w:val="en-GB" w:eastAsia="ja-JP"/>
        </w:rPr>
        <w:t>array antennas using double-layer hollow-waveguide corporate-feed in the 120 GHz band. IEEE Transactions on Antennas and Propagation, Vol. 62, No. 3, pp. 1507-1512.</w:t>
      </w:r>
    </w:p>
    <w:p w:rsidR="00016D83" w:rsidRPr="0019555C" w:rsidRDefault="00016D83" w:rsidP="003D3D0E">
      <w:pPr>
        <w:pStyle w:val="Reftext"/>
        <w:ind w:left="0" w:firstLine="0"/>
        <w:rPr>
          <w:lang w:val="en-GB" w:eastAsia="ja-JP"/>
        </w:rPr>
      </w:pPr>
      <w:r w:rsidRPr="0019555C">
        <w:rPr>
          <w:lang w:val="en-GB" w:eastAsia="ja-JP"/>
        </w:rPr>
        <w:t>MONZINGO, R. and MILLER, T., “Introduction to Adaptive Arrays,” published by John Wiley &amp; Sons Inc., 1980.</w:t>
      </w:r>
    </w:p>
    <w:p w:rsidR="00016D83" w:rsidRPr="0019555C" w:rsidRDefault="00016D83" w:rsidP="003D3D0E">
      <w:pPr>
        <w:pStyle w:val="Reftext"/>
        <w:ind w:left="0" w:firstLine="0"/>
        <w:rPr>
          <w:lang w:val="en-GB" w:eastAsia="ja-JP"/>
        </w:rPr>
      </w:pPr>
      <w:r w:rsidRPr="0019555C">
        <w:rPr>
          <w:lang w:val="en-GB" w:eastAsia="ja-JP"/>
        </w:rPr>
        <w:t xml:space="preserve">NAKAGAWA T., SEKI T., KAWASHIMA M., TSUBAKI T., HIRAGA K., SHIMIZU M., and UEHARA K., (April 2013) Concept of and transceiver for a 60-GHz high-speed non-contact </w:t>
      </w:r>
      <w:r w:rsidRPr="0019555C">
        <w:rPr>
          <w:lang w:val="en-GB" w:eastAsia="ja-JP"/>
        </w:rPr>
        <w:lastRenderedPageBreak/>
        <w:t>transmission system, in Global Symposium of Millimeter Waves 2013 (GSMM2013) Proc., paper M3-2.</w:t>
      </w:r>
    </w:p>
    <w:p w:rsidR="00016D83" w:rsidRPr="0019555C" w:rsidRDefault="00016D83" w:rsidP="003D3D0E">
      <w:pPr>
        <w:pStyle w:val="Reftext"/>
        <w:ind w:left="0" w:firstLine="0"/>
        <w:rPr>
          <w:lang w:val="en-GB" w:eastAsia="ja-JP"/>
        </w:rPr>
      </w:pPr>
      <w:r w:rsidRPr="0019555C">
        <w:rPr>
          <w:lang w:val="en-GB" w:eastAsia="ja-JP"/>
        </w:rPr>
        <w:t>NAKASHA, Y., SATO, M., TAJIMA, T., KAWANNO, Y., SUZUKI, T., TAKAHASHI, T., MAKIYAMA, K., OHKI, T., and HARA, N., “W-band Transmitter and Receiver for 10-Gb/s Impulse Radio With an Optical-Fiber Interface”, IEEE TRANSACTIONS ON MICROWAVE THEORY AND TECHNIQUES, VOL. 57, NO. 12, December 2009, pp 3171-3179.</w:t>
      </w:r>
    </w:p>
    <w:p w:rsidR="00016D83" w:rsidRPr="0019555C" w:rsidRDefault="00016D83" w:rsidP="003D3D0E">
      <w:pPr>
        <w:pStyle w:val="Reftext"/>
        <w:ind w:left="0" w:firstLine="0"/>
        <w:rPr>
          <w:lang w:val="en-GB"/>
        </w:rPr>
      </w:pPr>
      <w:r w:rsidRPr="0019555C">
        <w:rPr>
          <w:lang w:val="en-GB"/>
        </w:rPr>
        <w:t xml:space="preserve">Pang X., Caballero A., Dogadaev A., Arlunno V., Borkowski R., PedersenJ S., Deng L., Karinou F., Roubeau F., Zibar D., Yu X., and Monroy I. T. </w:t>
      </w:r>
      <w:r w:rsidRPr="0019555C">
        <w:rPr>
          <w:lang w:val="en-GB" w:eastAsia="ja-JP"/>
        </w:rPr>
        <w:t>(November 2011)</w:t>
      </w:r>
      <w:r w:rsidRPr="0019555C">
        <w:rPr>
          <w:lang w:val="en-GB"/>
        </w:rPr>
        <w:t>, 100 Gbit/s hybrid optical fibre-wireless link in the W-band (75</w:t>
      </w:r>
      <w:r w:rsidRPr="0019555C">
        <w:rPr>
          <w:lang w:val="en-GB"/>
        </w:rPr>
        <w:noBreakHyphen/>
        <w:t>110 GHz).Optic Express, Vol. 19, pp. 24944-24949.</w:t>
      </w:r>
    </w:p>
    <w:p w:rsidR="00016D83" w:rsidRPr="0019555C" w:rsidRDefault="00016D83" w:rsidP="003D3D0E">
      <w:pPr>
        <w:pStyle w:val="Reftext"/>
        <w:ind w:left="0" w:firstLine="0"/>
        <w:rPr>
          <w:lang w:val="en-GB" w:eastAsia="ja-JP"/>
        </w:rPr>
      </w:pPr>
      <w:r w:rsidRPr="0019555C">
        <w:rPr>
          <w:lang w:val="en-GB" w:eastAsia="ja-JP"/>
        </w:rPr>
        <w:t>SEKI T., HIRAGA K., NISHIKAWA K., and UEHARA K., (2009) 60-GHz Microstrip Antenna with Stacked Rings using Multi-Layer LTCC Substrate, in Proc. The 3rd European Conference on Antennas and Propagation (EuCAP 2009), pp. 3797-3800.</w:t>
      </w:r>
    </w:p>
    <w:p w:rsidR="00016D83" w:rsidRPr="0019555C" w:rsidRDefault="00016D83" w:rsidP="003D3D0E">
      <w:pPr>
        <w:pStyle w:val="Reftext"/>
        <w:ind w:left="0" w:firstLine="0"/>
        <w:rPr>
          <w:lang w:val="en-GB" w:eastAsia="ja-JP"/>
        </w:rPr>
      </w:pPr>
      <w:r w:rsidRPr="0019555C">
        <w:rPr>
          <w:lang w:val="en-GB" w:eastAsia="ja-JP"/>
        </w:rPr>
        <w:t>SONG H., KIM J., AJITO K., YAITA M., KUKUTSU N., (July 2013) Fully Integrated ASK Receiver MMIC for Terahertz Communications at 300 GHz, IEEE Trans. Terahertz Science and Technology, vol. 3, Issue 4, pp. 445-452.</w:t>
      </w:r>
    </w:p>
    <w:p w:rsidR="00016D83" w:rsidRPr="0019555C" w:rsidRDefault="00016D83" w:rsidP="003D3D0E">
      <w:pPr>
        <w:pStyle w:val="Reftext"/>
        <w:ind w:left="0" w:firstLine="0"/>
        <w:rPr>
          <w:lang w:val="en-GB" w:eastAsia="ja-JP"/>
        </w:rPr>
      </w:pPr>
      <w:r w:rsidRPr="0019555C">
        <w:rPr>
          <w:lang w:val="en-GB" w:eastAsia="ja-JP"/>
        </w:rPr>
        <w:t>TAKAHASHI H., KOSUGI T., HIRATA A., TAKEUCHI J., MURATA K., KUKUTSU N., (2013)</w:t>
      </w:r>
      <w:r w:rsidRPr="0019555C" w:rsidDel="00813A1C">
        <w:rPr>
          <w:lang w:val="en-GB" w:eastAsia="ja-JP"/>
        </w:rPr>
        <w:t xml:space="preserve"> </w:t>
      </w:r>
      <w:r w:rsidRPr="0019555C">
        <w:rPr>
          <w:lang w:val="en-GB" w:eastAsia="ja-JP"/>
        </w:rPr>
        <w:t>120-GHz-Band 10-Gbit/s Fully Integrated Wireless Link using Quadrature-Phase-Shift Keying, IEEE International Microwave Symposium, WE3F-5.</w:t>
      </w:r>
    </w:p>
    <w:p w:rsidR="00016D83" w:rsidRPr="0019555C" w:rsidRDefault="00016D83" w:rsidP="003D3D0E">
      <w:pPr>
        <w:pStyle w:val="Reftext"/>
        <w:ind w:left="0" w:firstLine="0"/>
        <w:rPr>
          <w:lang w:val="en-GB" w:eastAsia="ja-JP"/>
        </w:rPr>
      </w:pPr>
      <w:r w:rsidRPr="0019555C">
        <w:rPr>
          <w:lang w:val="en-GB" w:eastAsia="ja-JP"/>
        </w:rPr>
        <w:t>TAKEUCHI J., HIRATA</w:t>
      </w:r>
      <w:r w:rsidR="001C62B4" w:rsidRPr="0019555C">
        <w:rPr>
          <w:lang w:val="en-GB" w:eastAsia="ja-JP"/>
        </w:rPr>
        <w:t xml:space="preserve"> A., TAKAHASHI H., KUKUTSU N., </w:t>
      </w:r>
      <w:r w:rsidRPr="0019555C">
        <w:rPr>
          <w:lang w:val="en-GB" w:eastAsia="ja-JP"/>
        </w:rPr>
        <w:t>(2012) 20-Gbit/s unidirectional wireless system using polarization multiplexing for 12-ch HDTV signal transmission, Asia-Pacific Microwave Conference, pp. 142-144.</w:t>
      </w:r>
    </w:p>
    <w:p w:rsidR="00016D83" w:rsidRPr="0019555C" w:rsidRDefault="00016D83" w:rsidP="003D3D0E">
      <w:pPr>
        <w:pStyle w:val="Reftext"/>
        <w:ind w:left="0" w:firstLine="0"/>
        <w:rPr>
          <w:caps/>
          <w:lang w:val="en-GB" w:eastAsia="ja-JP"/>
        </w:rPr>
      </w:pPr>
      <w:r w:rsidRPr="0019555C">
        <w:rPr>
          <w:caps/>
          <w:lang w:val="en-GB" w:eastAsia="ja-JP"/>
        </w:rPr>
        <w:t xml:space="preserve">WANG, K., AZAR, Y., WONG, G., MAYZUS, R., ZHAO, H., SCHULZ, K., SUN, S., SAMIMI, M., GUTIERREZ F. </w:t>
      </w:r>
      <w:r w:rsidRPr="0019555C">
        <w:rPr>
          <w:lang w:val="en-GB"/>
        </w:rPr>
        <w:t>and</w:t>
      </w:r>
      <w:r w:rsidRPr="0019555C">
        <w:rPr>
          <w:caps/>
          <w:lang w:val="en-GB" w:eastAsia="ja-JP"/>
        </w:rPr>
        <w:t xml:space="preserve"> RSPPAPORT, T. S., </w:t>
      </w:r>
      <w:r w:rsidRPr="0019555C">
        <w:rPr>
          <w:lang w:val="en-GB"/>
        </w:rPr>
        <w:t>“28 GHz Angle of Arrival and Angle of Departure Analysis for Outdoor Cellular Communications using Steerable-Beam Antennas in New York City,” IEEE Vehicular Technology Conference (VTC), June 2013.</w:t>
      </w:r>
    </w:p>
    <w:p w:rsidR="00016D83" w:rsidRPr="0019555C" w:rsidRDefault="00016D83" w:rsidP="003D3D0E">
      <w:pPr>
        <w:pStyle w:val="Reftext"/>
        <w:ind w:left="0" w:firstLine="0"/>
        <w:rPr>
          <w:lang w:val="en-GB"/>
        </w:rPr>
      </w:pPr>
      <w:r w:rsidRPr="0019555C">
        <w:rPr>
          <w:caps/>
          <w:lang w:val="en-GB"/>
        </w:rPr>
        <w:t xml:space="preserve">Winzer P., Gnauck A., Doerr C., Magarini M., </w:t>
      </w:r>
      <w:r w:rsidRPr="0019555C">
        <w:rPr>
          <w:lang w:val="en-GB"/>
        </w:rPr>
        <w:t xml:space="preserve">and </w:t>
      </w:r>
      <w:r w:rsidRPr="0019555C">
        <w:rPr>
          <w:caps/>
          <w:lang w:val="en-GB"/>
        </w:rPr>
        <w:t>Buhl L. (</w:t>
      </w:r>
      <w:r w:rsidRPr="0019555C">
        <w:rPr>
          <w:lang w:val="en-GB"/>
        </w:rPr>
        <w:t>February 2010), Spectrally efficient long-haul optical networking using 112 Gbit/s polarization-multiplexed 16</w:t>
      </w:r>
      <w:r w:rsidRPr="0019555C">
        <w:rPr>
          <w:lang w:val="en-GB"/>
        </w:rPr>
        <w:noBreakHyphen/>
        <w:t>QAM. IEEE J. Lightwave Technology, Vol. 28, pp. 547-556.</w:t>
      </w:r>
    </w:p>
    <w:p w:rsidR="00016D83" w:rsidRDefault="00016D83" w:rsidP="003D3D0E">
      <w:pPr>
        <w:pStyle w:val="Reftext"/>
        <w:ind w:left="0" w:firstLine="0"/>
        <w:rPr>
          <w:lang w:val="en-GB"/>
        </w:rPr>
      </w:pPr>
      <w:r w:rsidRPr="0019555C">
        <w:rPr>
          <w:caps/>
          <w:lang w:val="en-GB"/>
        </w:rPr>
        <w:t>Zhang M., Hirokawa J. ando M. (</w:t>
      </w:r>
      <w:r w:rsidRPr="0019555C">
        <w:rPr>
          <w:lang w:val="en-GB"/>
        </w:rPr>
        <w:t>October</w:t>
      </w:r>
      <w:r w:rsidRPr="0019555C">
        <w:rPr>
          <w:caps/>
          <w:lang w:val="en-GB"/>
        </w:rPr>
        <w:t xml:space="preserve"> 2010)</w:t>
      </w:r>
      <w:r w:rsidRPr="0019555C">
        <w:rPr>
          <w:lang w:val="en-GB"/>
        </w:rPr>
        <w:t>. Design of a Partially-Corporate Feed Double-Layer Slotted Waveguide Array Antenna in 3</w:t>
      </w:r>
      <w:r w:rsidRPr="0019555C">
        <w:rPr>
          <w:lang w:val="en-GB"/>
        </w:rPr>
        <w:noBreakHyphen/>
        <w:t>9 GHz Band and Fabrication by Diffusion Bonding of Laminated Thin Metal Plates. IEICE Trans. Communication., Vol. 93, pp. 2538-2544.</w:t>
      </w:r>
    </w:p>
    <w:p w:rsidR="00350136" w:rsidRDefault="00350136" w:rsidP="0032202E">
      <w:pPr>
        <w:pStyle w:val="Reasons"/>
      </w:pPr>
    </w:p>
    <w:p w:rsidR="00C7193D" w:rsidRPr="00350136" w:rsidRDefault="00350136" w:rsidP="00350136">
      <w:pPr>
        <w:spacing w:before="600"/>
        <w:jc w:val="center"/>
      </w:pPr>
      <w:r>
        <w:t>______________</w:t>
      </w:r>
    </w:p>
    <w:sectPr w:rsidR="00C7193D" w:rsidRPr="00350136" w:rsidSect="007565CC">
      <w:headerReference w:type="even" r:id="rId66"/>
      <w:headerReference w:type="default" r:id="rId6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658" w:rsidRDefault="00C92658">
      <w:r>
        <w:separator/>
      </w:r>
    </w:p>
  </w:endnote>
  <w:endnote w:type="continuationSeparator" w:id="0">
    <w:p w:rsidR="00C92658" w:rsidRDefault="00C92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panose1 w:val="02020803070505020304"/>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PMincho">
    <w:panose1 w:val="02020600040205080304"/>
    <w:charset w:val="80"/>
    <w:family w:val="roman"/>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658" w:rsidRDefault="00C92658">
      <w:r>
        <w:separator/>
      </w:r>
    </w:p>
  </w:footnote>
  <w:footnote w:type="continuationSeparator" w:id="0">
    <w:p w:rsidR="00C92658" w:rsidRDefault="00C92658">
      <w:r>
        <w:continuationSeparator/>
      </w:r>
    </w:p>
  </w:footnote>
  <w:footnote w:id="1">
    <w:p w:rsidR="00016D83" w:rsidRPr="001118FA" w:rsidRDefault="00016D83" w:rsidP="00016D83">
      <w:pPr>
        <w:pStyle w:val="FootnoteText"/>
        <w:rPr>
          <w:lang w:val="en-US" w:eastAsia="ja-JP"/>
        </w:rPr>
      </w:pPr>
      <w:r w:rsidRPr="00263948">
        <w:rPr>
          <w:rStyle w:val="FootnoteReference"/>
        </w:rPr>
        <w:footnoteRef/>
      </w:r>
      <w:r w:rsidRPr="001118FA">
        <w:rPr>
          <w:lang w:val="en-US"/>
        </w:rPr>
        <w:t xml:space="preserve"> </w:t>
      </w:r>
      <w:r w:rsidRPr="001118FA">
        <w:rPr>
          <w:lang w:val="en-US"/>
        </w:rPr>
        <w:tab/>
      </w:r>
      <w:r w:rsidRPr="001118FA">
        <w:rPr>
          <w:lang w:val="en-US" w:eastAsia="ja-JP"/>
        </w:rPr>
        <w:t xml:space="preserve">The </w:t>
      </w:r>
      <w:r w:rsidRPr="001118FA">
        <w:rPr>
          <w:rFonts w:hint="eastAsia"/>
          <w:lang w:val="en-US" w:eastAsia="ja-JP"/>
        </w:rPr>
        <w:t>definition</w:t>
      </w:r>
      <w:r w:rsidRPr="001118FA">
        <w:rPr>
          <w:lang w:val="en-US" w:eastAsia="ja-JP"/>
        </w:rPr>
        <w:t xml:space="preserve"> of FWS is </w:t>
      </w:r>
      <w:r w:rsidRPr="001118FA">
        <w:rPr>
          <w:rFonts w:hint="eastAsia"/>
          <w:lang w:val="en-US" w:eastAsia="ja-JP"/>
        </w:rPr>
        <w:t>specified</w:t>
      </w:r>
      <w:r w:rsidRPr="001118FA">
        <w:rPr>
          <w:lang w:val="en-US" w:eastAsia="ja-JP"/>
        </w:rPr>
        <w:t xml:space="preserve"> in Recommendation </w:t>
      </w:r>
      <w:hyperlink r:id="rId1" w:history="1">
        <w:r w:rsidRPr="001118FA">
          <w:rPr>
            <w:rStyle w:val="Hyperlink"/>
            <w:lang w:val="en-US" w:eastAsia="ja-JP"/>
          </w:rPr>
          <w:t>ITU-R F.592</w:t>
        </w:r>
      </w:hyperlink>
      <w:r w:rsidRPr="001118FA">
        <w:rPr>
          <w:lang w:val="en-US" w:eastAsia="ja-JP"/>
        </w:rPr>
        <w:t>.</w:t>
      </w:r>
    </w:p>
  </w:footnote>
  <w:footnote w:id="2">
    <w:p w:rsidR="00016D83" w:rsidRPr="001118FA" w:rsidRDefault="00016D83" w:rsidP="00016D83">
      <w:pPr>
        <w:pStyle w:val="FootnoteText"/>
        <w:rPr>
          <w:lang w:val="en-US" w:eastAsia="ja-JP"/>
        </w:rPr>
      </w:pPr>
      <w:r>
        <w:rPr>
          <w:rStyle w:val="FootnoteReference"/>
        </w:rPr>
        <w:footnoteRef/>
      </w:r>
      <w:r w:rsidRPr="001118FA">
        <w:rPr>
          <w:lang w:val="en-US"/>
        </w:rPr>
        <w:t xml:space="preserve"> </w:t>
      </w:r>
      <w:r w:rsidRPr="001118FA">
        <w:rPr>
          <w:rFonts w:hint="eastAsia"/>
          <w:lang w:val="en-US" w:eastAsia="ja-JP"/>
        </w:rPr>
        <w:tab/>
        <w:t xml:space="preserve">The definition of FWA is specified in Recommendation </w:t>
      </w:r>
      <w:hyperlink r:id="rId2" w:history="1">
        <w:r w:rsidRPr="001118FA">
          <w:rPr>
            <w:rStyle w:val="Hyperlink"/>
            <w:rFonts w:hint="eastAsia"/>
            <w:lang w:val="en-US" w:eastAsia="ja-JP"/>
          </w:rPr>
          <w:t>ITU-R F.1399</w:t>
        </w:r>
      </w:hyperlink>
      <w:r w:rsidRPr="001118FA">
        <w:rPr>
          <w:lang w:val="en-US" w:eastAsia="ja-JP"/>
        </w:rPr>
        <w:t>.</w:t>
      </w:r>
    </w:p>
  </w:footnote>
  <w:footnote w:id="3">
    <w:p w:rsidR="00016D83" w:rsidRPr="001118FA" w:rsidRDefault="00016D83" w:rsidP="00016D83">
      <w:pPr>
        <w:pStyle w:val="FootnoteText"/>
        <w:rPr>
          <w:lang w:val="en-US"/>
        </w:rPr>
      </w:pPr>
      <w:r>
        <w:rPr>
          <w:rStyle w:val="FootnoteReference"/>
        </w:rPr>
        <w:footnoteRef/>
      </w:r>
      <w:r w:rsidRPr="001118FA">
        <w:rPr>
          <w:lang w:val="en-US"/>
        </w:rPr>
        <w:tab/>
        <w:t xml:space="preserve">For example, </w:t>
      </w:r>
      <w:r>
        <w:rPr>
          <w:lang w:val="en-CA"/>
        </w:rPr>
        <w:t>traffic levels higher than SDH STM-1.</w:t>
      </w:r>
    </w:p>
  </w:footnote>
  <w:footnote w:id="4">
    <w:p w:rsidR="00016D83" w:rsidRPr="0072378E" w:rsidRDefault="00016D83" w:rsidP="00016D83">
      <w:pPr>
        <w:pStyle w:val="FootnoteText"/>
        <w:rPr>
          <w:lang w:val="en-US"/>
        </w:rPr>
      </w:pPr>
      <w:r w:rsidRPr="006B57C3">
        <w:rPr>
          <w:rStyle w:val="FootnoteReference"/>
        </w:rPr>
        <w:footnoteRef/>
      </w:r>
      <w:r w:rsidRPr="001118FA">
        <w:rPr>
          <w:lang w:val="en-US"/>
        </w:rPr>
        <w:tab/>
      </w:r>
      <w:r w:rsidRPr="00F22962">
        <w:rPr>
          <w:lang w:val="en-US"/>
        </w:rPr>
        <w:t xml:space="preserve">Recommendation </w:t>
      </w:r>
      <w:r w:rsidRPr="00A6762D">
        <w:rPr>
          <w:lang w:val="en-US"/>
        </w:rPr>
        <w:t>ITU-R M.2003</w:t>
      </w:r>
      <w:r w:rsidRPr="00F22962">
        <w:rPr>
          <w:lang w:val="en-US"/>
        </w:rPr>
        <w:t xml:space="preserve"> addresses mult</w:t>
      </w:r>
      <w:r w:rsidRPr="00A6413C">
        <w:rPr>
          <w:lang w:val="en-US"/>
        </w:rPr>
        <w:t>iple gigabit wireless systems in the Mobile service</w:t>
      </w:r>
      <w:r>
        <w:rPr>
          <w:lang w:val="en-US"/>
        </w:rPr>
        <w:t xml:space="preserve"> for typically indoor/nomadic RLAN-like access</w:t>
      </w:r>
      <w:r w:rsidRPr="006B57C3">
        <w:rPr>
          <w:lang w:val="en-US"/>
        </w:rPr>
        <w:t>.</w:t>
      </w:r>
    </w:p>
  </w:footnote>
  <w:footnote w:id="5">
    <w:p w:rsidR="00016D83" w:rsidRPr="00DA35C2" w:rsidRDefault="00016D83" w:rsidP="00016D83">
      <w:pPr>
        <w:pStyle w:val="FootnoteText"/>
        <w:rPr>
          <w:lang w:val="en-US" w:eastAsia="ja-JP"/>
        </w:rPr>
      </w:pPr>
      <w:r>
        <w:rPr>
          <w:rStyle w:val="FootnoteReference"/>
        </w:rPr>
        <w:footnoteRef/>
      </w:r>
      <w:r w:rsidRPr="001118FA">
        <w:rPr>
          <w:lang w:val="en-US"/>
        </w:rPr>
        <w:tab/>
      </w:r>
      <w:r w:rsidRPr="00DA35C2">
        <w:rPr>
          <w:bCs/>
          <w:lang w:val="en-US"/>
        </w:rPr>
        <w:t xml:space="preserve">Recommendation </w:t>
      </w:r>
      <w:hyperlink r:id="rId3" w:history="1">
        <w:r w:rsidRPr="00596E91">
          <w:rPr>
            <w:rStyle w:val="Hyperlink"/>
            <w:bCs/>
            <w:lang w:val="en-US"/>
          </w:rPr>
          <w:t>ITU-R F.1498</w:t>
        </w:r>
      </w:hyperlink>
      <w:r w:rsidRPr="001118FA">
        <w:rPr>
          <w:lang w:val="en-US" w:eastAsia="ja-JP"/>
        </w:rPr>
        <w:t>.</w:t>
      </w:r>
    </w:p>
  </w:footnote>
  <w:footnote w:id="6">
    <w:p w:rsidR="00016D83" w:rsidRPr="001118FA" w:rsidRDefault="00016D83" w:rsidP="00016D83">
      <w:pPr>
        <w:pStyle w:val="FootnoteText"/>
        <w:rPr>
          <w:lang w:val="en-US"/>
        </w:rPr>
      </w:pPr>
      <w:r>
        <w:rPr>
          <w:rStyle w:val="FootnoteReference"/>
        </w:rPr>
        <w:footnoteRef/>
      </w:r>
      <w:r w:rsidRPr="001118FA">
        <w:rPr>
          <w:lang w:val="en-US"/>
        </w:rPr>
        <w:tab/>
        <w:t>This data have been gathered from a Radio Spectrum Inventory snapshot taken in 2010 (see </w:t>
      </w:r>
      <w:hyperlink r:id="rId4" w:history="1">
        <w:r w:rsidRPr="001118FA">
          <w:rPr>
            <w:rStyle w:val="Hyperlink"/>
            <w:lang w:val="en-US"/>
          </w:rPr>
          <w:t>http://www.ic.gc.ca/eic/site/smt-gst.nsf/eng/sf10023.html</w:t>
        </w:r>
      </w:hyperlink>
      <w:r w:rsidRPr="001118FA">
        <w:rPr>
          <w:lang w:val="en-US"/>
        </w:rPr>
        <w:t>).</w:t>
      </w:r>
    </w:p>
  </w:footnote>
  <w:footnote w:id="7">
    <w:p w:rsidR="00016D83" w:rsidRPr="001118FA" w:rsidRDefault="00016D83" w:rsidP="00016D83">
      <w:pPr>
        <w:pStyle w:val="FootnoteText"/>
        <w:rPr>
          <w:lang w:val="en-US"/>
        </w:rPr>
      </w:pPr>
      <w:r>
        <w:rPr>
          <w:rStyle w:val="FootnoteReference"/>
        </w:rPr>
        <w:footnoteRef/>
      </w:r>
      <w:r w:rsidRPr="001118FA">
        <w:rPr>
          <w:lang w:val="en-US"/>
        </w:rPr>
        <w:tab/>
      </w:r>
      <w:r>
        <w:rPr>
          <w:lang w:val="en-US"/>
        </w:rPr>
        <w:t xml:space="preserve">Refer </w:t>
      </w:r>
      <w:r w:rsidRPr="00B347DB">
        <w:rPr>
          <w:szCs w:val="24"/>
          <w:lang w:val="en-US"/>
        </w:rPr>
        <w:t xml:space="preserve">to </w:t>
      </w:r>
      <w:hyperlink r:id="rId5" w:history="1">
        <w:r w:rsidRPr="001118FA">
          <w:rPr>
            <w:rStyle w:val="Hyperlink"/>
            <w:lang w:val="en-US"/>
          </w:rPr>
          <w:t>http://www.ic.gc.ca/eic/site/smt-gst.nsf/eng/sf09444.html</w:t>
        </w:r>
      </w:hyperlink>
      <w:r w:rsidRPr="00AA37F2">
        <w:rPr>
          <w:rStyle w:val="Hyperlink"/>
          <w:u w:val="none"/>
          <w:lang w:val="en-US"/>
        </w:rPr>
        <w:t>.</w:t>
      </w:r>
    </w:p>
  </w:footnote>
  <w:footnote w:id="8">
    <w:p w:rsidR="00016D83" w:rsidRPr="00DA35C2" w:rsidRDefault="00016D83" w:rsidP="00016D83">
      <w:pPr>
        <w:pStyle w:val="FootnoteText"/>
        <w:rPr>
          <w:lang w:val="en-US"/>
        </w:rPr>
      </w:pPr>
      <w:r w:rsidRPr="00F22962">
        <w:rPr>
          <w:rStyle w:val="FootnoteReference"/>
        </w:rPr>
        <w:footnoteRef/>
      </w:r>
      <w:r w:rsidRPr="001118FA">
        <w:rPr>
          <w:lang w:val="en-US"/>
        </w:rPr>
        <w:tab/>
        <w:t>United</w:t>
      </w:r>
      <w:r w:rsidRPr="0018628A">
        <w:rPr>
          <w:lang w:val="en-US"/>
        </w:rPr>
        <w:t xml:space="preserve"> States Federal Communications Commission, Revision of Part 15 of Commission’s Rules Regarding Operation in the 57-64 GHz band, ET Docket No. 07-113.</w:t>
      </w:r>
    </w:p>
  </w:footnote>
  <w:footnote w:id="9">
    <w:p w:rsidR="00016D83" w:rsidRPr="00121ECC" w:rsidRDefault="00016D83" w:rsidP="00016D83">
      <w:pPr>
        <w:pStyle w:val="FootnoteText"/>
        <w:rPr>
          <w:lang w:val="en-US"/>
        </w:rPr>
      </w:pPr>
      <w:r>
        <w:rPr>
          <w:rStyle w:val="FootnoteReference"/>
        </w:rPr>
        <w:footnoteRef/>
      </w:r>
      <w:r>
        <w:rPr>
          <w:lang w:val="en-CA"/>
        </w:rPr>
        <w:tab/>
        <w:t>The advantages of using ATPC are limited when not used by a majority of links in a geographical area.</w:t>
      </w:r>
    </w:p>
  </w:footnote>
  <w:footnote w:id="10">
    <w:p w:rsidR="00016D83" w:rsidRPr="005D0E30" w:rsidRDefault="00016D83" w:rsidP="00CC506F">
      <w:pPr>
        <w:pStyle w:val="FootnoteText"/>
        <w:keepLines w:val="0"/>
        <w:rPr>
          <w:lang w:val="en-US"/>
        </w:rPr>
      </w:pPr>
      <w:r>
        <w:rPr>
          <w:rStyle w:val="FootnoteReference"/>
        </w:rPr>
        <w:footnoteRef/>
      </w:r>
      <w:r w:rsidRPr="00121ECC">
        <w:rPr>
          <w:lang w:val="en-US"/>
        </w:rPr>
        <w:tab/>
        <w:t xml:space="preserve">Recommendation ITU-R P.1411-5 </w:t>
      </w:r>
      <w:r w:rsidR="00CC506F">
        <w:rPr>
          <w:lang w:val="en-US"/>
        </w:rPr>
        <w:t>–</w:t>
      </w:r>
      <w:r>
        <w:rPr>
          <w:lang w:val="en-US"/>
        </w:rPr>
        <w:t xml:space="preserve"> </w:t>
      </w:r>
      <w:r w:rsidRPr="00121ECC">
        <w:rPr>
          <w:lang w:val="en-US"/>
        </w:rPr>
        <w:t>Propagation data and prediction methods for the planning of short-range outdoor radiocommunication systems and radio local area netw</w:t>
      </w:r>
      <w:r w:rsidR="00CC506F">
        <w:rPr>
          <w:lang w:val="en-US"/>
        </w:rPr>
        <w:t>orks in the frequency range 300 </w:t>
      </w:r>
      <w:r w:rsidRPr="00121ECC">
        <w:rPr>
          <w:lang w:val="en-US"/>
        </w:rPr>
        <w:t>MHz to 100 GHz</w:t>
      </w:r>
      <w:r>
        <w:rPr>
          <w:lang w:val="en-US"/>
        </w:rPr>
        <w:t>,</w:t>
      </w:r>
      <w:r w:rsidRPr="00121ECC">
        <w:rPr>
          <w:lang w:val="en-US"/>
        </w:rPr>
        <w:t xml:space="preserve"> contains NLoS propagation model in urban street canyons up to 16 GHz.</w:t>
      </w:r>
    </w:p>
  </w:footnote>
  <w:footnote w:id="11">
    <w:p w:rsidR="00016D83" w:rsidRPr="00121ECC" w:rsidRDefault="00016D83" w:rsidP="00016D83">
      <w:pPr>
        <w:pStyle w:val="FootnoteText"/>
        <w:rPr>
          <w:color w:val="000000" w:themeColor="text1"/>
          <w:lang w:val="en-US"/>
        </w:rPr>
      </w:pPr>
      <w:r>
        <w:rPr>
          <w:rStyle w:val="FootnoteReference"/>
        </w:rPr>
        <w:footnoteRef/>
      </w:r>
      <w:r w:rsidRPr="00121ECC">
        <w:rPr>
          <w:lang w:val="en-US"/>
        </w:rPr>
        <w:tab/>
        <w:t>Fixed service, millimeter band, point-to-multipoint systems are in the marketplace and additional systems are under d</w:t>
      </w:r>
      <w:r w:rsidRPr="00121ECC">
        <w:rPr>
          <w:color w:val="000000" w:themeColor="text1"/>
          <w:lang w:val="en-US"/>
        </w:rPr>
        <w:t>evelopment:</w:t>
      </w:r>
    </w:p>
    <w:p w:rsidR="00016D83" w:rsidRDefault="00016D83" w:rsidP="00733202">
      <w:pPr>
        <w:pStyle w:val="FootnoteText"/>
        <w:keepLines w:val="0"/>
        <w:tabs>
          <w:tab w:val="clear" w:pos="794"/>
          <w:tab w:val="left" w:pos="709"/>
        </w:tabs>
        <w:ind w:left="709" w:hanging="709"/>
        <w:rPr>
          <w:lang w:val="en-US"/>
        </w:rPr>
      </w:pPr>
      <w:r w:rsidRPr="00121ECC">
        <w:rPr>
          <w:lang w:val="en-US"/>
        </w:rPr>
        <w:tab/>
        <w:t>(</w:t>
      </w:r>
      <w:r w:rsidRPr="00121ECC">
        <w:rPr>
          <w:rFonts w:hint="eastAsia"/>
          <w:lang w:val="en-US" w:eastAsia="ja-JP"/>
        </w:rPr>
        <w:t>i</w:t>
      </w:r>
      <w:r w:rsidRPr="00121ECC">
        <w:rPr>
          <w:lang w:val="en-US"/>
        </w:rPr>
        <w:t>)</w:t>
      </w:r>
      <w:r w:rsidRPr="00121ECC">
        <w:rPr>
          <w:lang w:val="en-US"/>
        </w:rPr>
        <w:tab/>
        <w:t xml:space="preserve">Federal Communications Commission (FCC) Radio Station Authorization, Call Sign: WPOH633: </w:t>
      </w:r>
      <w:hyperlink r:id="rId6" w:history="1">
        <w:r w:rsidRPr="00121ECC">
          <w:rPr>
            <w:rStyle w:val="Hyperlink"/>
            <w:lang w:val="en-US"/>
          </w:rPr>
          <w:t>http://wireless2.fcc.gov/UlsApp/UlsSearch/license.jsp?licKey=8653</w:t>
        </w:r>
      </w:hyperlink>
      <w:r w:rsidRPr="00121ECC">
        <w:rPr>
          <w:lang w:val="en-US"/>
        </w:rPr>
        <w:t>.</w:t>
      </w:r>
    </w:p>
    <w:p w:rsidR="00016D83" w:rsidRPr="00121ECC" w:rsidRDefault="00016D83" w:rsidP="00733202">
      <w:pPr>
        <w:pStyle w:val="FootnoteText"/>
        <w:keepLines w:val="0"/>
        <w:tabs>
          <w:tab w:val="clear" w:pos="794"/>
          <w:tab w:val="left" w:pos="709"/>
        </w:tabs>
        <w:ind w:left="709" w:hanging="709"/>
        <w:rPr>
          <w:lang w:val="en-US" w:eastAsia="ja-JP"/>
        </w:rPr>
      </w:pPr>
      <w:r w:rsidRPr="00121ECC">
        <w:rPr>
          <w:lang w:val="en-US"/>
        </w:rPr>
        <w:tab/>
        <w:t>(ii)</w:t>
      </w:r>
      <w:r w:rsidRPr="00121ECC">
        <w:rPr>
          <w:lang w:val="en-US"/>
        </w:rPr>
        <w:tab/>
      </w:r>
      <w:hyperlink r:id="rId7" w:history="1">
        <w:r w:rsidR="00733202" w:rsidRPr="00C579D1">
          <w:rPr>
            <w:rStyle w:val="Hyperlink"/>
            <w:lang w:val="en-US"/>
          </w:rPr>
          <w:t>https://apps.fcc.gov/oetcf/els/reports/STA_Print.cfm?mode=current&amp;application_seq=</w:t>
        </w:r>
        <w:r w:rsidR="00733202" w:rsidRPr="00C579D1">
          <w:rPr>
            <w:rStyle w:val="Hyperlink"/>
            <w:lang w:val="en-US"/>
          </w:rPr>
          <w:br/>
          <w:t>60763&amp;RequestTimeout=1000</w:t>
        </w:r>
      </w:hyperlink>
      <w:r w:rsidRPr="00121ECC">
        <w:rPr>
          <w:lang w:val="en-US"/>
        </w:rPr>
        <w:t>.</w:t>
      </w:r>
    </w:p>
  </w:footnote>
  <w:footnote w:id="12">
    <w:p w:rsidR="00016D83" w:rsidRPr="00121ECC" w:rsidRDefault="00016D83" w:rsidP="00016D83">
      <w:pPr>
        <w:pStyle w:val="FootnoteText"/>
        <w:rPr>
          <w:lang w:val="en-US"/>
        </w:rPr>
      </w:pPr>
      <w:r>
        <w:rPr>
          <w:rStyle w:val="FootnoteReference"/>
        </w:rPr>
        <w:footnoteRef/>
      </w:r>
      <w:r w:rsidRPr="00121ECC">
        <w:rPr>
          <w:lang w:val="en-US"/>
        </w:rPr>
        <w:tab/>
      </w:r>
      <w:hyperlink r:id="rId8" w:history="1">
        <w:r w:rsidRPr="00121ECC">
          <w:rPr>
            <w:rStyle w:val="Hyperlink"/>
            <w:lang w:val="en-US"/>
          </w:rPr>
          <w:t>http://www.jrcamerica.com/download/WIPAS_Spectrum_in_US.pdf</w:t>
        </w:r>
      </w:hyperlink>
      <w:r w:rsidRPr="00121ECC">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923" w:rsidRPr="005A7013" w:rsidRDefault="001A6007" w:rsidP="00D95923">
    <w:pPr>
      <w:pStyle w:val="Header"/>
      <w:jc w:val="both"/>
      <w:rPr>
        <w:lang w:val="en-US"/>
      </w:rPr>
    </w:pPr>
    <w:r w:rsidRPr="00D95923">
      <w:rPr>
        <w:b/>
        <w:bCs/>
      </w:rPr>
      <w:fldChar w:fldCharType="begin"/>
    </w:r>
    <w:r w:rsidR="00D95923" w:rsidRPr="00D95923">
      <w:rPr>
        <w:b/>
        <w:bCs/>
        <w:lang w:val="en-US"/>
      </w:rPr>
      <w:instrText xml:space="preserve"> PAGE </w:instrText>
    </w:r>
    <w:r w:rsidRPr="00D95923">
      <w:rPr>
        <w:b/>
        <w:bCs/>
      </w:rPr>
      <w:fldChar w:fldCharType="separate"/>
    </w:r>
    <w:r w:rsidR="005D6687">
      <w:rPr>
        <w:b/>
        <w:bCs/>
        <w:noProof/>
        <w:lang w:val="en-US"/>
      </w:rPr>
      <w:t>ii</w:t>
    </w:r>
    <w:r w:rsidRPr="00D95923">
      <w:fldChar w:fldCharType="end"/>
    </w:r>
    <w:r w:rsidR="00D95923" w:rsidRPr="00D95923">
      <w:rPr>
        <w:lang w:val="en-US"/>
      </w:rPr>
      <w:tab/>
    </w:r>
    <w:r w:rsidR="00163550">
      <w:fldChar w:fldCharType="begin"/>
    </w:r>
    <w:r w:rsidR="00163550" w:rsidRPr="005A7013">
      <w:rPr>
        <w:lang w:val="en-US"/>
      </w:rPr>
      <w:instrText xml:space="preserve"> DOCPROPERTY "Header 2" \* MERGEFORMAT </w:instrText>
    </w:r>
    <w:r w:rsidR="00163550">
      <w:fldChar w:fldCharType="separate"/>
    </w:r>
    <w:r w:rsidR="005D6687" w:rsidRPr="005D6687">
      <w:rPr>
        <w:b/>
        <w:bCs/>
        <w:lang w:val="en-US"/>
      </w:rPr>
      <w:t xml:space="preserve">Rep. </w:t>
    </w:r>
    <w:r w:rsidR="00163550">
      <w:rPr>
        <w:b/>
        <w:bCs/>
        <w:lang w:val="en-US"/>
      </w:rPr>
      <w:fldChar w:fldCharType="end"/>
    </w:r>
    <w:r w:rsidR="00D95923" w:rsidRPr="005A7013">
      <w:rPr>
        <w:b/>
        <w:bCs/>
        <w:lang w:val="en-US"/>
      </w:rPr>
      <w:t xml:space="preserve"> </w:t>
    </w:r>
    <w:r w:rsidRPr="00D95923">
      <w:rPr>
        <w:b/>
        <w:bCs/>
      </w:rPr>
      <w:fldChar w:fldCharType="begin"/>
    </w:r>
    <w:r w:rsidR="00D95923" w:rsidRPr="00D95923">
      <w:rPr>
        <w:b/>
        <w:bCs/>
        <w:lang w:val="en-US"/>
      </w:rPr>
      <w:instrText>styleref href</w:instrText>
    </w:r>
    <w:r w:rsidRPr="00D95923">
      <w:rPr>
        <w:b/>
        <w:bCs/>
      </w:rPr>
      <w:fldChar w:fldCharType="separate"/>
    </w:r>
    <w:r w:rsidR="005D6687">
      <w:rPr>
        <w:b/>
        <w:bCs/>
        <w:noProof/>
      </w:rPr>
      <w:t>ITU-R  F.2323-0</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CA501B" w:rsidP="00B033C8">
    <w:pPr>
      <w:pStyle w:val="Header"/>
      <w:ind w:right="360" w:firstLine="360"/>
    </w:pPr>
    <w:r>
      <w:rPr>
        <w:noProof/>
        <w:lang w:val="en-US" w:eastAsia="zh-CN"/>
      </w:rPr>
      <w:drawing>
        <wp:anchor distT="0" distB="0" distL="114300" distR="114300" simplePos="0" relativeHeight="251664384" behindDoc="0" locked="0" layoutInCell="1" allowOverlap="1" wp14:anchorId="79AA71CA" wp14:editId="1ADC49D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1048E2">
      <w:rPr>
        <w:noProof/>
        <w:lang w:val="en-US" w:eastAsia="zh-CN"/>
      </w:rPr>
      <w:drawing>
        <wp:anchor distT="0" distB="0" distL="114300" distR="114300" simplePos="0" relativeHeight="251657216" behindDoc="1" locked="0" layoutInCell="1" allowOverlap="1" wp14:anchorId="2E01C061" wp14:editId="143E0808">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2C9" w:rsidRDefault="001A6007" w:rsidP="00B156FC">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5D6687">
      <w:rPr>
        <w:rStyle w:val="PageNumber"/>
        <w:b/>
        <w:bCs/>
        <w:noProof/>
        <w:lang w:val="en-US"/>
      </w:rPr>
      <w:t>18</w:t>
    </w:r>
    <w:r>
      <w:rPr>
        <w:rStyle w:val="PageNumber"/>
        <w:b/>
        <w:bCs/>
      </w:rPr>
      <w:fldChar w:fldCharType="end"/>
    </w:r>
    <w:r w:rsidR="002B32C9">
      <w:rPr>
        <w:lang w:val="en-US"/>
      </w:rPr>
      <w:tab/>
    </w:r>
    <w:fldSimple w:instr=" DOCPROPERTY &quot;Header 2&quot; \* MERGEFORMAT ">
      <w:r w:rsidR="005D6687" w:rsidRPr="005D6687">
        <w:rPr>
          <w:b/>
          <w:bCs/>
          <w:lang w:val="en-US"/>
        </w:rPr>
        <w:t xml:space="preserve">Rep. </w:t>
      </w:r>
    </w:fldSimple>
    <w:r w:rsidR="00B156FC" w:rsidRPr="00D95923">
      <w:rPr>
        <w:b/>
        <w:bCs/>
      </w:rPr>
      <w:t xml:space="preserve"> </w:t>
    </w:r>
    <w:r w:rsidR="00B156FC" w:rsidRPr="00D95923">
      <w:rPr>
        <w:b/>
        <w:bCs/>
      </w:rPr>
      <w:fldChar w:fldCharType="begin"/>
    </w:r>
    <w:r w:rsidR="00B156FC" w:rsidRPr="00D95923">
      <w:rPr>
        <w:b/>
        <w:bCs/>
        <w:lang w:val="en-US"/>
      </w:rPr>
      <w:instrText>styleref href</w:instrText>
    </w:r>
    <w:r w:rsidR="00B156FC" w:rsidRPr="00D95923">
      <w:rPr>
        <w:b/>
        <w:bCs/>
      </w:rPr>
      <w:fldChar w:fldCharType="separate"/>
    </w:r>
    <w:r w:rsidR="005D6687">
      <w:rPr>
        <w:b/>
        <w:bCs/>
        <w:noProof/>
      </w:rPr>
      <w:t>ITU-R  F.2323-0</w:t>
    </w:r>
    <w:r w:rsidR="00B156FC"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923" w:rsidRPr="00D95923" w:rsidRDefault="00D95923" w:rsidP="00D95923">
    <w:pPr>
      <w:pStyle w:val="Header"/>
    </w:pPr>
    <w:r w:rsidRPr="00D95923">
      <w:rPr>
        <w:lang w:val="en-US"/>
      </w:rPr>
      <w:tab/>
    </w:r>
    <w:r w:rsidR="005D6687">
      <w:fldChar w:fldCharType="begin"/>
    </w:r>
    <w:r w:rsidR="005D6687">
      <w:instrText xml:space="preserve"> DOCPROPERTY "Header 2" \* MERGEFORMAT </w:instrText>
    </w:r>
    <w:r w:rsidR="005D6687">
      <w:fldChar w:fldCharType="separate"/>
    </w:r>
    <w:r w:rsidR="005D6687" w:rsidRPr="005D6687">
      <w:rPr>
        <w:b/>
        <w:bCs/>
        <w:lang w:val="en-US"/>
      </w:rPr>
      <w:t xml:space="preserve">Rep. </w:t>
    </w:r>
    <w:r w:rsidR="005D6687">
      <w:rPr>
        <w:b/>
        <w:bCs/>
        <w:lang w:val="en-US"/>
      </w:rPr>
      <w:fldChar w:fldCharType="end"/>
    </w:r>
    <w:r w:rsidRPr="00D95923">
      <w:rPr>
        <w:b/>
        <w:bCs/>
      </w:rPr>
      <w:t xml:space="preserve"> </w:t>
    </w:r>
    <w:r w:rsidR="001A6007" w:rsidRPr="00D95923">
      <w:rPr>
        <w:b/>
        <w:bCs/>
      </w:rPr>
      <w:fldChar w:fldCharType="begin"/>
    </w:r>
    <w:r w:rsidRPr="00D95923">
      <w:rPr>
        <w:b/>
        <w:bCs/>
        <w:lang w:val="en-US"/>
      </w:rPr>
      <w:instrText>styleref href</w:instrText>
    </w:r>
    <w:r w:rsidR="001A6007" w:rsidRPr="00D95923">
      <w:rPr>
        <w:b/>
        <w:bCs/>
      </w:rPr>
      <w:fldChar w:fldCharType="separate"/>
    </w:r>
    <w:r w:rsidR="005D6687">
      <w:rPr>
        <w:b/>
        <w:bCs/>
        <w:noProof/>
      </w:rPr>
      <w:t>ITU-R  F.2323-0</w:t>
    </w:r>
    <w:r w:rsidR="001A6007" w:rsidRPr="00D95923">
      <w:fldChar w:fldCharType="end"/>
    </w:r>
    <w:r w:rsidRPr="00D95923">
      <w:tab/>
    </w:r>
    <w:r w:rsidR="001A6007" w:rsidRPr="00D95923">
      <w:rPr>
        <w:b/>
        <w:bCs/>
      </w:rPr>
      <w:fldChar w:fldCharType="begin"/>
    </w:r>
    <w:r w:rsidRPr="00D95923">
      <w:rPr>
        <w:b/>
        <w:bCs/>
        <w:lang w:val="en-US"/>
      </w:rPr>
      <w:instrText xml:space="preserve"> PAGE </w:instrText>
    </w:r>
    <w:r w:rsidR="001A6007" w:rsidRPr="00D95923">
      <w:rPr>
        <w:b/>
        <w:bCs/>
      </w:rPr>
      <w:fldChar w:fldCharType="separate"/>
    </w:r>
    <w:r w:rsidR="005D6687">
      <w:rPr>
        <w:b/>
        <w:bCs/>
        <w:noProof/>
        <w:lang w:val="en-US"/>
      </w:rPr>
      <w:t>19</w:t>
    </w:r>
    <w:r w:rsidR="001A6007" w:rsidRPr="00D9592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3705624"/>
    <w:multiLevelType w:val="hybridMultilevel"/>
    <w:tmpl w:val="C30AE05E"/>
    <w:lvl w:ilvl="0" w:tplc="724EACD0">
      <w:start w:val="2"/>
      <w:numFmt w:val="bullet"/>
      <w:lvlText w:val="–"/>
      <w:lvlJc w:val="left"/>
      <w:pPr>
        <w:tabs>
          <w:tab w:val="num" w:pos="648"/>
        </w:tabs>
        <w:ind w:left="648" w:hanging="576"/>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10">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3">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4">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7">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8">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0">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873295C"/>
    <w:multiLevelType w:val="multilevel"/>
    <w:tmpl w:val="CBFADA9A"/>
    <w:lvl w:ilvl="0">
      <w:start w:val="4"/>
      <w:numFmt w:val="decimal"/>
      <w:lvlText w:val="%1"/>
      <w:lvlJc w:val="left"/>
      <w:pPr>
        <w:tabs>
          <w:tab w:val="num" w:pos="840"/>
        </w:tabs>
        <w:ind w:left="840" w:hanging="840"/>
      </w:pPr>
      <w:rPr>
        <w:rFonts w:cs="Times New Roman" w:hint="default"/>
      </w:rPr>
    </w:lvl>
    <w:lvl w:ilvl="1">
      <w:start w:val="1"/>
      <w:numFmt w:val="decimal"/>
      <w:lvlText w:val="%1.%2"/>
      <w:lvlJc w:val="left"/>
      <w:pPr>
        <w:tabs>
          <w:tab w:val="num" w:pos="840"/>
        </w:tabs>
        <w:ind w:left="840" w:hanging="840"/>
      </w:pPr>
      <w:rPr>
        <w:rFonts w:cs="Times New Roman" w:hint="default"/>
      </w:rPr>
    </w:lvl>
    <w:lvl w:ilvl="2">
      <w:start w:val="2"/>
      <w:numFmt w:val="decimal"/>
      <w:lvlText w:val="%1.%2.%3"/>
      <w:lvlJc w:val="left"/>
      <w:pPr>
        <w:tabs>
          <w:tab w:val="num" w:pos="840"/>
        </w:tabs>
        <w:ind w:left="840" w:hanging="840"/>
      </w:pPr>
      <w:rPr>
        <w:rFonts w:cs="Times New Roman" w:hint="default"/>
      </w:rPr>
    </w:lvl>
    <w:lvl w:ilvl="3">
      <w:start w:val="1"/>
      <w:numFmt w:val="decimal"/>
      <w:lvlText w:val="%1.%2.%3.%4"/>
      <w:lvlJc w:val="left"/>
      <w:pPr>
        <w:tabs>
          <w:tab w:val="num" w:pos="840"/>
        </w:tabs>
        <w:ind w:left="840" w:hanging="840"/>
      </w:pPr>
      <w:rPr>
        <w:rFonts w:cs="Times New Roman" w:hint="default"/>
      </w:rPr>
    </w:lvl>
    <w:lvl w:ilvl="4">
      <w:start w:val="3"/>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4A70712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6">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7">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4934131"/>
    <w:multiLevelType w:val="hybridMultilevel"/>
    <w:tmpl w:val="CD3873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0">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4">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5">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6">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7">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8">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9">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41">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2">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27"/>
  </w:num>
  <w:num w:numId="3">
    <w:abstractNumId w:val="3"/>
  </w:num>
  <w:num w:numId="4">
    <w:abstractNumId w:val="14"/>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20"/>
  </w:num>
  <w:num w:numId="8">
    <w:abstractNumId w:val="37"/>
  </w:num>
  <w:num w:numId="9">
    <w:abstractNumId w:val="9"/>
  </w:num>
  <w:num w:numId="10">
    <w:abstractNumId w:val="39"/>
  </w:num>
  <w:num w:numId="11">
    <w:abstractNumId w:val="25"/>
  </w:num>
  <w:num w:numId="12">
    <w:abstractNumId w:val="22"/>
  </w:num>
  <w:num w:numId="13">
    <w:abstractNumId w:val="40"/>
  </w:num>
  <w:num w:numId="14">
    <w:abstractNumId w:val="42"/>
  </w:num>
  <w:num w:numId="15">
    <w:abstractNumId w:val="6"/>
  </w:num>
  <w:num w:numId="16">
    <w:abstractNumId w:val="32"/>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33"/>
  </w:num>
  <w:num w:numId="20">
    <w:abstractNumId w:val="11"/>
  </w:num>
  <w:num w:numId="21">
    <w:abstractNumId w:val="21"/>
  </w:num>
  <w:num w:numId="22">
    <w:abstractNumId w:val="35"/>
  </w:num>
  <w:num w:numId="23">
    <w:abstractNumId w:val="10"/>
  </w:num>
  <w:num w:numId="24">
    <w:abstractNumId w:val="1"/>
  </w:num>
  <w:num w:numId="25">
    <w:abstractNumId w:val="18"/>
  </w:num>
  <w:num w:numId="26">
    <w:abstractNumId w:val="31"/>
  </w:num>
  <w:num w:numId="27">
    <w:abstractNumId w:val="26"/>
  </w:num>
  <w:num w:numId="28">
    <w:abstractNumId w:val="13"/>
  </w:num>
  <w:num w:numId="29">
    <w:abstractNumId w:val="11"/>
  </w:num>
  <w:num w:numId="3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2"/>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41"/>
  </w:num>
  <w:num w:numId="38">
    <w:abstractNumId w:val="16"/>
  </w:num>
  <w:num w:numId="39">
    <w:abstractNumId w:val="36"/>
  </w:num>
  <w:num w:numId="40">
    <w:abstractNumId w:val="38"/>
  </w:num>
  <w:num w:numId="41">
    <w:abstractNumId w:val="29"/>
  </w:num>
  <w:num w:numId="42">
    <w:abstractNumId w:val="24"/>
  </w:num>
  <w:num w:numId="43">
    <w:abstractNumId w:val="23"/>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en-CA"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07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16D83"/>
    <w:rsid w:val="00021686"/>
    <w:rsid w:val="00023E30"/>
    <w:rsid w:val="0003708E"/>
    <w:rsid w:val="00050D41"/>
    <w:rsid w:val="00072484"/>
    <w:rsid w:val="00081C0B"/>
    <w:rsid w:val="0009150E"/>
    <w:rsid w:val="00096612"/>
    <w:rsid w:val="00097DB0"/>
    <w:rsid w:val="000B4495"/>
    <w:rsid w:val="000B7683"/>
    <w:rsid w:val="000B7B53"/>
    <w:rsid w:val="000C0413"/>
    <w:rsid w:val="000C3624"/>
    <w:rsid w:val="000E4FD1"/>
    <w:rsid w:val="000F3C25"/>
    <w:rsid w:val="000F6FC4"/>
    <w:rsid w:val="00102934"/>
    <w:rsid w:val="001048E2"/>
    <w:rsid w:val="00115540"/>
    <w:rsid w:val="00147110"/>
    <w:rsid w:val="00163550"/>
    <w:rsid w:val="00194111"/>
    <w:rsid w:val="0019555C"/>
    <w:rsid w:val="001A5259"/>
    <w:rsid w:val="001A6007"/>
    <w:rsid w:val="001C62B4"/>
    <w:rsid w:val="001C70F6"/>
    <w:rsid w:val="00201545"/>
    <w:rsid w:val="002058CE"/>
    <w:rsid w:val="00205EEB"/>
    <w:rsid w:val="002165F1"/>
    <w:rsid w:val="002277C0"/>
    <w:rsid w:val="00247681"/>
    <w:rsid w:val="002558DC"/>
    <w:rsid w:val="00276D21"/>
    <w:rsid w:val="00280CD5"/>
    <w:rsid w:val="00296D7F"/>
    <w:rsid w:val="00297D43"/>
    <w:rsid w:val="002B32C9"/>
    <w:rsid w:val="002B3CF6"/>
    <w:rsid w:val="002C768A"/>
    <w:rsid w:val="002D1160"/>
    <w:rsid w:val="002D354C"/>
    <w:rsid w:val="002D76C4"/>
    <w:rsid w:val="00316091"/>
    <w:rsid w:val="00320941"/>
    <w:rsid w:val="00350136"/>
    <w:rsid w:val="00351573"/>
    <w:rsid w:val="003571CE"/>
    <w:rsid w:val="00357282"/>
    <w:rsid w:val="00362ED1"/>
    <w:rsid w:val="00382E8A"/>
    <w:rsid w:val="003D3D0E"/>
    <w:rsid w:val="00420DFD"/>
    <w:rsid w:val="004319C1"/>
    <w:rsid w:val="00470E28"/>
    <w:rsid w:val="004720FC"/>
    <w:rsid w:val="004934C5"/>
    <w:rsid w:val="004B0965"/>
    <w:rsid w:val="00505FB4"/>
    <w:rsid w:val="00526063"/>
    <w:rsid w:val="00556548"/>
    <w:rsid w:val="005600C9"/>
    <w:rsid w:val="005840E3"/>
    <w:rsid w:val="00584203"/>
    <w:rsid w:val="00586EF8"/>
    <w:rsid w:val="005A7013"/>
    <w:rsid w:val="005A791E"/>
    <w:rsid w:val="005B49AB"/>
    <w:rsid w:val="005B50E7"/>
    <w:rsid w:val="005D6687"/>
    <w:rsid w:val="005E7B4F"/>
    <w:rsid w:val="00607D68"/>
    <w:rsid w:val="006149B1"/>
    <w:rsid w:val="00680D2B"/>
    <w:rsid w:val="00681B32"/>
    <w:rsid w:val="006A1F02"/>
    <w:rsid w:val="006E2037"/>
    <w:rsid w:val="006F2B77"/>
    <w:rsid w:val="00712870"/>
    <w:rsid w:val="00733202"/>
    <w:rsid w:val="00743D85"/>
    <w:rsid w:val="0074518F"/>
    <w:rsid w:val="00752FD3"/>
    <w:rsid w:val="00753CF4"/>
    <w:rsid w:val="007565CC"/>
    <w:rsid w:val="00763B9A"/>
    <w:rsid w:val="007A4F79"/>
    <w:rsid w:val="007A6AA8"/>
    <w:rsid w:val="007B203C"/>
    <w:rsid w:val="007C2459"/>
    <w:rsid w:val="00811FBD"/>
    <w:rsid w:val="008310C9"/>
    <w:rsid w:val="00834131"/>
    <w:rsid w:val="00836298"/>
    <w:rsid w:val="0084795C"/>
    <w:rsid w:val="00852A34"/>
    <w:rsid w:val="00870342"/>
    <w:rsid w:val="0087251C"/>
    <w:rsid w:val="008815AC"/>
    <w:rsid w:val="008B2CC6"/>
    <w:rsid w:val="008C7848"/>
    <w:rsid w:val="008D3D8D"/>
    <w:rsid w:val="008F0720"/>
    <w:rsid w:val="009030CC"/>
    <w:rsid w:val="00917AF2"/>
    <w:rsid w:val="0092418A"/>
    <w:rsid w:val="00934ED7"/>
    <w:rsid w:val="009474D9"/>
    <w:rsid w:val="009543C3"/>
    <w:rsid w:val="00962EC9"/>
    <w:rsid w:val="00966E1B"/>
    <w:rsid w:val="009A351D"/>
    <w:rsid w:val="009D0DFA"/>
    <w:rsid w:val="009F2D2C"/>
    <w:rsid w:val="00A06BE6"/>
    <w:rsid w:val="00A21BE8"/>
    <w:rsid w:val="00A54559"/>
    <w:rsid w:val="00A6617B"/>
    <w:rsid w:val="00A71FE5"/>
    <w:rsid w:val="00AA37F2"/>
    <w:rsid w:val="00AA3AD8"/>
    <w:rsid w:val="00AB0DC8"/>
    <w:rsid w:val="00AC3946"/>
    <w:rsid w:val="00AD26B8"/>
    <w:rsid w:val="00B024C4"/>
    <w:rsid w:val="00B033C8"/>
    <w:rsid w:val="00B036D9"/>
    <w:rsid w:val="00B0720F"/>
    <w:rsid w:val="00B156FC"/>
    <w:rsid w:val="00B257C1"/>
    <w:rsid w:val="00B25B7D"/>
    <w:rsid w:val="00B33425"/>
    <w:rsid w:val="00B44E24"/>
    <w:rsid w:val="00B47809"/>
    <w:rsid w:val="00B54ECC"/>
    <w:rsid w:val="00B567BC"/>
    <w:rsid w:val="00B61918"/>
    <w:rsid w:val="00B714F3"/>
    <w:rsid w:val="00B75A37"/>
    <w:rsid w:val="00B80D2F"/>
    <w:rsid w:val="00BA72E0"/>
    <w:rsid w:val="00BC5D77"/>
    <w:rsid w:val="00BC6FC2"/>
    <w:rsid w:val="00BD3F5C"/>
    <w:rsid w:val="00BE5B84"/>
    <w:rsid w:val="00BF15C3"/>
    <w:rsid w:val="00BF487A"/>
    <w:rsid w:val="00C46BD9"/>
    <w:rsid w:val="00C55258"/>
    <w:rsid w:val="00C7193D"/>
    <w:rsid w:val="00C728FC"/>
    <w:rsid w:val="00C73560"/>
    <w:rsid w:val="00C7761D"/>
    <w:rsid w:val="00C83A57"/>
    <w:rsid w:val="00C92658"/>
    <w:rsid w:val="00C93B65"/>
    <w:rsid w:val="00CA501B"/>
    <w:rsid w:val="00CB0F14"/>
    <w:rsid w:val="00CB47A0"/>
    <w:rsid w:val="00CB60A4"/>
    <w:rsid w:val="00CC506F"/>
    <w:rsid w:val="00CD58B5"/>
    <w:rsid w:val="00CD659B"/>
    <w:rsid w:val="00CD7A62"/>
    <w:rsid w:val="00CF0D45"/>
    <w:rsid w:val="00CF34B5"/>
    <w:rsid w:val="00D0034D"/>
    <w:rsid w:val="00D10CF1"/>
    <w:rsid w:val="00D17EEB"/>
    <w:rsid w:val="00D43E33"/>
    <w:rsid w:val="00D503C9"/>
    <w:rsid w:val="00D50B43"/>
    <w:rsid w:val="00D55B55"/>
    <w:rsid w:val="00D55C17"/>
    <w:rsid w:val="00D57367"/>
    <w:rsid w:val="00D722EF"/>
    <w:rsid w:val="00D73FBE"/>
    <w:rsid w:val="00D8150A"/>
    <w:rsid w:val="00D83331"/>
    <w:rsid w:val="00D91F7F"/>
    <w:rsid w:val="00D95923"/>
    <w:rsid w:val="00DA5AC1"/>
    <w:rsid w:val="00DB4F6A"/>
    <w:rsid w:val="00DF087C"/>
    <w:rsid w:val="00DF4176"/>
    <w:rsid w:val="00E17240"/>
    <w:rsid w:val="00E1785F"/>
    <w:rsid w:val="00E7610E"/>
    <w:rsid w:val="00E83CDE"/>
    <w:rsid w:val="00E84492"/>
    <w:rsid w:val="00ED683F"/>
    <w:rsid w:val="00F103A9"/>
    <w:rsid w:val="00F20231"/>
    <w:rsid w:val="00F27443"/>
    <w:rsid w:val="00F30C9B"/>
    <w:rsid w:val="00F354B1"/>
    <w:rsid w:val="00F545E6"/>
    <w:rsid w:val="00F72869"/>
    <w:rsid w:val="00F77437"/>
    <w:rsid w:val="00F90896"/>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d62a47"/>
      <o:colormenu v:ext="edit" strokecolor="#d62a47"/>
    </o:shapedefaults>
    <o:shapelayout v:ext="edit">
      <o:idmap v:ext="edit" data="1"/>
      <o:rules v:ext="edit">
        <o:r id="V:Rule2" type="connector" idref="#直線矢印コネクタ 6"/>
      </o:rules>
    </o:shapelayout>
  </w:shapeDefaults>
  <w:decimalSymbol w:val="."/>
  <w:listSeparator w:val=","/>
  <w15:docId w15:val="{03B24CD4-162B-4310-AFA6-8CA5C316E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A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63550"/>
    <w:pPr>
      <w:keepNext/>
      <w:keepLines/>
      <w:spacing w:before="480"/>
      <w:ind w:left="794" w:hanging="794"/>
      <w:outlineLvl w:val="0"/>
    </w:pPr>
    <w:rPr>
      <w:b/>
    </w:rPr>
  </w:style>
  <w:style w:type="paragraph" w:styleId="Heading2">
    <w:name w:val="heading 2"/>
    <w:basedOn w:val="Heading1"/>
    <w:next w:val="Normal"/>
    <w:link w:val="Heading2Char"/>
    <w:qFormat/>
    <w:rsid w:val="00163550"/>
    <w:pPr>
      <w:spacing w:before="320"/>
      <w:outlineLvl w:val="1"/>
    </w:pPr>
  </w:style>
  <w:style w:type="paragraph" w:styleId="Heading3">
    <w:name w:val="heading 3"/>
    <w:basedOn w:val="Heading1"/>
    <w:next w:val="Normal"/>
    <w:link w:val="Heading3Char"/>
    <w:qFormat/>
    <w:rsid w:val="00163550"/>
    <w:pPr>
      <w:spacing w:before="200"/>
      <w:outlineLvl w:val="2"/>
    </w:pPr>
  </w:style>
  <w:style w:type="paragraph" w:styleId="Heading4">
    <w:name w:val="heading 4"/>
    <w:basedOn w:val="Heading3"/>
    <w:next w:val="Normal"/>
    <w:link w:val="Heading4Char"/>
    <w:qFormat/>
    <w:rsid w:val="00163550"/>
    <w:pPr>
      <w:tabs>
        <w:tab w:val="clear" w:pos="794"/>
        <w:tab w:val="left" w:pos="992"/>
      </w:tabs>
      <w:ind w:left="992" w:hanging="992"/>
      <w:outlineLvl w:val="3"/>
    </w:pPr>
  </w:style>
  <w:style w:type="paragraph" w:styleId="Heading5">
    <w:name w:val="heading 5"/>
    <w:basedOn w:val="Heading4"/>
    <w:next w:val="Normal"/>
    <w:link w:val="Heading5Char"/>
    <w:qFormat/>
    <w:rsid w:val="00163550"/>
    <w:pPr>
      <w:outlineLvl w:val="4"/>
    </w:pPr>
  </w:style>
  <w:style w:type="paragraph" w:styleId="Heading6">
    <w:name w:val="heading 6"/>
    <w:basedOn w:val="Heading4"/>
    <w:next w:val="Normal"/>
    <w:link w:val="Heading6Char"/>
    <w:qFormat/>
    <w:rsid w:val="00163550"/>
    <w:pPr>
      <w:tabs>
        <w:tab w:val="clear" w:pos="992"/>
        <w:tab w:val="clear" w:pos="1191"/>
      </w:tabs>
      <w:ind w:left="1588" w:hanging="1588"/>
      <w:outlineLvl w:val="5"/>
    </w:pPr>
  </w:style>
  <w:style w:type="paragraph" w:styleId="Heading7">
    <w:name w:val="heading 7"/>
    <w:basedOn w:val="Heading6"/>
    <w:next w:val="Normal"/>
    <w:link w:val="Heading7Char"/>
    <w:qFormat/>
    <w:rsid w:val="00163550"/>
    <w:pPr>
      <w:outlineLvl w:val="6"/>
    </w:pPr>
  </w:style>
  <w:style w:type="paragraph" w:styleId="Heading8">
    <w:name w:val="heading 8"/>
    <w:basedOn w:val="Heading6"/>
    <w:next w:val="Normal"/>
    <w:link w:val="Heading8Char"/>
    <w:qFormat/>
    <w:rsid w:val="00163550"/>
    <w:pPr>
      <w:outlineLvl w:val="7"/>
    </w:pPr>
  </w:style>
  <w:style w:type="paragraph" w:styleId="Heading9">
    <w:name w:val="heading 9"/>
    <w:basedOn w:val="Heading6"/>
    <w:next w:val="Normal"/>
    <w:link w:val="Heading9Char"/>
    <w:qFormat/>
    <w:rsid w:val="001635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163550"/>
    <w:pPr>
      <w:keepNext/>
      <w:keepLines/>
      <w:spacing w:after="280"/>
      <w:jc w:val="center"/>
    </w:pPr>
  </w:style>
  <w:style w:type="paragraph" w:customStyle="1" w:styleId="Blanc">
    <w:name w:val="Blanc"/>
    <w:basedOn w:val="Normal"/>
    <w:next w:val="Tabletext"/>
    <w:rsid w:val="001635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163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16355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635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63550"/>
  </w:style>
  <w:style w:type="paragraph" w:customStyle="1" w:styleId="Headingb">
    <w:name w:val="Heading_b"/>
    <w:basedOn w:val="Heading3"/>
    <w:next w:val="Normal"/>
    <w:link w:val="HeadingbChar"/>
    <w:uiPriority w:val="99"/>
    <w:qFormat/>
    <w:rsid w:val="00163550"/>
    <w:pPr>
      <w:spacing w:before="160"/>
      <w:ind w:left="0" w:firstLine="0"/>
      <w:outlineLvl w:val="9"/>
    </w:pPr>
  </w:style>
  <w:style w:type="paragraph" w:customStyle="1" w:styleId="Headingi">
    <w:name w:val="Heading_i"/>
    <w:basedOn w:val="Heading3"/>
    <w:next w:val="Normal"/>
    <w:rsid w:val="00163550"/>
    <w:pPr>
      <w:spacing w:before="160"/>
      <w:ind w:left="0" w:firstLine="0"/>
    </w:pPr>
    <w:rPr>
      <w:b w:val="0"/>
      <w:i/>
    </w:rPr>
  </w:style>
  <w:style w:type="character" w:customStyle="1" w:styleId="href">
    <w:name w:val="href"/>
    <w:basedOn w:val="DefaultParagraphFont"/>
    <w:uiPriority w:val="99"/>
    <w:rsid w:val="00163550"/>
  </w:style>
  <w:style w:type="paragraph" w:customStyle="1" w:styleId="AnnexNoTitle">
    <w:name w:val="Annex_NoTitle"/>
    <w:basedOn w:val="Normal"/>
    <w:next w:val="Normalaftertitle"/>
    <w:link w:val="AnnexNoTitleChar"/>
    <w:rsid w:val="00163550"/>
    <w:pPr>
      <w:keepNext/>
      <w:keepLines/>
      <w:spacing w:before="480" w:after="80"/>
      <w:jc w:val="center"/>
    </w:pPr>
    <w:rPr>
      <w:b/>
      <w:sz w:val="28"/>
    </w:rPr>
  </w:style>
  <w:style w:type="paragraph" w:customStyle="1" w:styleId="enumlev1">
    <w:name w:val="enumlev1"/>
    <w:basedOn w:val="Normal"/>
    <w:link w:val="enumlev1Char"/>
    <w:rsid w:val="00163550"/>
    <w:pPr>
      <w:spacing w:before="80"/>
      <w:ind w:left="794" w:hanging="794"/>
    </w:pPr>
  </w:style>
  <w:style w:type="paragraph" w:customStyle="1" w:styleId="Equation">
    <w:name w:val="Equation"/>
    <w:basedOn w:val="Normal"/>
    <w:link w:val="EquationChar"/>
    <w:uiPriority w:val="99"/>
    <w:rsid w:val="00163550"/>
    <w:pPr>
      <w:tabs>
        <w:tab w:val="clear" w:pos="1191"/>
        <w:tab w:val="clear" w:pos="1588"/>
        <w:tab w:val="clear" w:pos="1985"/>
        <w:tab w:val="center" w:pos="4820"/>
        <w:tab w:val="right" w:pos="9639"/>
      </w:tabs>
    </w:pPr>
  </w:style>
  <w:style w:type="paragraph" w:customStyle="1" w:styleId="enumlev2">
    <w:name w:val="enumlev2"/>
    <w:basedOn w:val="enumlev1"/>
    <w:uiPriority w:val="99"/>
    <w:rsid w:val="00163550"/>
    <w:pPr>
      <w:ind w:left="1191" w:hanging="397"/>
    </w:pPr>
  </w:style>
  <w:style w:type="paragraph" w:styleId="FootnoteText">
    <w:name w:val="footnote text"/>
    <w:basedOn w:val="Normal"/>
    <w:link w:val="FootnoteTextChar"/>
    <w:uiPriority w:val="99"/>
    <w:rsid w:val="00163550"/>
    <w:pPr>
      <w:keepLines/>
      <w:tabs>
        <w:tab w:val="left" w:pos="255"/>
      </w:tabs>
      <w:ind w:left="255" w:hanging="255"/>
    </w:pPr>
    <w:rPr>
      <w:sz w:val="22"/>
    </w:rPr>
  </w:style>
  <w:style w:type="paragraph" w:customStyle="1" w:styleId="Normalaftertitle">
    <w:name w:val="Normal_after_title"/>
    <w:basedOn w:val="Normal"/>
    <w:next w:val="Normal"/>
    <w:link w:val="NormalaftertitleChar"/>
    <w:uiPriority w:val="99"/>
    <w:rsid w:val="00163550"/>
    <w:pPr>
      <w:spacing w:before="320"/>
    </w:pPr>
  </w:style>
  <w:style w:type="paragraph" w:customStyle="1" w:styleId="enumlev3">
    <w:name w:val="enumlev3"/>
    <w:basedOn w:val="enumlev2"/>
    <w:rsid w:val="00163550"/>
    <w:pPr>
      <w:ind w:left="1588"/>
    </w:pPr>
  </w:style>
  <w:style w:type="paragraph" w:customStyle="1" w:styleId="Note">
    <w:name w:val="Note"/>
    <w:basedOn w:val="Normal"/>
    <w:link w:val="NoteChar"/>
    <w:rsid w:val="001635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1635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163550"/>
    <w:pPr>
      <w:keepNext/>
      <w:keepLines/>
      <w:spacing w:before="240"/>
      <w:jc w:val="center"/>
    </w:pPr>
    <w:rPr>
      <w:b/>
      <w:sz w:val="28"/>
    </w:rPr>
  </w:style>
  <w:style w:type="paragraph" w:customStyle="1" w:styleId="Recref">
    <w:name w:val="Rec_ref"/>
    <w:basedOn w:val="Normal"/>
    <w:next w:val="Recdate"/>
    <w:rsid w:val="00163550"/>
    <w:pPr>
      <w:jc w:val="center"/>
    </w:pPr>
  </w:style>
  <w:style w:type="paragraph" w:customStyle="1" w:styleId="Recdate">
    <w:name w:val="Rec_date"/>
    <w:basedOn w:val="Recref"/>
    <w:next w:val="Normalaftertitle"/>
    <w:rsid w:val="00163550"/>
    <w:pPr>
      <w:jc w:val="right"/>
    </w:pPr>
  </w:style>
  <w:style w:type="paragraph" w:customStyle="1" w:styleId="HeadingSum">
    <w:name w:val="Heading_Sum"/>
    <w:basedOn w:val="Headingb"/>
    <w:next w:val="Normal"/>
    <w:autoRedefine/>
    <w:rsid w:val="00DA5AC1"/>
    <w:pPr>
      <w:spacing w:before="240"/>
    </w:pPr>
    <w:rPr>
      <w:sz w:val="22"/>
      <w:lang w:val="es-ES_tradnl"/>
    </w:rPr>
  </w:style>
  <w:style w:type="paragraph" w:customStyle="1" w:styleId="AppendixNoTitle">
    <w:name w:val="Appendix_NoTitle"/>
    <w:basedOn w:val="AnnexNoTitle"/>
    <w:next w:val="Normal"/>
    <w:rsid w:val="00163550"/>
  </w:style>
  <w:style w:type="paragraph" w:customStyle="1" w:styleId="Tablefin">
    <w:name w:val="Table_fin"/>
    <w:basedOn w:val="Normal"/>
    <w:next w:val="Normal"/>
    <w:rsid w:val="00163550"/>
    <w:pPr>
      <w:spacing w:before="0"/>
    </w:pPr>
    <w:rPr>
      <w:sz w:val="20"/>
      <w:lang w:val="en-GB"/>
    </w:rPr>
  </w:style>
  <w:style w:type="paragraph" w:customStyle="1" w:styleId="Tablehead">
    <w:name w:val="Table_head"/>
    <w:basedOn w:val="Normal"/>
    <w:next w:val="Normal"/>
    <w:rsid w:val="001635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163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163550"/>
    <w:pPr>
      <w:keepNext/>
      <w:spacing w:before="360" w:after="120"/>
      <w:jc w:val="center"/>
    </w:pPr>
  </w:style>
  <w:style w:type="paragraph" w:customStyle="1" w:styleId="Equationlegend">
    <w:name w:val="Equation_legend"/>
    <w:basedOn w:val="NormalIndent"/>
    <w:link w:val="EquationlegendChar"/>
    <w:rsid w:val="001635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63550"/>
    <w:pPr>
      <w:ind w:left="794"/>
    </w:pPr>
  </w:style>
  <w:style w:type="paragraph" w:customStyle="1" w:styleId="Figurelegend">
    <w:name w:val="Figure_legend"/>
    <w:basedOn w:val="Normal"/>
    <w:link w:val="FigurelegendChar"/>
    <w:uiPriority w:val="99"/>
    <w:rsid w:val="001635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163550"/>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163550"/>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163550"/>
    <w:pPr>
      <w:keepNext w:val="0"/>
      <w:spacing w:before="0" w:after="240"/>
    </w:pPr>
  </w:style>
  <w:style w:type="paragraph" w:customStyle="1" w:styleId="tocpart">
    <w:name w:val="tocpart"/>
    <w:basedOn w:val="Normal"/>
    <w:rsid w:val="001635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63550"/>
    <w:pPr>
      <w:keepNext/>
      <w:keepLines/>
      <w:spacing w:before="480"/>
      <w:jc w:val="center"/>
    </w:pPr>
    <w:rPr>
      <w:sz w:val="28"/>
    </w:rPr>
  </w:style>
  <w:style w:type="paragraph" w:customStyle="1" w:styleId="Arttitle">
    <w:name w:val="Art_title"/>
    <w:basedOn w:val="Normal"/>
    <w:next w:val="Normalaftertitle"/>
    <w:rsid w:val="00163550"/>
    <w:pPr>
      <w:keepNext/>
      <w:keepLines/>
      <w:spacing w:before="240"/>
      <w:jc w:val="center"/>
    </w:pPr>
    <w:rPr>
      <w:b/>
      <w:sz w:val="28"/>
    </w:rPr>
  </w:style>
  <w:style w:type="paragraph" w:customStyle="1" w:styleId="ASN1">
    <w:name w:val="ASN.1"/>
    <w:basedOn w:val="Normal"/>
    <w:next w:val="Normal"/>
    <w:rsid w:val="001635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63550"/>
    <w:pPr>
      <w:keepNext/>
      <w:keepLines/>
      <w:spacing w:before="160"/>
      <w:ind w:left="794"/>
    </w:pPr>
    <w:rPr>
      <w:i/>
    </w:rPr>
  </w:style>
  <w:style w:type="paragraph" w:customStyle="1" w:styleId="ChapNo">
    <w:name w:val="Chap_No"/>
    <w:basedOn w:val="ArtNo"/>
    <w:next w:val="Chaptitle"/>
    <w:rsid w:val="00163550"/>
    <w:rPr>
      <w:b/>
    </w:rPr>
  </w:style>
  <w:style w:type="character" w:styleId="FootnoteReference">
    <w:name w:val="footnote reference"/>
    <w:basedOn w:val="DefaultParagraphFont"/>
    <w:uiPriority w:val="99"/>
    <w:rsid w:val="00163550"/>
    <w:rPr>
      <w:position w:val="6"/>
      <w:sz w:val="18"/>
    </w:rPr>
  </w:style>
  <w:style w:type="paragraph" w:styleId="Index1">
    <w:name w:val="index 1"/>
    <w:basedOn w:val="Normal"/>
    <w:next w:val="Normal"/>
    <w:rsid w:val="00163550"/>
  </w:style>
  <w:style w:type="paragraph" w:styleId="Index2">
    <w:name w:val="index 2"/>
    <w:basedOn w:val="Normal"/>
    <w:next w:val="Normal"/>
    <w:rsid w:val="00163550"/>
    <w:pPr>
      <w:ind w:left="283"/>
    </w:pPr>
  </w:style>
  <w:style w:type="paragraph" w:styleId="Index3">
    <w:name w:val="index 3"/>
    <w:basedOn w:val="Normal"/>
    <w:next w:val="Normal"/>
    <w:rsid w:val="00163550"/>
    <w:pPr>
      <w:ind w:left="566"/>
    </w:pPr>
  </w:style>
  <w:style w:type="paragraph" w:styleId="IndexHeading">
    <w:name w:val="index heading"/>
    <w:basedOn w:val="Normal"/>
    <w:next w:val="Index1"/>
    <w:rsid w:val="00163550"/>
  </w:style>
  <w:style w:type="paragraph" w:customStyle="1" w:styleId="Line">
    <w:name w:val="Line"/>
    <w:basedOn w:val="Normal"/>
    <w:next w:val="Normal"/>
    <w:rsid w:val="001635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635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63550"/>
  </w:style>
  <w:style w:type="paragraph" w:customStyle="1" w:styleId="Partref">
    <w:name w:val="Part_ref"/>
    <w:basedOn w:val="Normal"/>
    <w:next w:val="Normal"/>
    <w:rsid w:val="00163550"/>
    <w:pPr>
      <w:keepNext/>
      <w:keepLines/>
      <w:spacing w:after="280"/>
      <w:jc w:val="center"/>
    </w:pPr>
  </w:style>
  <w:style w:type="paragraph" w:customStyle="1" w:styleId="Parttitle">
    <w:name w:val="Part_title"/>
    <w:basedOn w:val="Normal"/>
    <w:next w:val="Normalaftertitle"/>
    <w:rsid w:val="001635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63550"/>
  </w:style>
  <w:style w:type="paragraph" w:customStyle="1" w:styleId="QuestionNo">
    <w:name w:val="Question_No"/>
    <w:basedOn w:val="RecNo"/>
    <w:next w:val="Normal"/>
    <w:rsid w:val="00163550"/>
  </w:style>
  <w:style w:type="paragraph" w:customStyle="1" w:styleId="Questionref">
    <w:name w:val="Question_ref"/>
    <w:basedOn w:val="Recref"/>
    <w:next w:val="Questiondate"/>
    <w:rsid w:val="00163550"/>
  </w:style>
  <w:style w:type="paragraph" w:customStyle="1" w:styleId="Questiontitle">
    <w:name w:val="Question_title"/>
    <w:basedOn w:val="Normal"/>
    <w:next w:val="Questionref"/>
    <w:rsid w:val="00163550"/>
  </w:style>
  <w:style w:type="paragraph" w:customStyle="1" w:styleId="Reftext">
    <w:name w:val="Ref_text"/>
    <w:basedOn w:val="Normal"/>
    <w:rsid w:val="00DA5AC1"/>
    <w:pPr>
      <w:ind w:left="794" w:hanging="794"/>
    </w:pPr>
  </w:style>
  <w:style w:type="paragraph" w:customStyle="1" w:styleId="Reftitle">
    <w:name w:val="Ref_title"/>
    <w:basedOn w:val="Normal"/>
    <w:next w:val="Reftext"/>
    <w:rsid w:val="001635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63550"/>
  </w:style>
  <w:style w:type="paragraph" w:customStyle="1" w:styleId="RepNo">
    <w:name w:val="Rep_No"/>
    <w:basedOn w:val="RecNo"/>
    <w:next w:val="Reptitle"/>
    <w:rsid w:val="00163550"/>
  </w:style>
  <w:style w:type="paragraph" w:customStyle="1" w:styleId="Reptitle">
    <w:name w:val="Rep_title"/>
    <w:basedOn w:val="Rectitle"/>
    <w:next w:val="Repref"/>
    <w:rsid w:val="00163550"/>
  </w:style>
  <w:style w:type="paragraph" w:customStyle="1" w:styleId="Repref">
    <w:name w:val="Rep_ref"/>
    <w:basedOn w:val="Recref"/>
    <w:next w:val="Repdate"/>
    <w:rsid w:val="00163550"/>
  </w:style>
  <w:style w:type="paragraph" w:customStyle="1" w:styleId="Resdate">
    <w:name w:val="Res_date"/>
    <w:basedOn w:val="Recdate"/>
    <w:next w:val="Normalaftertitle"/>
    <w:rsid w:val="00163550"/>
  </w:style>
  <w:style w:type="paragraph" w:customStyle="1" w:styleId="ResNo">
    <w:name w:val="Res_No"/>
    <w:basedOn w:val="RecNo"/>
    <w:next w:val="Restitle"/>
    <w:rsid w:val="00163550"/>
  </w:style>
  <w:style w:type="paragraph" w:customStyle="1" w:styleId="Restitle">
    <w:name w:val="Res_title"/>
    <w:basedOn w:val="Normal"/>
    <w:next w:val="Resref"/>
    <w:rsid w:val="00163550"/>
    <w:pPr>
      <w:spacing w:before="240"/>
      <w:jc w:val="center"/>
    </w:pPr>
    <w:rPr>
      <w:b/>
      <w:sz w:val="28"/>
    </w:rPr>
  </w:style>
  <w:style w:type="paragraph" w:customStyle="1" w:styleId="Resref">
    <w:name w:val="Res_ref"/>
    <w:basedOn w:val="Recref"/>
    <w:next w:val="Resdate"/>
    <w:rsid w:val="00163550"/>
  </w:style>
  <w:style w:type="paragraph" w:customStyle="1" w:styleId="SectionNo">
    <w:name w:val="Section_No"/>
    <w:basedOn w:val="Normal"/>
    <w:next w:val="Normal"/>
    <w:rsid w:val="00163550"/>
  </w:style>
  <w:style w:type="paragraph" w:customStyle="1" w:styleId="Sectiontitle">
    <w:name w:val="Section_title"/>
    <w:basedOn w:val="Normal"/>
    <w:next w:val="Normalaftertitle"/>
    <w:rsid w:val="001635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163550"/>
    <w:pPr>
      <w:tabs>
        <w:tab w:val="clear" w:pos="794"/>
        <w:tab w:val="clear" w:pos="1191"/>
        <w:tab w:val="clear" w:pos="1588"/>
        <w:tab w:val="clear" w:pos="1985"/>
        <w:tab w:val="right" w:pos="9611"/>
      </w:tabs>
    </w:pPr>
    <w:rPr>
      <w:i/>
    </w:rPr>
  </w:style>
  <w:style w:type="paragraph" w:styleId="TOC1">
    <w:name w:val="toc 1"/>
    <w:basedOn w:val="Normal"/>
    <w:uiPriority w:val="39"/>
    <w:rsid w:val="001635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163550"/>
    <w:pPr>
      <w:tabs>
        <w:tab w:val="clear" w:pos="567"/>
        <w:tab w:val="left" w:pos="1276"/>
      </w:tabs>
      <w:spacing w:before="160"/>
      <w:ind w:left="1276" w:hanging="709"/>
    </w:pPr>
  </w:style>
  <w:style w:type="paragraph" w:styleId="TOC3">
    <w:name w:val="toc 3"/>
    <w:basedOn w:val="TOC2"/>
    <w:uiPriority w:val="39"/>
    <w:rsid w:val="00163550"/>
    <w:pPr>
      <w:tabs>
        <w:tab w:val="clear" w:pos="1276"/>
        <w:tab w:val="left" w:pos="2155"/>
      </w:tabs>
      <w:ind w:left="2155" w:hanging="879"/>
    </w:pPr>
  </w:style>
  <w:style w:type="paragraph" w:styleId="TOC4">
    <w:name w:val="toc 4"/>
    <w:basedOn w:val="TOC3"/>
    <w:rsid w:val="00163550"/>
    <w:pPr>
      <w:tabs>
        <w:tab w:val="left" w:pos="3261"/>
      </w:tabs>
      <w:spacing w:before="80"/>
      <w:ind w:left="3261" w:hanging="993"/>
    </w:pPr>
  </w:style>
  <w:style w:type="paragraph" w:styleId="TOC5">
    <w:name w:val="toc 5"/>
    <w:basedOn w:val="TOC4"/>
    <w:rsid w:val="00163550"/>
  </w:style>
  <w:style w:type="paragraph" w:styleId="TOC6">
    <w:name w:val="toc 6"/>
    <w:basedOn w:val="TOC4"/>
    <w:rsid w:val="00163550"/>
  </w:style>
  <w:style w:type="paragraph" w:styleId="TOC7">
    <w:name w:val="toc 7"/>
    <w:basedOn w:val="TOC4"/>
    <w:rsid w:val="00163550"/>
  </w:style>
  <w:style w:type="paragraph" w:styleId="TOC8">
    <w:name w:val="toc 8"/>
    <w:basedOn w:val="TOC4"/>
    <w:rsid w:val="00163550"/>
  </w:style>
  <w:style w:type="paragraph" w:customStyle="1" w:styleId="Appendixref">
    <w:name w:val="Appendix_ref"/>
    <w:basedOn w:val="Annexref"/>
    <w:next w:val="Normalaftertitle"/>
    <w:rsid w:val="00163550"/>
  </w:style>
  <w:style w:type="paragraph" w:customStyle="1" w:styleId="Tabletitle">
    <w:name w:val="Table_title"/>
    <w:basedOn w:val="Normal"/>
    <w:next w:val="Tablehead"/>
    <w:link w:val="TabletitleChar"/>
    <w:rsid w:val="00163550"/>
    <w:pPr>
      <w:keepNext/>
      <w:spacing w:before="0" w:after="120"/>
      <w:jc w:val="center"/>
    </w:pPr>
    <w:rPr>
      <w:b/>
    </w:rPr>
  </w:style>
  <w:style w:type="paragraph" w:customStyle="1" w:styleId="Summary">
    <w:name w:val="Summary"/>
    <w:basedOn w:val="Normal"/>
    <w:next w:val="Normalaftertitle"/>
    <w:autoRedefine/>
    <w:rsid w:val="00DA5AC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163550"/>
  </w:style>
  <w:style w:type="paragraph" w:customStyle="1" w:styleId="TableLegendNote">
    <w:name w:val="Table_Legend_Note"/>
    <w:basedOn w:val="Tablelegend"/>
    <w:next w:val="Tablelegend"/>
    <w:rsid w:val="00163550"/>
    <w:pPr>
      <w:ind w:left="-85" w:firstLine="0"/>
    </w:pPr>
    <w:rPr>
      <w:lang w:val="en-US"/>
    </w:rPr>
  </w:style>
  <w:style w:type="character" w:customStyle="1" w:styleId="Heading1Char">
    <w:name w:val="Heading 1 Char"/>
    <w:basedOn w:val="DefaultParagraphFont"/>
    <w:link w:val="Heading1"/>
    <w:rsid w:val="00016D83"/>
    <w:rPr>
      <w:b/>
      <w:sz w:val="24"/>
      <w:lang w:val="fr-FR" w:eastAsia="en-US"/>
    </w:rPr>
  </w:style>
  <w:style w:type="character" w:customStyle="1" w:styleId="HeaderChar">
    <w:name w:val="Header Char"/>
    <w:basedOn w:val="DefaultParagraphFont"/>
    <w:link w:val="Header"/>
    <w:rsid w:val="00016D83"/>
    <w:rPr>
      <w:sz w:val="24"/>
      <w:lang w:val="fr-FR" w:eastAsia="en-US"/>
    </w:rPr>
  </w:style>
  <w:style w:type="character" w:customStyle="1" w:styleId="Heading2Char">
    <w:name w:val="Heading 2 Char"/>
    <w:basedOn w:val="DefaultParagraphFont"/>
    <w:link w:val="Heading2"/>
    <w:rsid w:val="00016D83"/>
    <w:rPr>
      <w:b/>
      <w:sz w:val="24"/>
      <w:lang w:val="fr-FR" w:eastAsia="en-US"/>
    </w:rPr>
  </w:style>
  <w:style w:type="character" w:customStyle="1" w:styleId="Heading3Char">
    <w:name w:val="Heading 3 Char"/>
    <w:basedOn w:val="DefaultParagraphFont"/>
    <w:link w:val="Heading3"/>
    <w:rsid w:val="00016D83"/>
    <w:rPr>
      <w:b/>
      <w:sz w:val="24"/>
      <w:lang w:val="fr-FR" w:eastAsia="en-US"/>
    </w:rPr>
  </w:style>
  <w:style w:type="character" w:customStyle="1" w:styleId="Heading4Char">
    <w:name w:val="Heading 4 Char"/>
    <w:basedOn w:val="DefaultParagraphFont"/>
    <w:link w:val="Heading4"/>
    <w:rsid w:val="00016D83"/>
    <w:rPr>
      <w:b/>
      <w:sz w:val="24"/>
      <w:lang w:val="fr-FR" w:eastAsia="en-US"/>
    </w:rPr>
  </w:style>
  <w:style w:type="character" w:customStyle="1" w:styleId="Heading5Char">
    <w:name w:val="Heading 5 Char"/>
    <w:basedOn w:val="DefaultParagraphFont"/>
    <w:link w:val="Heading5"/>
    <w:rsid w:val="00016D83"/>
    <w:rPr>
      <w:b/>
      <w:sz w:val="24"/>
      <w:lang w:val="fr-FR" w:eastAsia="en-US"/>
    </w:rPr>
  </w:style>
  <w:style w:type="character" w:customStyle="1" w:styleId="Heading6Char">
    <w:name w:val="Heading 6 Char"/>
    <w:basedOn w:val="DefaultParagraphFont"/>
    <w:link w:val="Heading6"/>
    <w:rsid w:val="00016D83"/>
    <w:rPr>
      <w:b/>
      <w:sz w:val="24"/>
      <w:lang w:val="fr-FR" w:eastAsia="en-US"/>
    </w:rPr>
  </w:style>
  <w:style w:type="character" w:customStyle="1" w:styleId="Heading7Char">
    <w:name w:val="Heading 7 Char"/>
    <w:basedOn w:val="DefaultParagraphFont"/>
    <w:link w:val="Heading7"/>
    <w:rsid w:val="00016D83"/>
    <w:rPr>
      <w:b/>
      <w:sz w:val="24"/>
      <w:lang w:val="fr-FR" w:eastAsia="en-US"/>
    </w:rPr>
  </w:style>
  <w:style w:type="character" w:customStyle="1" w:styleId="Heading8Char">
    <w:name w:val="Heading 8 Char"/>
    <w:basedOn w:val="DefaultParagraphFont"/>
    <w:link w:val="Heading8"/>
    <w:rsid w:val="00016D83"/>
    <w:rPr>
      <w:b/>
      <w:sz w:val="24"/>
      <w:lang w:val="fr-FR" w:eastAsia="en-US"/>
    </w:rPr>
  </w:style>
  <w:style w:type="character" w:customStyle="1" w:styleId="Heading9Char">
    <w:name w:val="Heading 9 Char"/>
    <w:basedOn w:val="DefaultParagraphFont"/>
    <w:link w:val="Heading9"/>
    <w:rsid w:val="00016D83"/>
    <w:rPr>
      <w:b/>
      <w:sz w:val="24"/>
      <w:lang w:val="fr-FR" w:eastAsia="en-US"/>
    </w:rPr>
  </w:style>
  <w:style w:type="character" w:customStyle="1" w:styleId="HeadingbChar">
    <w:name w:val="Heading_b Char"/>
    <w:basedOn w:val="DefaultParagraphFont"/>
    <w:link w:val="Headingb"/>
    <w:uiPriority w:val="99"/>
    <w:locked/>
    <w:rsid w:val="00016D83"/>
    <w:rPr>
      <w:b/>
      <w:sz w:val="24"/>
      <w:lang w:val="fr-FR" w:eastAsia="en-US"/>
    </w:rPr>
  </w:style>
  <w:style w:type="character" w:customStyle="1" w:styleId="enumlev1Char">
    <w:name w:val="enumlev1 Char"/>
    <w:link w:val="enumlev1"/>
    <w:locked/>
    <w:rsid w:val="00016D83"/>
    <w:rPr>
      <w:sz w:val="24"/>
      <w:lang w:val="fr-FR" w:eastAsia="en-US"/>
    </w:rPr>
  </w:style>
  <w:style w:type="character" w:customStyle="1" w:styleId="NormalaftertitleChar">
    <w:name w:val="Normal_after_title Char"/>
    <w:link w:val="Normalaftertitle"/>
    <w:uiPriority w:val="99"/>
    <w:locked/>
    <w:rsid w:val="00016D83"/>
    <w:rPr>
      <w:sz w:val="24"/>
      <w:lang w:val="fr-FR" w:eastAsia="en-US"/>
    </w:rPr>
  </w:style>
  <w:style w:type="character" w:customStyle="1" w:styleId="NoteChar">
    <w:name w:val="Note Char"/>
    <w:link w:val="Note"/>
    <w:locked/>
    <w:rsid w:val="00016D83"/>
    <w:rPr>
      <w:sz w:val="22"/>
      <w:lang w:val="fr-FR" w:eastAsia="en-US"/>
    </w:rPr>
  </w:style>
  <w:style w:type="character" w:customStyle="1" w:styleId="RectitleChar">
    <w:name w:val="Rec_title Char"/>
    <w:link w:val="Rectitle"/>
    <w:locked/>
    <w:rsid w:val="00016D83"/>
    <w:rPr>
      <w:b/>
      <w:sz w:val="28"/>
      <w:lang w:val="fr-FR" w:eastAsia="en-US"/>
    </w:rPr>
  </w:style>
  <w:style w:type="character" w:customStyle="1" w:styleId="RecNoChar">
    <w:name w:val="Rec_No Char"/>
    <w:link w:val="RecNo"/>
    <w:locked/>
    <w:rsid w:val="00016D83"/>
    <w:rPr>
      <w:sz w:val="28"/>
      <w:lang w:val="fr-FR" w:eastAsia="en-US"/>
    </w:rPr>
  </w:style>
  <w:style w:type="character" w:customStyle="1" w:styleId="AnnexNoTitleChar">
    <w:name w:val="Annex_NoTitle Char"/>
    <w:link w:val="AnnexNoTitle"/>
    <w:locked/>
    <w:rsid w:val="00016D83"/>
    <w:rPr>
      <w:b/>
      <w:sz w:val="28"/>
      <w:lang w:val="fr-FR" w:eastAsia="en-US"/>
    </w:rPr>
  </w:style>
  <w:style w:type="character" w:customStyle="1" w:styleId="TablelegendChar">
    <w:name w:val="Table_legend Char"/>
    <w:link w:val="Tablelegend"/>
    <w:uiPriority w:val="99"/>
    <w:locked/>
    <w:rsid w:val="00016D83"/>
    <w:rPr>
      <w:sz w:val="22"/>
      <w:lang w:val="fr-FR" w:eastAsia="en-US"/>
    </w:rPr>
  </w:style>
  <w:style w:type="character" w:customStyle="1" w:styleId="TableNoChar">
    <w:name w:val="Table_No Char"/>
    <w:link w:val="TableNo"/>
    <w:uiPriority w:val="99"/>
    <w:locked/>
    <w:rsid w:val="00016D83"/>
    <w:rPr>
      <w:sz w:val="24"/>
      <w:lang w:val="fr-FR" w:eastAsia="en-US"/>
    </w:rPr>
  </w:style>
  <w:style w:type="character" w:customStyle="1" w:styleId="TabletextChar">
    <w:name w:val="Table_text Char"/>
    <w:basedOn w:val="DefaultParagraphFont"/>
    <w:link w:val="Tabletext"/>
    <w:locked/>
    <w:rsid w:val="00016D83"/>
    <w:rPr>
      <w:sz w:val="22"/>
      <w:lang w:val="fr-FR" w:eastAsia="en-US"/>
    </w:rPr>
  </w:style>
  <w:style w:type="character" w:customStyle="1" w:styleId="EquationChar">
    <w:name w:val="Equation Char"/>
    <w:link w:val="Equation"/>
    <w:uiPriority w:val="99"/>
    <w:locked/>
    <w:rsid w:val="00016D83"/>
    <w:rPr>
      <w:sz w:val="24"/>
      <w:lang w:val="fr-FR" w:eastAsia="en-US"/>
    </w:rPr>
  </w:style>
  <w:style w:type="character" w:customStyle="1" w:styleId="EquationlegendChar">
    <w:name w:val="Equation_legend Char"/>
    <w:link w:val="Equationlegend"/>
    <w:locked/>
    <w:rsid w:val="00016D83"/>
    <w:rPr>
      <w:sz w:val="24"/>
      <w:lang w:eastAsia="en-US"/>
    </w:rPr>
  </w:style>
  <w:style w:type="character" w:customStyle="1" w:styleId="FigurelegendChar">
    <w:name w:val="Figure_legend Char"/>
    <w:link w:val="Figurelegend"/>
    <w:uiPriority w:val="99"/>
    <w:locked/>
    <w:rsid w:val="00016D83"/>
    <w:rPr>
      <w:sz w:val="18"/>
      <w:lang w:val="fr-FR" w:eastAsia="en-US"/>
    </w:rPr>
  </w:style>
  <w:style w:type="character" w:customStyle="1" w:styleId="FiguretitleChar">
    <w:name w:val="Figure_title Char"/>
    <w:link w:val="Figuretitle"/>
    <w:uiPriority w:val="99"/>
    <w:locked/>
    <w:rsid w:val="00016D83"/>
    <w:rPr>
      <w:rFonts w:ascii="Times New Roman Bold" w:hAnsi="Times New Roman Bold"/>
      <w:b/>
      <w:sz w:val="18"/>
      <w:lang w:val="fr-FR" w:eastAsia="en-US"/>
    </w:rPr>
  </w:style>
  <w:style w:type="character" w:customStyle="1" w:styleId="FigureNoChar">
    <w:name w:val="Figure_No Char"/>
    <w:link w:val="FigureNo"/>
    <w:uiPriority w:val="99"/>
    <w:locked/>
    <w:rsid w:val="00016D83"/>
    <w:rPr>
      <w:caps/>
      <w:sz w:val="18"/>
      <w:lang w:val="fr-FR" w:eastAsia="en-US"/>
    </w:rPr>
  </w:style>
  <w:style w:type="character" w:customStyle="1" w:styleId="CallChar">
    <w:name w:val="Call Char"/>
    <w:link w:val="Call"/>
    <w:locked/>
    <w:rsid w:val="00016D83"/>
    <w:rPr>
      <w:i/>
      <w:sz w:val="24"/>
      <w:lang w:val="fr-FR" w:eastAsia="en-US"/>
    </w:rPr>
  </w:style>
  <w:style w:type="character" w:customStyle="1" w:styleId="FooterChar">
    <w:name w:val="Footer Char"/>
    <w:basedOn w:val="DefaultParagraphFont"/>
    <w:link w:val="Footer"/>
    <w:rsid w:val="00016D83"/>
    <w:rPr>
      <w:noProof/>
      <w:sz w:val="18"/>
      <w:lang w:val="fr-FR" w:eastAsia="en-US"/>
    </w:rPr>
  </w:style>
  <w:style w:type="character" w:customStyle="1" w:styleId="TabletitleChar">
    <w:name w:val="Table_title Char"/>
    <w:link w:val="Tabletitle"/>
    <w:locked/>
    <w:rsid w:val="00016D83"/>
    <w:rPr>
      <w:b/>
      <w:sz w:val="24"/>
      <w:lang w:val="fr-FR" w:eastAsia="en-US"/>
    </w:rPr>
  </w:style>
  <w:style w:type="character" w:customStyle="1" w:styleId="FootnoteTextChar">
    <w:name w:val="Footnote Text Char"/>
    <w:basedOn w:val="DefaultParagraphFont"/>
    <w:link w:val="FootnoteText"/>
    <w:uiPriority w:val="99"/>
    <w:rsid w:val="00016D83"/>
    <w:rPr>
      <w:sz w:val="22"/>
      <w:lang w:val="fr-FR" w:eastAsia="en-US"/>
    </w:rPr>
  </w:style>
  <w:style w:type="character" w:styleId="FollowedHyperlink">
    <w:name w:val="FollowedHyperlink"/>
    <w:basedOn w:val="DefaultParagraphFont"/>
    <w:semiHidden/>
    <w:unhideWhenUsed/>
    <w:rsid w:val="00DA5AC1"/>
    <w:rPr>
      <w:color w:val="800080" w:themeColor="followedHyperlink"/>
      <w:u w:val="single"/>
    </w:rPr>
  </w:style>
  <w:style w:type="paragraph" w:customStyle="1" w:styleId="Revision1">
    <w:name w:val="Revision1"/>
    <w:hidden/>
    <w:uiPriority w:val="99"/>
    <w:semiHidden/>
    <w:rsid w:val="00016D83"/>
    <w:rPr>
      <w:rFonts w:ascii="Times" w:eastAsia="MS Mincho" w:hAnsi="Times"/>
      <w:lang w:eastAsia="en-US"/>
    </w:rPr>
  </w:style>
  <w:style w:type="paragraph" w:styleId="Revision">
    <w:name w:val="Revision"/>
    <w:hidden/>
    <w:uiPriority w:val="99"/>
    <w:semiHidden/>
    <w:rsid w:val="00016D83"/>
    <w:rPr>
      <w:rFonts w:eastAsia="MS Mincho"/>
      <w:sz w:val="24"/>
      <w:lang w:val="en-GB" w:eastAsia="en-US"/>
    </w:rPr>
  </w:style>
  <w:style w:type="paragraph" w:styleId="ListParagraph">
    <w:name w:val="List Paragraph"/>
    <w:basedOn w:val="Normal"/>
    <w:qFormat/>
    <w:rsid w:val="00016D83"/>
    <w:pPr>
      <w:tabs>
        <w:tab w:val="clear" w:pos="794"/>
        <w:tab w:val="clear" w:pos="1191"/>
        <w:tab w:val="clear" w:pos="1588"/>
        <w:tab w:val="clear" w:pos="1985"/>
      </w:tabs>
      <w:overflowPunct/>
      <w:autoSpaceDE/>
      <w:autoSpaceDN/>
      <w:adjustRightInd/>
      <w:spacing w:before="0"/>
      <w:ind w:left="720"/>
      <w:jc w:val="left"/>
      <w:textAlignment w:val="auto"/>
    </w:pPr>
    <w:rPr>
      <w:rFonts w:eastAsia="SimSun"/>
      <w:szCs w:val="24"/>
      <w:lang w:val="en-GB"/>
    </w:rPr>
  </w:style>
  <w:style w:type="paragraph" w:customStyle="1" w:styleId="Reasons">
    <w:name w:val="Reasons"/>
    <w:basedOn w:val="Normal"/>
    <w:qFormat/>
    <w:rsid w:val="00350136"/>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itu.int/rec/R-REC-F.2004/en" TargetMode="External"/><Relationship Id="rId26" Type="http://schemas.openxmlformats.org/officeDocument/2006/relationships/chart" Target="charts/chart3.xml"/><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1.emf"/><Relationship Id="rId47" Type="http://schemas.openxmlformats.org/officeDocument/2006/relationships/image" Target="media/image25.emf"/><Relationship Id="rId50" Type="http://schemas.openxmlformats.org/officeDocument/2006/relationships/image" Target="media/image28.png"/><Relationship Id="rId55" Type="http://schemas.openxmlformats.org/officeDocument/2006/relationships/image" Target="media/image33.jpeg"/><Relationship Id="rId63" Type="http://schemas.openxmlformats.org/officeDocument/2006/relationships/hyperlink" Target="http://faculty.poly.edu/~tsr/Publications/ICC_2013_28.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package" Target="embeddings/Microsoft_PowerPoint_Slide1.sldx"/><Relationship Id="rId37" Type="http://schemas.openxmlformats.org/officeDocument/2006/relationships/image" Target="media/image17.png"/><Relationship Id="rId40" Type="http://schemas.openxmlformats.org/officeDocument/2006/relationships/image" Target="media/image20.emf"/><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chart" Target="charts/chart5.xml"/><Relationship Id="rId36" Type="http://schemas.openxmlformats.org/officeDocument/2006/relationships/oleObject" Target="embeddings/oleObject2.bin"/><Relationship Id="rId49" Type="http://schemas.openxmlformats.org/officeDocument/2006/relationships/image" Target="media/image27.png"/><Relationship Id="rId57" Type="http://schemas.openxmlformats.org/officeDocument/2006/relationships/image" Target="media/image35.png"/><Relationship Id="rId61" Type="http://schemas.openxmlformats.org/officeDocument/2006/relationships/image" Target="media/image39.emf"/><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e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wmf"/><Relationship Id="rId65" Type="http://schemas.openxmlformats.org/officeDocument/2006/relationships/hyperlink" Target="http://www.ericsson.com/res/thecompany/docs/publications/ericsson_review/2013/er-nlos-microwave-backhaul.pdf"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etsi.org/standards-search" TargetMode="External"/><Relationship Id="rId22" Type="http://schemas.openxmlformats.org/officeDocument/2006/relationships/image" Target="media/image9.emf"/><Relationship Id="rId27" Type="http://schemas.openxmlformats.org/officeDocument/2006/relationships/chart" Target="charts/chart4.xml"/><Relationship Id="rId30" Type="http://schemas.openxmlformats.org/officeDocument/2006/relationships/image" Target="media/image12.emf"/><Relationship Id="rId35" Type="http://schemas.openxmlformats.org/officeDocument/2006/relationships/image" Target="media/image16.wmf"/><Relationship Id="rId43" Type="http://schemas.openxmlformats.org/officeDocument/2006/relationships/oleObject" Target="embeddings/oleObject3.bin"/><Relationship Id="rId48" Type="http://schemas.openxmlformats.org/officeDocument/2006/relationships/image" Target="media/image26.png"/><Relationship Id="rId56" Type="http://schemas.openxmlformats.org/officeDocument/2006/relationships/image" Target="media/image34.emf"/><Relationship Id="rId64" Type="http://schemas.openxmlformats.org/officeDocument/2006/relationships/hyperlink" Target="http://www.ericsson.com/res/docs/review/Microwave-Capacity-Evolution.pdf" TargetMode="External"/><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www.itu.int/rec/R-REC-F.2006/en" TargetMode="External"/><Relationship Id="rId25" Type="http://schemas.openxmlformats.org/officeDocument/2006/relationships/chart" Target="charts/chart2.xml"/><Relationship Id="rId33" Type="http://schemas.openxmlformats.org/officeDocument/2006/relationships/image" Target="media/image14.png"/><Relationship Id="rId38" Type="http://schemas.openxmlformats.org/officeDocument/2006/relationships/image" Target="media/image18.emf"/><Relationship Id="rId46" Type="http://schemas.openxmlformats.org/officeDocument/2006/relationships/image" Target="media/image24.png"/><Relationship Id="rId59" Type="http://schemas.openxmlformats.org/officeDocument/2006/relationships/image" Target="media/image37.wmf"/><Relationship Id="rId67" Type="http://schemas.openxmlformats.org/officeDocument/2006/relationships/header" Target="header4.xml"/><Relationship Id="rId20" Type="http://schemas.openxmlformats.org/officeDocument/2006/relationships/image" Target="media/image7.png"/><Relationship Id="rId41" Type="http://schemas.openxmlformats.org/officeDocument/2006/relationships/package" Target="embeddings/Microsoft_PowerPoint_Slide2.sldx"/><Relationship Id="rId54" Type="http://schemas.openxmlformats.org/officeDocument/2006/relationships/image" Target="media/image32.jpeg"/><Relationship Id="rId62" Type="http://schemas.openxmlformats.org/officeDocument/2006/relationships/hyperlink" Target="http://www.thedasforum.org/wp-content/uploads/2013/07/HetNet-Forum-Small-Cell-Acceleration-Seminar-Presentation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jrcamerica.com/download/WIPAS_Spectrum_in_US.pdf" TargetMode="External"/><Relationship Id="rId3" Type="http://schemas.openxmlformats.org/officeDocument/2006/relationships/hyperlink" Target="http://www.itu.int/rec/R-REC-F.1498/en" TargetMode="External"/><Relationship Id="rId7" Type="http://schemas.openxmlformats.org/officeDocument/2006/relationships/hyperlink" Target="https://apps.fcc.gov/oetcf/els/reports/STA_Print.cfm?mode=current&amp;application_seq=60763&amp;RequestTimeout=1000" TargetMode="External"/><Relationship Id="rId2" Type="http://schemas.openxmlformats.org/officeDocument/2006/relationships/hyperlink" Target="http://www.itu.int/rec/R-REC-F.1399/en" TargetMode="External"/><Relationship Id="rId1" Type="http://schemas.openxmlformats.org/officeDocument/2006/relationships/hyperlink" Target="http://www.itu.int/rec/R-REC-F.592/en" TargetMode="External"/><Relationship Id="rId6" Type="http://schemas.openxmlformats.org/officeDocument/2006/relationships/hyperlink" Target="http://wireless2.fcc.gov/UlsApp/UlsSearch/license.jsp?licKey=8653" TargetMode="External"/><Relationship Id="rId5" Type="http://schemas.openxmlformats.org/officeDocument/2006/relationships/hyperlink" Target="http://www.ic.gc.ca/eic/site/smt-gst.nsf/eng/sf09444.html" TargetMode="External"/><Relationship Id="rId4" Type="http://schemas.openxmlformats.org/officeDocument/2006/relationships/hyperlink" Target="http://www.ic.gc.ca/eic/site/smt-gst.nsf/eng/sf10023.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HI%20LONG\WORK\DE%20TAI\De%20tai%20Bo\Thong%20ke%20so%20giay%20phep\SO%20LIEU%20VIBA_VER%202_%20Thong%20ke%20lai%20theo%20phan%20mem%20cap%20phep%20nam%202009-201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hared\SO%20LIEU%20VIB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hu%20Ha\Document\De%20tai\De%20tai%202011\De%20tai%20vi%20ba\Tra%20cuu%20giay%20phep%20vi%20ba\Thong%20ke%20theo%20cu%20ly%20va%20bang%20ta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hu%20Ha\Document\De%20tai\De%20tai%202011\De%20tai%20vi%20ba\Tra%20cuu%20giay%20phep%20vi%20ba\Thong%20ke%20theo%20cu%20ly%20va%20bang%20ta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krock\Desktop\ITU%20Fixed%20services\US%20spectrum%20use%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Lit>
              <c:formatCode>General</c:formatCode>
              <c:ptCount val="6"/>
              <c:pt idx="0">
                <c:v>2006</c:v>
              </c:pt>
              <c:pt idx="1">
                <c:v>2007</c:v>
              </c:pt>
              <c:pt idx="2">
                <c:v>2008</c:v>
              </c:pt>
              <c:pt idx="3">
                <c:v>2009</c:v>
              </c:pt>
              <c:pt idx="4">
                <c:v>2010</c:v>
              </c:pt>
              <c:pt idx="5">
                <c:v>2011</c:v>
              </c:pt>
            </c:numLit>
          </c:cat>
          <c:val>
            <c:numRef>
              <c:f>'SO LIEU VI BA TU 2005-&gt;2011'!$B$4:$G$4</c:f>
              <c:numCache>
                <c:formatCode>General</c:formatCode>
                <c:ptCount val="6"/>
                <c:pt idx="0">
                  <c:v>1787</c:v>
                </c:pt>
                <c:pt idx="1">
                  <c:v>3318</c:v>
                </c:pt>
                <c:pt idx="2">
                  <c:v>8774</c:v>
                </c:pt>
                <c:pt idx="3">
                  <c:v>23318</c:v>
                </c:pt>
                <c:pt idx="4">
                  <c:v>24713</c:v>
                </c:pt>
                <c:pt idx="5">
                  <c:v>25783</c:v>
                </c:pt>
              </c:numCache>
            </c:numRef>
          </c:val>
        </c:ser>
        <c:dLbls>
          <c:showLegendKey val="0"/>
          <c:showVal val="1"/>
          <c:showCatName val="0"/>
          <c:showSerName val="0"/>
          <c:showPercent val="0"/>
          <c:showBubbleSize val="0"/>
        </c:dLbls>
        <c:gapWidth val="150"/>
        <c:shape val="box"/>
        <c:axId val="169084944"/>
        <c:axId val="169833432"/>
        <c:axId val="0"/>
      </c:bar3DChart>
      <c:catAx>
        <c:axId val="169084944"/>
        <c:scaling>
          <c:orientation val="minMax"/>
        </c:scaling>
        <c:delete val="0"/>
        <c:axPos val="b"/>
        <c:numFmt formatCode="General" sourceLinked="1"/>
        <c:majorTickMark val="none"/>
        <c:minorTickMark val="none"/>
        <c:tickLblPos val="nextTo"/>
        <c:txPr>
          <a:bodyPr/>
          <a:lstStyle/>
          <a:p>
            <a:pPr>
              <a:defRPr lang="en-US"/>
            </a:pPr>
            <a:endParaRPr lang="en-US"/>
          </a:p>
        </c:txPr>
        <c:crossAx val="169833432"/>
        <c:crosses val="autoZero"/>
        <c:auto val="1"/>
        <c:lblAlgn val="ctr"/>
        <c:lblOffset val="100"/>
        <c:noMultiLvlLbl val="0"/>
      </c:catAx>
      <c:valAx>
        <c:axId val="169833432"/>
        <c:scaling>
          <c:orientation val="minMax"/>
        </c:scaling>
        <c:delete val="1"/>
        <c:axPos val="l"/>
        <c:numFmt formatCode="General" sourceLinked="1"/>
        <c:majorTickMark val="none"/>
        <c:minorTickMark val="none"/>
        <c:tickLblPos val="none"/>
        <c:crossAx val="1690849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27834982165708E-2"/>
          <c:y val="0.11141093466081158"/>
          <c:w val="0.8790046436503256"/>
          <c:h val="0.7759662704421566"/>
        </c:manualLayout>
      </c:layout>
      <c:lineChart>
        <c:grouping val="standard"/>
        <c:varyColors val="0"/>
        <c:ser>
          <c:idx val="4"/>
          <c:order val="4"/>
          <c:tx>
            <c:strRef>
              <c:f>Sheet1!$M$25</c:f>
            </c:strRef>
          </c:tx>
          <c:marker>
            <c:symbol val="none"/>
          </c:marker>
          <c:cat>
            <c:multiLvlStrRef>
              <c:f>{2005,2006,2007,2008,2009,2010,2011}</c:f>
            </c:multiLvlStrRef>
          </c:cat>
          <c:val>
            <c:numRef>
              <c:f>Sheet1!$M$26:$M$32</c:f>
            </c:numRef>
          </c:val>
          <c:smooth val="0"/>
        </c:ser>
        <c:ser>
          <c:idx val="5"/>
          <c:order val="5"/>
          <c:tx>
            <c:strRef>
              <c:f>Sheet1!$N$25</c:f>
            </c:strRef>
          </c:tx>
          <c:marker>
            <c:symbol val="none"/>
          </c:marker>
          <c:cat>
            <c:multiLvlStrRef>
              <c:f>{2005,2006,2007,2008,2009,2010,2011}</c:f>
            </c:multiLvlStrRef>
          </c:cat>
          <c:val>
            <c:numRef>
              <c:f>Sheet1!$N$26:$N$32</c:f>
            </c:numRef>
          </c:val>
          <c:smooth val="0"/>
        </c:ser>
        <c:ser>
          <c:idx val="6"/>
          <c:order val="6"/>
          <c:tx>
            <c:strRef>
              <c:f>Sheet1!$O$25</c:f>
            </c:strRef>
          </c:tx>
          <c:marker>
            <c:symbol val="none"/>
          </c:marker>
          <c:cat>
            <c:multiLvlStrRef>
              <c:f>{2005,2006,2007,2008,2009,2010,2011}</c:f>
            </c:multiLvlStrRef>
          </c:cat>
          <c:val>
            <c:numRef>
              <c:f>Sheet1!$O$26:$O$32</c:f>
            </c:numRef>
          </c:val>
          <c:smooth val="0"/>
        </c:ser>
        <c:ser>
          <c:idx val="7"/>
          <c:order val="7"/>
          <c:tx>
            <c:strRef>
              <c:f>Sheet1!$P$25</c:f>
            </c:strRef>
          </c:tx>
          <c:marker>
            <c:symbol val="none"/>
          </c:marker>
          <c:cat>
            <c:multiLvlStrRef>
              <c:f>{2005,2006,2007,2008,2009,2010,2011}</c:f>
            </c:multiLvlStrRef>
          </c:cat>
          <c:val>
            <c:numRef>
              <c:f>Sheet1!$P$26:$P$32</c:f>
            </c:numRef>
          </c:val>
          <c:smooth val="0"/>
        </c:ser>
        <c:ser>
          <c:idx val="0"/>
          <c:order val="0"/>
          <c:tx>
            <c:strRef>
              <c:f>Sheet1!$M$25</c:f>
              <c:strCache>
                <c:ptCount val="1"/>
                <c:pt idx="0">
                  <c:v>1 -&gt;3 GHz</c:v>
                </c:pt>
              </c:strCache>
            </c:strRef>
          </c:tx>
          <c:spPr>
            <a:ln>
              <a:solidFill>
                <a:schemeClr val="accent1"/>
              </a:solidFill>
            </a:ln>
          </c:spPr>
          <c:marker>
            <c:symbol val="none"/>
          </c:marker>
          <c:cat>
            <c:numLit>
              <c:formatCode>General</c:formatCode>
              <c:ptCount val="7"/>
              <c:pt idx="0">
                <c:v>2005</c:v>
              </c:pt>
              <c:pt idx="1">
                <c:v>2006</c:v>
              </c:pt>
              <c:pt idx="2">
                <c:v>2007</c:v>
              </c:pt>
              <c:pt idx="3">
                <c:v>2008</c:v>
              </c:pt>
              <c:pt idx="4">
                <c:v>2009</c:v>
              </c:pt>
              <c:pt idx="5">
                <c:v>2010</c:v>
              </c:pt>
              <c:pt idx="6">
                <c:v>2011</c:v>
              </c:pt>
            </c:numLit>
          </c:cat>
          <c:val>
            <c:numRef>
              <c:f>Sheet1!$M$26:$M$32</c:f>
              <c:numCache>
                <c:formatCode>General</c:formatCode>
                <c:ptCount val="7"/>
                <c:pt idx="0">
                  <c:v>256</c:v>
                </c:pt>
                <c:pt idx="1">
                  <c:v>531</c:v>
                </c:pt>
                <c:pt idx="2">
                  <c:v>680</c:v>
                </c:pt>
                <c:pt idx="3">
                  <c:v>933</c:v>
                </c:pt>
                <c:pt idx="4">
                  <c:v>840</c:v>
                </c:pt>
                <c:pt idx="5">
                  <c:v>682</c:v>
                </c:pt>
                <c:pt idx="6">
                  <c:v>428</c:v>
                </c:pt>
              </c:numCache>
            </c:numRef>
          </c:val>
          <c:smooth val="0"/>
        </c:ser>
        <c:ser>
          <c:idx val="1"/>
          <c:order val="1"/>
          <c:tx>
            <c:strRef>
              <c:f>Sheet1!$N$25</c:f>
              <c:strCache>
                <c:ptCount val="1"/>
                <c:pt idx="0">
                  <c:v>3-&gt;8.5 GHz</c:v>
                </c:pt>
              </c:strCache>
            </c:strRef>
          </c:tx>
          <c:marker>
            <c:symbol val="none"/>
          </c:marker>
          <c:cat>
            <c:numLit>
              <c:formatCode>General</c:formatCode>
              <c:ptCount val="7"/>
              <c:pt idx="0">
                <c:v>2005</c:v>
              </c:pt>
              <c:pt idx="1">
                <c:v>2006</c:v>
              </c:pt>
              <c:pt idx="2">
                <c:v>2007</c:v>
              </c:pt>
              <c:pt idx="3">
                <c:v>2008</c:v>
              </c:pt>
              <c:pt idx="4">
                <c:v>2009</c:v>
              </c:pt>
              <c:pt idx="5">
                <c:v>2010</c:v>
              </c:pt>
              <c:pt idx="6">
                <c:v>2011</c:v>
              </c:pt>
            </c:numLit>
          </c:cat>
          <c:val>
            <c:numRef>
              <c:f>Sheet1!$N$26:$N$32</c:f>
              <c:numCache>
                <c:formatCode>General</c:formatCode>
                <c:ptCount val="7"/>
                <c:pt idx="0">
                  <c:v>196</c:v>
                </c:pt>
                <c:pt idx="1">
                  <c:v>551</c:v>
                </c:pt>
                <c:pt idx="2">
                  <c:v>1782</c:v>
                </c:pt>
                <c:pt idx="3">
                  <c:v>3545</c:v>
                </c:pt>
                <c:pt idx="4">
                  <c:v>6440</c:v>
                </c:pt>
                <c:pt idx="5">
                  <c:v>7767</c:v>
                </c:pt>
                <c:pt idx="6">
                  <c:v>8127</c:v>
                </c:pt>
              </c:numCache>
            </c:numRef>
          </c:val>
          <c:smooth val="0"/>
        </c:ser>
        <c:ser>
          <c:idx val="2"/>
          <c:order val="2"/>
          <c:tx>
            <c:strRef>
              <c:f>Sheet1!$O$25</c:f>
              <c:strCache>
                <c:ptCount val="1"/>
                <c:pt idx="0">
                  <c:v>8.5 -&gt;15.5 GHz</c:v>
                </c:pt>
              </c:strCache>
            </c:strRef>
          </c:tx>
          <c:marker>
            <c:symbol val="none"/>
          </c:marker>
          <c:cat>
            <c:numLit>
              <c:formatCode>General</c:formatCode>
              <c:ptCount val="7"/>
              <c:pt idx="0">
                <c:v>2005</c:v>
              </c:pt>
              <c:pt idx="1">
                <c:v>2006</c:v>
              </c:pt>
              <c:pt idx="2">
                <c:v>2007</c:v>
              </c:pt>
              <c:pt idx="3">
                <c:v>2008</c:v>
              </c:pt>
              <c:pt idx="4">
                <c:v>2009</c:v>
              </c:pt>
              <c:pt idx="5">
                <c:v>2010</c:v>
              </c:pt>
              <c:pt idx="6">
                <c:v>2011</c:v>
              </c:pt>
            </c:numLit>
          </c:cat>
          <c:val>
            <c:numRef>
              <c:f>Sheet1!$O$26:$O$32</c:f>
              <c:numCache>
                <c:formatCode>General</c:formatCode>
                <c:ptCount val="7"/>
                <c:pt idx="0">
                  <c:v>137</c:v>
                </c:pt>
                <c:pt idx="1">
                  <c:v>693</c:v>
                </c:pt>
                <c:pt idx="2">
                  <c:v>845</c:v>
                </c:pt>
                <c:pt idx="3">
                  <c:v>3822</c:v>
                </c:pt>
                <c:pt idx="4">
                  <c:v>13078</c:v>
                </c:pt>
                <c:pt idx="5">
                  <c:v>13112</c:v>
                </c:pt>
                <c:pt idx="6">
                  <c:v>13883</c:v>
                </c:pt>
              </c:numCache>
            </c:numRef>
          </c:val>
          <c:smooth val="0"/>
        </c:ser>
        <c:ser>
          <c:idx val="3"/>
          <c:order val="3"/>
          <c:tx>
            <c:strRef>
              <c:f>Sheet1!$P$25</c:f>
              <c:strCache>
                <c:ptCount val="1"/>
                <c:pt idx="0">
                  <c:v>15.5-&gt;23.6 GHz</c:v>
                </c:pt>
              </c:strCache>
            </c:strRef>
          </c:tx>
          <c:marker>
            <c:symbol val="none"/>
          </c:marker>
          <c:dPt>
            <c:idx val="3"/>
            <c:bubble3D val="0"/>
            <c:spPr>
              <a:ln>
                <a:solidFill>
                  <a:schemeClr val="accent6">
                    <a:lumMod val="75000"/>
                  </a:schemeClr>
                </a:solidFill>
              </a:ln>
            </c:spPr>
          </c:dPt>
          <c:dPt>
            <c:idx val="4"/>
            <c:bubble3D val="0"/>
            <c:spPr>
              <a:ln>
                <a:solidFill>
                  <a:schemeClr val="accent6">
                    <a:lumMod val="75000"/>
                  </a:schemeClr>
                </a:solidFill>
              </a:ln>
            </c:spPr>
          </c:dPt>
          <c:dPt>
            <c:idx val="5"/>
            <c:bubble3D val="0"/>
            <c:spPr>
              <a:ln>
                <a:solidFill>
                  <a:schemeClr val="accent6">
                    <a:lumMod val="75000"/>
                  </a:schemeClr>
                </a:solidFill>
              </a:ln>
            </c:spPr>
          </c:dPt>
          <c:dPt>
            <c:idx val="6"/>
            <c:bubble3D val="0"/>
            <c:spPr>
              <a:ln>
                <a:solidFill>
                  <a:schemeClr val="accent6">
                    <a:lumMod val="75000"/>
                  </a:schemeClr>
                </a:solidFill>
              </a:ln>
            </c:spPr>
          </c:dPt>
          <c:cat>
            <c:numLit>
              <c:formatCode>General</c:formatCode>
              <c:ptCount val="7"/>
              <c:pt idx="0">
                <c:v>2005</c:v>
              </c:pt>
              <c:pt idx="1">
                <c:v>2006</c:v>
              </c:pt>
              <c:pt idx="2">
                <c:v>2007</c:v>
              </c:pt>
              <c:pt idx="3">
                <c:v>2008</c:v>
              </c:pt>
              <c:pt idx="4">
                <c:v>2009</c:v>
              </c:pt>
              <c:pt idx="5">
                <c:v>2010</c:v>
              </c:pt>
              <c:pt idx="6">
                <c:v>2011</c:v>
              </c:pt>
            </c:numLit>
          </c:cat>
          <c:val>
            <c:numRef>
              <c:f>Sheet1!$P$26:$P$32</c:f>
              <c:numCache>
                <c:formatCode>General</c:formatCode>
                <c:ptCount val="7"/>
                <c:pt idx="0">
                  <c:v>1</c:v>
                </c:pt>
                <c:pt idx="1">
                  <c:v>12</c:v>
                </c:pt>
                <c:pt idx="2">
                  <c:v>11</c:v>
                </c:pt>
                <c:pt idx="3">
                  <c:v>474</c:v>
                </c:pt>
                <c:pt idx="4">
                  <c:v>2960</c:v>
                </c:pt>
                <c:pt idx="5">
                  <c:v>3152</c:v>
                </c:pt>
                <c:pt idx="6">
                  <c:v>3345</c:v>
                </c:pt>
              </c:numCache>
            </c:numRef>
          </c:val>
          <c:smooth val="0"/>
        </c:ser>
        <c:dLbls>
          <c:showLegendKey val="0"/>
          <c:showVal val="0"/>
          <c:showCatName val="0"/>
          <c:showSerName val="0"/>
          <c:showPercent val="0"/>
          <c:showBubbleSize val="0"/>
        </c:dLbls>
        <c:smooth val="0"/>
        <c:axId val="171445616"/>
        <c:axId val="171552584"/>
      </c:lineChart>
      <c:catAx>
        <c:axId val="171445616"/>
        <c:scaling>
          <c:orientation val="minMax"/>
        </c:scaling>
        <c:delete val="0"/>
        <c:axPos val="b"/>
        <c:numFmt formatCode="General" sourceLinked="1"/>
        <c:majorTickMark val="none"/>
        <c:minorTickMark val="none"/>
        <c:tickLblPos val="nextTo"/>
        <c:txPr>
          <a:bodyPr/>
          <a:lstStyle/>
          <a:p>
            <a:pPr>
              <a:defRPr lang="en-US"/>
            </a:pPr>
            <a:endParaRPr lang="en-US"/>
          </a:p>
        </c:txPr>
        <c:crossAx val="171552584"/>
        <c:crosses val="autoZero"/>
        <c:auto val="1"/>
        <c:lblAlgn val="ctr"/>
        <c:lblOffset val="100"/>
        <c:noMultiLvlLbl val="0"/>
      </c:catAx>
      <c:valAx>
        <c:axId val="171552584"/>
        <c:scaling>
          <c:orientation val="minMax"/>
        </c:scaling>
        <c:delete val="0"/>
        <c:axPos val="l"/>
        <c:majorGridlines/>
        <c:numFmt formatCode="General" sourceLinked="1"/>
        <c:majorTickMark val="none"/>
        <c:minorTickMark val="none"/>
        <c:tickLblPos val="nextTo"/>
        <c:spPr>
          <a:ln w="9525">
            <a:noFill/>
          </a:ln>
        </c:spPr>
        <c:txPr>
          <a:bodyPr/>
          <a:lstStyle/>
          <a:p>
            <a:pPr>
              <a:defRPr lang="en-US"/>
            </a:pPr>
            <a:endParaRPr lang="en-US"/>
          </a:p>
        </c:txPr>
        <c:crossAx val="171445616"/>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2008</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Sheet1!$B$2:$L$2</c:f>
              <c:numCache>
                <c:formatCode>General</c:formatCode>
                <c:ptCount val="11"/>
                <c:pt idx="0">
                  <c:v>1092</c:v>
                </c:pt>
                <c:pt idx="1">
                  <c:v>699</c:v>
                </c:pt>
                <c:pt idx="2">
                  <c:v>590</c:v>
                </c:pt>
                <c:pt idx="3">
                  <c:v>562</c:v>
                </c:pt>
                <c:pt idx="4">
                  <c:v>550</c:v>
                </c:pt>
                <c:pt idx="5">
                  <c:v>566</c:v>
                </c:pt>
                <c:pt idx="6">
                  <c:v>507</c:v>
                </c:pt>
                <c:pt idx="7">
                  <c:v>460</c:v>
                </c:pt>
                <c:pt idx="8">
                  <c:v>357</c:v>
                </c:pt>
                <c:pt idx="9">
                  <c:v>351</c:v>
                </c:pt>
                <c:pt idx="10">
                  <c:v>3040</c:v>
                </c:pt>
              </c:numCache>
            </c:numRef>
          </c:val>
        </c:ser>
        <c:ser>
          <c:idx val="1"/>
          <c:order val="1"/>
          <c:tx>
            <c:strRef>
              <c:f>Sheet1!$A$3</c:f>
              <c:strCache>
                <c:ptCount val="1"/>
                <c:pt idx="0">
                  <c:v>2009</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Sheet1!$B$3:$L$3</c:f>
              <c:numCache>
                <c:formatCode>General</c:formatCode>
                <c:ptCount val="11"/>
                <c:pt idx="0">
                  <c:v>2353</c:v>
                </c:pt>
                <c:pt idx="1">
                  <c:v>2779</c:v>
                </c:pt>
                <c:pt idx="2">
                  <c:v>2808</c:v>
                </c:pt>
                <c:pt idx="3">
                  <c:v>2653</c:v>
                </c:pt>
                <c:pt idx="4">
                  <c:v>2232</c:v>
                </c:pt>
                <c:pt idx="5">
                  <c:v>1816</c:v>
                </c:pt>
                <c:pt idx="6">
                  <c:v>1442</c:v>
                </c:pt>
                <c:pt idx="7">
                  <c:v>1131</c:v>
                </c:pt>
                <c:pt idx="8">
                  <c:v>912</c:v>
                </c:pt>
                <c:pt idx="9">
                  <c:v>818</c:v>
                </c:pt>
                <c:pt idx="10">
                  <c:v>4374</c:v>
                </c:pt>
              </c:numCache>
            </c:numRef>
          </c:val>
        </c:ser>
        <c:ser>
          <c:idx val="2"/>
          <c:order val="2"/>
          <c:tx>
            <c:strRef>
              <c:f>Sheet1!$A$4</c:f>
              <c:strCache>
                <c:ptCount val="1"/>
                <c:pt idx="0">
                  <c:v>2010</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Sheet1!$B$4:$L$4</c:f>
              <c:numCache>
                <c:formatCode>General</c:formatCode>
                <c:ptCount val="11"/>
                <c:pt idx="0">
                  <c:v>2226</c:v>
                </c:pt>
                <c:pt idx="1">
                  <c:v>2830</c:v>
                </c:pt>
                <c:pt idx="2">
                  <c:v>3063</c:v>
                </c:pt>
                <c:pt idx="3">
                  <c:v>2812</c:v>
                </c:pt>
                <c:pt idx="4">
                  <c:v>2371</c:v>
                </c:pt>
                <c:pt idx="5">
                  <c:v>1859</c:v>
                </c:pt>
                <c:pt idx="6">
                  <c:v>1580</c:v>
                </c:pt>
                <c:pt idx="7">
                  <c:v>1179</c:v>
                </c:pt>
                <c:pt idx="8">
                  <c:v>998</c:v>
                </c:pt>
                <c:pt idx="9">
                  <c:v>898</c:v>
                </c:pt>
                <c:pt idx="10">
                  <c:v>4897</c:v>
                </c:pt>
              </c:numCache>
            </c:numRef>
          </c:val>
        </c:ser>
        <c:ser>
          <c:idx val="3"/>
          <c:order val="3"/>
          <c:tx>
            <c:strRef>
              <c:f>Sheet1!$A$5</c:f>
              <c:strCache>
                <c:ptCount val="1"/>
                <c:pt idx="0">
                  <c:v>2011</c:v>
                </c:pt>
              </c:strCache>
            </c:strRef>
          </c:tx>
          <c:invertIfNegative val="0"/>
          <c:cat>
            <c:strRef>
              <c:f>Sheet1!$B$1:$L$1</c:f>
              <c:strCache>
                <c:ptCount val="11"/>
                <c:pt idx="0">
                  <c:v>d&lt;= 1</c:v>
                </c:pt>
                <c:pt idx="1">
                  <c:v>1&lt;d&lt;= 2</c:v>
                </c:pt>
                <c:pt idx="2">
                  <c:v>2&lt;d&lt;= 3</c:v>
                </c:pt>
                <c:pt idx="3">
                  <c:v>3&lt;d&lt;= 4</c:v>
                </c:pt>
                <c:pt idx="4">
                  <c:v>4&lt;d&lt;= 5</c:v>
                </c:pt>
                <c:pt idx="5">
                  <c:v>5&lt;d&lt;= 6</c:v>
                </c:pt>
                <c:pt idx="6">
                  <c:v>6&lt;d&lt;= 7</c:v>
                </c:pt>
                <c:pt idx="7">
                  <c:v>7&lt;d&lt;= 8</c:v>
                </c:pt>
                <c:pt idx="8">
                  <c:v>8&lt;d&lt;= 9</c:v>
                </c:pt>
                <c:pt idx="9">
                  <c:v>9&lt;d&lt;= 10</c:v>
                </c:pt>
                <c:pt idx="10">
                  <c:v>d&gt;10</c:v>
                </c:pt>
              </c:strCache>
            </c:strRef>
          </c:cat>
          <c:val>
            <c:numRef>
              <c:f>Sheet1!$B$5:$L$5</c:f>
              <c:numCache>
                <c:formatCode>General</c:formatCode>
                <c:ptCount val="11"/>
                <c:pt idx="0">
                  <c:v>2556</c:v>
                </c:pt>
                <c:pt idx="1">
                  <c:v>3419</c:v>
                </c:pt>
                <c:pt idx="2">
                  <c:v>3171</c:v>
                </c:pt>
                <c:pt idx="3">
                  <c:v>3057</c:v>
                </c:pt>
                <c:pt idx="4">
                  <c:v>2381</c:v>
                </c:pt>
                <c:pt idx="5">
                  <c:v>1895</c:v>
                </c:pt>
                <c:pt idx="6">
                  <c:v>1478</c:v>
                </c:pt>
                <c:pt idx="7">
                  <c:v>1181</c:v>
                </c:pt>
                <c:pt idx="8">
                  <c:v>985</c:v>
                </c:pt>
                <c:pt idx="9">
                  <c:v>883</c:v>
                </c:pt>
                <c:pt idx="10">
                  <c:v>4777</c:v>
                </c:pt>
              </c:numCache>
            </c:numRef>
          </c:val>
        </c:ser>
        <c:dLbls>
          <c:showLegendKey val="0"/>
          <c:showVal val="0"/>
          <c:showCatName val="0"/>
          <c:showSerName val="0"/>
          <c:showPercent val="0"/>
          <c:showBubbleSize val="0"/>
        </c:dLbls>
        <c:gapWidth val="150"/>
        <c:shape val="cylinder"/>
        <c:axId val="131323296"/>
        <c:axId val="130723752"/>
        <c:axId val="0"/>
      </c:bar3DChart>
      <c:catAx>
        <c:axId val="131323296"/>
        <c:scaling>
          <c:orientation val="minMax"/>
        </c:scaling>
        <c:delete val="0"/>
        <c:axPos val="b"/>
        <c:numFmt formatCode="General" sourceLinked="0"/>
        <c:majorTickMark val="out"/>
        <c:minorTickMark val="none"/>
        <c:tickLblPos val="nextTo"/>
        <c:txPr>
          <a:bodyPr/>
          <a:lstStyle/>
          <a:p>
            <a:pPr>
              <a:defRPr lang="en-US"/>
            </a:pPr>
            <a:endParaRPr lang="en-US"/>
          </a:p>
        </c:txPr>
        <c:crossAx val="130723752"/>
        <c:crosses val="autoZero"/>
        <c:auto val="1"/>
        <c:lblAlgn val="ctr"/>
        <c:lblOffset val="100"/>
        <c:noMultiLvlLbl val="0"/>
      </c:catAx>
      <c:valAx>
        <c:axId val="130723752"/>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31323296"/>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Sheet1!$R$2</c:f>
              <c:strCache>
                <c:ptCount val="1"/>
                <c:pt idx="0">
                  <c:v>2008</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Sheet1!$S$2:$W$2</c:f>
              <c:numCache>
                <c:formatCode>General</c:formatCode>
                <c:ptCount val="5"/>
                <c:pt idx="0">
                  <c:v>1693</c:v>
                </c:pt>
                <c:pt idx="1">
                  <c:v>3312</c:v>
                </c:pt>
                <c:pt idx="2">
                  <c:v>1042</c:v>
                </c:pt>
                <c:pt idx="3">
                  <c:v>2437</c:v>
                </c:pt>
                <c:pt idx="4">
                  <c:v>290</c:v>
                </c:pt>
              </c:numCache>
            </c:numRef>
          </c:val>
        </c:ser>
        <c:ser>
          <c:idx val="1"/>
          <c:order val="1"/>
          <c:tx>
            <c:strRef>
              <c:f>Sheet1!$R$3</c:f>
              <c:strCache>
                <c:ptCount val="1"/>
                <c:pt idx="0">
                  <c:v>2009</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Sheet1!$S$3:$W$3</c:f>
              <c:numCache>
                <c:formatCode>General</c:formatCode>
                <c:ptCount val="5"/>
                <c:pt idx="0">
                  <c:v>631</c:v>
                </c:pt>
                <c:pt idx="1">
                  <c:v>5464</c:v>
                </c:pt>
                <c:pt idx="2">
                  <c:v>2335</c:v>
                </c:pt>
                <c:pt idx="3">
                  <c:v>14526</c:v>
                </c:pt>
                <c:pt idx="4">
                  <c:v>362</c:v>
                </c:pt>
              </c:numCache>
            </c:numRef>
          </c:val>
        </c:ser>
        <c:ser>
          <c:idx val="2"/>
          <c:order val="2"/>
          <c:tx>
            <c:strRef>
              <c:f>Sheet1!$R$4</c:f>
              <c:strCache>
                <c:ptCount val="1"/>
                <c:pt idx="0">
                  <c:v>2010</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Sheet1!$S$4:$W$4</c:f>
              <c:numCache>
                <c:formatCode>General</c:formatCode>
                <c:ptCount val="5"/>
                <c:pt idx="0">
                  <c:v>743</c:v>
                </c:pt>
                <c:pt idx="1">
                  <c:v>5552</c:v>
                </c:pt>
                <c:pt idx="2">
                  <c:v>1685</c:v>
                </c:pt>
                <c:pt idx="3">
                  <c:v>16281</c:v>
                </c:pt>
                <c:pt idx="4">
                  <c:v>452</c:v>
                </c:pt>
              </c:numCache>
            </c:numRef>
          </c:val>
        </c:ser>
        <c:ser>
          <c:idx val="3"/>
          <c:order val="3"/>
          <c:tx>
            <c:strRef>
              <c:f>Sheet1!$R$5</c:f>
              <c:strCache>
                <c:ptCount val="1"/>
                <c:pt idx="0">
                  <c:v>2011</c:v>
                </c:pt>
              </c:strCache>
            </c:strRef>
          </c:tx>
          <c:invertIfNegative val="0"/>
          <c:cat>
            <c:strRef>
              <c:f>Sheet1!$S$1:$W$1</c:f>
              <c:strCache>
                <c:ptCount val="5"/>
                <c:pt idx="0">
                  <c:v>BW&lt;=4 MHz</c:v>
                </c:pt>
                <c:pt idx="1">
                  <c:v>4&lt;BW&lt;=7</c:v>
                </c:pt>
                <c:pt idx="2">
                  <c:v>7&lt;MW&lt;=14</c:v>
                </c:pt>
                <c:pt idx="3">
                  <c:v>14&lt;BW&lt;=28</c:v>
                </c:pt>
                <c:pt idx="4">
                  <c:v>BW&gt;28</c:v>
                </c:pt>
              </c:strCache>
            </c:strRef>
          </c:cat>
          <c:val>
            <c:numRef>
              <c:f>Sheet1!$S$5:$W$5</c:f>
              <c:numCache>
                <c:formatCode>General</c:formatCode>
                <c:ptCount val="5"/>
                <c:pt idx="0">
                  <c:v>262</c:v>
                </c:pt>
                <c:pt idx="1">
                  <c:v>3981</c:v>
                </c:pt>
                <c:pt idx="2">
                  <c:v>1528</c:v>
                </c:pt>
                <c:pt idx="3">
                  <c:v>19587</c:v>
                </c:pt>
                <c:pt idx="4">
                  <c:v>425</c:v>
                </c:pt>
              </c:numCache>
            </c:numRef>
          </c:val>
        </c:ser>
        <c:dLbls>
          <c:showLegendKey val="0"/>
          <c:showVal val="0"/>
          <c:showCatName val="0"/>
          <c:showSerName val="0"/>
          <c:showPercent val="0"/>
          <c:showBubbleSize val="0"/>
        </c:dLbls>
        <c:gapWidth val="150"/>
        <c:shape val="cylinder"/>
        <c:axId val="171951552"/>
        <c:axId val="171951936"/>
        <c:axId val="0"/>
      </c:bar3DChart>
      <c:catAx>
        <c:axId val="171951552"/>
        <c:scaling>
          <c:orientation val="minMax"/>
        </c:scaling>
        <c:delete val="0"/>
        <c:axPos val="b"/>
        <c:numFmt formatCode="General" sourceLinked="0"/>
        <c:majorTickMark val="out"/>
        <c:minorTickMark val="none"/>
        <c:tickLblPos val="nextTo"/>
        <c:txPr>
          <a:bodyPr/>
          <a:lstStyle/>
          <a:p>
            <a:pPr>
              <a:defRPr lang="en-US"/>
            </a:pPr>
            <a:endParaRPr lang="en-US"/>
          </a:p>
        </c:txPr>
        <c:crossAx val="171951936"/>
        <c:crosses val="autoZero"/>
        <c:auto val="1"/>
        <c:lblAlgn val="ctr"/>
        <c:lblOffset val="100"/>
        <c:noMultiLvlLbl val="0"/>
      </c:catAx>
      <c:valAx>
        <c:axId val="171951936"/>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171951552"/>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solidFill>
            <a:schemeClr val="accent1"/>
          </a:solidFill>
        </a:ln>
      </c:spPr>
    </c:sideWall>
    <c:backWall>
      <c:thickness val="0"/>
      <c:spPr>
        <a:ln>
          <a:solidFill>
            <a:schemeClr val="accent1"/>
          </a:solidFill>
        </a:ln>
      </c:spPr>
    </c:backWall>
    <c:plotArea>
      <c:layout/>
      <c:bar3DChart>
        <c:barDir val="col"/>
        <c:grouping val="clustered"/>
        <c:varyColors val="0"/>
        <c:ser>
          <c:idx val="0"/>
          <c:order val="0"/>
          <c:tx>
            <c:strRef>
              <c:f>Sheet1!$A$10</c:f>
              <c:strCache>
                <c:ptCount val="1"/>
                <c:pt idx="0">
                  <c:v>2003</c:v>
                </c:pt>
              </c:strCache>
            </c:strRef>
          </c:tx>
          <c:invertIfNegative val="0"/>
          <c:cat>
            <c:strRef>
              <c:f>Sheet1!$B$9:$F$9</c:f>
              <c:strCache>
                <c:ptCount val="5"/>
                <c:pt idx="0">
                  <c:v>6.1 GHz</c:v>
                </c:pt>
                <c:pt idx="1">
                  <c:v>6.7 GHz</c:v>
                </c:pt>
                <c:pt idx="2">
                  <c:v>11 GHz</c:v>
                </c:pt>
                <c:pt idx="3">
                  <c:v>18 GHz</c:v>
                </c:pt>
                <c:pt idx="4">
                  <c:v>23 GHz</c:v>
                </c:pt>
              </c:strCache>
            </c:strRef>
          </c:cat>
          <c:val>
            <c:numRef>
              <c:f>Sheet1!$B$10:$F$10</c:f>
              <c:numCache>
                <c:formatCode>0</c:formatCode>
                <c:ptCount val="5"/>
                <c:pt idx="0">
                  <c:v>18524</c:v>
                </c:pt>
                <c:pt idx="1">
                  <c:v>14765</c:v>
                </c:pt>
                <c:pt idx="2">
                  <c:v>5079</c:v>
                </c:pt>
                <c:pt idx="3">
                  <c:v>3861</c:v>
                </c:pt>
                <c:pt idx="4">
                  <c:v>4056.5</c:v>
                </c:pt>
              </c:numCache>
            </c:numRef>
          </c:val>
        </c:ser>
        <c:ser>
          <c:idx val="1"/>
          <c:order val="1"/>
          <c:tx>
            <c:strRef>
              <c:f>Sheet1!$A$11</c:f>
              <c:strCache>
                <c:ptCount val="1"/>
                <c:pt idx="0">
                  <c:v>2008</c:v>
                </c:pt>
              </c:strCache>
            </c:strRef>
          </c:tx>
          <c:invertIfNegative val="0"/>
          <c:cat>
            <c:strRef>
              <c:f>Sheet1!$B$9:$F$9</c:f>
              <c:strCache>
                <c:ptCount val="5"/>
                <c:pt idx="0">
                  <c:v>6.1 GHz</c:v>
                </c:pt>
                <c:pt idx="1">
                  <c:v>6.7 GHz</c:v>
                </c:pt>
                <c:pt idx="2">
                  <c:v>11 GHz</c:v>
                </c:pt>
                <c:pt idx="3">
                  <c:v>18 GHz</c:v>
                </c:pt>
                <c:pt idx="4">
                  <c:v>23 GHz</c:v>
                </c:pt>
              </c:strCache>
            </c:strRef>
          </c:cat>
          <c:val>
            <c:numRef>
              <c:f>Sheet1!$B$11:$F$11</c:f>
              <c:numCache>
                <c:formatCode>0</c:formatCode>
                <c:ptCount val="5"/>
                <c:pt idx="0">
                  <c:v>19069.5</c:v>
                </c:pt>
                <c:pt idx="1">
                  <c:v>16769</c:v>
                </c:pt>
                <c:pt idx="2">
                  <c:v>11150.5</c:v>
                </c:pt>
                <c:pt idx="3">
                  <c:v>9345</c:v>
                </c:pt>
                <c:pt idx="4">
                  <c:v>6848.5</c:v>
                </c:pt>
              </c:numCache>
            </c:numRef>
          </c:val>
        </c:ser>
        <c:ser>
          <c:idx val="2"/>
          <c:order val="2"/>
          <c:tx>
            <c:strRef>
              <c:f>Sheet1!$A$12</c:f>
              <c:strCache>
                <c:ptCount val="1"/>
                <c:pt idx="0">
                  <c:v>2012</c:v>
                </c:pt>
              </c:strCache>
            </c:strRef>
          </c:tx>
          <c:invertIfNegative val="0"/>
          <c:cat>
            <c:strRef>
              <c:f>Sheet1!$B$9:$F$9</c:f>
              <c:strCache>
                <c:ptCount val="5"/>
                <c:pt idx="0">
                  <c:v>6.1 GHz</c:v>
                </c:pt>
                <c:pt idx="1">
                  <c:v>6.7 GHz</c:v>
                </c:pt>
                <c:pt idx="2">
                  <c:v>11 GHz</c:v>
                </c:pt>
                <c:pt idx="3">
                  <c:v>18 GHz</c:v>
                </c:pt>
                <c:pt idx="4">
                  <c:v>23 GHz</c:v>
                </c:pt>
              </c:strCache>
            </c:strRef>
          </c:cat>
          <c:val>
            <c:numRef>
              <c:f>Sheet1!$B$12:$F$12</c:f>
              <c:numCache>
                <c:formatCode>0</c:formatCode>
                <c:ptCount val="5"/>
                <c:pt idx="0">
                  <c:v>22975.5</c:v>
                </c:pt>
                <c:pt idx="1">
                  <c:v>16287</c:v>
                </c:pt>
                <c:pt idx="2">
                  <c:v>23979</c:v>
                </c:pt>
                <c:pt idx="3">
                  <c:v>19512</c:v>
                </c:pt>
                <c:pt idx="4">
                  <c:v>15913</c:v>
                </c:pt>
              </c:numCache>
            </c:numRef>
          </c:val>
        </c:ser>
        <c:dLbls>
          <c:showLegendKey val="0"/>
          <c:showVal val="0"/>
          <c:showCatName val="0"/>
          <c:showSerName val="0"/>
          <c:showPercent val="0"/>
          <c:showBubbleSize val="0"/>
        </c:dLbls>
        <c:gapWidth val="150"/>
        <c:shape val="cylinder"/>
        <c:axId val="172113376"/>
        <c:axId val="172084728"/>
        <c:axId val="0"/>
      </c:bar3DChart>
      <c:catAx>
        <c:axId val="172113376"/>
        <c:scaling>
          <c:orientation val="minMax"/>
        </c:scaling>
        <c:delete val="0"/>
        <c:axPos val="b"/>
        <c:title>
          <c:tx>
            <c:rich>
              <a:bodyPr/>
              <a:lstStyle/>
              <a:p>
                <a:pPr>
                  <a:defRPr lang="ja-JP" b="0"/>
                </a:pPr>
                <a:r>
                  <a:rPr lang="en-US" sz="1000" b="0" i="1" u="none" strike="noStrike" baseline="0"/>
                  <a:t>Data courtesy of Comsearch</a:t>
                </a:r>
                <a:endParaRPr lang="en-US" b="0"/>
              </a:p>
            </c:rich>
          </c:tx>
          <c:layout/>
          <c:overlay val="0"/>
        </c:title>
        <c:numFmt formatCode="General" sourceLinked="0"/>
        <c:majorTickMark val="out"/>
        <c:minorTickMark val="none"/>
        <c:tickLblPos val="nextTo"/>
        <c:txPr>
          <a:bodyPr/>
          <a:lstStyle/>
          <a:p>
            <a:pPr>
              <a:defRPr lang="ja-JP"/>
            </a:pPr>
            <a:endParaRPr lang="en-US"/>
          </a:p>
        </c:txPr>
        <c:crossAx val="172084728"/>
        <c:crosses val="autoZero"/>
        <c:auto val="1"/>
        <c:lblAlgn val="ctr"/>
        <c:lblOffset val="100"/>
        <c:noMultiLvlLbl val="0"/>
      </c:catAx>
      <c:valAx>
        <c:axId val="172084728"/>
        <c:scaling>
          <c:orientation val="minMax"/>
        </c:scaling>
        <c:delete val="0"/>
        <c:axPos val="l"/>
        <c:majorGridlines/>
        <c:numFmt formatCode="0" sourceLinked="1"/>
        <c:majorTickMark val="out"/>
        <c:minorTickMark val="none"/>
        <c:tickLblPos val="nextTo"/>
        <c:txPr>
          <a:bodyPr/>
          <a:lstStyle/>
          <a:p>
            <a:pPr>
              <a:defRPr lang="ja-JP"/>
            </a:pPr>
            <a:endParaRPr lang="en-US"/>
          </a:p>
        </c:txPr>
        <c:crossAx val="172113376"/>
        <c:crosses val="autoZero"/>
        <c:crossBetween val="between"/>
      </c:valAx>
    </c:plotArea>
    <c:legend>
      <c:legendPos val="r"/>
      <c:layout/>
      <c:overlay val="0"/>
      <c:txPr>
        <a:bodyPr/>
        <a:lstStyle/>
        <a:p>
          <a:pPr>
            <a:defRPr lang="ja-JP"/>
          </a:pPr>
          <a:endParaRPr lang="en-US"/>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0.70235</cdr:x>
      <cdr:y>0.40976</cdr:y>
    </cdr:from>
    <cdr:to>
      <cdr:x>0.94466</cdr:x>
      <cdr:y>0.4921</cdr:y>
    </cdr:to>
    <cdr:sp macro="" textlink="">
      <cdr:nvSpPr>
        <cdr:cNvPr id="3" name="TextBox 2"/>
        <cdr:cNvSpPr txBox="1"/>
      </cdr:nvSpPr>
      <cdr:spPr>
        <a:xfrm xmlns:a="http://schemas.openxmlformats.org/drawingml/2006/main">
          <a:off x="3505508" y="1287974"/>
          <a:ext cx="1209367" cy="258832"/>
        </a:xfrm>
        <a:prstGeom xmlns:a="http://schemas.openxmlformats.org/drawingml/2006/main" prst="rect">
          <a:avLst/>
        </a:prstGeom>
        <a:solidFill xmlns:a="http://schemas.openxmlformats.org/drawingml/2006/main">
          <a:schemeClr val="accent2">
            <a:lumMod val="75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smtClean="0"/>
            <a:t>3 - 8.5 GHz</a:t>
          </a:r>
          <a:endParaRPr lang="en-US" sz="1100" dirty="0"/>
        </a:p>
      </cdr:txBody>
    </cdr:sp>
  </cdr:relSizeAnchor>
  <cdr:relSizeAnchor xmlns:cdr="http://schemas.openxmlformats.org/drawingml/2006/chartDrawing">
    <cdr:from>
      <cdr:x>0.7042</cdr:x>
      <cdr:y>0.12268</cdr:y>
    </cdr:from>
    <cdr:to>
      <cdr:x>0.94715</cdr:x>
      <cdr:y>0.20909</cdr:y>
    </cdr:to>
    <cdr:sp macro="" textlink="">
      <cdr:nvSpPr>
        <cdr:cNvPr id="4" name="TextBox 1"/>
        <cdr:cNvSpPr txBox="1"/>
      </cdr:nvSpPr>
      <cdr:spPr>
        <a:xfrm xmlns:a="http://schemas.openxmlformats.org/drawingml/2006/main">
          <a:off x="3514725" y="385614"/>
          <a:ext cx="1212595" cy="271611"/>
        </a:xfrm>
        <a:prstGeom xmlns:a="http://schemas.openxmlformats.org/drawingml/2006/main" prst="rect">
          <a:avLst/>
        </a:prstGeom>
        <a:solidFill xmlns:a="http://schemas.openxmlformats.org/drawingml/2006/main">
          <a:schemeClr val="accent3"/>
        </a:solidFill>
      </cdr:spPr>
      <cdr:style>
        <a:lnRef xmlns:a="http://schemas.openxmlformats.org/drawingml/2006/main" idx="0">
          <a:schemeClr val="accent3"/>
        </a:lnRef>
        <a:fillRef xmlns:a="http://schemas.openxmlformats.org/drawingml/2006/main" idx="3">
          <a:schemeClr val="accent3"/>
        </a:fillRef>
        <a:effectRef xmlns:a="http://schemas.openxmlformats.org/drawingml/2006/main" idx="3">
          <a:schemeClr val="accent3"/>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smtClean="0"/>
            <a:t>8.5 - 15.5 GHz</a:t>
          </a:r>
          <a:endParaRPr lang="en-US" sz="1100" dirty="0"/>
        </a:p>
      </cdr:txBody>
    </cdr:sp>
  </cdr:relSizeAnchor>
  <cdr:relSizeAnchor xmlns:cdr="http://schemas.openxmlformats.org/drawingml/2006/chartDrawing">
    <cdr:from>
      <cdr:x>0.70992</cdr:x>
      <cdr:y>0.62121</cdr:y>
    </cdr:from>
    <cdr:to>
      <cdr:x>0.94466</cdr:x>
      <cdr:y>0.70909</cdr:y>
    </cdr:to>
    <cdr:sp macro="" textlink="">
      <cdr:nvSpPr>
        <cdr:cNvPr id="5" name="TextBox 2"/>
        <cdr:cNvSpPr txBox="1"/>
      </cdr:nvSpPr>
      <cdr:spPr>
        <a:xfrm xmlns:a="http://schemas.openxmlformats.org/drawingml/2006/main">
          <a:off x="3543301" y="1952625"/>
          <a:ext cx="1171574" cy="276225"/>
        </a:xfrm>
        <a:prstGeom xmlns:a="http://schemas.openxmlformats.org/drawingml/2006/main" prst="rect">
          <a:avLst/>
        </a:prstGeom>
        <a:solidFill xmlns:a="http://schemas.openxmlformats.org/drawingml/2006/main">
          <a:schemeClr val="accent6">
            <a:lumMod val="75000"/>
          </a:schemeClr>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smtClean="0"/>
            <a:t>15.5 - 23.6</a:t>
          </a:r>
          <a:r>
            <a:rPr lang="en-US" sz="1100" baseline="0" dirty="0" smtClean="0"/>
            <a:t> GHz</a:t>
          </a:r>
          <a:endParaRPr lang="en-US" sz="1100" dirty="0"/>
        </a:p>
      </cdr:txBody>
    </cdr:sp>
  </cdr:relSizeAnchor>
  <cdr:relSizeAnchor xmlns:cdr="http://schemas.openxmlformats.org/drawingml/2006/chartDrawing">
    <cdr:from>
      <cdr:x>0.70992</cdr:x>
      <cdr:y>0.75758</cdr:y>
    </cdr:from>
    <cdr:to>
      <cdr:x>0.94391</cdr:x>
      <cdr:y>0.84545</cdr:y>
    </cdr:to>
    <cdr:sp macro="" textlink="">
      <cdr:nvSpPr>
        <cdr:cNvPr id="6" name="TextBox 2"/>
        <cdr:cNvSpPr txBox="1"/>
      </cdr:nvSpPr>
      <cdr:spPr>
        <a:xfrm xmlns:a="http://schemas.openxmlformats.org/drawingml/2006/main">
          <a:off x="3543300" y="2381250"/>
          <a:ext cx="1167849" cy="276225"/>
        </a:xfrm>
        <a:prstGeom xmlns:a="http://schemas.openxmlformats.org/drawingml/2006/main" prst="rect">
          <a:avLst/>
        </a:prstGeom>
        <a:solidFill xmlns:a="http://schemas.openxmlformats.org/drawingml/2006/main">
          <a:schemeClr val="accent1"/>
        </a:solidFill>
      </cdr:spPr>
      <cdr:style>
        <a:lnRef xmlns:a="http://schemas.openxmlformats.org/drawingml/2006/main" idx="0">
          <a:schemeClr val="accent2"/>
        </a:lnRef>
        <a:fillRef xmlns:a="http://schemas.openxmlformats.org/drawingml/2006/main" idx="3">
          <a:schemeClr val="accent2"/>
        </a:fillRef>
        <a:effectRef xmlns:a="http://schemas.openxmlformats.org/drawingml/2006/main" idx="3">
          <a:schemeClr val="accent2"/>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pPr algn="ctr"/>
          <a:r>
            <a:rPr lang="en-US" sz="1100" dirty="0" smtClean="0"/>
            <a:t>1 - 3 GHz</a:t>
          </a:r>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0A45F-63ED-4933-AB0A-C90D099B4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111</TotalTime>
  <Pages>60</Pages>
  <Words>19175</Words>
  <Characters>109304</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128223</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Berdyeva, Elena</cp:lastModifiedBy>
  <cp:revision>43</cp:revision>
  <cp:lastPrinted>2015-03-13T13:57:00Z</cp:lastPrinted>
  <dcterms:created xsi:type="dcterms:W3CDTF">2010-07-23T07:24:00Z</dcterms:created>
  <dcterms:modified xsi:type="dcterms:W3CDTF">2015-03-13T13:57:00Z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