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CBA" w:rsidRPr="003C38EE" w:rsidRDefault="00F97CBA" w:rsidP="00197E2A">
      <w:pPr>
        <w:pStyle w:val="Heading1"/>
        <w:spacing w:before="300"/>
        <w:jc w:val="center"/>
        <w:rPr>
          <w:color w:val="000000"/>
          <w:lang w:val="fr-FR"/>
        </w:rPr>
      </w:pPr>
      <w:r w:rsidRPr="003C38EE">
        <w:rPr>
          <w:color w:val="000000"/>
          <w:lang w:val="fr-FR"/>
        </w:rPr>
        <w:t xml:space="preserve">PARTIE  </w:t>
      </w:r>
      <w:r w:rsidRPr="003C38EE">
        <w:rPr>
          <w:rStyle w:val="href"/>
          <w:color w:val="000000"/>
          <w:lang w:val="fr-FR"/>
        </w:rPr>
        <w:t>B</w:t>
      </w:r>
    </w:p>
    <w:p w:rsidR="00F97CBA" w:rsidRPr="003C38EE" w:rsidRDefault="00F97CBA">
      <w:pPr>
        <w:pStyle w:val="Heading2"/>
        <w:ind w:left="0" w:firstLine="0"/>
        <w:jc w:val="center"/>
        <w:rPr>
          <w:color w:val="000000"/>
          <w:lang w:val="fr-FR"/>
        </w:rPr>
      </w:pPr>
      <w:r w:rsidRPr="003C38EE">
        <w:rPr>
          <w:color w:val="000000"/>
          <w:lang w:val="fr-FR"/>
        </w:rPr>
        <w:t xml:space="preserve">SECTION  </w:t>
      </w:r>
      <w:r w:rsidRPr="003C38EE">
        <w:rPr>
          <w:rStyle w:val="href2"/>
          <w:color w:val="000000"/>
          <w:lang w:val="fr-FR"/>
        </w:rPr>
        <w:t>B3</w:t>
      </w:r>
    </w:p>
    <w:p w:rsidR="00F97CBA" w:rsidRPr="003C38EE" w:rsidRDefault="00F97CBA">
      <w:pPr>
        <w:pStyle w:val="Heading1"/>
        <w:ind w:left="0" w:firstLine="0"/>
        <w:jc w:val="center"/>
        <w:rPr>
          <w:color w:val="000000"/>
          <w:lang w:val="fr-FR"/>
        </w:rPr>
      </w:pPr>
      <w:r w:rsidRPr="003C38EE">
        <w:rPr>
          <w:color w:val="000000"/>
          <w:lang w:val="fr-FR"/>
        </w:rPr>
        <w:t>Règles relatives à la méthode de calcul pour la probabilité de</w:t>
      </w:r>
      <w:r w:rsidRPr="003C38EE">
        <w:rPr>
          <w:color w:val="000000"/>
          <w:lang w:val="fr-FR"/>
        </w:rPr>
        <w:br/>
        <w:t xml:space="preserve">brouillage préjudiciable entre réseaux à satellite (rapports </w:t>
      </w:r>
      <w:r w:rsidRPr="003C38EE">
        <w:rPr>
          <w:i/>
          <w:color w:val="000000"/>
          <w:lang w:val="fr-FR"/>
        </w:rPr>
        <w:t>C</w:t>
      </w:r>
      <w:r w:rsidRPr="003C38EE">
        <w:rPr>
          <w:color w:val="000000"/>
          <w:lang w:val="fr-FR"/>
        </w:rPr>
        <w:t>/</w:t>
      </w:r>
      <w:r w:rsidRPr="003C38EE">
        <w:rPr>
          <w:i/>
          <w:color w:val="000000"/>
          <w:lang w:val="fr-FR"/>
        </w:rPr>
        <w:t>I</w:t>
      </w:r>
      <w:r w:rsidR="00197E2A" w:rsidRPr="003C38EE">
        <w:rPr>
          <w:rFonts w:ascii="Tms Rmn" w:hAnsi="Tms Rmn"/>
          <w:iCs/>
          <w:color w:val="000000"/>
          <w:sz w:val="12"/>
          <w:lang w:val="fr-FR"/>
        </w:rPr>
        <w:t> </w:t>
      </w:r>
      <w:r w:rsidRPr="003C38EE">
        <w:rPr>
          <w:color w:val="000000"/>
          <w:lang w:val="fr-FR"/>
        </w:rPr>
        <w:t>)</w:t>
      </w:r>
    </w:p>
    <w:p w:rsidR="00F97CBA" w:rsidRPr="003C38EE" w:rsidRDefault="00F97CBA">
      <w:pPr>
        <w:pStyle w:val="Heading1"/>
        <w:rPr>
          <w:color w:val="000000"/>
          <w:lang w:val="fr-FR"/>
        </w:rPr>
      </w:pPr>
      <w:r w:rsidRPr="003C38EE">
        <w:rPr>
          <w:rStyle w:val="href"/>
          <w:color w:val="000000"/>
          <w:lang w:val="fr-FR"/>
        </w:rPr>
        <w:t>1</w:t>
      </w:r>
      <w:r w:rsidRPr="003C38EE">
        <w:rPr>
          <w:color w:val="000000"/>
          <w:lang w:val="fr-FR"/>
        </w:rPr>
        <w:tab/>
        <w:t>Introduction</w:t>
      </w:r>
    </w:p>
    <w:p w:rsidR="00F97CBA" w:rsidRPr="003C38EE" w:rsidRDefault="00F97CBA" w:rsidP="00197E2A">
      <w:pPr>
        <w:rPr>
          <w:color w:val="000000"/>
          <w:lang w:val="fr-FR"/>
        </w:rPr>
      </w:pPr>
      <w:r w:rsidRPr="003C38EE">
        <w:rPr>
          <w:color w:val="000000"/>
          <w:lang w:val="fr-FR"/>
        </w:rPr>
        <w:t xml:space="preserve">En application des dispositions du numéro </w:t>
      </w:r>
      <w:r w:rsidRPr="003C38EE">
        <w:rPr>
          <w:rStyle w:val="Artref"/>
          <w:b/>
          <w:color w:val="000000"/>
          <w:lang w:val="fr-FR"/>
        </w:rPr>
        <w:t>11.32A</w:t>
      </w:r>
      <w:r w:rsidRPr="003C38EE">
        <w:rPr>
          <w:color w:val="000000"/>
          <w:lang w:val="fr-FR"/>
        </w:rPr>
        <w:t xml:space="preserve">, lorsque, à la suite d'un désaccord persistant (numéros </w:t>
      </w:r>
      <w:r w:rsidRPr="003C38EE">
        <w:rPr>
          <w:rStyle w:val="Artref"/>
          <w:b/>
          <w:color w:val="000000"/>
          <w:lang w:val="fr-FR"/>
        </w:rPr>
        <w:t xml:space="preserve">9.63 </w:t>
      </w:r>
      <w:r w:rsidRPr="003C38EE">
        <w:rPr>
          <w:color w:val="000000"/>
          <w:lang w:val="fr-FR"/>
        </w:rPr>
        <w:t xml:space="preserve">à </w:t>
      </w:r>
      <w:r w:rsidRPr="003C38EE">
        <w:rPr>
          <w:rStyle w:val="Artref"/>
          <w:b/>
          <w:color w:val="000000"/>
          <w:lang w:val="fr-FR"/>
        </w:rPr>
        <w:t>9.65</w:t>
      </w:r>
      <w:r w:rsidRPr="003C38EE">
        <w:rPr>
          <w:color w:val="000000"/>
          <w:lang w:val="fr-FR"/>
        </w:rPr>
        <w:t>) entre deux administrations (ou un petit nombre d'admi</w:t>
      </w:r>
      <w:r w:rsidRPr="003C38EE">
        <w:rPr>
          <w:color w:val="000000"/>
          <w:lang w:val="fr-FR"/>
        </w:rPr>
        <w:softHyphen/>
        <w:t xml:space="preserve">nistrations), l'administration notificatrice demande au Bureau des radiocommunications, qu'en vertu du numéro </w:t>
      </w:r>
      <w:r w:rsidRPr="003C38EE">
        <w:rPr>
          <w:rStyle w:val="Artref"/>
          <w:b/>
          <w:color w:val="000000"/>
          <w:lang w:val="fr-FR"/>
        </w:rPr>
        <w:t>11.32A</w:t>
      </w:r>
      <w:r w:rsidRPr="003C38EE">
        <w:rPr>
          <w:color w:val="000000"/>
          <w:lang w:val="fr-FR"/>
        </w:rPr>
        <w:t xml:space="preserve"> un examen de la probabilité d'un brouillage préjudiciable soit effectué. Pour la méthode et les critères à utiliser pour évaluer les brouillages ainsi que pour les conclusions qui doivent être formulées concernant la coordination de leurs réseaux en vertu du numéro</w:t>
      </w:r>
      <w:r w:rsidR="00197E2A" w:rsidRPr="003C38EE">
        <w:rPr>
          <w:color w:val="000000"/>
          <w:lang w:val="fr-FR"/>
        </w:rPr>
        <w:t> </w:t>
      </w:r>
      <w:r w:rsidRPr="003C38EE">
        <w:rPr>
          <w:rStyle w:val="Artref"/>
          <w:b/>
          <w:color w:val="000000"/>
          <w:lang w:val="fr-FR"/>
        </w:rPr>
        <w:t>9.7</w:t>
      </w:r>
      <w:r w:rsidRPr="003C38EE">
        <w:rPr>
          <w:color w:val="000000"/>
          <w:lang w:val="fr-FR"/>
        </w:rPr>
        <w:t>, le Bureau procède comme suit.</w:t>
      </w:r>
    </w:p>
    <w:p w:rsidR="00F97CBA" w:rsidRPr="003C38EE" w:rsidRDefault="00F97CBA">
      <w:pPr>
        <w:pStyle w:val="Heading1"/>
        <w:rPr>
          <w:color w:val="000000"/>
          <w:u w:val="single"/>
          <w:lang w:val="fr-FR"/>
        </w:rPr>
      </w:pPr>
      <w:r w:rsidRPr="003C38EE">
        <w:rPr>
          <w:color w:val="000000"/>
          <w:lang w:val="fr-FR"/>
        </w:rPr>
        <w:t>2</w:t>
      </w:r>
      <w:r w:rsidRPr="003C38EE">
        <w:rPr>
          <w:color w:val="000000"/>
          <w:lang w:val="fr-FR"/>
        </w:rPr>
        <w:tab/>
        <w:t>Probabilité de brouillage préjudiciable</w:t>
      </w:r>
    </w:p>
    <w:p w:rsidR="00F97CBA" w:rsidRPr="003C38EE" w:rsidRDefault="00F97CBA">
      <w:pPr>
        <w:rPr>
          <w:color w:val="000000"/>
          <w:lang w:val="fr-FR"/>
        </w:rPr>
      </w:pPr>
      <w:r w:rsidRPr="003C38EE">
        <w:rPr>
          <w:color w:val="000000"/>
          <w:lang w:val="fr-FR"/>
        </w:rPr>
        <w:t>Dans l'accomplissement des tâches qui lui incombent pour appliquer les dispositions susmen</w:t>
      </w:r>
      <w:r w:rsidR="00197E2A" w:rsidRPr="003C38EE">
        <w:rPr>
          <w:color w:val="000000"/>
          <w:lang w:val="fr-FR"/>
        </w:rPr>
        <w:softHyphen/>
      </w:r>
      <w:r w:rsidRPr="003C38EE">
        <w:rPr>
          <w:color w:val="000000"/>
          <w:lang w:val="fr-FR"/>
        </w:rPr>
        <w:t>tionnées, le Bureau des radiocommunications procède comme suit:</w:t>
      </w:r>
    </w:p>
    <w:p w:rsidR="00F97CBA" w:rsidRPr="003C38EE" w:rsidRDefault="00F97CBA" w:rsidP="00197E2A">
      <w:pPr>
        <w:rPr>
          <w:color w:val="000000"/>
          <w:lang w:val="fr-FR"/>
        </w:rPr>
      </w:pPr>
      <w:r w:rsidRPr="003C38EE">
        <w:rPr>
          <w:color w:val="000000"/>
          <w:lang w:val="fr-FR"/>
        </w:rPr>
        <w:t>2.1</w:t>
      </w:r>
      <w:r w:rsidRPr="003C38EE">
        <w:rPr>
          <w:color w:val="000000"/>
          <w:lang w:val="fr-FR"/>
        </w:rPr>
        <w:tab/>
        <w:t>Il s'appuie sur la Recommandation UIT-R S.741-2 pour examiner les assignations en cause eu égard aux dispositions du numéro</w:t>
      </w:r>
      <w:r w:rsidR="00197E2A" w:rsidRPr="003C38EE">
        <w:rPr>
          <w:color w:val="000000"/>
          <w:lang w:val="fr-FR"/>
        </w:rPr>
        <w:t> </w:t>
      </w:r>
      <w:r w:rsidRPr="003C38EE">
        <w:rPr>
          <w:rStyle w:val="Artref"/>
          <w:b/>
          <w:color w:val="000000"/>
          <w:lang w:val="fr-FR"/>
        </w:rPr>
        <w:t>11.32A.</w:t>
      </w:r>
    </w:p>
    <w:p w:rsidR="00F97CBA" w:rsidRPr="003C38EE" w:rsidRDefault="00F97CBA" w:rsidP="00197E2A">
      <w:pPr>
        <w:rPr>
          <w:color w:val="000000"/>
          <w:spacing w:val="-2"/>
          <w:lang w:val="fr-FR"/>
        </w:rPr>
      </w:pPr>
      <w:r w:rsidRPr="003C38EE">
        <w:rPr>
          <w:color w:val="000000"/>
          <w:spacing w:val="-2"/>
          <w:lang w:val="fr-FR"/>
        </w:rPr>
        <w:t>2.2</w:t>
      </w:r>
      <w:r w:rsidRPr="003C38EE">
        <w:rPr>
          <w:color w:val="000000"/>
          <w:spacing w:val="-2"/>
          <w:lang w:val="fr-FR"/>
        </w:rPr>
        <w:tab/>
        <w:t>Le Bureau des radiocommunications utilise les critères de brouillage acceptable décidés d'un commun accord qui sont indiqués par les administrations concernées selon la présentation reproduite au Tableau 2 de la Recommandation UIT</w:t>
      </w:r>
      <w:r w:rsidRPr="003C38EE">
        <w:rPr>
          <w:color w:val="000000"/>
          <w:spacing w:val="-2"/>
          <w:lang w:val="fr-FR"/>
        </w:rPr>
        <w:noBreakHyphen/>
        <w:t>R</w:t>
      </w:r>
      <w:r w:rsidR="00197E2A" w:rsidRPr="003C38EE">
        <w:rPr>
          <w:color w:val="000000"/>
          <w:spacing w:val="-2"/>
          <w:lang w:val="fr-FR"/>
        </w:rPr>
        <w:t xml:space="preserve"> </w:t>
      </w:r>
      <w:r w:rsidRPr="003C38EE">
        <w:rPr>
          <w:color w:val="000000"/>
          <w:spacing w:val="-2"/>
          <w:lang w:val="fr-FR"/>
        </w:rPr>
        <w:t>S.741</w:t>
      </w:r>
      <w:r w:rsidRPr="003C38EE">
        <w:rPr>
          <w:color w:val="000000"/>
          <w:spacing w:val="-2"/>
          <w:lang w:val="fr-FR"/>
        </w:rPr>
        <w:noBreakHyphen/>
        <w:t>2. En l'absence de telles informations, il utilise les limites du brouillage dû à une source unique définies dans le Tableau 2 du § 3.2 ci</w:t>
      </w:r>
      <w:r w:rsidRPr="003C38EE">
        <w:rPr>
          <w:color w:val="000000"/>
          <w:spacing w:val="-2"/>
          <w:lang w:val="fr-FR"/>
        </w:rPr>
        <w:noBreakHyphen/>
        <w:t>après, qui est extrait du Tableau 2 de la Recommandation UIT</w:t>
      </w:r>
      <w:r w:rsidR="00197E2A" w:rsidRPr="003C38EE">
        <w:rPr>
          <w:color w:val="000000"/>
          <w:spacing w:val="-2"/>
          <w:lang w:val="fr-FR"/>
        </w:rPr>
        <w:noBreakHyphen/>
      </w:r>
      <w:r w:rsidRPr="003C38EE">
        <w:rPr>
          <w:color w:val="000000"/>
          <w:spacing w:val="-2"/>
          <w:lang w:val="fr-FR"/>
        </w:rPr>
        <w:t>R</w:t>
      </w:r>
      <w:r w:rsidR="00197E2A" w:rsidRPr="003C38EE">
        <w:rPr>
          <w:color w:val="000000"/>
          <w:spacing w:val="-2"/>
          <w:lang w:val="fr-FR"/>
        </w:rPr>
        <w:t> </w:t>
      </w:r>
      <w:r w:rsidRPr="003C38EE">
        <w:rPr>
          <w:color w:val="000000"/>
          <w:spacing w:val="-2"/>
          <w:lang w:val="fr-FR"/>
        </w:rPr>
        <w:t>S.741</w:t>
      </w:r>
      <w:r w:rsidRPr="003C38EE">
        <w:rPr>
          <w:color w:val="000000"/>
          <w:spacing w:val="-2"/>
          <w:lang w:val="fr-FR"/>
        </w:rPr>
        <w:noBreakHyphen/>
        <w:t>2, ainsi que les informations soumises conformément à l'Appendice</w:t>
      </w:r>
      <w:r w:rsidR="00197E2A" w:rsidRPr="003C38EE">
        <w:rPr>
          <w:color w:val="000000"/>
          <w:spacing w:val="-2"/>
          <w:lang w:val="fr-FR"/>
        </w:rPr>
        <w:t> </w:t>
      </w:r>
      <w:r w:rsidRPr="003C38EE">
        <w:rPr>
          <w:b/>
          <w:bCs/>
          <w:color w:val="000000"/>
          <w:spacing w:val="-2"/>
          <w:lang w:val="fr-FR"/>
        </w:rPr>
        <w:t>4</w:t>
      </w:r>
      <w:r w:rsidRPr="003C38EE">
        <w:rPr>
          <w:color w:val="000000"/>
          <w:spacing w:val="-2"/>
          <w:lang w:val="fr-FR"/>
        </w:rPr>
        <w:t>.</w:t>
      </w:r>
    </w:p>
    <w:p w:rsidR="00F97CBA" w:rsidRPr="003C38EE" w:rsidRDefault="00F97CBA">
      <w:pPr>
        <w:rPr>
          <w:color w:val="000000"/>
          <w:lang w:val="fr-FR"/>
        </w:rPr>
      </w:pPr>
      <w:r w:rsidRPr="003C38EE">
        <w:rPr>
          <w:color w:val="000000"/>
          <w:lang w:val="fr-FR"/>
        </w:rPr>
        <w:t>2.2.1</w:t>
      </w:r>
      <w:r w:rsidRPr="003C38EE">
        <w:rPr>
          <w:color w:val="000000"/>
          <w:lang w:val="fr-FR"/>
        </w:rPr>
        <w:tab/>
        <w:t>Lorsque cette information est fournie par les administrations concernées:</w:t>
      </w:r>
    </w:p>
    <w:p w:rsidR="00F97CBA" w:rsidRPr="003C38EE" w:rsidRDefault="00F97CBA" w:rsidP="00197E2A">
      <w:pPr>
        <w:pStyle w:val="enumlev1"/>
        <w:rPr>
          <w:color w:val="000000"/>
          <w:lang w:val="fr-FR"/>
        </w:rPr>
      </w:pPr>
      <w:r w:rsidRPr="003C38EE">
        <w:rPr>
          <w:i/>
          <w:color w:val="000000"/>
          <w:lang w:val="fr-FR"/>
        </w:rPr>
        <w:t>a)</w:t>
      </w:r>
      <w:r w:rsidRPr="003C38EE">
        <w:rPr>
          <w:color w:val="000000"/>
          <w:lang w:val="fr-FR"/>
        </w:rPr>
        <w:tab/>
        <w:t xml:space="preserve">La probabilité de brouillage préjudiciable est jugée négligeable si le calcul de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montre que les critères applicables pour un examen donné entre deux réseaux sont satisfaits. La conclusion portée dans la Colonne</w:t>
      </w:r>
      <w:r w:rsidR="00197E2A" w:rsidRPr="003C38EE">
        <w:rPr>
          <w:color w:val="000000"/>
          <w:lang w:val="fr-FR"/>
        </w:rPr>
        <w:t> </w:t>
      </w:r>
      <w:r w:rsidRPr="003C38EE">
        <w:rPr>
          <w:color w:val="000000"/>
          <w:lang w:val="fr-FR"/>
        </w:rPr>
        <w:t>13A3 est alors favorable.</w:t>
      </w:r>
    </w:p>
    <w:p w:rsidR="00F97CBA" w:rsidRPr="003C38EE" w:rsidRDefault="00F97CBA" w:rsidP="00197E2A">
      <w:pPr>
        <w:pStyle w:val="enumlev1"/>
        <w:rPr>
          <w:color w:val="000000"/>
          <w:lang w:val="fr-FR"/>
        </w:rPr>
      </w:pPr>
      <w:r w:rsidRPr="003C38EE">
        <w:rPr>
          <w:i/>
          <w:color w:val="000000"/>
          <w:lang w:val="fr-FR"/>
        </w:rPr>
        <w:t>b)</w:t>
      </w:r>
      <w:r w:rsidRPr="003C38EE">
        <w:rPr>
          <w:color w:val="000000"/>
          <w:lang w:val="fr-FR"/>
        </w:rPr>
        <w:tab/>
        <w:t>La probabilité de brouillage préjudiciable est jugée non négligeable si le calcul de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montre que les critères applicables pour un examen donné entre deux réseaux ne sont pas satisfaits. La conclusion portée dans la Colonne</w:t>
      </w:r>
      <w:r w:rsidR="00197E2A" w:rsidRPr="003C38EE">
        <w:rPr>
          <w:color w:val="000000"/>
          <w:lang w:val="fr-FR"/>
        </w:rPr>
        <w:t> </w:t>
      </w:r>
      <w:r w:rsidRPr="003C38EE">
        <w:rPr>
          <w:color w:val="000000"/>
          <w:lang w:val="fr-FR"/>
        </w:rPr>
        <w:t>13A3 est alors défavorable.</w:t>
      </w:r>
    </w:p>
    <w:p w:rsidR="00F97CBA" w:rsidRPr="003C38EE" w:rsidRDefault="00F97CBA">
      <w:pPr>
        <w:pStyle w:val="enumlev1"/>
        <w:ind w:left="0" w:firstLine="0"/>
        <w:rPr>
          <w:color w:val="000000"/>
          <w:lang w:val="fr-FR"/>
        </w:rPr>
      </w:pPr>
      <w:r w:rsidRPr="003C38EE">
        <w:rPr>
          <w:color w:val="000000"/>
          <w:lang w:val="fr-FR"/>
        </w:rPr>
        <w:br w:type="page"/>
      </w:r>
      <w:r w:rsidRPr="003C38EE">
        <w:rPr>
          <w:color w:val="000000"/>
          <w:lang w:val="fr-FR"/>
        </w:rPr>
        <w:lastRenderedPageBreak/>
        <w:t>2.2.2</w:t>
      </w:r>
      <w:r w:rsidRPr="003C38EE">
        <w:rPr>
          <w:color w:val="000000"/>
          <w:lang w:val="fr-FR"/>
        </w:rPr>
        <w:tab/>
        <w:t>Lorsque cette information n'est pas fournie par les administrations concernées:</w:t>
      </w:r>
    </w:p>
    <w:p w:rsidR="00F97CBA" w:rsidRPr="003C38EE" w:rsidRDefault="00F97CBA" w:rsidP="00197E2A">
      <w:pPr>
        <w:pStyle w:val="enumlev1"/>
        <w:rPr>
          <w:color w:val="000000"/>
          <w:lang w:val="fr-FR"/>
        </w:rPr>
      </w:pPr>
      <w:r w:rsidRPr="003C38EE">
        <w:rPr>
          <w:i/>
          <w:color w:val="000000"/>
          <w:lang w:val="fr-FR"/>
        </w:rPr>
        <w:t>a)</w:t>
      </w:r>
      <w:r w:rsidRPr="003C38EE">
        <w:rPr>
          <w:color w:val="000000"/>
          <w:lang w:val="fr-FR"/>
        </w:rPr>
        <w:tab/>
        <w:t>La probabilité de brouillage préjudiciable est jugée négligeable si le brouillage est inférieur ou égal aux limites du brouillage dû à une source unique indiquées au Tableau 2 du § 2. La conclusion portée dans la Colonne</w:t>
      </w:r>
      <w:r w:rsidR="00197E2A" w:rsidRPr="003C38EE">
        <w:rPr>
          <w:color w:val="000000"/>
          <w:lang w:val="fr-FR"/>
        </w:rPr>
        <w:t> </w:t>
      </w:r>
      <w:r w:rsidRPr="003C38EE">
        <w:rPr>
          <w:color w:val="000000"/>
          <w:lang w:val="fr-FR"/>
        </w:rPr>
        <w:t>13A3 est alors favorable.</w:t>
      </w:r>
    </w:p>
    <w:p w:rsidR="00F97CBA" w:rsidRPr="003C38EE" w:rsidRDefault="00F97CBA" w:rsidP="009E626A">
      <w:pPr>
        <w:pStyle w:val="enumlev1"/>
        <w:rPr>
          <w:color w:val="000000"/>
          <w:lang w:val="fr-FR"/>
        </w:rPr>
      </w:pPr>
      <w:r w:rsidRPr="003C38EE">
        <w:rPr>
          <w:i/>
          <w:color w:val="000000"/>
          <w:lang w:val="fr-FR"/>
        </w:rPr>
        <w:t>b)</w:t>
      </w:r>
      <w:r w:rsidRPr="003C38EE">
        <w:rPr>
          <w:color w:val="000000"/>
          <w:lang w:val="fr-FR"/>
        </w:rPr>
        <w:tab/>
        <w:t xml:space="preserve">La probabilité de brouillage préjudiciable est jugée non négligeable si le brouillage est supérieur aux limites du brouillage dû à une source unique indiquées au Tableau 2 du </w:t>
      </w:r>
      <w:r w:rsidR="009E626A" w:rsidRPr="009E626A">
        <w:rPr>
          <w:color w:val="000000"/>
        </w:rPr>
        <w:t>§ 3.2</w:t>
      </w:r>
      <w:r w:rsidRPr="003C38EE">
        <w:rPr>
          <w:color w:val="000000"/>
          <w:lang w:val="fr-FR"/>
        </w:rPr>
        <w:t>. La conclusion portée dans la Colonne</w:t>
      </w:r>
      <w:r w:rsidR="00197E2A" w:rsidRPr="003C38EE">
        <w:rPr>
          <w:color w:val="000000"/>
          <w:lang w:val="fr-FR"/>
        </w:rPr>
        <w:t> </w:t>
      </w:r>
      <w:r w:rsidRPr="003C38EE">
        <w:rPr>
          <w:color w:val="000000"/>
          <w:lang w:val="fr-FR"/>
        </w:rPr>
        <w:t>13A3 est alors défavorable.</w:t>
      </w:r>
      <w:r w:rsidRPr="003C38EE">
        <w:rPr>
          <w:lang w:val="fr-FR"/>
        </w:rPr>
        <w:t xml:space="preserve"> </w:t>
      </w:r>
    </w:p>
    <w:p w:rsidR="00F97CBA" w:rsidRPr="003C38EE" w:rsidRDefault="00F97CBA">
      <w:pPr>
        <w:pStyle w:val="Heading1"/>
        <w:rPr>
          <w:color w:val="000000"/>
          <w:lang w:val="fr-FR"/>
        </w:rPr>
      </w:pPr>
      <w:r w:rsidRPr="003C38EE">
        <w:rPr>
          <w:color w:val="000000"/>
          <w:lang w:val="fr-FR"/>
        </w:rPr>
        <w:t>3</w:t>
      </w:r>
      <w:r w:rsidRPr="003C38EE">
        <w:rPr>
          <w:color w:val="000000"/>
          <w:lang w:val="fr-FR"/>
        </w:rPr>
        <w:tab/>
        <w:t>Méthode</w:t>
      </w:r>
    </w:p>
    <w:p w:rsidR="00F97CBA" w:rsidRPr="003C38EE" w:rsidRDefault="00F97CBA">
      <w:pPr>
        <w:rPr>
          <w:color w:val="000000"/>
          <w:lang w:val="fr-FR"/>
        </w:rPr>
      </w:pPr>
      <w:r w:rsidRPr="003C38EE">
        <w:rPr>
          <w:color w:val="000000"/>
          <w:lang w:val="fr-FR"/>
        </w:rPr>
        <w:t>Pour procéder à l'analyse de compatibilité, on applique la méthode suivante.</w:t>
      </w:r>
    </w:p>
    <w:p w:rsidR="00F97CBA" w:rsidRPr="003C38EE" w:rsidRDefault="00F97CBA" w:rsidP="00197E2A">
      <w:pPr>
        <w:rPr>
          <w:color w:val="000000"/>
          <w:lang w:val="fr-FR"/>
        </w:rPr>
      </w:pPr>
      <w:r w:rsidRPr="003C38EE">
        <w:rPr>
          <w:color w:val="000000"/>
          <w:lang w:val="fr-FR"/>
        </w:rPr>
        <w:t xml:space="preserve">Cette méthode est fondée sur la Recommandation UIT-R S.741-2. On procède à une série de calculs du rapport </w:t>
      </w:r>
      <w:r w:rsidRPr="003C38EE">
        <w:rPr>
          <w:iCs/>
          <w:color w:val="000000"/>
          <w:lang w:val="fr-FR"/>
        </w:rPr>
        <w:t>porteuse-brouillage</w:t>
      </w:r>
      <w:r w:rsidRPr="003C38EE">
        <w:rPr>
          <w:color w:val="000000"/>
          <w:lang w:val="fr-FR"/>
        </w:rPr>
        <w:t xml:space="preserve"> (</w:t>
      </w:r>
      <w:r w:rsidRPr="003C38EE">
        <w:rPr>
          <w:i/>
          <w:color w:val="000000"/>
          <w:lang w:val="fr-FR"/>
        </w:rPr>
        <w:t>C</w:t>
      </w:r>
      <w:r w:rsidRPr="003C38EE">
        <w:rPr>
          <w:color w:val="000000"/>
          <w:lang w:val="fr-FR"/>
        </w:rPr>
        <w:t>/</w:t>
      </w:r>
      <w:r w:rsidRPr="003C38EE">
        <w:rPr>
          <w:i/>
          <w:color w:val="000000"/>
          <w:lang w:val="fr-FR"/>
        </w:rPr>
        <w:t>I</w:t>
      </w:r>
      <w:r w:rsidR="00197E2A" w:rsidRPr="003C38EE">
        <w:rPr>
          <w:rFonts w:ascii="Tms Rmn" w:hAnsi="Tms Rmn"/>
          <w:iCs/>
          <w:color w:val="000000"/>
          <w:sz w:val="12"/>
          <w:lang w:val="fr-FR"/>
        </w:rPr>
        <w:t> </w:t>
      </w:r>
      <w:r w:rsidRPr="003C38EE">
        <w:rPr>
          <w:iCs/>
          <w:color w:val="000000"/>
          <w:lang w:val="fr-FR"/>
        </w:rPr>
        <w:t>)</w:t>
      </w:r>
      <w:r w:rsidR="00197E2A" w:rsidRPr="003C38EE">
        <w:rPr>
          <w:iCs/>
          <w:color w:val="000000"/>
          <w:lang w:val="fr-FR"/>
        </w:rPr>
        <w:t xml:space="preserve"> </w:t>
      </w:r>
      <w:r w:rsidRPr="003C38EE">
        <w:rPr>
          <w:color w:val="000000"/>
          <w:lang w:val="fr-FR"/>
        </w:rPr>
        <w:t>en suivant les considérations géométriques de la Recommandation</w:t>
      </w:r>
      <w:r w:rsidR="00197E2A" w:rsidRPr="003C38EE">
        <w:rPr>
          <w:color w:val="000000"/>
          <w:lang w:val="fr-FR"/>
        </w:rPr>
        <w:t xml:space="preserve"> </w:t>
      </w:r>
      <w:r w:rsidRPr="003C38EE">
        <w:rPr>
          <w:color w:val="000000"/>
          <w:lang w:val="fr-FR"/>
        </w:rPr>
        <w:t xml:space="preserve">UIT-R S.740, et l'on calcule un </w:t>
      </w:r>
      <w:r w:rsidRPr="003C38EE">
        <w:rPr>
          <w:iCs/>
          <w:color w:val="000000"/>
          <w:lang w:val="fr-FR"/>
        </w:rPr>
        <w:t>facteur d'ajustement du brouillage</w:t>
      </w:r>
      <w:r w:rsidRPr="003C38EE">
        <w:rPr>
          <w:color w:val="000000"/>
          <w:lang w:val="fr-FR"/>
        </w:rPr>
        <w:t xml:space="preserve">, selon les modalités ci-après, pour tenir compte des situations de décalage de fréquence ainsi que de la différence de largeur de bande entre la porteuse utile et la porteuse brouilleuse. On compare ensuite ces valeurs de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avec les valeurs de </w:t>
      </w:r>
      <w:r w:rsidRPr="003C38EE">
        <w:rPr>
          <w:i/>
          <w:color w:val="000000"/>
          <w:lang w:val="fr-FR"/>
        </w:rPr>
        <w:t>C</w:t>
      </w:r>
      <w:r w:rsidRPr="003C38EE">
        <w:rPr>
          <w:color w:val="000000"/>
          <w:lang w:val="fr-FR"/>
        </w:rPr>
        <w:t>/</w:t>
      </w:r>
      <w:r w:rsidRPr="003C38EE">
        <w:rPr>
          <w:i/>
          <w:color w:val="000000"/>
          <w:lang w:val="fr-FR"/>
        </w:rPr>
        <w:t xml:space="preserve">I </w:t>
      </w:r>
      <w:r w:rsidRPr="003C38EE">
        <w:rPr>
          <w:iCs/>
          <w:color w:val="000000"/>
          <w:lang w:val="fr-FR"/>
        </w:rPr>
        <w:t>utile</w:t>
      </w:r>
      <w:r w:rsidRPr="003C38EE">
        <w:rPr>
          <w:color w:val="000000"/>
          <w:lang w:val="fr-FR"/>
        </w:rPr>
        <w:t xml:space="preserve"> tirées des critères figurant au Tableau 2 du §</w:t>
      </w:r>
      <w:r w:rsidR="00197E2A" w:rsidRPr="003C38EE">
        <w:rPr>
          <w:color w:val="000000"/>
          <w:lang w:val="fr-FR"/>
        </w:rPr>
        <w:t> </w:t>
      </w:r>
      <w:r w:rsidRPr="003C38EE">
        <w:rPr>
          <w:color w:val="000000"/>
          <w:lang w:val="fr-FR"/>
        </w:rPr>
        <w:t xml:space="preserve">3.2 ci-après, qui présente une série de critères de brouillage dû à une source unique pour protéger différents types de porteuses. Dans le cas des valeurs du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utile approuvées par les administrations et communiquées au Bureau, on compare la valeur du </w:t>
      </w:r>
      <w:r w:rsidRPr="003C38EE">
        <w:rPr>
          <w:i/>
          <w:iCs/>
          <w:color w:val="000000"/>
          <w:lang w:val="fr-FR"/>
        </w:rPr>
        <w:t>C</w:t>
      </w:r>
      <w:r w:rsidRPr="003C38EE">
        <w:rPr>
          <w:color w:val="000000"/>
          <w:lang w:val="fr-FR"/>
        </w:rPr>
        <w:t>/</w:t>
      </w:r>
      <w:r w:rsidRPr="003C38EE">
        <w:rPr>
          <w:i/>
          <w:iCs/>
          <w:color w:val="000000"/>
          <w:lang w:val="fr-FR"/>
        </w:rPr>
        <w:t>I</w:t>
      </w:r>
      <w:r w:rsidRPr="003C38EE">
        <w:rPr>
          <w:color w:val="000000"/>
          <w:lang w:val="fr-FR"/>
        </w:rPr>
        <w:t xml:space="preserve"> calculée avec les valeurs du </w:t>
      </w:r>
      <w:r w:rsidRPr="003C38EE">
        <w:rPr>
          <w:i/>
          <w:iCs/>
          <w:color w:val="000000"/>
          <w:lang w:val="fr-FR"/>
        </w:rPr>
        <w:t>C</w:t>
      </w:r>
      <w:r w:rsidRPr="003C38EE">
        <w:rPr>
          <w:color w:val="000000"/>
          <w:lang w:val="fr-FR"/>
        </w:rPr>
        <w:t>/</w:t>
      </w:r>
      <w:r w:rsidRPr="003C38EE">
        <w:rPr>
          <w:i/>
          <w:iCs/>
          <w:color w:val="000000"/>
          <w:lang w:val="fr-FR"/>
        </w:rPr>
        <w:t>I</w:t>
      </w:r>
      <w:r w:rsidRPr="003C38EE">
        <w:rPr>
          <w:color w:val="000000"/>
          <w:lang w:val="fr-FR"/>
        </w:rPr>
        <w:t xml:space="preserve"> décidées d'un commun accord.</w:t>
      </w:r>
    </w:p>
    <w:p w:rsidR="00F97CBA" w:rsidRPr="003C38EE" w:rsidRDefault="00F97CBA" w:rsidP="00197E2A">
      <w:pPr>
        <w:rPr>
          <w:color w:val="000000"/>
          <w:lang w:val="fr-FR"/>
        </w:rPr>
      </w:pPr>
      <w:r w:rsidRPr="003C38EE">
        <w:rPr>
          <w:color w:val="000000"/>
          <w:lang w:val="fr-FR"/>
        </w:rPr>
        <w:t xml:space="preserve">Ensuite, on calcule une série de marges </w:t>
      </w:r>
      <w:r w:rsidRPr="003C38EE">
        <w:rPr>
          <w:i/>
          <w:color w:val="000000"/>
          <w:lang w:val="fr-FR"/>
        </w:rPr>
        <w:t>M</w:t>
      </w:r>
      <w:r w:rsidRPr="003C38EE">
        <w:rPr>
          <w:color w:val="000000"/>
          <w:lang w:val="fr-FR"/>
        </w:rPr>
        <w:t xml:space="preserv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calculé –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utile). Il convient de noter que pour évaluer le rapport utile, on utilise une série d'objectifs de rapports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(qualité) et l'on ajoute une valeur </w:t>
      </w:r>
      <w:r w:rsidRPr="003C38EE">
        <w:rPr>
          <w:i/>
          <w:color w:val="000000"/>
          <w:lang w:val="fr-FR"/>
        </w:rPr>
        <w:t>K</w:t>
      </w:r>
      <w:r w:rsidRPr="003C38EE">
        <w:rPr>
          <w:color w:val="000000"/>
          <w:lang w:val="fr-FR"/>
        </w:rPr>
        <w:t>, en général de 12,2 ou 14,0 dB, conformément au Tableau 2 du § 3.2 ci</w:t>
      </w:r>
      <w:r w:rsidRPr="003C38EE">
        <w:rPr>
          <w:color w:val="000000"/>
          <w:lang w:val="fr-FR"/>
        </w:rPr>
        <w:noBreakHyphen/>
        <w:t xml:space="preserve">après. A noter aussi que ces valeurs correspondent à un brouillage maximum admissible de 6% ou 4% de la puissance de bruit totale </w:t>
      </w:r>
      <w:r w:rsidRPr="003C38EE">
        <w:rPr>
          <w:i/>
          <w:color w:val="000000"/>
          <w:lang w:val="fr-FR"/>
        </w:rPr>
        <w:t>N</w:t>
      </w:r>
      <w:r w:rsidRPr="003C38EE">
        <w:rPr>
          <w:color w:val="000000"/>
          <w:lang w:val="fr-FR"/>
        </w:rPr>
        <w:t xml:space="preserve"> des assignations protégées (qualité). On utilisera les objectifs de </w:t>
      </w:r>
      <w:r w:rsidRPr="003C38EE">
        <w:rPr>
          <w:i/>
          <w:iCs/>
          <w:color w:val="000000"/>
          <w:lang w:val="fr-FR"/>
        </w:rPr>
        <w:t>C</w:t>
      </w:r>
      <w:r w:rsidRPr="003C38EE">
        <w:rPr>
          <w:color w:val="000000"/>
          <w:lang w:val="fr-FR"/>
        </w:rPr>
        <w:t>/</w:t>
      </w:r>
      <w:r w:rsidRPr="003C38EE">
        <w:rPr>
          <w:i/>
          <w:iCs/>
          <w:color w:val="000000"/>
          <w:lang w:val="fr-FR"/>
        </w:rPr>
        <w:t>N</w:t>
      </w:r>
      <w:r w:rsidRPr="003C38EE">
        <w:rPr>
          <w:color w:val="000000"/>
          <w:lang w:val="fr-FR"/>
        </w:rPr>
        <w:t>, soumis au Bureau conformément à l'Appendice</w:t>
      </w:r>
      <w:r w:rsidR="00197E2A" w:rsidRPr="003C38EE">
        <w:rPr>
          <w:color w:val="000000"/>
          <w:lang w:val="fr-FR"/>
        </w:rPr>
        <w:t xml:space="preserve"> </w:t>
      </w:r>
      <w:r w:rsidRPr="003C38EE">
        <w:rPr>
          <w:b/>
          <w:bCs/>
          <w:color w:val="000000"/>
          <w:lang w:val="fr-FR"/>
        </w:rPr>
        <w:t>4</w:t>
      </w:r>
      <w:r w:rsidRPr="003C38EE">
        <w:rPr>
          <w:color w:val="000000"/>
          <w:lang w:val="fr-FR"/>
        </w:rPr>
        <w:t xml:space="preserve"> (point C.8.e.1 de l'Annexe 2) par l'administration responsable du réseau à satellite en cours d'examen, pour évaluer la probabilité de brouillage préjudiciable causé à ce réseau à satellite. Pour évaluer la probabilité de brouillage préjudiciable causé par ce réseau à satellite à d'autres réseaux à satellite, on utilisera les objectifs de </w:t>
      </w:r>
      <w:r w:rsidRPr="003C38EE">
        <w:rPr>
          <w:i/>
          <w:iCs/>
          <w:color w:val="000000"/>
          <w:lang w:val="fr-FR"/>
        </w:rPr>
        <w:t>C</w:t>
      </w:r>
      <w:r w:rsidRPr="003C38EE">
        <w:rPr>
          <w:color w:val="000000"/>
          <w:lang w:val="fr-FR"/>
        </w:rPr>
        <w:t>/</w:t>
      </w:r>
      <w:r w:rsidRPr="003C38EE">
        <w:rPr>
          <w:i/>
          <w:iCs/>
          <w:color w:val="000000"/>
          <w:lang w:val="fr-FR"/>
        </w:rPr>
        <w:t>N</w:t>
      </w:r>
      <w:r w:rsidRPr="003C38EE">
        <w:rPr>
          <w:color w:val="000000"/>
          <w:lang w:val="fr-FR"/>
        </w:rPr>
        <w:t xml:space="preserve"> soumis par les administrations responsables de ces autres réseaux uniquement s'ils sont inférieurs aux valeurs correspondantes de </w:t>
      </w:r>
      <w:r w:rsidRPr="003C38EE">
        <w:rPr>
          <w:i/>
          <w:iCs/>
          <w:color w:val="000000"/>
          <w:lang w:val="fr-FR"/>
        </w:rPr>
        <w:t>C</w:t>
      </w:r>
      <w:r w:rsidRPr="003C38EE">
        <w:rPr>
          <w:color w:val="000000"/>
          <w:lang w:val="fr-FR"/>
        </w:rPr>
        <w:t>/</w:t>
      </w:r>
      <w:r w:rsidRPr="003C38EE">
        <w:rPr>
          <w:i/>
          <w:iCs/>
          <w:color w:val="000000"/>
          <w:lang w:val="fr-FR"/>
        </w:rPr>
        <w:t>N</w:t>
      </w:r>
      <w:r w:rsidRPr="003C38EE">
        <w:rPr>
          <w:color w:val="000000"/>
          <w:lang w:val="fr-FR"/>
        </w:rPr>
        <w:t xml:space="preserve"> calculées pour ces réseaux. Dans le cas contraire, on utilisera les valeurs de </w:t>
      </w:r>
      <w:r w:rsidRPr="003C38EE">
        <w:rPr>
          <w:i/>
          <w:iCs/>
          <w:color w:val="000000"/>
          <w:lang w:val="fr-FR"/>
        </w:rPr>
        <w:t>C</w:t>
      </w:r>
      <w:r w:rsidRPr="003C38EE">
        <w:rPr>
          <w:color w:val="000000"/>
          <w:lang w:val="fr-FR"/>
        </w:rPr>
        <w:t>/</w:t>
      </w:r>
      <w:r w:rsidRPr="003C38EE">
        <w:rPr>
          <w:i/>
          <w:iCs/>
          <w:color w:val="000000"/>
          <w:lang w:val="fr-FR"/>
        </w:rPr>
        <w:t>N</w:t>
      </w:r>
      <w:r w:rsidRPr="003C38EE">
        <w:rPr>
          <w:color w:val="000000"/>
          <w:lang w:val="fr-FR"/>
        </w:rPr>
        <w:t xml:space="preserve"> calculées. Si aucun objectif de </w:t>
      </w:r>
      <w:r w:rsidRPr="003C38EE">
        <w:rPr>
          <w:i/>
          <w:iCs/>
          <w:color w:val="000000"/>
          <w:lang w:val="fr-FR"/>
        </w:rPr>
        <w:t>C</w:t>
      </w:r>
      <w:r w:rsidRPr="003C38EE">
        <w:rPr>
          <w:color w:val="000000"/>
          <w:lang w:val="fr-FR"/>
        </w:rPr>
        <w:t>/</w:t>
      </w:r>
      <w:r w:rsidRPr="003C38EE">
        <w:rPr>
          <w:i/>
          <w:iCs/>
          <w:color w:val="000000"/>
          <w:lang w:val="fr-FR"/>
        </w:rPr>
        <w:t>N</w:t>
      </w:r>
      <w:r w:rsidRPr="003C38EE">
        <w:rPr>
          <w:color w:val="000000"/>
          <w:lang w:val="fr-FR"/>
        </w:rPr>
        <w:t xml:space="preserve"> n'est soumis par les administrations responsables (cet élément de données n'était pas demandé par le passé) on utilisera les valeurs de</w:t>
      </w:r>
      <w:r w:rsidR="00197E2A" w:rsidRPr="003C38EE">
        <w:rPr>
          <w:color w:val="000000"/>
          <w:lang w:val="fr-FR"/>
        </w:rPr>
        <w:t> </w:t>
      </w:r>
      <w:r w:rsidRPr="003C38EE">
        <w:rPr>
          <w:i/>
          <w:iCs/>
          <w:color w:val="000000"/>
          <w:lang w:val="fr-FR"/>
        </w:rPr>
        <w:t>C</w:t>
      </w:r>
      <w:r w:rsidRPr="003C38EE">
        <w:rPr>
          <w:color w:val="000000"/>
          <w:lang w:val="fr-FR"/>
        </w:rPr>
        <w:t>/</w:t>
      </w:r>
      <w:r w:rsidRPr="003C38EE">
        <w:rPr>
          <w:i/>
          <w:iCs/>
          <w:color w:val="000000"/>
          <w:lang w:val="fr-FR"/>
        </w:rPr>
        <w:t>N</w:t>
      </w:r>
      <w:r w:rsidRPr="003C38EE">
        <w:rPr>
          <w:color w:val="000000"/>
          <w:lang w:val="fr-FR"/>
        </w:rPr>
        <w:t xml:space="preserve"> calculées.</w:t>
      </w:r>
    </w:p>
    <w:p w:rsidR="00F97CBA" w:rsidRPr="003C38EE" w:rsidRDefault="00F97CBA" w:rsidP="00197E2A">
      <w:pPr>
        <w:spacing w:before="120" w:after="120"/>
        <w:rPr>
          <w:color w:val="000000"/>
          <w:lang w:val="fr-FR"/>
        </w:rPr>
      </w:pPr>
      <w:r w:rsidRPr="003C38EE">
        <w:rPr>
          <w:color w:val="000000"/>
          <w:lang w:val="fr-FR"/>
        </w:rPr>
        <w:t xml:space="preserve">Dans le calcul des rapports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le Tableau 2 de la Recommandation UIT-R S.741</w:t>
      </w:r>
      <w:r w:rsidRPr="003C38EE">
        <w:rPr>
          <w:color w:val="000000"/>
          <w:lang w:val="fr-FR"/>
        </w:rPr>
        <w:noBreakHyphen/>
        <w:t>2 (voir ci</w:t>
      </w:r>
      <w:r w:rsidRPr="003C38EE">
        <w:rPr>
          <w:color w:val="000000"/>
          <w:lang w:val="fr-FR"/>
        </w:rPr>
        <w:noBreakHyphen/>
        <w:t>après) définit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comme étant le «rapport (dB) de la puissance de la porteuse à celle du bruit total, comprenant tous les bruits internes du système et le brouillage dû aux autres systèmes». Par conséquent, et pour se conformer à cette définition, on ajoute aux marges </w:t>
      </w:r>
      <w:r w:rsidR="00197E2A" w:rsidRPr="003C38EE">
        <w:rPr>
          <w:color w:val="000000"/>
          <w:lang w:val="fr-FR"/>
        </w:rPr>
        <w:br w:type="page"/>
      </w:r>
      <w:r w:rsidRPr="003C38EE">
        <w:rPr>
          <w:color w:val="000000"/>
          <w:lang w:val="fr-FR"/>
        </w:rPr>
        <w:lastRenderedPageBreak/>
        <w:t xml:space="preserve">calculées sur la base des valeurs de bruit interne fournies par les administrations concernées, une </w:t>
      </w:r>
      <w:r w:rsidRPr="003C38EE">
        <w:rPr>
          <w:iCs/>
          <w:color w:val="000000"/>
          <w:lang w:val="fr-FR"/>
        </w:rPr>
        <w:t>marge additionnelle</w:t>
      </w:r>
      <w:r w:rsidRPr="003C38EE">
        <w:rPr>
          <w:color w:val="000000"/>
          <w:lang w:val="fr-FR"/>
        </w:rPr>
        <w:t xml:space="preserve"> de 0,46 dB pour les cas faisant intervenir des émissions TV analogiques utiles et de 1,87 dB pour les autres émissions utiles. La méthode de calcul utilisée pour obtenir cette marge additionnelle est décrite dans le Supplément</w:t>
      </w:r>
      <w:r w:rsidR="00197E2A" w:rsidRPr="003C38EE">
        <w:rPr>
          <w:color w:val="000000"/>
          <w:lang w:val="fr-FR"/>
        </w:rPr>
        <w:t> </w:t>
      </w:r>
      <w:r w:rsidRPr="003C38EE">
        <w:rPr>
          <w:color w:val="000000"/>
          <w:lang w:val="fr-FR"/>
        </w:rPr>
        <w:t>2.</w:t>
      </w:r>
    </w:p>
    <w:p w:rsidR="00F97CBA" w:rsidRPr="003C38EE" w:rsidRDefault="00F97CBA">
      <w:pPr>
        <w:pStyle w:val="Heading2"/>
        <w:rPr>
          <w:color w:val="000000"/>
          <w:lang w:val="fr-FR"/>
        </w:rPr>
      </w:pPr>
      <w:r w:rsidRPr="003C38EE">
        <w:rPr>
          <w:color w:val="000000"/>
          <w:lang w:val="fr-FR"/>
        </w:rPr>
        <w:t>3.1</w:t>
      </w:r>
      <w:r w:rsidRPr="003C38EE">
        <w:rPr>
          <w:color w:val="000000"/>
          <w:lang w:val="fr-FR"/>
        </w:rPr>
        <w:tab/>
        <w:t>Cas de brouillage</w:t>
      </w:r>
    </w:p>
    <w:p w:rsidR="00F97CBA" w:rsidRPr="003C38EE" w:rsidRDefault="00F97CBA" w:rsidP="00197E2A">
      <w:pPr>
        <w:rPr>
          <w:color w:val="000000"/>
          <w:lang w:val="fr-FR"/>
        </w:rPr>
      </w:pPr>
      <w:r w:rsidRPr="003C38EE">
        <w:rPr>
          <w:color w:val="000000"/>
          <w:lang w:val="fr-FR"/>
        </w:rPr>
        <w:t>Le Tableau 1 ci-après présente un résumé des différentes situations de brouillage qu'il convient de traiter dans les calculs de</w:t>
      </w:r>
      <w:r w:rsidR="00197E2A" w:rsidRPr="003C38EE">
        <w:rPr>
          <w:color w:val="000000"/>
          <w:lang w:val="fr-FR"/>
        </w:rPr>
        <w:t>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w:t>
      </w:r>
    </w:p>
    <w:p w:rsidR="00197E2A" w:rsidRPr="003C38EE" w:rsidRDefault="00197E2A" w:rsidP="00197E2A">
      <w:pPr>
        <w:spacing w:before="0"/>
        <w:rPr>
          <w:sz w:val="12"/>
          <w:szCs w:val="12"/>
          <w:lang w:val="fr-FR"/>
        </w:rPr>
      </w:pPr>
    </w:p>
    <w:p w:rsidR="00F97CBA" w:rsidRPr="003C38EE" w:rsidRDefault="00F97CBA">
      <w:pPr>
        <w:pStyle w:val="Table"/>
        <w:rPr>
          <w:color w:val="000000"/>
          <w:lang w:val="fr-FR"/>
        </w:rPr>
      </w:pPr>
      <w:r w:rsidRPr="003C38EE">
        <w:rPr>
          <w:color w:val="000000"/>
          <w:lang w:val="fr-FR"/>
        </w:rPr>
        <w:t>TABLEAU  1</w:t>
      </w:r>
    </w:p>
    <w:p w:rsidR="00F97CBA" w:rsidRPr="003C38EE" w:rsidRDefault="00F97CBA">
      <w:pPr>
        <w:pStyle w:val="TableTitle"/>
        <w:rPr>
          <w:color w:val="000000"/>
          <w:lang w:val="fr-FR"/>
        </w:rPr>
      </w:pPr>
      <w:r w:rsidRPr="003C38EE">
        <w:rPr>
          <w:color w:val="000000"/>
          <w:lang w:val="fr-FR"/>
        </w:rPr>
        <w:t>Cas de brouillage</w:t>
      </w:r>
    </w:p>
    <w:p w:rsidR="00197E2A" w:rsidRPr="003C38EE" w:rsidRDefault="00197E2A" w:rsidP="00197E2A">
      <w:pPr>
        <w:spacing w:before="0"/>
        <w:rPr>
          <w:sz w:val="12"/>
          <w:szCs w:val="12"/>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8"/>
        <w:gridCol w:w="1985"/>
        <w:gridCol w:w="1869"/>
        <w:gridCol w:w="2100"/>
        <w:gridCol w:w="1843"/>
        <w:gridCol w:w="1842"/>
        <w:gridCol w:w="8"/>
      </w:tblGrid>
      <w:tr w:rsidR="00F97CBA" w:rsidRPr="003C38EE">
        <w:tc>
          <w:tcPr>
            <w:tcW w:w="1993" w:type="dxa"/>
            <w:gridSpan w:val="2"/>
            <w:tcBorders>
              <w:top w:val="single" w:sz="6" w:space="0" w:color="auto"/>
              <w:left w:val="single" w:sz="6" w:space="0" w:color="auto"/>
              <w:bottom w:val="single" w:sz="6" w:space="0" w:color="auto"/>
              <w:right w:val="single" w:sz="6" w:space="0" w:color="auto"/>
              <w:tl2br w:val="single" w:sz="6" w:space="0" w:color="auto"/>
            </w:tcBorders>
          </w:tcPr>
          <w:p w:rsidR="00F97CBA" w:rsidRPr="003C38EE" w:rsidRDefault="00F97CBA" w:rsidP="00197E2A">
            <w:pPr>
              <w:pStyle w:val="TableHead"/>
              <w:framePr w:hSpace="181" w:wrap="notBeside" w:vAnchor="text" w:hAnchor="text" w:xAlign="center" w:y="1"/>
              <w:spacing w:before="120" w:after="120"/>
              <w:ind w:left="57" w:right="57"/>
              <w:jc w:val="right"/>
              <w:rPr>
                <w:color w:val="000000"/>
                <w:lang w:val="fr-FR"/>
              </w:rPr>
            </w:pPr>
            <w:r w:rsidRPr="003C38EE">
              <w:rPr>
                <w:color w:val="000000"/>
                <w:lang w:val="fr-FR"/>
              </w:rPr>
              <w:t>Utile</w:t>
            </w:r>
          </w:p>
          <w:p w:rsidR="00F97CBA" w:rsidRPr="003C38EE" w:rsidRDefault="00F97CBA" w:rsidP="00197E2A">
            <w:pPr>
              <w:pStyle w:val="TableHead"/>
              <w:framePr w:hSpace="181" w:wrap="notBeside" w:vAnchor="text" w:hAnchor="text" w:xAlign="center" w:y="1"/>
              <w:spacing w:before="120" w:after="120"/>
              <w:ind w:left="57" w:right="57"/>
              <w:jc w:val="left"/>
              <w:rPr>
                <w:color w:val="000000"/>
                <w:lang w:val="fr-FR"/>
              </w:rPr>
            </w:pPr>
            <w:r w:rsidRPr="003C38EE">
              <w:rPr>
                <w:color w:val="000000"/>
                <w:lang w:val="fr-FR"/>
              </w:rPr>
              <w:t>Brouilleuse</w:t>
            </w:r>
          </w:p>
        </w:tc>
        <w:tc>
          <w:tcPr>
            <w:tcW w:w="1869"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Head"/>
              <w:framePr w:hSpace="181" w:wrap="notBeside" w:vAnchor="text" w:hAnchor="text" w:xAlign="center" w:y="1"/>
              <w:spacing w:before="120" w:after="120"/>
              <w:ind w:left="57" w:right="57"/>
              <w:rPr>
                <w:color w:val="000000"/>
                <w:lang w:val="fr-FR"/>
              </w:rPr>
            </w:pPr>
            <w:r w:rsidRPr="003C38EE">
              <w:rPr>
                <w:color w:val="000000"/>
                <w:lang w:val="fr-FR"/>
              </w:rPr>
              <w:t>Numérique</w:t>
            </w:r>
          </w:p>
        </w:tc>
        <w:tc>
          <w:tcPr>
            <w:tcW w:w="2100"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Head"/>
              <w:framePr w:hSpace="181" w:wrap="notBeside" w:vAnchor="text" w:hAnchor="text" w:xAlign="center" w:y="1"/>
              <w:spacing w:before="120" w:after="120"/>
              <w:ind w:left="57" w:right="57"/>
              <w:rPr>
                <w:color w:val="000000"/>
                <w:lang w:val="fr-FR"/>
              </w:rPr>
            </w:pPr>
            <w:r w:rsidRPr="003C38EE">
              <w:rPr>
                <w:color w:val="000000"/>
                <w:lang w:val="fr-FR"/>
              </w:rPr>
              <w:t>Analogique</w:t>
            </w:r>
            <w:r w:rsidRPr="003C38EE">
              <w:rPr>
                <w:color w:val="000000"/>
                <w:lang w:val="fr-FR"/>
              </w:rPr>
              <w:br/>
              <w:t>(TV-MF)</w:t>
            </w:r>
          </w:p>
        </w:tc>
        <w:tc>
          <w:tcPr>
            <w:tcW w:w="1843"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Head"/>
              <w:framePr w:hSpace="181" w:wrap="notBeside" w:vAnchor="text" w:hAnchor="text" w:xAlign="center" w:y="1"/>
              <w:spacing w:before="120" w:after="120"/>
              <w:ind w:left="57" w:right="57"/>
              <w:rPr>
                <w:color w:val="000000"/>
                <w:lang w:val="fr-FR"/>
              </w:rPr>
            </w:pPr>
            <w:r w:rsidRPr="003C38EE">
              <w:rPr>
                <w:color w:val="000000"/>
                <w:lang w:val="fr-FR"/>
              </w:rPr>
              <w:t>Analogique</w:t>
            </w:r>
            <w:r w:rsidRPr="003C38EE">
              <w:rPr>
                <w:color w:val="000000"/>
                <w:lang w:val="fr-FR"/>
              </w:rPr>
              <w:br/>
              <w:t>(autre que TV-MF)</w:t>
            </w:r>
          </w:p>
        </w:tc>
        <w:tc>
          <w:tcPr>
            <w:tcW w:w="1850" w:type="dxa"/>
            <w:gridSpan w:val="2"/>
            <w:tcBorders>
              <w:top w:val="single" w:sz="6" w:space="0" w:color="auto"/>
              <w:left w:val="single" w:sz="6" w:space="0" w:color="auto"/>
              <w:bottom w:val="single" w:sz="6" w:space="0" w:color="auto"/>
              <w:right w:val="single" w:sz="6" w:space="0" w:color="auto"/>
            </w:tcBorders>
            <w:vAlign w:val="center"/>
          </w:tcPr>
          <w:p w:rsidR="00F97CBA" w:rsidRPr="003C38EE" w:rsidRDefault="00F97CBA" w:rsidP="00197E2A">
            <w:pPr>
              <w:pStyle w:val="TableHead"/>
              <w:framePr w:hSpace="181" w:wrap="notBeside" w:vAnchor="text" w:hAnchor="text" w:xAlign="center" w:y="1"/>
              <w:spacing w:before="120" w:after="120"/>
              <w:ind w:left="57" w:right="57"/>
              <w:rPr>
                <w:color w:val="000000"/>
                <w:lang w:val="fr-FR"/>
              </w:rPr>
            </w:pPr>
            <w:r w:rsidRPr="003C38EE">
              <w:rPr>
                <w:color w:val="000000"/>
                <w:lang w:val="fr-FR"/>
              </w:rPr>
              <w:t>Autre</w:t>
            </w:r>
          </w:p>
        </w:tc>
      </w:tr>
      <w:tr w:rsidR="00F97CBA" w:rsidRPr="003C38EE">
        <w:tc>
          <w:tcPr>
            <w:tcW w:w="1993" w:type="dxa"/>
            <w:gridSpan w:val="2"/>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Numérique</w:t>
            </w:r>
          </w:p>
        </w:tc>
        <w:tc>
          <w:tcPr>
            <w:tcW w:w="1869"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 xml:space="preserve">Utiliser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plus facteur d'ajustement du brouillage</w:t>
            </w:r>
            <w:r w:rsidRPr="003C38EE">
              <w:rPr>
                <w:color w:val="000000"/>
                <w:vertAlign w:val="superscript"/>
                <w:lang w:val="fr-FR"/>
              </w:rPr>
              <w:t>1</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(I)</w:t>
            </w:r>
          </w:p>
        </w:tc>
        <w:tc>
          <w:tcPr>
            <w:tcW w:w="2100"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 xml:space="preserve">Utiliser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plus facteur d'ajustement du brouillage</w:t>
            </w:r>
            <w:r w:rsidRPr="003C38EE">
              <w:rPr>
                <w:color w:val="000000"/>
                <w:vertAlign w:val="superscript"/>
                <w:lang w:val="fr-FR"/>
              </w:rPr>
              <w:t>1</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(II)</w:t>
            </w:r>
          </w:p>
        </w:tc>
        <w:tc>
          <w:tcPr>
            <w:tcW w:w="1843"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 xml:space="preserve">Utiliser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plus facteur d'ajustement du brouillage</w:t>
            </w:r>
            <w:r w:rsidRPr="003C38EE">
              <w:rPr>
                <w:color w:val="000000"/>
                <w:vertAlign w:val="superscript"/>
                <w:lang w:val="fr-FR"/>
              </w:rPr>
              <w:t>1</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(III)</w:t>
            </w:r>
          </w:p>
        </w:tc>
        <w:tc>
          <w:tcPr>
            <w:tcW w:w="1850" w:type="dxa"/>
            <w:gridSpan w:val="2"/>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vertAlign w:val="superscript"/>
                <w:lang w:val="fr-FR"/>
              </w:rPr>
            </w:pPr>
            <w:r w:rsidRPr="003C38EE">
              <w:rPr>
                <w:color w:val="000000"/>
                <w:lang w:val="fr-FR"/>
              </w:rPr>
              <w:t xml:space="preserve">Utiliser </w:t>
            </w:r>
            <w:r w:rsidRPr="003C38EE">
              <w:rPr>
                <w:i/>
                <w:iCs/>
                <w:color w:val="000000"/>
                <w:lang w:val="fr-FR"/>
              </w:rPr>
              <w:t>C</w:t>
            </w:r>
            <w:r w:rsidRPr="003C38EE">
              <w:rPr>
                <w:color w:val="000000"/>
                <w:lang w:val="fr-FR"/>
              </w:rPr>
              <w:t>/</w:t>
            </w:r>
            <w:r w:rsidRPr="003C38EE">
              <w:rPr>
                <w:i/>
                <w:iCs/>
                <w:color w:val="000000"/>
                <w:lang w:val="fr-FR"/>
              </w:rPr>
              <w:t>I</w:t>
            </w:r>
            <w:r w:rsidRPr="003C38EE">
              <w:rPr>
                <w:iCs/>
                <w:color w:val="000000"/>
                <w:lang w:val="fr-FR"/>
              </w:rPr>
              <w:t xml:space="preserve"> plus facteur d'ajustement du brouillage</w:t>
            </w:r>
            <w:r w:rsidRPr="003C38EE">
              <w:rPr>
                <w:color w:val="000000"/>
                <w:vertAlign w:val="superscript"/>
                <w:lang w:val="fr-FR"/>
              </w:rPr>
              <w:t>1</w:t>
            </w:r>
          </w:p>
          <w:p w:rsidR="00F97CBA" w:rsidRPr="003C38EE" w:rsidRDefault="00F97CBA" w:rsidP="00197E2A">
            <w:pPr>
              <w:pStyle w:val="TableText"/>
              <w:framePr w:hSpace="181" w:wrap="notBeside" w:vAnchor="text" w:hAnchor="text" w:xAlign="center" w:y="1"/>
              <w:spacing w:before="60" w:after="60"/>
              <w:ind w:left="57" w:right="57"/>
              <w:jc w:val="center"/>
              <w:rPr>
                <w:iCs/>
                <w:color w:val="000000"/>
                <w:lang w:val="fr-FR"/>
              </w:rPr>
            </w:pPr>
            <w:r w:rsidRPr="003C38EE">
              <w:rPr>
                <w:iCs/>
                <w:color w:val="000000"/>
                <w:lang w:val="fr-FR"/>
              </w:rPr>
              <w:t>(XI)</w:t>
            </w:r>
          </w:p>
        </w:tc>
      </w:tr>
      <w:tr w:rsidR="00F97CBA" w:rsidRPr="003C38EE">
        <w:tc>
          <w:tcPr>
            <w:tcW w:w="1993" w:type="dxa"/>
            <w:gridSpan w:val="2"/>
            <w:tcBorders>
              <w:top w:val="single" w:sz="6" w:space="0" w:color="auto"/>
              <w:left w:val="single" w:sz="6" w:space="0" w:color="auto"/>
              <w:bottom w:val="nil"/>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Analogique (TV-MF)</w:t>
            </w:r>
          </w:p>
        </w:tc>
        <w:tc>
          <w:tcPr>
            <w:tcW w:w="1869" w:type="dxa"/>
            <w:tcBorders>
              <w:top w:val="single" w:sz="6" w:space="0" w:color="auto"/>
              <w:left w:val="single" w:sz="6" w:space="0" w:color="auto"/>
              <w:bottom w:val="nil"/>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 xml:space="preserve">Utiliser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plus facteur d'ajustement du brouillage</w:t>
            </w:r>
            <w:r w:rsidRPr="003C38EE">
              <w:rPr>
                <w:color w:val="000000"/>
                <w:vertAlign w:val="superscript"/>
                <w:lang w:val="fr-FR"/>
              </w:rPr>
              <w:t>2</w:t>
            </w:r>
            <w:r w:rsidRPr="003C38EE">
              <w:rPr>
                <w:color w:val="000000"/>
                <w:vertAlign w:val="superscript"/>
                <w:lang w:val="fr-FR"/>
              </w:rPr>
              <w:br/>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197E2A" w:rsidRPr="003C38EE" w:rsidRDefault="00197E2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right="57"/>
              <w:jc w:val="center"/>
              <w:rPr>
                <w:color w:val="000000"/>
                <w:lang w:val="fr-FR"/>
              </w:rPr>
            </w:pPr>
            <w:r w:rsidRPr="003C38EE">
              <w:rPr>
                <w:color w:val="000000"/>
                <w:lang w:val="fr-FR"/>
              </w:rPr>
              <w:t>(IV)</w:t>
            </w:r>
          </w:p>
        </w:tc>
        <w:tc>
          <w:tcPr>
            <w:tcW w:w="2100" w:type="dxa"/>
            <w:tcBorders>
              <w:top w:val="single" w:sz="6" w:space="0" w:color="auto"/>
              <w:left w:val="single" w:sz="6" w:space="0" w:color="auto"/>
              <w:bottom w:val="nil"/>
              <w:right w:val="single" w:sz="6" w:space="0" w:color="auto"/>
            </w:tcBorders>
          </w:tcPr>
          <w:p w:rsidR="00F97CBA" w:rsidRPr="003C38EE" w:rsidRDefault="00F97CBA" w:rsidP="00197E2A">
            <w:pPr>
              <w:pStyle w:val="TableText"/>
              <w:framePr w:hSpace="181" w:wrap="notBeside" w:vAnchor="text" w:hAnchor="text" w:xAlign="center" w:y="1"/>
              <w:tabs>
                <w:tab w:val="left" w:pos="284"/>
              </w:tabs>
              <w:spacing w:before="60" w:after="60"/>
              <w:ind w:left="57" w:right="57"/>
              <w:jc w:val="left"/>
              <w:rPr>
                <w:i/>
                <w:iCs/>
                <w:color w:val="000000"/>
                <w:lang w:val="fr-FR"/>
              </w:rPr>
            </w:pPr>
            <w:r w:rsidRPr="003C38EE">
              <w:rPr>
                <w:i/>
                <w:iCs/>
                <w:color w:val="000000"/>
                <w:u w:val="single"/>
                <w:lang w:val="fr-FR"/>
              </w:rPr>
              <w:t>Brouillage sur la même fréquence</w:t>
            </w:r>
            <w:r w:rsidRPr="003C38EE">
              <w:rPr>
                <w:i/>
                <w:iCs/>
                <w:color w:val="000000"/>
                <w:lang w:val="fr-FR"/>
              </w:rPr>
              <w:t>:</w:t>
            </w:r>
          </w:p>
          <w:p w:rsidR="00F97CBA" w:rsidRPr="003C38EE" w:rsidRDefault="00F97CBA" w:rsidP="00197E2A">
            <w:pPr>
              <w:pStyle w:val="TableText"/>
              <w:framePr w:hSpace="181" w:wrap="notBeside" w:vAnchor="text" w:hAnchor="text" w:xAlign="center" w:y="1"/>
              <w:tabs>
                <w:tab w:val="left" w:pos="284"/>
              </w:tabs>
              <w:spacing w:before="60" w:after="60"/>
              <w:ind w:left="284" w:right="57" w:hanging="227"/>
              <w:jc w:val="left"/>
              <w:rPr>
                <w:color w:val="000000"/>
                <w:lang w:val="fr-FR"/>
              </w:rPr>
            </w:pPr>
            <w:r w:rsidRPr="003C38EE">
              <w:rPr>
                <w:color w:val="000000"/>
                <w:lang w:val="fr-FR"/>
              </w:rPr>
              <w:tab/>
              <w:t xml:space="preserve">utiliser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plus facteur d'ajustement du brouillage</w:t>
            </w:r>
            <w:r w:rsidRPr="003C38EE">
              <w:rPr>
                <w:color w:val="000000"/>
                <w:vertAlign w:val="superscript"/>
                <w:lang w:val="fr-FR"/>
              </w:rPr>
              <w:t>1</w:t>
            </w:r>
          </w:p>
          <w:p w:rsidR="00F97CBA" w:rsidRPr="003C38EE" w:rsidRDefault="00F97CBA" w:rsidP="00197E2A">
            <w:pPr>
              <w:pStyle w:val="TableText"/>
              <w:framePr w:hSpace="181" w:wrap="notBeside" w:vAnchor="text" w:hAnchor="text" w:xAlign="center" w:y="1"/>
              <w:tabs>
                <w:tab w:val="left" w:pos="284"/>
              </w:tabs>
              <w:spacing w:before="60" w:after="60"/>
              <w:ind w:left="284" w:right="57" w:hanging="227"/>
              <w:jc w:val="center"/>
              <w:rPr>
                <w:color w:val="000000"/>
                <w:lang w:val="fr-FR"/>
              </w:rPr>
            </w:pPr>
            <w:r w:rsidRPr="003C38EE">
              <w:rPr>
                <w:color w:val="000000"/>
                <w:lang w:val="fr-FR"/>
              </w:rPr>
              <w:t>(X)</w:t>
            </w:r>
          </w:p>
          <w:p w:rsidR="00F97CBA" w:rsidRPr="003C38EE" w:rsidRDefault="00F97CBA" w:rsidP="00197E2A">
            <w:pPr>
              <w:pStyle w:val="TableText"/>
              <w:framePr w:hSpace="181" w:wrap="notBeside" w:vAnchor="text" w:hAnchor="text" w:xAlign="center" w:y="1"/>
              <w:tabs>
                <w:tab w:val="left" w:pos="284"/>
              </w:tabs>
              <w:spacing w:before="60" w:after="60"/>
              <w:ind w:left="57" w:right="57"/>
              <w:jc w:val="left"/>
              <w:rPr>
                <w:i/>
                <w:iCs/>
                <w:color w:val="000000"/>
                <w:lang w:val="fr-FR"/>
              </w:rPr>
            </w:pPr>
            <w:r w:rsidRPr="003C38EE">
              <w:rPr>
                <w:i/>
                <w:iCs/>
                <w:color w:val="000000"/>
                <w:u w:val="single"/>
                <w:lang w:val="fr-FR"/>
              </w:rPr>
              <w:t>Brouillage sur fréquences différentes</w:t>
            </w:r>
            <w:r w:rsidRPr="003C38EE">
              <w:rPr>
                <w:i/>
                <w:iCs/>
                <w:color w:val="000000"/>
                <w:lang w:val="fr-FR"/>
              </w:rPr>
              <w:t>:</w:t>
            </w:r>
          </w:p>
          <w:p w:rsidR="00F97CBA" w:rsidRPr="003C38EE" w:rsidRDefault="00F97CBA" w:rsidP="00197E2A">
            <w:pPr>
              <w:pStyle w:val="TableText"/>
              <w:framePr w:hSpace="181" w:wrap="notBeside" w:vAnchor="text" w:hAnchor="text" w:xAlign="center" w:y="1"/>
              <w:tabs>
                <w:tab w:val="left" w:pos="284"/>
              </w:tabs>
              <w:spacing w:before="60" w:after="60"/>
              <w:ind w:left="284" w:right="57" w:hanging="227"/>
              <w:jc w:val="left"/>
              <w:rPr>
                <w:color w:val="000000"/>
                <w:lang w:val="fr-FR"/>
              </w:rPr>
            </w:pPr>
            <w:r w:rsidRPr="003C38EE">
              <w:rPr>
                <w:color w:val="000000"/>
                <w:lang w:val="fr-FR"/>
              </w:rPr>
              <w:tab/>
              <w:t>utiliser le masque du rapport de protection relatif</w:t>
            </w:r>
            <w:r w:rsidRPr="003C38EE">
              <w:rPr>
                <w:color w:val="000000"/>
                <w:vertAlign w:val="superscript"/>
                <w:lang w:val="fr-FR"/>
              </w:rPr>
              <w:t>3</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(V)</w:t>
            </w:r>
          </w:p>
        </w:tc>
        <w:tc>
          <w:tcPr>
            <w:tcW w:w="1843" w:type="dxa"/>
            <w:tcBorders>
              <w:top w:val="single" w:sz="6" w:space="0" w:color="auto"/>
              <w:left w:val="single" w:sz="6" w:space="0" w:color="auto"/>
              <w:bottom w:val="nil"/>
              <w:right w:val="single" w:sz="6" w:space="0" w:color="auto"/>
            </w:tcBorders>
          </w:tcPr>
          <w:p w:rsidR="00F97CBA" w:rsidRPr="003C38EE" w:rsidRDefault="00F97CBA" w:rsidP="00197E2A">
            <w:pPr>
              <w:pStyle w:val="TableText"/>
              <w:framePr w:hSpace="181" w:wrap="notBeside" w:vAnchor="text" w:hAnchor="text" w:xAlign="center" w:y="1"/>
              <w:tabs>
                <w:tab w:val="left" w:pos="284"/>
              </w:tabs>
              <w:spacing w:before="60" w:after="60"/>
              <w:ind w:left="57" w:right="57"/>
              <w:jc w:val="left"/>
              <w:rPr>
                <w:i/>
                <w:iCs/>
                <w:color w:val="000000"/>
                <w:lang w:val="fr-FR"/>
              </w:rPr>
            </w:pPr>
            <w:r w:rsidRPr="003C38EE">
              <w:rPr>
                <w:color w:val="000000"/>
                <w:lang w:val="fr-FR"/>
              </w:rPr>
              <w:t xml:space="preserve">Utiliser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plus facteur d'ajustement du brouillage</w:t>
            </w:r>
            <w:r w:rsidRPr="003C38EE">
              <w:rPr>
                <w:vertAlign w:val="superscript"/>
                <w:lang w:val="fr-FR"/>
              </w:rPr>
              <w:t>2</w:t>
            </w:r>
            <w:r w:rsidRPr="003C38EE">
              <w:rPr>
                <w:color w:val="000000"/>
                <w:position w:val="6"/>
                <w:sz w:val="16"/>
                <w:lang w:val="fr-FR"/>
              </w:rPr>
              <w:br/>
            </w:r>
            <w:r w:rsidR="00197E2A" w:rsidRPr="003C38EE">
              <w:rPr>
                <w:color w:val="000000"/>
                <w:position w:val="6"/>
                <w:sz w:val="16"/>
                <w:lang w:val="fr-FR"/>
              </w:rPr>
              <w:br/>
            </w:r>
            <w:r w:rsidRPr="003C38EE">
              <w:rPr>
                <w:color w:val="000000"/>
                <w:position w:val="6"/>
                <w:sz w:val="16"/>
                <w:lang w:val="fr-FR"/>
              </w:rPr>
              <w:br/>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197E2A" w:rsidRPr="003C38EE" w:rsidRDefault="00197E2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tabs>
                <w:tab w:val="left" w:pos="284"/>
              </w:tabs>
              <w:spacing w:before="60" w:after="60"/>
              <w:ind w:left="57" w:right="57"/>
              <w:jc w:val="left"/>
              <w:rPr>
                <w:i/>
                <w:iCs/>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(VI)</w:t>
            </w:r>
          </w:p>
        </w:tc>
        <w:tc>
          <w:tcPr>
            <w:tcW w:w="1850" w:type="dxa"/>
            <w:gridSpan w:val="2"/>
            <w:tcBorders>
              <w:top w:val="single" w:sz="6" w:space="0" w:color="auto"/>
              <w:left w:val="single" w:sz="6" w:space="0" w:color="auto"/>
              <w:bottom w:val="nil"/>
              <w:right w:val="single" w:sz="6" w:space="0" w:color="auto"/>
            </w:tcBorders>
          </w:tcPr>
          <w:p w:rsidR="00F97CBA" w:rsidRPr="003C38EE" w:rsidRDefault="00F97CBA" w:rsidP="00197E2A">
            <w:pPr>
              <w:pStyle w:val="TableText"/>
              <w:framePr w:hSpace="181" w:wrap="notBeside" w:vAnchor="text" w:hAnchor="text" w:xAlign="center" w:y="1"/>
              <w:tabs>
                <w:tab w:val="left" w:pos="284"/>
              </w:tabs>
              <w:spacing w:before="60" w:after="60"/>
              <w:ind w:left="57" w:right="57"/>
              <w:jc w:val="left"/>
              <w:rPr>
                <w:i/>
                <w:iCs/>
                <w:color w:val="000000"/>
                <w:lang w:val="fr-FR"/>
              </w:rPr>
            </w:pPr>
            <w:r w:rsidRPr="003C38EE">
              <w:rPr>
                <w:color w:val="000000"/>
                <w:lang w:val="fr-FR"/>
              </w:rPr>
              <w:t xml:space="preserve">Utiliser </w:t>
            </w:r>
            <w:r w:rsidRPr="003C38EE">
              <w:rPr>
                <w:i/>
                <w:iCs/>
                <w:color w:val="000000"/>
                <w:lang w:val="fr-FR"/>
              </w:rPr>
              <w:t>C</w:t>
            </w:r>
            <w:r w:rsidRPr="003C38EE">
              <w:rPr>
                <w:color w:val="000000"/>
                <w:lang w:val="fr-FR"/>
              </w:rPr>
              <w:t>/</w:t>
            </w:r>
            <w:r w:rsidRPr="003C38EE">
              <w:rPr>
                <w:i/>
                <w:iCs/>
                <w:color w:val="000000"/>
                <w:lang w:val="fr-FR"/>
              </w:rPr>
              <w:t>I</w:t>
            </w:r>
            <w:r w:rsidRPr="003C38EE">
              <w:rPr>
                <w:color w:val="000000"/>
                <w:lang w:val="fr-FR"/>
              </w:rPr>
              <w:t xml:space="preserve"> plus facteur d'ajustement du brouillage</w:t>
            </w:r>
            <w:r w:rsidRPr="003C38EE">
              <w:rPr>
                <w:color w:val="000000"/>
                <w:vertAlign w:val="superscript"/>
                <w:lang w:val="fr-FR"/>
              </w:rPr>
              <w:t>2</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 xml:space="preserve"> </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br/>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(XII)</w:t>
            </w:r>
          </w:p>
        </w:tc>
      </w:tr>
      <w:tr w:rsidR="00F97CBA" w:rsidRPr="003C38EE">
        <w:tc>
          <w:tcPr>
            <w:tcW w:w="1993" w:type="dxa"/>
            <w:gridSpan w:val="2"/>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Analogique</w:t>
            </w:r>
            <w:r w:rsidRPr="003C38EE">
              <w:rPr>
                <w:color w:val="000000"/>
                <w:lang w:val="fr-FR"/>
              </w:rPr>
              <w:br/>
              <w:t>(autre que TV-MF)</w:t>
            </w:r>
          </w:p>
        </w:tc>
        <w:tc>
          <w:tcPr>
            <w:tcW w:w="1869"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 xml:space="preserve">Utiliser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plus facteur d'ajustement du brouillage</w:t>
            </w:r>
            <w:r w:rsidRPr="003C38EE">
              <w:rPr>
                <w:vertAlign w:val="superscript"/>
                <w:lang w:val="fr-FR"/>
              </w:rPr>
              <w:t>2</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(VII)</w:t>
            </w:r>
          </w:p>
        </w:tc>
        <w:tc>
          <w:tcPr>
            <w:tcW w:w="2100"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 xml:space="preserve">Utiliser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plus facteur d'ajustement du brouillage</w:t>
            </w:r>
            <w:r w:rsidRPr="003C38EE">
              <w:rPr>
                <w:vertAlign w:val="superscript"/>
                <w:lang w:val="fr-FR"/>
              </w:rPr>
              <w:t>2</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(VIII)</w:t>
            </w:r>
          </w:p>
        </w:tc>
        <w:tc>
          <w:tcPr>
            <w:tcW w:w="1843"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iCs/>
                <w:color w:val="000000"/>
                <w:lang w:val="fr-FR"/>
              </w:rPr>
            </w:pPr>
            <w:r w:rsidRPr="003C38EE">
              <w:rPr>
                <w:iCs/>
                <w:color w:val="000000"/>
                <w:lang w:val="fr-FR"/>
              </w:rPr>
              <w:t xml:space="preserve">Utiliser </w:t>
            </w:r>
            <w:r w:rsidRPr="003C38EE">
              <w:rPr>
                <w:i/>
                <w:color w:val="000000"/>
                <w:lang w:val="fr-FR"/>
              </w:rPr>
              <w:t>C</w:t>
            </w:r>
            <w:r w:rsidRPr="003C38EE">
              <w:rPr>
                <w:iCs/>
                <w:color w:val="000000"/>
                <w:lang w:val="fr-FR"/>
              </w:rPr>
              <w:t>/</w:t>
            </w:r>
            <w:r w:rsidRPr="003C38EE">
              <w:rPr>
                <w:i/>
                <w:color w:val="000000"/>
                <w:lang w:val="fr-FR"/>
              </w:rPr>
              <w:t>I</w:t>
            </w:r>
            <w:r w:rsidRPr="003C38EE">
              <w:rPr>
                <w:iCs/>
                <w:color w:val="000000"/>
                <w:lang w:val="fr-FR"/>
              </w:rPr>
              <w:t xml:space="preserve"> plus facteur d'ajustement du brouillage</w:t>
            </w:r>
            <w:r w:rsidRPr="003C38EE">
              <w:rPr>
                <w:iCs/>
                <w:color w:val="000000"/>
                <w:vertAlign w:val="superscript"/>
                <w:lang w:val="fr-FR"/>
              </w:rPr>
              <w:t>2</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(IX)</w:t>
            </w:r>
          </w:p>
        </w:tc>
        <w:tc>
          <w:tcPr>
            <w:tcW w:w="1850" w:type="dxa"/>
            <w:gridSpan w:val="2"/>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vertAlign w:val="superscript"/>
                <w:lang w:val="fr-FR"/>
              </w:rPr>
            </w:pPr>
            <w:r w:rsidRPr="003C38EE">
              <w:rPr>
                <w:color w:val="000000"/>
                <w:lang w:val="fr-FR"/>
              </w:rPr>
              <w:t xml:space="preserve">Utiliser </w:t>
            </w:r>
            <w:r w:rsidRPr="003C38EE">
              <w:rPr>
                <w:i/>
                <w:iCs/>
                <w:color w:val="000000"/>
                <w:lang w:val="fr-FR"/>
              </w:rPr>
              <w:t>C</w:t>
            </w:r>
            <w:r w:rsidRPr="003C38EE">
              <w:rPr>
                <w:color w:val="000000"/>
                <w:lang w:val="fr-FR"/>
              </w:rPr>
              <w:t>/</w:t>
            </w:r>
            <w:r w:rsidRPr="003C38EE">
              <w:rPr>
                <w:i/>
                <w:iCs/>
                <w:color w:val="000000"/>
                <w:lang w:val="fr-FR"/>
              </w:rPr>
              <w:t>I</w:t>
            </w:r>
            <w:r w:rsidRPr="003C38EE">
              <w:rPr>
                <w:color w:val="000000"/>
                <w:lang w:val="fr-FR"/>
              </w:rPr>
              <w:t xml:space="preserve"> plus facteur d'ajustement du brouillage</w:t>
            </w:r>
            <w:r w:rsidRPr="003C38EE">
              <w:rPr>
                <w:color w:val="000000"/>
                <w:vertAlign w:val="superscript"/>
                <w:lang w:val="fr-FR"/>
              </w:rPr>
              <w:t>2</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(XIII)</w:t>
            </w:r>
          </w:p>
        </w:tc>
      </w:tr>
      <w:tr w:rsidR="00F97CBA" w:rsidRPr="003C38EE">
        <w:tc>
          <w:tcPr>
            <w:tcW w:w="1993" w:type="dxa"/>
            <w:gridSpan w:val="2"/>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Autre</w:t>
            </w:r>
          </w:p>
        </w:tc>
        <w:tc>
          <w:tcPr>
            <w:tcW w:w="1869"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vertAlign w:val="superscript"/>
                <w:lang w:val="fr-FR"/>
              </w:rPr>
            </w:pPr>
            <w:r w:rsidRPr="003C38EE">
              <w:rPr>
                <w:color w:val="000000"/>
                <w:lang w:val="fr-FR"/>
              </w:rPr>
              <w:t xml:space="preserve">Utiliser </w:t>
            </w:r>
            <w:r w:rsidRPr="003C38EE">
              <w:rPr>
                <w:i/>
                <w:iCs/>
                <w:color w:val="000000"/>
                <w:lang w:val="fr-FR"/>
              </w:rPr>
              <w:t>C</w:t>
            </w:r>
            <w:r w:rsidRPr="003C38EE">
              <w:rPr>
                <w:color w:val="000000"/>
                <w:lang w:val="fr-FR"/>
              </w:rPr>
              <w:t>/</w:t>
            </w:r>
            <w:r w:rsidRPr="003C38EE">
              <w:rPr>
                <w:i/>
                <w:iCs/>
                <w:color w:val="000000"/>
                <w:lang w:val="fr-FR"/>
              </w:rPr>
              <w:t>I</w:t>
            </w:r>
            <w:r w:rsidRPr="003C38EE">
              <w:rPr>
                <w:color w:val="000000"/>
                <w:lang w:val="fr-FR"/>
              </w:rPr>
              <w:t xml:space="preserve"> plus facteur d'ajustement du brouillage</w:t>
            </w:r>
            <w:r w:rsidRPr="003C38EE">
              <w:rPr>
                <w:color w:val="000000"/>
                <w:vertAlign w:val="superscript"/>
                <w:lang w:val="fr-FR"/>
              </w:rPr>
              <w:t>2</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(XIV)</w:t>
            </w:r>
          </w:p>
        </w:tc>
        <w:tc>
          <w:tcPr>
            <w:tcW w:w="2100"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vertAlign w:val="superscript"/>
                <w:lang w:val="fr-FR"/>
              </w:rPr>
            </w:pPr>
            <w:r w:rsidRPr="003C38EE">
              <w:rPr>
                <w:color w:val="000000"/>
                <w:lang w:val="fr-FR"/>
              </w:rPr>
              <w:t xml:space="preserve">Utiliser </w:t>
            </w:r>
            <w:r w:rsidRPr="003C38EE">
              <w:rPr>
                <w:i/>
                <w:iCs/>
                <w:color w:val="000000"/>
                <w:lang w:val="fr-FR"/>
              </w:rPr>
              <w:t>C</w:t>
            </w:r>
            <w:r w:rsidRPr="003C38EE">
              <w:rPr>
                <w:color w:val="000000"/>
                <w:lang w:val="fr-FR"/>
              </w:rPr>
              <w:t>/</w:t>
            </w:r>
            <w:r w:rsidRPr="003C38EE">
              <w:rPr>
                <w:i/>
                <w:iCs/>
                <w:color w:val="000000"/>
                <w:lang w:val="fr-FR"/>
              </w:rPr>
              <w:t>I</w:t>
            </w:r>
            <w:r w:rsidRPr="003C38EE">
              <w:rPr>
                <w:color w:val="000000"/>
                <w:lang w:val="fr-FR"/>
              </w:rPr>
              <w:t xml:space="preserve"> plus facteur d'ajustement du brouillage</w:t>
            </w:r>
            <w:r w:rsidRPr="003C38EE">
              <w:rPr>
                <w:color w:val="000000"/>
                <w:vertAlign w:val="superscript"/>
                <w:lang w:val="fr-FR"/>
              </w:rPr>
              <w:t>2</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(XV)</w:t>
            </w:r>
          </w:p>
        </w:tc>
        <w:tc>
          <w:tcPr>
            <w:tcW w:w="1843" w:type="dxa"/>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vertAlign w:val="superscript"/>
                <w:lang w:val="fr-FR"/>
              </w:rPr>
            </w:pPr>
            <w:r w:rsidRPr="003C38EE">
              <w:rPr>
                <w:color w:val="000000"/>
                <w:lang w:val="fr-FR"/>
              </w:rPr>
              <w:t xml:space="preserve">Utiliser </w:t>
            </w:r>
            <w:r w:rsidRPr="003C38EE">
              <w:rPr>
                <w:i/>
                <w:iCs/>
                <w:color w:val="000000"/>
                <w:lang w:val="fr-FR"/>
              </w:rPr>
              <w:t>C</w:t>
            </w:r>
            <w:r w:rsidRPr="003C38EE">
              <w:rPr>
                <w:color w:val="000000"/>
                <w:lang w:val="fr-FR"/>
              </w:rPr>
              <w:t>/</w:t>
            </w:r>
            <w:r w:rsidRPr="003C38EE">
              <w:rPr>
                <w:i/>
                <w:iCs/>
                <w:color w:val="000000"/>
                <w:lang w:val="fr-FR"/>
              </w:rPr>
              <w:t>I</w:t>
            </w:r>
            <w:r w:rsidRPr="003C38EE">
              <w:rPr>
                <w:color w:val="000000"/>
                <w:lang w:val="fr-FR"/>
              </w:rPr>
              <w:t xml:space="preserve"> plus facteur d'ajustement du brouillage</w:t>
            </w:r>
            <w:r w:rsidRPr="003C38EE">
              <w:rPr>
                <w:color w:val="000000"/>
                <w:vertAlign w:val="superscript"/>
                <w:lang w:val="fr-FR"/>
              </w:rPr>
              <w:t>2</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(XVI)</w:t>
            </w:r>
          </w:p>
        </w:tc>
        <w:tc>
          <w:tcPr>
            <w:tcW w:w="1850" w:type="dxa"/>
            <w:gridSpan w:val="2"/>
            <w:tcBorders>
              <w:top w:val="single" w:sz="6" w:space="0" w:color="auto"/>
              <w:left w:val="single" w:sz="6" w:space="0" w:color="auto"/>
              <w:bottom w:val="single" w:sz="6" w:space="0" w:color="auto"/>
              <w:right w:val="single" w:sz="6" w:space="0" w:color="auto"/>
            </w:tcBorders>
          </w:tcPr>
          <w:p w:rsidR="00F97CBA" w:rsidRPr="003C38EE" w:rsidRDefault="00F97CBA" w:rsidP="00197E2A">
            <w:pPr>
              <w:pStyle w:val="TableText"/>
              <w:framePr w:hSpace="181" w:wrap="notBeside" w:vAnchor="text" w:hAnchor="text" w:xAlign="center" w:y="1"/>
              <w:spacing w:before="60" w:after="60"/>
              <w:ind w:left="57" w:right="57"/>
              <w:jc w:val="left"/>
              <w:rPr>
                <w:color w:val="000000"/>
                <w:lang w:val="fr-FR"/>
              </w:rPr>
            </w:pPr>
            <w:r w:rsidRPr="003C38EE">
              <w:rPr>
                <w:color w:val="000000"/>
                <w:lang w:val="fr-FR"/>
              </w:rPr>
              <w:t xml:space="preserve">Utiliser </w:t>
            </w:r>
            <w:r w:rsidRPr="003C38EE">
              <w:rPr>
                <w:i/>
                <w:iCs/>
                <w:color w:val="000000"/>
                <w:lang w:val="fr-FR"/>
              </w:rPr>
              <w:t>C</w:t>
            </w:r>
            <w:r w:rsidRPr="003C38EE">
              <w:rPr>
                <w:color w:val="000000"/>
                <w:lang w:val="fr-FR"/>
              </w:rPr>
              <w:t>/</w:t>
            </w:r>
            <w:r w:rsidRPr="003C38EE">
              <w:rPr>
                <w:i/>
                <w:iCs/>
                <w:color w:val="000000"/>
                <w:lang w:val="fr-FR"/>
              </w:rPr>
              <w:t>I</w:t>
            </w:r>
            <w:r w:rsidRPr="003C38EE">
              <w:rPr>
                <w:color w:val="000000"/>
                <w:lang w:val="fr-FR"/>
              </w:rPr>
              <w:t xml:space="preserve"> plus facteur d'ajustement du brouillage</w:t>
            </w:r>
            <w:r w:rsidRPr="003C38EE">
              <w:rPr>
                <w:color w:val="000000"/>
                <w:vertAlign w:val="superscript"/>
                <w:lang w:val="fr-FR"/>
              </w:rPr>
              <w:t>2</w:t>
            </w:r>
          </w:p>
          <w:p w:rsidR="00F97CBA" w:rsidRPr="003C38EE" w:rsidRDefault="00F97CBA" w:rsidP="00197E2A">
            <w:pPr>
              <w:pStyle w:val="TableText"/>
              <w:framePr w:hSpace="181" w:wrap="notBeside" w:vAnchor="text" w:hAnchor="text" w:xAlign="center" w:y="1"/>
              <w:spacing w:before="60" w:after="60"/>
              <w:ind w:left="57" w:right="57"/>
              <w:jc w:val="center"/>
              <w:rPr>
                <w:color w:val="000000"/>
                <w:lang w:val="fr-FR"/>
              </w:rPr>
            </w:pPr>
            <w:r w:rsidRPr="003C38EE">
              <w:rPr>
                <w:color w:val="000000"/>
                <w:lang w:val="fr-FR"/>
              </w:rPr>
              <w:t>(XVII)</w:t>
            </w:r>
          </w:p>
        </w:tc>
      </w:tr>
      <w:tr w:rsidR="00F97CBA" w:rsidRPr="003C38EE">
        <w:trPr>
          <w:gridBefore w:val="1"/>
          <w:gridAfter w:val="1"/>
          <w:wBefore w:w="8" w:type="dxa"/>
          <w:wAfter w:w="8" w:type="dxa"/>
        </w:trPr>
        <w:tc>
          <w:tcPr>
            <w:tcW w:w="9639" w:type="dxa"/>
            <w:gridSpan w:val="5"/>
            <w:tcBorders>
              <w:top w:val="single" w:sz="6" w:space="0" w:color="auto"/>
              <w:left w:val="nil"/>
              <w:bottom w:val="nil"/>
              <w:right w:val="nil"/>
            </w:tcBorders>
          </w:tcPr>
          <w:p w:rsidR="00F97CBA" w:rsidRPr="003C38EE" w:rsidRDefault="00F97CBA" w:rsidP="00197E2A">
            <w:pPr>
              <w:pStyle w:val="TableText"/>
              <w:framePr w:hSpace="181" w:wrap="notBeside" w:vAnchor="text" w:hAnchor="text" w:xAlign="center" w:y="1"/>
              <w:tabs>
                <w:tab w:val="left" w:pos="284"/>
              </w:tabs>
              <w:spacing w:before="200"/>
              <w:rPr>
                <w:color w:val="000000"/>
                <w:lang w:val="fr-FR"/>
              </w:rPr>
            </w:pPr>
            <w:r w:rsidRPr="003C38EE">
              <w:rPr>
                <w:color w:val="000000"/>
                <w:vertAlign w:val="superscript"/>
                <w:lang w:val="fr-FR"/>
              </w:rPr>
              <w:t>1</w:t>
            </w:r>
            <w:r w:rsidRPr="003C38EE">
              <w:rPr>
                <w:color w:val="000000"/>
                <w:lang w:val="fr-FR"/>
              </w:rPr>
              <w:tab/>
              <w:t>Le facteur d'ajustement du brouillage pour les Cas I, II, III, X et XI est le même (voir le § 2.1.1 du Supplément</w:t>
            </w:r>
            <w:r w:rsidR="00197E2A" w:rsidRPr="003C38EE">
              <w:rPr>
                <w:color w:val="000000"/>
                <w:lang w:val="fr-FR"/>
              </w:rPr>
              <w:t> </w:t>
            </w:r>
            <w:r w:rsidRPr="003C38EE">
              <w:rPr>
                <w:color w:val="000000"/>
                <w:lang w:val="fr-FR"/>
              </w:rPr>
              <w:t>1).</w:t>
            </w:r>
          </w:p>
          <w:p w:rsidR="00F97CBA" w:rsidRPr="003C38EE" w:rsidRDefault="00F97CBA" w:rsidP="00197E2A">
            <w:pPr>
              <w:pStyle w:val="TableText"/>
              <w:framePr w:hSpace="181" w:wrap="notBeside" w:vAnchor="text" w:hAnchor="text" w:xAlign="center" w:y="1"/>
              <w:tabs>
                <w:tab w:val="left" w:pos="284"/>
              </w:tabs>
              <w:rPr>
                <w:color w:val="000000"/>
                <w:lang w:val="fr-FR"/>
              </w:rPr>
            </w:pPr>
            <w:r w:rsidRPr="003C38EE">
              <w:rPr>
                <w:color w:val="000000"/>
                <w:vertAlign w:val="superscript"/>
                <w:lang w:val="fr-FR"/>
              </w:rPr>
              <w:t>2</w:t>
            </w:r>
            <w:r w:rsidRPr="003C38EE">
              <w:rPr>
                <w:color w:val="000000"/>
                <w:lang w:val="fr-FR"/>
              </w:rPr>
              <w:tab/>
              <w:t>Le facteur d'ajustement du brouillage pour les Cas IV, VI à IX et XII à XVII est le même (voir le §</w:t>
            </w:r>
            <w:r w:rsidR="00197E2A" w:rsidRPr="003C38EE">
              <w:rPr>
                <w:color w:val="000000"/>
                <w:lang w:val="fr-FR"/>
              </w:rPr>
              <w:t> </w:t>
            </w:r>
            <w:r w:rsidRPr="003C38EE">
              <w:rPr>
                <w:color w:val="000000"/>
                <w:lang w:val="fr-FR"/>
              </w:rPr>
              <w:t>3.5 ci-après).</w:t>
            </w:r>
          </w:p>
          <w:p w:rsidR="00F97CBA" w:rsidRPr="003C38EE" w:rsidRDefault="00F97CBA">
            <w:pPr>
              <w:pStyle w:val="TableText"/>
              <w:framePr w:hSpace="181" w:wrap="notBeside" w:vAnchor="text" w:hAnchor="text" w:xAlign="center" w:y="1"/>
              <w:tabs>
                <w:tab w:val="left" w:pos="284"/>
              </w:tabs>
              <w:rPr>
                <w:color w:val="000000"/>
                <w:vertAlign w:val="superscript"/>
                <w:lang w:val="fr-FR"/>
              </w:rPr>
            </w:pPr>
            <w:r w:rsidRPr="003C38EE">
              <w:rPr>
                <w:color w:val="000000"/>
                <w:vertAlign w:val="superscript"/>
                <w:lang w:val="fr-FR"/>
              </w:rPr>
              <w:t>3</w:t>
            </w:r>
            <w:r w:rsidRPr="003C38EE">
              <w:rPr>
                <w:color w:val="000000"/>
                <w:vertAlign w:val="superscript"/>
                <w:lang w:val="fr-FR"/>
              </w:rPr>
              <w:tab/>
            </w:r>
            <w:r w:rsidRPr="003C38EE">
              <w:rPr>
                <w:color w:val="000000"/>
                <w:lang w:val="fr-FR"/>
              </w:rPr>
              <w:t>Voir le § 3.1 du Supplément</w:t>
            </w:r>
            <w:r w:rsidR="00197E2A" w:rsidRPr="003C38EE">
              <w:rPr>
                <w:color w:val="000000"/>
                <w:lang w:val="fr-FR"/>
              </w:rPr>
              <w:t> </w:t>
            </w:r>
            <w:r w:rsidRPr="003C38EE">
              <w:rPr>
                <w:color w:val="000000"/>
                <w:lang w:val="fr-FR"/>
              </w:rPr>
              <w:t>1.</w:t>
            </w:r>
          </w:p>
        </w:tc>
      </w:tr>
    </w:tbl>
    <w:p w:rsidR="00F97CBA" w:rsidRPr="003C38EE" w:rsidRDefault="00F97CBA" w:rsidP="00197E2A">
      <w:pPr>
        <w:pStyle w:val="TableFin"/>
        <w:rPr>
          <w:lang w:val="fr-FR"/>
        </w:rPr>
      </w:pPr>
    </w:p>
    <w:p w:rsidR="00197E2A" w:rsidRPr="003C38EE" w:rsidRDefault="00197E2A" w:rsidP="00197E2A">
      <w:pPr>
        <w:spacing w:before="0"/>
        <w:rPr>
          <w:lang w:val="fr-FR"/>
        </w:rPr>
      </w:pPr>
    </w:p>
    <w:p w:rsidR="00F97CBA" w:rsidRPr="003C38EE" w:rsidRDefault="00F97CBA">
      <w:pPr>
        <w:rPr>
          <w:color w:val="000000"/>
          <w:lang w:val="fr-FR"/>
        </w:rPr>
      </w:pPr>
      <w:r w:rsidRPr="003C38EE">
        <w:rPr>
          <w:color w:val="000000"/>
          <w:lang w:val="fr-FR"/>
        </w:rPr>
        <w:br w:type="page"/>
      </w:r>
      <w:r w:rsidRPr="003C38EE">
        <w:rPr>
          <w:color w:val="000000"/>
          <w:lang w:val="fr-FR"/>
        </w:rPr>
        <w:lastRenderedPageBreak/>
        <w:t xml:space="preserve">Pour sélectionner un cas de brouillage défini dans le Tableau 1 ci-dessus, il est nécessaire d'identifier le type de chaque porteuse. Compte tenu des informations soumises au Bureau par les administrations conformément à l'Appendice </w:t>
      </w:r>
      <w:r w:rsidRPr="003C38EE">
        <w:rPr>
          <w:rStyle w:val="Appref"/>
          <w:b/>
          <w:bCs/>
          <w:color w:val="000000"/>
          <w:lang w:val="fr-FR"/>
        </w:rPr>
        <w:t>4</w:t>
      </w:r>
      <w:r w:rsidRPr="003C38EE">
        <w:rPr>
          <w:color w:val="000000"/>
          <w:lang w:val="fr-FR"/>
        </w:rPr>
        <w:t xml:space="preserve"> (c'est-à-dire la classe d'émission telle qu'elle est définie au point C.7.a de l'Annexe 2), le Bureau doit utiliser les définitions du type de porteuse suivantes:</w:t>
      </w:r>
    </w:p>
    <w:p w:rsidR="00F97CBA" w:rsidRPr="003C38EE" w:rsidRDefault="00F97CBA">
      <w:pPr>
        <w:pStyle w:val="enumlev1"/>
        <w:rPr>
          <w:color w:val="000000"/>
          <w:lang w:val="fr-FR"/>
        </w:rPr>
      </w:pPr>
      <w:r w:rsidRPr="003C38EE">
        <w:rPr>
          <w:color w:val="000000"/>
          <w:lang w:val="fr-FR"/>
        </w:rPr>
        <w:t>–</w:t>
      </w:r>
      <w:r w:rsidRPr="003C38EE">
        <w:rPr>
          <w:color w:val="000000"/>
          <w:lang w:val="fr-FR"/>
        </w:rPr>
        <w:tab/>
        <w:t>Analogique (TV-MF):</w:t>
      </w:r>
    </w:p>
    <w:p w:rsidR="00F97CBA" w:rsidRPr="003C38EE" w:rsidRDefault="00F97CBA" w:rsidP="00197E2A">
      <w:pPr>
        <w:pStyle w:val="enumlev1"/>
        <w:rPr>
          <w:color w:val="000000"/>
          <w:lang w:val="fr-FR"/>
        </w:rPr>
      </w:pPr>
      <w:r w:rsidRPr="003C38EE">
        <w:rPr>
          <w:color w:val="000000"/>
          <w:lang w:val="fr-FR"/>
        </w:rPr>
        <w:tab/>
        <w:t>Lorsque le premier caractère de la classe d'émission (point C.7.a de l'Annexe 2 de l'Appendice</w:t>
      </w:r>
      <w:r w:rsidR="00197E2A" w:rsidRPr="003C38EE">
        <w:rPr>
          <w:color w:val="000000"/>
          <w:lang w:val="fr-FR"/>
        </w:rPr>
        <w:t> </w:t>
      </w:r>
      <w:r w:rsidRPr="003C38EE">
        <w:rPr>
          <w:rStyle w:val="Appref"/>
          <w:b/>
          <w:bCs/>
          <w:color w:val="000000"/>
          <w:lang w:val="fr-FR"/>
        </w:rPr>
        <w:t>4</w:t>
      </w:r>
      <w:r w:rsidRPr="003C38EE">
        <w:rPr>
          <w:color w:val="000000"/>
          <w:lang w:val="fr-FR"/>
        </w:rPr>
        <w:t>) est «F» et que le troisième caractère est</w:t>
      </w:r>
      <w:r w:rsidR="00197E2A" w:rsidRPr="003C38EE">
        <w:rPr>
          <w:color w:val="000000"/>
          <w:lang w:val="fr-FR"/>
        </w:rPr>
        <w:t> </w:t>
      </w:r>
      <w:r w:rsidRPr="003C38EE">
        <w:rPr>
          <w:color w:val="000000"/>
          <w:lang w:val="fr-FR"/>
        </w:rPr>
        <w:t>«F» ou</w:t>
      </w:r>
      <w:r w:rsidR="00197E2A" w:rsidRPr="003C38EE">
        <w:rPr>
          <w:color w:val="000000"/>
          <w:lang w:val="fr-FR"/>
        </w:rPr>
        <w:t> </w:t>
      </w:r>
      <w:r w:rsidRPr="003C38EE">
        <w:rPr>
          <w:color w:val="000000"/>
          <w:lang w:val="fr-FR"/>
        </w:rPr>
        <w:t>«W».</w:t>
      </w:r>
    </w:p>
    <w:p w:rsidR="00F97CBA" w:rsidRPr="003C38EE" w:rsidRDefault="00F97CBA">
      <w:pPr>
        <w:pStyle w:val="enumlev1"/>
        <w:rPr>
          <w:color w:val="000000"/>
          <w:lang w:val="fr-FR"/>
        </w:rPr>
      </w:pPr>
      <w:r w:rsidRPr="003C38EE">
        <w:rPr>
          <w:color w:val="000000"/>
          <w:lang w:val="fr-FR"/>
        </w:rPr>
        <w:t>–</w:t>
      </w:r>
      <w:r w:rsidRPr="003C38EE">
        <w:rPr>
          <w:color w:val="000000"/>
          <w:lang w:val="fr-FR"/>
        </w:rPr>
        <w:tab/>
        <w:t>Analogique (autre que TV-MF):</w:t>
      </w:r>
    </w:p>
    <w:p w:rsidR="00F97CBA" w:rsidRPr="003C38EE" w:rsidRDefault="00F97CBA">
      <w:pPr>
        <w:pStyle w:val="enumlev1"/>
        <w:rPr>
          <w:color w:val="000000"/>
          <w:lang w:val="fr-FR"/>
        </w:rPr>
      </w:pPr>
      <w:r w:rsidRPr="003C38EE">
        <w:rPr>
          <w:b/>
          <w:bCs/>
          <w:color w:val="000000"/>
          <w:lang w:val="fr-FR"/>
        </w:rPr>
        <w:tab/>
      </w:r>
      <w:r w:rsidRPr="003C38EE">
        <w:rPr>
          <w:color w:val="000000"/>
          <w:lang w:val="fr-FR"/>
        </w:rPr>
        <w:t>Lorsque le premier caractère de la classe d'émission est «F» et que le troisième caractère n'est pas «F» ni «W».</w:t>
      </w:r>
    </w:p>
    <w:p w:rsidR="00F97CBA" w:rsidRPr="003C38EE" w:rsidRDefault="00F97CBA" w:rsidP="00197E2A">
      <w:pPr>
        <w:pStyle w:val="enumlev1"/>
        <w:rPr>
          <w:color w:val="000000"/>
          <w:lang w:val="fr-FR"/>
        </w:rPr>
      </w:pPr>
      <w:r w:rsidRPr="003C38EE">
        <w:rPr>
          <w:color w:val="000000"/>
          <w:lang w:val="fr-FR"/>
        </w:rPr>
        <w:t>–</w:t>
      </w:r>
      <w:r w:rsidRPr="003C38EE">
        <w:rPr>
          <w:color w:val="000000"/>
          <w:lang w:val="fr-FR"/>
        </w:rPr>
        <w:tab/>
        <w:t>Numérique:</w:t>
      </w:r>
    </w:p>
    <w:p w:rsidR="00F97CBA" w:rsidRPr="003C38EE" w:rsidRDefault="00F97CBA" w:rsidP="00197E2A">
      <w:pPr>
        <w:pStyle w:val="enumlev1"/>
        <w:rPr>
          <w:color w:val="000000"/>
          <w:lang w:val="fr-FR"/>
        </w:rPr>
      </w:pPr>
      <w:r w:rsidRPr="003C38EE">
        <w:rPr>
          <w:color w:val="000000"/>
          <w:lang w:val="fr-FR"/>
        </w:rPr>
        <w:tab/>
        <w:t>Lorsque le premier caractère de la classe d'émission est</w:t>
      </w:r>
      <w:r w:rsidR="00197E2A" w:rsidRPr="003C38EE">
        <w:rPr>
          <w:color w:val="000000"/>
          <w:lang w:val="fr-FR"/>
        </w:rPr>
        <w:t> </w:t>
      </w:r>
      <w:r w:rsidRPr="003C38EE">
        <w:rPr>
          <w:color w:val="000000"/>
          <w:lang w:val="fr-FR"/>
        </w:rPr>
        <w:t>«G».</w:t>
      </w:r>
    </w:p>
    <w:p w:rsidR="00F97CBA" w:rsidRPr="003C38EE" w:rsidRDefault="00F97CBA" w:rsidP="00197E2A">
      <w:pPr>
        <w:pStyle w:val="enumlev1"/>
        <w:rPr>
          <w:color w:val="000000"/>
          <w:lang w:val="fr-FR"/>
        </w:rPr>
      </w:pPr>
      <w:r w:rsidRPr="003C38EE">
        <w:rPr>
          <w:color w:val="000000"/>
          <w:lang w:val="fr-FR"/>
        </w:rPr>
        <w:t>–</w:t>
      </w:r>
      <w:r w:rsidRPr="003C38EE">
        <w:rPr>
          <w:color w:val="000000"/>
          <w:lang w:val="fr-FR"/>
        </w:rPr>
        <w:tab/>
        <w:t>Autre:</w:t>
      </w:r>
    </w:p>
    <w:p w:rsidR="00F97CBA" w:rsidRPr="003C38EE" w:rsidRDefault="00F97CBA">
      <w:pPr>
        <w:pStyle w:val="enumlev1"/>
        <w:rPr>
          <w:color w:val="000000"/>
          <w:lang w:val="fr-FR"/>
        </w:rPr>
      </w:pPr>
      <w:r w:rsidRPr="003C38EE">
        <w:rPr>
          <w:color w:val="000000"/>
          <w:lang w:val="fr-FR"/>
        </w:rPr>
        <w:tab/>
        <w:t>Lorsque le premier caractère de la classe d'émission n'est pas «F» ni «G».</w:t>
      </w:r>
    </w:p>
    <w:p w:rsidR="00F97CBA" w:rsidRPr="003C38EE" w:rsidRDefault="00F97CBA">
      <w:pPr>
        <w:pStyle w:val="Heading2"/>
        <w:rPr>
          <w:color w:val="000000"/>
          <w:lang w:val="fr-FR"/>
        </w:rPr>
      </w:pPr>
      <w:r w:rsidRPr="003C38EE">
        <w:rPr>
          <w:color w:val="000000"/>
          <w:lang w:val="fr-FR"/>
        </w:rPr>
        <w:t>3.2</w:t>
      </w:r>
      <w:r w:rsidRPr="003C38EE">
        <w:rPr>
          <w:color w:val="000000"/>
          <w:lang w:val="fr-FR"/>
        </w:rPr>
        <w:tab/>
        <w:t xml:space="preserve">Marge </w:t>
      </w:r>
      <w:r w:rsidRPr="003C38EE">
        <w:rPr>
          <w:i/>
          <w:color w:val="000000"/>
          <w:lang w:val="fr-FR"/>
        </w:rPr>
        <w:t>M</w:t>
      </w:r>
      <w:r w:rsidRPr="003C38EE">
        <w:rPr>
          <w:color w:val="000000"/>
          <w:lang w:val="fr-FR"/>
        </w:rPr>
        <w:t xml:space="preserve">, algorithmes </w:t>
      </w:r>
      <w:r w:rsidRPr="003C38EE">
        <w:rPr>
          <w:i/>
          <w:color w:val="000000"/>
          <w:lang w:val="fr-FR"/>
        </w:rPr>
        <w:t>C</w:t>
      </w:r>
      <w:r w:rsidRPr="003C38EE">
        <w:rPr>
          <w:color w:val="000000"/>
          <w:lang w:val="fr-FR"/>
        </w:rPr>
        <w:t>/</w:t>
      </w:r>
      <w:r w:rsidRPr="003C38EE">
        <w:rPr>
          <w:i/>
          <w:color w:val="000000"/>
          <w:lang w:val="fr-FR"/>
        </w:rPr>
        <w:t xml:space="preserve">I </w:t>
      </w:r>
      <w:r w:rsidRPr="003C38EE">
        <w:rPr>
          <w:color w:val="000000"/>
          <w:lang w:val="fr-FR"/>
        </w:rPr>
        <w:t xml:space="preserve">et </w:t>
      </w:r>
      <w:r w:rsidRPr="003C38EE">
        <w:rPr>
          <w:i/>
          <w:color w:val="000000"/>
          <w:lang w:val="fr-FR"/>
        </w:rPr>
        <w:t>C</w:t>
      </w:r>
      <w:r w:rsidRPr="003C38EE">
        <w:rPr>
          <w:color w:val="000000"/>
          <w:lang w:val="fr-FR"/>
        </w:rPr>
        <w:t>/</w:t>
      </w:r>
      <w:r w:rsidRPr="003C38EE">
        <w:rPr>
          <w:i/>
          <w:color w:val="000000"/>
          <w:lang w:val="fr-FR"/>
        </w:rPr>
        <w:t>N</w:t>
      </w:r>
    </w:p>
    <w:p w:rsidR="00F97CBA" w:rsidRPr="003C38EE" w:rsidRDefault="00F97CBA" w:rsidP="00197E2A">
      <w:pPr>
        <w:rPr>
          <w:color w:val="000000"/>
          <w:lang w:val="fr-FR"/>
        </w:rPr>
      </w:pPr>
      <w:r w:rsidRPr="003C38EE">
        <w:rPr>
          <w:color w:val="000000"/>
          <w:lang w:val="fr-FR"/>
        </w:rPr>
        <w:t>Les algorithmes décrits dans le Supplément 1 sont utilisés pour évaluer le respect des critères de brouillage admis d'un commun accord ou des limites du brouillage dû à une source unique fixées au Tableau</w:t>
      </w:r>
      <w:r w:rsidR="00197E2A" w:rsidRPr="003C38EE">
        <w:rPr>
          <w:color w:val="000000"/>
          <w:lang w:val="fr-FR"/>
        </w:rPr>
        <w:t> </w:t>
      </w:r>
      <w:r w:rsidRPr="003C38EE">
        <w:rPr>
          <w:color w:val="000000"/>
          <w:lang w:val="fr-FR"/>
        </w:rPr>
        <w:t>2.</w:t>
      </w:r>
    </w:p>
    <w:p w:rsidR="00F97CBA" w:rsidRPr="003C38EE" w:rsidRDefault="00F97CBA">
      <w:pPr>
        <w:rPr>
          <w:color w:val="000000"/>
          <w:lang w:val="fr-FR"/>
        </w:rPr>
      </w:pPr>
      <w:r w:rsidRPr="003C38EE">
        <w:rPr>
          <w:color w:val="000000"/>
          <w:lang w:val="fr-FR"/>
        </w:rPr>
        <w:t xml:space="preserve">Le Tableau 2 ci-après, qui tient compte des informations soumises au Bureau par les administrations conformément à l'Appendice </w:t>
      </w:r>
      <w:r w:rsidRPr="003C38EE">
        <w:rPr>
          <w:rStyle w:val="Appref"/>
          <w:b/>
          <w:bCs/>
          <w:color w:val="000000"/>
          <w:lang w:val="fr-FR"/>
        </w:rPr>
        <w:t>4</w:t>
      </w:r>
      <w:r w:rsidRPr="003C38EE">
        <w:rPr>
          <w:color w:val="000000"/>
          <w:lang w:val="fr-FR"/>
        </w:rPr>
        <w:t xml:space="preserve"> et de la définition du type de porteuse donnée au § 3.1 ci-dessus, est une simplification du Tableau 2 de la Recommandation UIT</w:t>
      </w:r>
      <w:r w:rsidRPr="003C38EE">
        <w:rPr>
          <w:color w:val="000000"/>
          <w:lang w:val="fr-FR"/>
        </w:rPr>
        <w:noBreakHyphen/>
        <w:t>R S.741</w:t>
      </w:r>
      <w:r w:rsidRPr="003C38EE">
        <w:rPr>
          <w:color w:val="000000"/>
          <w:lang w:val="fr-FR"/>
        </w:rPr>
        <w:noBreakHyphen/>
        <w:t>2.</w:t>
      </w:r>
    </w:p>
    <w:p w:rsidR="00F97CBA" w:rsidRPr="003C38EE" w:rsidRDefault="00F97CBA">
      <w:pPr>
        <w:rPr>
          <w:color w:val="000000"/>
          <w:lang w:val="fr-FR"/>
        </w:rPr>
      </w:pPr>
    </w:p>
    <w:p w:rsidR="00F97CBA" w:rsidRPr="003C38EE" w:rsidRDefault="00F97CBA">
      <w:pPr>
        <w:rPr>
          <w:color w:val="000000"/>
          <w:lang w:val="fr-FR"/>
        </w:rPr>
      </w:pPr>
    </w:p>
    <w:p w:rsidR="00F97CBA" w:rsidRPr="003C38EE" w:rsidRDefault="00F97CBA">
      <w:pPr>
        <w:rPr>
          <w:color w:val="000000"/>
          <w:lang w:val="fr-FR"/>
        </w:rPr>
      </w:pPr>
    </w:p>
    <w:p w:rsidR="00197E2A" w:rsidRPr="003C38EE" w:rsidRDefault="00197E2A">
      <w:pPr>
        <w:rPr>
          <w:color w:val="000000"/>
          <w:lang w:val="fr-FR"/>
        </w:rPr>
      </w:pPr>
    </w:p>
    <w:p w:rsidR="00197E2A" w:rsidRPr="003C38EE" w:rsidRDefault="00197E2A">
      <w:pPr>
        <w:rPr>
          <w:color w:val="000000"/>
          <w:lang w:val="fr-FR"/>
        </w:rPr>
      </w:pPr>
    </w:p>
    <w:p w:rsidR="00197E2A" w:rsidRPr="003C38EE" w:rsidRDefault="00197E2A">
      <w:pPr>
        <w:rPr>
          <w:color w:val="000000"/>
          <w:lang w:val="fr-FR"/>
        </w:rPr>
      </w:pPr>
    </w:p>
    <w:p w:rsidR="00197E2A" w:rsidRPr="003C38EE" w:rsidRDefault="00197E2A">
      <w:pPr>
        <w:rPr>
          <w:color w:val="000000"/>
          <w:lang w:val="fr-FR"/>
        </w:rPr>
      </w:pPr>
    </w:p>
    <w:p w:rsidR="00197E2A" w:rsidRPr="003C38EE" w:rsidRDefault="00197E2A">
      <w:pPr>
        <w:rPr>
          <w:color w:val="000000"/>
          <w:lang w:val="fr-FR"/>
        </w:rPr>
      </w:pPr>
    </w:p>
    <w:p w:rsidR="00197E2A" w:rsidRPr="003C38EE" w:rsidRDefault="00197E2A">
      <w:pPr>
        <w:rPr>
          <w:color w:val="000000"/>
          <w:lang w:val="fr-FR"/>
        </w:rPr>
      </w:pPr>
    </w:p>
    <w:p w:rsidR="00197E2A" w:rsidRPr="003C38EE" w:rsidRDefault="00197E2A">
      <w:pPr>
        <w:rPr>
          <w:color w:val="000000"/>
          <w:lang w:val="fr-FR"/>
        </w:rPr>
      </w:pPr>
    </w:p>
    <w:p w:rsidR="00F97CBA" w:rsidRPr="003C38EE" w:rsidRDefault="00F97CBA" w:rsidP="00197E2A">
      <w:pPr>
        <w:pStyle w:val="Table"/>
        <w:rPr>
          <w:lang w:val="fr-FR"/>
        </w:rPr>
      </w:pPr>
      <w:r w:rsidRPr="003C38EE">
        <w:rPr>
          <w:lang w:val="fr-FR"/>
        </w:rPr>
        <w:br w:type="page"/>
      </w:r>
      <w:r w:rsidR="00197E2A" w:rsidRPr="003C38EE">
        <w:rPr>
          <w:lang w:val="fr-FR"/>
        </w:rPr>
        <w:t>TABLEAU  2</w:t>
      </w:r>
    </w:p>
    <w:p w:rsidR="00F97CBA" w:rsidRPr="003C38EE" w:rsidRDefault="00F97CBA">
      <w:pPr>
        <w:pStyle w:val="Tabletitle0"/>
        <w:rPr>
          <w:color w:val="000000"/>
          <w:sz w:val="20"/>
        </w:rPr>
      </w:pPr>
      <w:r w:rsidRPr="003C38EE">
        <w:rPr>
          <w:color w:val="000000"/>
          <w:sz w:val="20"/>
        </w:rPr>
        <w:t>Critères de protection contre le brouillage dû à une source unique</w:t>
      </w:r>
    </w:p>
    <w:p w:rsidR="00197E2A" w:rsidRPr="003C38EE" w:rsidRDefault="00197E2A" w:rsidP="00197E2A">
      <w:pPr>
        <w:spacing w:before="0"/>
        <w:rPr>
          <w:sz w:val="6"/>
          <w:szCs w:val="6"/>
          <w:lang w:val="fr-FR"/>
        </w:rPr>
      </w:pPr>
    </w:p>
    <w:tbl>
      <w:tblPr>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8"/>
        <w:gridCol w:w="4703"/>
        <w:gridCol w:w="1274"/>
        <w:gridCol w:w="1162"/>
      </w:tblGrid>
      <w:tr w:rsidR="00F97CBA" w:rsidRPr="003C38EE">
        <w:tc>
          <w:tcPr>
            <w:tcW w:w="2068" w:type="dxa"/>
            <w:tcBorders>
              <w:tl2br w:val="single" w:sz="4" w:space="0" w:color="auto"/>
            </w:tcBorders>
          </w:tcPr>
          <w:p w:rsidR="00F97CBA" w:rsidRPr="003C38EE" w:rsidRDefault="00F97CBA" w:rsidP="00197E2A">
            <w:pPr>
              <w:pStyle w:val="Tablehead0"/>
              <w:framePr w:hSpace="181" w:wrap="notBeside" w:vAnchor="text" w:hAnchor="text" w:xAlign="center" w:y="1"/>
              <w:spacing w:before="160" w:after="160"/>
              <w:jc w:val="right"/>
              <w:rPr>
                <w:color w:val="000000"/>
                <w:sz w:val="20"/>
              </w:rPr>
            </w:pPr>
            <w:r w:rsidRPr="003C38EE">
              <w:rPr>
                <w:color w:val="000000"/>
                <w:sz w:val="20"/>
              </w:rPr>
              <w:t xml:space="preserve">Type de </w:t>
            </w:r>
            <w:r w:rsidRPr="003C38EE">
              <w:rPr>
                <w:color w:val="000000"/>
                <w:sz w:val="20"/>
              </w:rPr>
              <w:br/>
              <w:t>porteuse</w:t>
            </w:r>
            <w:r w:rsidRPr="003C38EE">
              <w:rPr>
                <w:color w:val="000000"/>
                <w:sz w:val="20"/>
              </w:rPr>
              <w:br/>
              <w:t>brouilleuse</w:t>
            </w:r>
          </w:p>
          <w:p w:rsidR="00F97CBA" w:rsidRPr="003C38EE" w:rsidRDefault="00F97CBA" w:rsidP="00197E2A">
            <w:pPr>
              <w:pStyle w:val="Tablehead0"/>
              <w:framePr w:hSpace="181" w:wrap="notBeside" w:vAnchor="text" w:hAnchor="text" w:xAlign="center" w:y="1"/>
              <w:spacing w:before="160" w:after="160"/>
              <w:jc w:val="left"/>
              <w:rPr>
                <w:color w:val="000000"/>
                <w:sz w:val="20"/>
              </w:rPr>
            </w:pPr>
            <w:r w:rsidRPr="003C38EE">
              <w:rPr>
                <w:color w:val="000000"/>
                <w:sz w:val="20"/>
              </w:rPr>
              <w:t xml:space="preserve">Type de </w:t>
            </w:r>
            <w:r w:rsidRPr="003C38EE">
              <w:rPr>
                <w:color w:val="000000"/>
                <w:sz w:val="20"/>
              </w:rPr>
              <w:br/>
              <w:t xml:space="preserve">porteuse </w:t>
            </w:r>
            <w:r w:rsidRPr="003C38EE">
              <w:rPr>
                <w:color w:val="000000"/>
                <w:sz w:val="20"/>
              </w:rPr>
              <w:br/>
              <w:t>utile</w:t>
            </w:r>
          </w:p>
        </w:tc>
        <w:tc>
          <w:tcPr>
            <w:tcW w:w="4703" w:type="dxa"/>
            <w:vAlign w:val="center"/>
          </w:tcPr>
          <w:p w:rsidR="00F97CBA" w:rsidRPr="003C38EE" w:rsidRDefault="00F97CBA" w:rsidP="00197E2A">
            <w:pPr>
              <w:pStyle w:val="Tablehead0"/>
              <w:framePr w:hSpace="181" w:wrap="notBeside" w:vAnchor="text" w:hAnchor="text" w:xAlign="center" w:y="1"/>
              <w:spacing w:before="160" w:after="160"/>
              <w:rPr>
                <w:color w:val="000000"/>
                <w:sz w:val="20"/>
              </w:rPr>
            </w:pPr>
            <w:r w:rsidRPr="003C38EE">
              <w:rPr>
                <w:color w:val="000000"/>
                <w:sz w:val="20"/>
              </w:rPr>
              <w:t>Analogique (TV-MF) ou autre</w:t>
            </w:r>
          </w:p>
        </w:tc>
        <w:tc>
          <w:tcPr>
            <w:tcW w:w="1274" w:type="dxa"/>
            <w:vAlign w:val="center"/>
          </w:tcPr>
          <w:p w:rsidR="00F97CBA" w:rsidRPr="003C38EE" w:rsidRDefault="00F97CBA" w:rsidP="00197E2A">
            <w:pPr>
              <w:pStyle w:val="Tablehead0"/>
              <w:framePr w:hSpace="181" w:wrap="notBeside" w:vAnchor="text" w:hAnchor="text" w:xAlign="center" w:y="1"/>
              <w:spacing w:before="160" w:after="160"/>
              <w:rPr>
                <w:color w:val="000000"/>
                <w:sz w:val="20"/>
              </w:rPr>
            </w:pPr>
            <w:r w:rsidRPr="003C38EE">
              <w:rPr>
                <w:color w:val="000000"/>
                <w:sz w:val="20"/>
              </w:rPr>
              <w:t>Numérique</w:t>
            </w:r>
          </w:p>
        </w:tc>
        <w:tc>
          <w:tcPr>
            <w:tcW w:w="1162" w:type="dxa"/>
            <w:vAlign w:val="center"/>
          </w:tcPr>
          <w:p w:rsidR="00F97CBA" w:rsidRPr="003C38EE" w:rsidRDefault="00F97CBA" w:rsidP="00197E2A">
            <w:pPr>
              <w:pStyle w:val="Tablehead0"/>
              <w:framePr w:hSpace="181" w:wrap="notBeside" w:vAnchor="text" w:hAnchor="text" w:xAlign="center" w:y="1"/>
              <w:spacing w:before="160" w:after="160"/>
              <w:ind w:left="-57" w:right="-57"/>
              <w:rPr>
                <w:color w:val="000000"/>
                <w:sz w:val="20"/>
              </w:rPr>
            </w:pPr>
            <w:r w:rsidRPr="003C38EE">
              <w:rPr>
                <w:color w:val="000000"/>
                <w:sz w:val="20"/>
              </w:rPr>
              <w:t xml:space="preserve">Analogique </w:t>
            </w:r>
            <w:r w:rsidRPr="003C38EE">
              <w:rPr>
                <w:color w:val="000000"/>
                <w:sz w:val="20"/>
              </w:rPr>
              <w:br/>
              <w:t>(autre que TV-MF)</w:t>
            </w:r>
          </w:p>
        </w:tc>
      </w:tr>
      <w:tr w:rsidR="00F97CBA" w:rsidRPr="003C38EE">
        <w:trPr>
          <w:cantSplit/>
        </w:trPr>
        <w:tc>
          <w:tcPr>
            <w:tcW w:w="2068" w:type="dxa"/>
          </w:tcPr>
          <w:p w:rsidR="00F97CBA" w:rsidRPr="003C38EE" w:rsidRDefault="00F97CBA" w:rsidP="00197E2A">
            <w:pPr>
              <w:pStyle w:val="Tablehead0"/>
              <w:framePr w:hSpace="181" w:wrap="notBeside" w:vAnchor="text" w:hAnchor="text" w:xAlign="center" w:y="1"/>
              <w:jc w:val="left"/>
              <w:rPr>
                <w:color w:val="000000"/>
                <w:sz w:val="20"/>
              </w:rPr>
            </w:pPr>
            <w:r w:rsidRPr="003C38EE">
              <w:rPr>
                <w:color w:val="000000"/>
                <w:sz w:val="20"/>
              </w:rPr>
              <w:t>Analogique (TV</w:t>
            </w:r>
            <w:r w:rsidRPr="003C38EE">
              <w:rPr>
                <w:color w:val="000000"/>
                <w:sz w:val="20"/>
              </w:rPr>
              <w:noBreakHyphen/>
              <w:t>MF)</w:t>
            </w:r>
          </w:p>
        </w:tc>
        <w:tc>
          <w:tcPr>
            <w:tcW w:w="7139" w:type="dxa"/>
            <w:gridSpan w:val="3"/>
          </w:tcPr>
          <w:p w:rsidR="00F97CBA" w:rsidRPr="003C38EE" w:rsidRDefault="00F97CBA" w:rsidP="00197E2A">
            <w:pPr>
              <w:pStyle w:val="Tablehead0"/>
              <w:framePr w:hSpace="181" w:wrap="notBeside" w:vAnchor="text" w:hAnchor="text" w:xAlign="center" w:y="1"/>
              <w:rPr>
                <w:b w:val="0"/>
                <w:bCs/>
                <w:color w:val="000000"/>
                <w:sz w:val="20"/>
              </w:rPr>
            </w:pPr>
            <w:r w:rsidRPr="003C38EE">
              <w:rPr>
                <w:b w:val="0"/>
                <w:bCs/>
                <w:i/>
                <w:iCs/>
                <w:color w:val="000000"/>
                <w:sz w:val="20"/>
              </w:rPr>
              <w:t>C</w:t>
            </w:r>
            <w:r w:rsidRPr="003C38EE">
              <w:rPr>
                <w:b w:val="0"/>
                <w:bCs/>
                <w:color w:val="000000"/>
                <w:sz w:val="20"/>
              </w:rPr>
              <w:t>/</w:t>
            </w:r>
            <w:r w:rsidRPr="003C38EE">
              <w:rPr>
                <w:b w:val="0"/>
                <w:bCs/>
                <w:i/>
                <w:iCs/>
                <w:color w:val="000000"/>
                <w:sz w:val="20"/>
              </w:rPr>
              <w:t>N</w:t>
            </w:r>
            <w:r w:rsidRPr="003C38EE">
              <w:rPr>
                <w:b w:val="0"/>
                <w:bCs/>
                <w:color w:val="000000"/>
                <w:sz w:val="20"/>
              </w:rPr>
              <w:t xml:space="preserve"> + 14 (dB)</w:t>
            </w:r>
          </w:p>
        </w:tc>
      </w:tr>
      <w:tr w:rsidR="00F97CBA" w:rsidRPr="003C38EE">
        <w:trPr>
          <w:cantSplit/>
        </w:trPr>
        <w:tc>
          <w:tcPr>
            <w:tcW w:w="2068" w:type="dxa"/>
            <w:vAlign w:val="center"/>
          </w:tcPr>
          <w:p w:rsidR="00F97CBA" w:rsidRPr="003C38EE" w:rsidRDefault="00F97CBA" w:rsidP="00197E2A">
            <w:pPr>
              <w:pStyle w:val="Tablehead0"/>
              <w:framePr w:hSpace="181" w:wrap="notBeside" w:vAnchor="text" w:hAnchor="text" w:xAlign="center" w:y="1"/>
              <w:rPr>
                <w:color w:val="000000"/>
                <w:sz w:val="20"/>
              </w:rPr>
            </w:pPr>
            <w:r w:rsidRPr="003C38EE">
              <w:rPr>
                <w:color w:val="000000"/>
                <w:sz w:val="20"/>
              </w:rPr>
              <w:t>Numérique</w:t>
            </w:r>
          </w:p>
        </w:tc>
        <w:tc>
          <w:tcPr>
            <w:tcW w:w="4703" w:type="dxa"/>
            <w:vAlign w:val="center"/>
          </w:tcPr>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color w:val="000000"/>
                <w:sz w:val="20"/>
              </w:rPr>
              <w:t xml:space="preserve">Si DeNeBd </w:t>
            </w:r>
            <w:r w:rsidRPr="003C38EE">
              <w:rPr>
                <w:color w:val="000000"/>
                <w:sz w:val="20"/>
              </w:rPr>
              <w:sym w:font="Symbol" w:char="F0A3"/>
            </w:r>
            <w:r w:rsidRPr="003C38EE">
              <w:rPr>
                <w:color w:val="000000"/>
                <w:sz w:val="20"/>
              </w:rPr>
              <w:t xml:space="preserve"> InEqBd alors</w:t>
            </w:r>
          </w:p>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i/>
                <w:iCs/>
                <w:color w:val="000000"/>
                <w:sz w:val="20"/>
              </w:rPr>
              <w:t>C</w:t>
            </w:r>
            <w:r w:rsidRPr="003C38EE">
              <w:rPr>
                <w:color w:val="000000"/>
                <w:sz w:val="20"/>
              </w:rPr>
              <w:t>/</w:t>
            </w:r>
            <w:r w:rsidRPr="003C38EE">
              <w:rPr>
                <w:i/>
                <w:iCs/>
                <w:color w:val="000000"/>
                <w:sz w:val="20"/>
              </w:rPr>
              <w:t>N</w:t>
            </w:r>
            <w:r w:rsidRPr="003C38EE">
              <w:rPr>
                <w:color w:val="000000"/>
                <w:sz w:val="20"/>
              </w:rPr>
              <w:t xml:space="preserve"> + 9,4 + 3,5 log (</w:t>
            </w:r>
            <w:r w:rsidRPr="003C38EE">
              <w:rPr>
                <w:rFonts w:ascii="Symbol" w:hAnsi="Symbol"/>
                <w:iCs/>
                <w:color w:val="000000"/>
                <w:sz w:val="20"/>
              </w:rPr>
              <w:t></w:t>
            </w:r>
            <w:r w:rsidRPr="003C38EE">
              <w:rPr>
                <w:color w:val="000000"/>
                <w:sz w:val="20"/>
              </w:rPr>
              <w:t>) – 6 log (</w:t>
            </w:r>
            <w:r w:rsidRPr="003C38EE">
              <w:rPr>
                <w:i/>
                <w:iCs/>
                <w:color w:val="000000"/>
                <w:sz w:val="20"/>
              </w:rPr>
              <w:t>i</w:t>
            </w:r>
            <w:r w:rsidRPr="003C38EE">
              <w:rPr>
                <w:color w:val="000000"/>
                <w:sz w:val="20"/>
              </w:rPr>
              <w:t>/10) (dB)</w:t>
            </w:r>
          </w:p>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color w:val="000000"/>
                <w:sz w:val="20"/>
              </w:rPr>
              <w:t xml:space="preserve">(c'est-à-dire, </w:t>
            </w:r>
            <w:r w:rsidRPr="003C38EE">
              <w:rPr>
                <w:i/>
                <w:iCs/>
                <w:color w:val="000000"/>
                <w:sz w:val="20"/>
              </w:rPr>
              <w:t>C</w:t>
            </w:r>
            <w:r w:rsidRPr="003C38EE">
              <w:rPr>
                <w:color w:val="000000"/>
                <w:sz w:val="20"/>
              </w:rPr>
              <w:t>/</w:t>
            </w:r>
            <w:r w:rsidRPr="003C38EE">
              <w:rPr>
                <w:i/>
                <w:iCs/>
                <w:color w:val="000000"/>
                <w:sz w:val="20"/>
              </w:rPr>
              <w:t>N</w:t>
            </w:r>
            <w:r w:rsidRPr="003C38EE">
              <w:rPr>
                <w:color w:val="000000"/>
                <w:sz w:val="20"/>
              </w:rPr>
              <w:t xml:space="preserve"> + 5,5 + 3,5 log (DeNeBd (MHz)))</w:t>
            </w:r>
          </w:p>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color w:val="000000"/>
                <w:sz w:val="20"/>
              </w:rPr>
              <w:t>Dans le cas contraire, si DeNeBd &gt; InEqBd alors</w:t>
            </w:r>
            <w:r w:rsidR="00197E2A" w:rsidRPr="003C38EE">
              <w:rPr>
                <w:color w:val="000000"/>
                <w:sz w:val="20"/>
              </w:rPr>
              <w:br/>
            </w:r>
            <w:r w:rsidRPr="003C38EE">
              <w:rPr>
                <w:color w:val="000000"/>
                <w:sz w:val="20"/>
              </w:rPr>
              <w:br/>
            </w:r>
            <w:r w:rsidRPr="003C38EE">
              <w:rPr>
                <w:i/>
                <w:iCs/>
                <w:color w:val="000000"/>
                <w:sz w:val="20"/>
              </w:rPr>
              <w:t>C</w:t>
            </w:r>
            <w:r w:rsidRPr="003C38EE">
              <w:rPr>
                <w:color w:val="000000"/>
                <w:sz w:val="20"/>
              </w:rPr>
              <w:t>/</w:t>
            </w:r>
            <w:r w:rsidRPr="003C38EE">
              <w:rPr>
                <w:i/>
                <w:iCs/>
                <w:color w:val="000000"/>
                <w:sz w:val="20"/>
              </w:rPr>
              <w:t>N</w:t>
            </w:r>
            <w:r w:rsidRPr="003C38EE">
              <w:rPr>
                <w:color w:val="000000"/>
                <w:sz w:val="20"/>
              </w:rPr>
              <w:t xml:space="preserve"> + 12,2 (dB)</w:t>
            </w:r>
          </w:p>
        </w:tc>
        <w:tc>
          <w:tcPr>
            <w:tcW w:w="2436" w:type="dxa"/>
            <w:gridSpan w:val="2"/>
            <w:vAlign w:val="center"/>
          </w:tcPr>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i/>
                <w:iCs/>
                <w:color w:val="000000"/>
                <w:sz w:val="20"/>
              </w:rPr>
              <w:t>C</w:t>
            </w:r>
            <w:r w:rsidRPr="003C38EE">
              <w:rPr>
                <w:color w:val="000000"/>
                <w:sz w:val="20"/>
              </w:rPr>
              <w:t>/</w:t>
            </w:r>
            <w:r w:rsidRPr="003C38EE">
              <w:rPr>
                <w:i/>
                <w:iCs/>
                <w:color w:val="000000"/>
                <w:sz w:val="20"/>
              </w:rPr>
              <w:t>N</w:t>
            </w:r>
            <w:r w:rsidRPr="003C38EE">
              <w:rPr>
                <w:color w:val="000000"/>
                <w:sz w:val="20"/>
              </w:rPr>
              <w:t xml:space="preserve"> + 12,2 (dB)</w:t>
            </w:r>
          </w:p>
        </w:tc>
      </w:tr>
      <w:tr w:rsidR="00F97CBA" w:rsidRPr="003C38EE">
        <w:trPr>
          <w:cantSplit/>
        </w:trPr>
        <w:tc>
          <w:tcPr>
            <w:tcW w:w="2068" w:type="dxa"/>
          </w:tcPr>
          <w:p w:rsidR="00F97CBA" w:rsidRPr="003C38EE" w:rsidRDefault="00F97CBA" w:rsidP="00197E2A">
            <w:pPr>
              <w:pStyle w:val="Tablehead0"/>
              <w:framePr w:hSpace="181" w:wrap="notBeside" w:vAnchor="text" w:hAnchor="text" w:xAlign="center" w:y="1"/>
              <w:rPr>
                <w:color w:val="000000"/>
                <w:sz w:val="20"/>
              </w:rPr>
            </w:pPr>
            <w:r w:rsidRPr="003C38EE">
              <w:rPr>
                <w:color w:val="000000"/>
                <w:sz w:val="20"/>
              </w:rPr>
              <w:t xml:space="preserve">Analogique </w:t>
            </w:r>
            <w:r w:rsidRPr="003C38EE">
              <w:rPr>
                <w:color w:val="000000"/>
                <w:sz w:val="20"/>
              </w:rPr>
              <w:br/>
              <w:t>(autre que TV</w:t>
            </w:r>
            <w:r w:rsidRPr="003C38EE">
              <w:rPr>
                <w:color w:val="000000"/>
                <w:sz w:val="20"/>
              </w:rPr>
              <w:noBreakHyphen/>
              <w:t>MF)</w:t>
            </w:r>
          </w:p>
        </w:tc>
        <w:tc>
          <w:tcPr>
            <w:tcW w:w="4703" w:type="dxa"/>
            <w:vAlign w:val="center"/>
          </w:tcPr>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color w:val="000000"/>
                <w:sz w:val="20"/>
              </w:rPr>
              <w:t>13,5 + 2 log (</w:t>
            </w:r>
            <w:r w:rsidRPr="003C38EE">
              <w:rPr>
                <w:rFonts w:ascii="Symbol" w:hAnsi="Symbol"/>
                <w:iCs/>
                <w:color w:val="000000"/>
                <w:sz w:val="20"/>
              </w:rPr>
              <w:t></w:t>
            </w:r>
            <w:r w:rsidRPr="003C38EE">
              <w:rPr>
                <w:color w:val="000000"/>
                <w:sz w:val="20"/>
              </w:rPr>
              <w:t>) – 3 log (</w:t>
            </w:r>
            <w:r w:rsidRPr="003C38EE">
              <w:rPr>
                <w:i/>
                <w:color w:val="000000"/>
                <w:sz w:val="20"/>
              </w:rPr>
              <w:t>i</w:t>
            </w:r>
            <w:r w:rsidRPr="003C38EE">
              <w:rPr>
                <w:color w:val="000000"/>
                <w:sz w:val="20"/>
              </w:rPr>
              <w:t>/10) (dB)</w:t>
            </w:r>
          </w:p>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color w:val="000000"/>
                <w:sz w:val="20"/>
              </w:rPr>
              <w:t>(c'est-à-dire, 11,4 + 2 log (DeNeBd (MHz)))</w:t>
            </w:r>
          </w:p>
        </w:tc>
        <w:tc>
          <w:tcPr>
            <w:tcW w:w="2436" w:type="dxa"/>
            <w:gridSpan w:val="2"/>
            <w:vAlign w:val="center"/>
          </w:tcPr>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i/>
                <w:iCs/>
                <w:color w:val="000000"/>
                <w:sz w:val="20"/>
              </w:rPr>
              <w:t>C</w:t>
            </w:r>
            <w:r w:rsidRPr="003C38EE">
              <w:rPr>
                <w:color w:val="000000"/>
                <w:sz w:val="20"/>
              </w:rPr>
              <w:t>/</w:t>
            </w:r>
            <w:r w:rsidRPr="003C38EE">
              <w:rPr>
                <w:i/>
                <w:iCs/>
                <w:color w:val="000000"/>
                <w:sz w:val="20"/>
              </w:rPr>
              <w:t>N</w:t>
            </w:r>
            <w:r w:rsidRPr="003C38EE">
              <w:rPr>
                <w:color w:val="000000"/>
                <w:sz w:val="20"/>
              </w:rPr>
              <w:t xml:space="preserve"> + 12,2 (dB)</w:t>
            </w:r>
          </w:p>
        </w:tc>
      </w:tr>
      <w:tr w:rsidR="00F97CBA" w:rsidRPr="003C38EE">
        <w:trPr>
          <w:cantSplit/>
        </w:trPr>
        <w:tc>
          <w:tcPr>
            <w:tcW w:w="2068" w:type="dxa"/>
            <w:tcBorders>
              <w:bottom w:val="single" w:sz="4" w:space="0" w:color="auto"/>
            </w:tcBorders>
            <w:vAlign w:val="center"/>
          </w:tcPr>
          <w:p w:rsidR="00F97CBA" w:rsidRPr="003C38EE" w:rsidRDefault="00F97CBA" w:rsidP="00197E2A">
            <w:pPr>
              <w:pStyle w:val="Tablehead0"/>
              <w:framePr w:hSpace="181" w:wrap="notBeside" w:vAnchor="text" w:hAnchor="text" w:xAlign="center" w:y="1"/>
              <w:rPr>
                <w:color w:val="000000"/>
                <w:sz w:val="20"/>
              </w:rPr>
            </w:pPr>
            <w:r w:rsidRPr="003C38EE">
              <w:rPr>
                <w:color w:val="000000"/>
                <w:sz w:val="20"/>
              </w:rPr>
              <w:t>Autre</w:t>
            </w:r>
          </w:p>
        </w:tc>
        <w:tc>
          <w:tcPr>
            <w:tcW w:w="4703" w:type="dxa"/>
            <w:tcBorders>
              <w:bottom w:val="single" w:sz="4" w:space="0" w:color="auto"/>
            </w:tcBorders>
            <w:vAlign w:val="center"/>
          </w:tcPr>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color w:val="000000"/>
                <w:sz w:val="20"/>
              </w:rPr>
              <w:t>13,5 + 2 log (</w:t>
            </w:r>
            <w:r w:rsidRPr="003C38EE">
              <w:rPr>
                <w:rFonts w:ascii="Symbol" w:hAnsi="Symbol"/>
                <w:iCs/>
                <w:color w:val="000000"/>
                <w:sz w:val="20"/>
              </w:rPr>
              <w:t></w:t>
            </w:r>
            <w:r w:rsidRPr="003C38EE">
              <w:rPr>
                <w:color w:val="000000"/>
                <w:sz w:val="20"/>
              </w:rPr>
              <w:t>) – 3 log (</w:t>
            </w:r>
            <w:r w:rsidRPr="003C38EE">
              <w:rPr>
                <w:i/>
                <w:color w:val="000000"/>
                <w:sz w:val="20"/>
              </w:rPr>
              <w:t>i</w:t>
            </w:r>
            <w:r w:rsidRPr="003C38EE">
              <w:rPr>
                <w:color w:val="000000"/>
                <w:sz w:val="20"/>
              </w:rPr>
              <w:t>/10) (dB)</w:t>
            </w:r>
          </w:p>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color w:val="000000"/>
                <w:sz w:val="20"/>
              </w:rPr>
              <w:t>(c'est-à-dire, 11,4 + 2 log (DeNeBd (MHz)))</w:t>
            </w:r>
          </w:p>
        </w:tc>
        <w:tc>
          <w:tcPr>
            <w:tcW w:w="2436" w:type="dxa"/>
            <w:gridSpan w:val="2"/>
            <w:tcBorders>
              <w:bottom w:val="single" w:sz="4" w:space="0" w:color="auto"/>
            </w:tcBorders>
            <w:vAlign w:val="center"/>
          </w:tcPr>
          <w:p w:rsidR="00F97CBA" w:rsidRPr="003C38EE" w:rsidRDefault="00F97CBA" w:rsidP="00197E2A">
            <w:pPr>
              <w:pStyle w:val="Tabletext0"/>
              <w:framePr w:hSpace="181" w:wrap="notBeside" w:vAnchor="text" w:hAnchor="text" w:xAlign="center" w:y="1"/>
              <w:spacing w:before="80" w:after="80"/>
              <w:jc w:val="center"/>
              <w:rPr>
                <w:color w:val="000000"/>
                <w:sz w:val="20"/>
              </w:rPr>
            </w:pPr>
            <w:r w:rsidRPr="003C38EE">
              <w:rPr>
                <w:i/>
                <w:iCs/>
                <w:color w:val="000000"/>
                <w:sz w:val="20"/>
              </w:rPr>
              <w:t>C</w:t>
            </w:r>
            <w:r w:rsidRPr="003C38EE">
              <w:rPr>
                <w:color w:val="000000"/>
                <w:sz w:val="20"/>
              </w:rPr>
              <w:t>/</w:t>
            </w:r>
            <w:r w:rsidRPr="003C38EE">
              <w:rPr>
                <w:i/>
                <w:iCs/>
                <w:color w:val="000000"/>
                <w:sz w:val="20"/>
              </w:rPr>
              <w:t>N</w:t>
            </w:r>
            <w:r w:rsidRPr="003C38EE">
              <w:rPr>
                <w:color w:val="000000"/>
                <w:sz w:val="20"/>
              </w:rPr>
              <w:t xml:space="preserve"> + 14 (dB)</w:t>
            </w:r>
          </w:p>
        </w:tc>
      </w:tr>
      <w:tr w:rsidR="00F97CBA" w:rsidRPr="003C38EE">
        <w:trPr>
          <w:cantSplit/>
        </w:trPr>
        <w:tc>
          <w:tcPr>
            <w:tcW w:w="9207" w:type="dxa"/>
            <w:gridSpan w:val="4"/>
            <w:tcBorders>
              <w:left w:val="nil"/>
              <w:bottom w:val="nil"/>
              <w:right w:val="nil"/>
            </w:tcBorders>
            <w:vAlign w:val="center"/>
          </w:tcPr>
          <w:p w:rsidR="00F97CBA" w:rsidRPr="003C38EE" w:rsidRDefault="00F97CBA">
            <w:pPr>
              <w:pStyle w:val="Equationlegend0"/>
              <w:framePr w:hSpace="181" w:wrap="notBeside" w:vAnchor="text" w:hAnchor="text" w:xAlign="center" w:y="1"/>
              <w:rPr>
                <w:color w:val="000000"/>
                <w:sz w:val="20"/>
                <w:lang w:val="fr-FR"/>
              </w:rPr>
            </w:pPr>
            <w:r w:rsidRPr="003C38EE">
              <w:rPr>
                <w:color w:val="000000"/>
                <w:sz w:val="20"/>
                <w:lang w:val="fr-FR"/>
              </w:rPr>
              <w:t>où:</w:t>
            </w:r>
          </w:p>
          <w:p w:rsidR="00F97CBA" w:rsidRPr="003C38EE" w:rsidRDefault="00F97CBA">
            <w:pPr>
              <w:pStyle w:val="Equationlegend0"/>
              <w:framePr w:hSpace="181" w:wrap="notBeside" w:vAnchor="text" w:hAnchor="text" w:xAlign="center" w:y="1"/>
              <w:rPr>
                <w:color w:val="000000"/>
                <w:sz w:val="20"/>
                <w:lang w:val="fr-FR"/>
              </w:rPr>
            </w:pPr>
            <w:r w:rsidRPr="003C38EE">
              <w:rPr>
                <w:i/>
                <w:iCs/>
                <w:color w:val="000000"/>
                <w:sz w:val="20"/>
                <w:lang w:val="fr-FR"/>
              </w:rPr>
              <w:tab/>
              <w:t>C</w:t>
            </w:r>
            <w:r w:rsidRPr="003C38EE">
              <w:rPr>
                <w:color w:val="000000"/>
                <w:sz w:val="20"/>
                <w:lang w:val="fr-FR"/>
              </w:rPr>
              <w:t>/</w:t>
            </w:r>
            <w:r w:rsidRPr="003C38EE">
              <w:rPr>
                <w:i/>
                <w:iCs/>
                <w:color w:val="000000"/>
                <w:sz w:val="20"/>
                <w:lang w:val="fr-FR"/>
              </w:rPr>
              <w:t>N</w:t>
            </w:r>
            <w:r w:rsidRPr="003C38EE">
              <w:rPr>
                <w:color w:val="000000"/>
                <w:sz w:val="20"/>
                <w:lang w:val="fr-FR"/>
              </w:rPr>
              <w:t>:</w:t>
            </w:r>
            <w:r w:rsidRPr="003C38EE">
              <w:rPr>
                <w:color w:val="000000"/>
                <w:sz w:val="20"/>
                <w:lang w:val="fr-FR"/>
              </w:rPr>
              <w:tab/>
              <w:t>rapport (dB) des puissances porteuse/bruit total, y compris tous les bruits internes du système et le brouillage dû aux autres systèmes</w:t>
            </w:r>
          </w:p>
          <w:p w:rsidR="00F97CBA" w:rsidRPr="003C38EE" w:rsidRDefault="00F97CBA">
            <w:pPr>
              <w:pStyle w:val="Equationlegend0"/>
              <w:framePr w:hSpace="181" w:wrap="notBeside" w:vAnchor="text" w:hAnchor="text" w:xAlign="center" w:y="1"/>
              <w:rPr>
                <w:color w:val="000000"/>
                <w:sz w:val="20"/>
                <w:lang w:val="fr-FR"/>
              </w:rPr>
            </w:pPr>
            <w:r w:rsidRPr="003C38EE">
              <w:rPr>
                <w:color w:val="000000"/>
                <w:sz w:val="20"/>
                <w:lang w:val="fr-FR"/>
              </w:rPr>
              <w:tab/>
              <w:t>DeNeBd:</w:t>
            </w:r>
            <w:r w:rsidRPr="003C38EE">
              <w:rPr>
                <w:i/>
                <w:iCs/>
                <w:color w:val="000000"/>
                <w:sz w:val="20"/>
                <w:lang w:val="fr-FR"/>
              </w:rPr>
              <w:tab/>
            </w:r>
            <w:r w:rsidRPr="003C38EE">
              <w:rPr>
                <w:color w:val="000000"/>
                <w:sz w:val="20"/>
                <w:lang w:val="fr-FR"/>
              </w:rPr>
              <w:t>largeur de bande nécessaire de la porteuse utile (point C.7.a de l'Annexe 2 de l'Appendice </w:t>
            </w:r>
            <w:r w:rsidRPr="003C38EE">
              <w:rPr>
                <w:rStyle w:val="Appref"/>
                <w:b/>
                <w:bCs/>
                <w:color w:val="000000"/>
                <w:sz w:val="20"/>
                <w:lang w:val="fr-FR"/>
              </w:rPr>
              <w:t>4</w:t>
            </w:r>
            <w:r w:rsidRPr="003C38EE">
              <w:rPr>
                <w:color w:val="000000"/>
                <w:sz w:val="20"/>
                <w:lang w:val="fr-FR"/>
              </w:rPr>
              <w:t>)</w:t>
            </w:r>
          </w:p>
          <w:p w:rsidR="00F97CBA" w:rsidRPr="003C38EE" w:rsidRDefault="00F97CBA">
            <w:pPr>
              <w:pStyle w:val="Equationlegend0"/>
              <w:framePr w:hSpace="181" w:wrap="notBeside" w:vAnchor="text" w:hAnchor="text" w:xAlign="center" w:y="1"/>
              <w:rPr>
                <w:color w:val="000000"/>
                <w:sz w:val="20"/>
                <w:lang w:val="fr-FR"/>
              </w:rPr>
            </w:pPr>
            <w:r w:rsidRPr="003C38EE">
              <w:rPr>
                <w:color w:val="000000"/>
                <w:sz w:val="20"/>
                <w:lang w:val="fr-FR"/>
              </w:rPr>
              <w:tab/>
              <w:t>InEqBd:</w:t>
            </w:r>
            <w:r w:rsidRPr="003C38EE">
              <w:rPr>
                <w:i/>
                <w:iCs/>
                <w:color w:val="000000"/>
                <w:sz w:val="20"/>
                <w:lang w:val="fr-FR"/>
              </w:rPr>
              <w:tab/>
            </w:r>
            <w:r w:rsidRPr="003C38EE">
              <w:rPr>
                <w:color w:val="000000"/>
                <w:sz w:val="20"/>
                <w:lang w:val="fr-FR"/>
              </w:rPr>
              <w:t xml:space="preserve">largeur de bande équivalente de la porteuse brouilleuse (égale au rapport puissance totale/densité de puissance (voir respectivement les points C.8.a.1 et C.8.a.2 de l'Annexe 2 de l'Appendice </w:t>
            </w:r>
            <w:r w:rsidRPr="003C38EE">
              <w:rPr>
                <w:rStyle w:val="Appref"/>
                <w:b/>
                <w:bCs/>
                <w:color w:val="000000"/>
                <w:sz w:val="20"/>
                <w:lang w:val="fr-FR"/>
              </w:rPr>
              <w:t>4</w:t>
            </w:r>
            <w:r w:rsidRPr="003C38EE">
              <w:rPr>
                <w:color w:val="000000"/>
                <w:sz w:val="20"/>
                <w:lang w:val="fr-FR"/>
              </w:rPr>
              <w:t>))</w:t>
            </w:r>
          </w:p>
          <w:p w:rsidR="00F97CBA" w:rsidRPr="003C38EE" w:rsidRDefault="00F97CBA">
            <w:pPr>
              <w:pStyle w:val="Equationlegend0"/>
              <w:framePr w:hSpace="181" w:wrap="notBeside" w:vAnchor="text" w:hAnchor="text" w:xAlign="center" w:y="1"/>
              <w:rPr>
                <w:color w:val="000000"/>
                <w:sz w:val="20"/>
                <w:lang w:val="fr-FR"/>
              </w:rPr>
            </w:pPr>
            <w:r w:rsidRPr="003C38EE">
              <w:rPr>
                <w:color w:val="000000"/>
                <w:sz w:val="20"/>
                <w:lang w:val="fr-FR"/>
              </w:rPr>
              <w:tab/>
            </w:r>
            <w:r w:rsidRPr="003C38EE">
              <w:rPr>
                <w:color w:val="000000"/>
                <w:sz w:val="20"/>
                <w:lang w:val="fr-FR"/>
              </w:rPr>
              <w:sym w:font="Symbol" w:char="F064"/>
            </w:r>
            <w:r w:rsidRPr="003C38EE">
              <w:rPr>
                <w:color w:val="000000"/>
                <w:sz w:val="20"/>
                <w:lang w:val="fr-FR"/>
              </w:rPr>
              <w:t>:</w:t>
            </w:r>
            <w:r w:rsidRPr="003C38EE">
              <w:rPr>
                <w:color w:val="000000"/>
                <w:sz w:val="20"/>
                <w:lang w:val="fr-FR"/>
              </w:rPr>
              <w:tab/>
              <w:t>rapport largeur de bande du signal utile/excursion crête-à-crête de la porteuse TV provoquée par le signal de dispersion d'énergie (une excursion crête-à-crête de 4 MHz est utilisée dans tous les cas)</w:t>
            </w:r>
          </w:p>
          <w:p w:rsidR="00F97CBA" w:rsidRPr="003C38EE" w:rsidRDefault="00F97CBA">
            <w:pPr>
              <w:pStyle w:val="Equationlegend0"/>
              <w:framePr w:hSpace="181" w:wrap="notBeside" w:vAnchor="text" w:hAnchor="text" w:xAlign="center" w:y="1"/>
              <w:rPr>
                <w:i/>
                <w:iCs/>
                <w:color w:val="000000"/>
                <w:sz w:val="20"/>
                <w:lang w:val="fr-FR"/>
              </w:rPr>
            </w:pPr>
            <w:r w:rsidRPr="003C38EE">
              <w:rPr>
                <w:i/>
                <w:iCs/>
                <w:color w:val="000000"/>
                <w:sz w:val="20"/>
                <w:lang w:val="fr-FR"/>
              </w:rPr>
              <w:tab/>
              <w:t>i</w:t>
            </w:r>
            <w:r w:rsidRPr="003C38EE">
              <w:rPr>
                <w:color w:val="000000"/>
                <w:sz w:val="20"/>
                <w:lang w:val="fr-FR"/>
              </w:rPr>
              <w:t>:</w:t>
            </w:r>
            <w:r w:rsidRPr="003C38EE">
              <w:rPr>
                <w:i/>
                <w:iCs/>
                <w:color w:val="000000"/>
                <w:sz w:val="20"/>
                <w:lang w:val="fr-FR"/>
              </w:rPr>
              <w:tab/>
            </w:r>
            <w:r w:rsidRPr="003C38EE">
              <w:rPr>
                <w:color w:val="000000"/>
                <w:sz w:val="20"/>
                <w:lang w:val="fr-FR"/>
              </w:rPr>
              <w:t>puissance de brouillage avant démodulation dans la largeur de bande du signal utile exprimée en pourcentage de la puissance de bruit totale avant démodulation (une valeur de 20 est utilisée dans tous les cas).</w:t>
            </w:r>
          </w:p>
        </w:tc>
      </w:tr>
    </w:tbl>
    <w:p w:rsidR="00F97CBA" w:rsidRPr="003C38EE" w:rsidRDefault="00F97CBA" w:rsidP="00197E2A">
      <w:pPr>
        <w:pStyle w:val="TableFin"/>
        <w:rPr>
          <w:lang w:val="fr-FR"/>
        </w:rPr>
      </w:pPr>
    </w:p>
    <w:p w:rsidR="00F97CBA" w:rsidRPr="003C38EE" w:rsidRDefault="00F97CBA">
      <w:pPr>
        <w:pStyle w:val="Heading2"/>
        <w:rPr>
          <w:b w:val="0"/>
          <w:bCs/>
          <w:color w:val="000000"/>
          <w:lang w:val="fr-FR"/>
        </w:rPr>
      </w:pPr>
      <w:r w:rsidRPr="003C38EE">
        <w:rPr>
          <w:color w:val="000000"/>
          <w:lang w:val="fr-FR"/>
        </w:rPr>
        <w:t>3.3</w:t>
      </w:r>
      <w:r w:rsidRPr="003C38EE">
        <w:rPr>
          <w:color w:val="000000"/>
          <w:lang w:val="fr-FR"/>
        </w:rPr>
        <w:tab/>
        <w:t>Cas où il y a une seule voie par porteuse (SCPC)</w:t>
      </w:r>
    </w:p>
    <w:p w:rsidR="00F97CBA" w:rsidRPr="003C38EE" w:rsidRDefault="00F97CBA">
      <w:pPr>
        <w:rPr>
          <w:color w:val="000000"/>
          <w:lang w:val="fr-FR"/>
        </w:rPr>
      </w:pPr>
      <w:r w:rsidRPr="003C38EE">
        <w:rPr>
          <w:color w:val="000000"/>
          <w:lang w:val="fr-FR"/>
        </w:rPr>
        <w:t>En cas de brouillage composite émanant d'un certain nombre de porteuses à bande étroite telles qu'un répéteur chargé de porteuses SCPC, on suppose, en l'absence de renseignements plus détaillés des administrations, que le répéteur du satellite brouilleur est entièrement chargé de porteuses SCPC et que celles-ci peuvent être remplacées par une porteuse à large bande dont la puissance totale est égale à la somme des puissances des différentes porteuses SCPC. Les rapports de protection indiqués dans la Recommandation UIT-R S.671 sont utilisés pour protéger les émissions SCPC brouillées par des porteuses de télévision analogiques modulées uniquement par des signaux de dispersion d'énergie.</w:t>
      </w:r>
    </w:p>
    <w:p w:rsidR="00F97CBA" w:rsidRPr="003C38EE" w:rsidRDefault="00F97CBA">
      <w:pPr>
        <w:pStyle w:val="Heading2"/>
        <w:rPr>
          <w:color w:val="000000"/>
          <w:lang w:val="fr-FR"/>
        </w:rPr>
      </w:pPr>
      <w:r w:rsidRPr="003C38EE">
        <w:rPr>
          <w:color w:val="000000"/>
          <w:lang w:val="fr-FR"/>
        </w:rPr>
        <w:br w:type="page"/>
        <w:t>3.4</w:t>
      </w:r>
      <w:r w:rsidRPr="003C38EE">
        <w:rPr>
          <w:color w:val="000000"/>
          <w:lang w:val="fr-FR"/>
        </w:rPr>
        <w:tab/>
        <w:t>Brouillage</w:t>
      </w:r>
      <w:r w:rsidRPr="003C38EE">
        <w:rPr>
          <w:color w:val="000000"/>
          <w:sz w:val="24"/>
          <w:lang w:val="fr-FR"/>
        </w:rPr>
        <w:t xml:space="preserve"> </w:t>
      </w:r>
      <w:r w:rsidRPr="003C38EE">
        <w:rPr>
          <w:color w:val="000000"/>
          <w:lang w:val="fr-FR"/>
        </w:rPr>
        <w:t>entre</w:t>
      </w:r>
      <w:r w:rsidRPr="003C38EE">
        <w:rPr>
          <w:color w:val="000000"/>
          <w:sz w:val="24"/>
          <w:lang w:val="fr-FR"/>
        </w:rPr>
        <w:t xml:space="preserve"> </w:t>
      </w:r>
      <w:r w:rsidRPr="003C38EE">
        <w:rPr>
          <w:color w:val="000000"/>
          <w:lang w:val="fr-FR"/>
        </w:rPr>
        <w:t>signaux</w:t>
      </w:r>
      <w:r w:rsidRPr="003C38EE">
        <w:rPr>
          <w:color w:val="000000"/>
          <w:sz w:val="24"/>
          <w:lang w:val="fr-FR"/>
        </w:rPr>
        <w:t xml:space="preserve"> </w:t>
      </w:r>
      <w:r w:rsidRPr="003C38EE">
        <w:rPr>
          <w:color w:val="000000"/>
          <w:lang w:val="fr-FR"/>
        </w:rPr>
        <w:t>analogiques MRF-MF (Cas (IX) du Tableau 1)</w:t>
      </w:r>
    </w:p>
    <w:p w:rsidR="00F97CBA" w:rsidRPr="003C38EE" w:rsidRDefault="00F97CBA">
      <w:pPr>
        <w:spacing w:before="120"/>
        <w:rPr>
          <w:color w:val="000000"/>
          <w:lang w:val="fr-FR"/>
        </w:rPr>
      </w:pPr>
      <w:r w:rsidRPr="003C38EE">
        <w:rPr>
          <w:color w:val="000000"/>
          <w:lang w:val="fr-FR"/>
        </w:rPr>
        <w:t>S'agissant de porteuse MRF-MF et pour obtenir la marge qui en résulte, on calcule le rapport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que l'on compare avec le </w:t>
      </w:r>
      <w:r w:rsidRPr="003C38EE">
        <w:rPr>
          <w:i/>
          <w:color w:val="000000"/>
          <w:lang w:val="fr-FR"/>
        </w:rPr>
        <w:t>C</w:t>
      </w:r>
      <w:r w:rsidRPr="003C38EE">
        <w:rPr>
          <w:color w:val="000000"/>
          <w:lang w:val="fr-FR"/>
        </w:rPr>
        <w:t>/</w:t>
      </w:r>
      <w:r w:rsidRPr="003C38EE">
        <w:rPr>
          <w:i/>
          <w:color w:val="000000"/>
          <w:lang w:val="fr-FR"/>
        </w:rPr>
        <w:t xml:space="preserve">I </w:t>
      </w:r>
      <w:r w:rsidRPr="003C38EE">
        <w:rPr>
          <w:color w:val="000000"/>
          <w:lang w:val="fr-FR"/>
        </w:rPr>
        <w:t xml:space="preserve">de l'émission utile. Toutefois, on élabore un type de critère de protection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i/>
          <w:color w:val="000000"/>
          <w:lang w:val="fr-FR"/>
        </w:rPr>
        <w:t>K</w:t>
      </w:r>
      <w:r w:rsidRPr="003C38EE">
        <w:rPr>
          <w:color w:val="000000"/>
          <w:lang w:val="fr-FR"/>
        </w:rPr>
        <w:t xml:space="preserve"> fondé sur les formules de la Recommandation UIT-R SF.766 qui sont nécessaires pour calculer le facteur </w:t>
      </w:r>
      <w:r w:rsidRPr="003C38EE">
        <w:rPr>
          <w:i/>
          <w:color w:val="000000"/>
          <w:lang w:val="fr-FR"/>
        </w:rPr>
        <w:t>B</w:t>
      </w:r>
      <w:r w:rsidRPr="003C38EE">
        <w:rPr>
          <w:color w:val="000000"/>
          <w:lang w:val="fr-FR"/>
        </w:rPr>
        <w:t xml:space="preserve"> (facteur de réduction du brouillage). En l'absence d'informations détaillées pour le calcul du facteur </w:t>
      </w:r>
      <w:r w:rsidRPr="003C38EE">
        <w:rPr>
          <w:i/>
          <w:iCs/>
          <w:color w:val="000000"/>
          <w:lang w:val="fr-FR"/>
        </w:rPr>
        <w:t>B</w:t>
      </w:r>
      <w:r w:rsidRPr="003C38EE">
        <w:rPr>
          <w:color w:val="000000"/>
          <w:lang w:val="fr-FR"/>
        </w:rPr>
        <w:t>, on utilisera le facteur d'ajus</w:t>
      </w:r>
      <w:r w:rsidR="00E15F28" w:rsidRPr="003C38EE">
        <w:rPr>
          <w:color w:val="000000"/>
          <w:lang w:val="fr-FR"/>
        </w:rPr>
        <w:softHyphen/>
      </w:r>
      <w:r w:rsidRPr="003C38EE">
        <w:rPr>
          <w:color w:val="000000"/>
          <w:lang w:val="fr-FR"/>
        </w:rPr>
        <w:t>tement du brouillage décrit au § 3.5 ci</w:t>
      </w:r>
      <w:r w:rsidRPr="003C38EE">
        <w:rPr>
          <w:color w:val="000000"/>
          <w:lang w:val="fr-FR"/>
        </w:rPr>
        <w:noBreakHyphen/>
        <w:t>après.</w:t>
      </w:r>
    </w:p>
    <w:p w:rsidR="00F97CBA" w:rsidRPr="003C38EE" w:rsidRDefault="00F97CBA">
      <w:pPr>
        <w:pStyle w:val="Heading2"/>
        <w:spacing w:before="360"/>
        <w:rPr>
          <w:color w:val="000000"/>
          <w:lang w:val="fr-FR"/>
        </w:rPr>
      </w:pPr>
      <w:r w:rsidRPr="003C38EE">
        <w:rPr>
          <w:color w:val="000000"/>
          <w:lang w:val="fr-FR"/>
        </w:rPr>
        <w:t>3.5</w:t>
      </w:r>
      <w:r w:rsidRPr="003C38EE">
        <w:rPr>
          <w:color w:val="000000"/>
          <w:lang w:val="fr-FR"/>
        </w:rPr>
        <w:tab/>
        <w:t>Autres cas de brouillage</w:t>
      </w:r>
    </w:p>
    <w:p w:rsidR="00F97CBA" w:rsidRPr="003C38EE" w:rsidRDefault="00F97CBA" w:rsidP="00E15F28">
      <w:pPr>
        <w:spacing w:before="120"/>
        <w:rPr>
          <w:color w:val="000000"/>
          <w:lang w:val="fr-FR"/>
        </w:rPr>
      </w:pPr>
      <w:r w:rsidRPr="003C38EE">
        <w:rPr>
          <w:color w:val="000000"/>
          <w:lang w:val="fr-FR"/>
        </w:rPr>
        <w:t>Pour les cas (IV), (VI), (VII), (VIII), (IX) et (XI) à (XVII) du Tableau 1, on utilise le facteur d'ajustement du brouillage mentionné au § 3 ci-dessus. Dans le calcul de ce facteur, on tient compte du troisième alinéa du §</w:t>
      </w:r>
      <w:r w:rsidR="00E15F28" w:rsidRPr="003C38EE">
        <w:rPr>
          <w:color w:val="000000"/>
          <w:lang w:val="fr-FR"/>
        </w:rPr>
        <w:t> </w:t>
      </w:r>
      <w:r w:rsidRPr="003C38EE">
        <w:rPr>
          <w:color w:val="000000"/>
          <w:lang w:val="fr-FR"/>
        </w:rPr>
        <w:t>3.4 de l'Annexe 1 de la Recommandation UIT</w:t>
      </w:r>
      <w:r w:rsidR="00E15F28" w:rsidRPr="003C38EE">
        <w:rPr>
          <w:color w:val="000000"/>
          <w:lang w:val="fr-FR"/>
        </w:rPr>
        <w:noBreakHyphen/>
      </w:r>
      <w:r w:rsidRPr="003C38EE">
        <w:rPr>
          <w:color w:val="000000"/>
          <w:lang w:val="fr-FR"/>
        </w:rPr>
        <w:t>R</w:t>
      </w:r>
      <w:r w:rsidR="00E15F28" w:rsidRPr="003C38EE">
        <w:rPr>
          <w:color w:val="000000"/>
          <w:lang w:val="fr-FR"/>
        </w:rPr>
        <w:t> </w:t>
      </w:r>
      <w:r w:rsidRPr="003C38EE">
        <w:rPr>
          <w:color w:val="000000"/>
          <w:lang w:val="fr-FR"/>
        </w:rPr>
        <w:t>S.741</w:t>
      </w:r>
      <w:r w:rsidR="00E15F28" w:rsidRPr="003C38EE">
        <w:rPr>
          <w:color w:val="000000"/>
          <w:lang w:val="fr-FR"/>
        </w:rPr>
        <w:noBreakHyphen/>
      </w:r>
      <w:r w:rsidRPr="003C38EE">
        <w:rPr>
          <w:color w:val="000000"/>
          <w:lang w:val="fr-FR"/>
        </w:rPr>
        <w:t>2.</w:t>
      </w:r>
    </w:p>
    <w:p w:rsidR="00F97CBA" w:rsidRPr="003C38EE" w:rsidRDefault="00F97CBA" w:rsidP="00E15F28">
      <w:pPr>
        <w:rPr>
          <w:lang w:val="fr-FR"/>
        </w:rPr>
      </w:pPr>
    </w:p>
    <w:p w:rsidR="00E15F28" w:rsidRPr="003C38EE" w:rsidRDefault="00E15F28" w:rsidP="00E15F28">
      <w:pPr>
        <w:rPr>
          <w:lang w:val="fr-FR"/>
        </w:rPr>
      </w:pPr>
    </w:p>
    <w:p w:rsidR="00F97CBA" w:rsidRPr="003C38EE" w:rsidRDefault="00F97CBA">
      <w:pPr>
        <w:pStyle w:val="Heading1"/>
        <w:ind w:left="0" w:firstLine="0"/>
        <w:jc w:val="center"/>
        <w:rPr>
          <w:color w:val="000000"/>
          <w:lang w:val="fr-FR"/>
        </w:rPr>
      </w:pPr>
      <w:r w:rsidRPr="003C38EE">
        <w:rPr>
          <w:b w:val="0"/>
          <w:color w:val="000000"/>
          <w:lang w:val="fr-FR"/>
        </w:rPr>
        <w:t>SUPPLÉMENT  1</w:t>
      </w:r>
    </w:p>
    <w:p w:rsidR="00F97CBA" w:rsidRPr="003C38EE" w:rsidRDefault="00F97CBA">
      <w:pPr>
        <w:pStyle w:val="Heading1"/>
        <w:spacing w:before="240"/>
        <w:ind w:left="0" w:firstLine="0"/>
        <w:jc w:val="center"/>
        <w:rPr>
          <w:color w:val="000000"/>
          <w:lang w:val="fr-FR"/>
        </w:rPr>
      </w:pPr>
      <w:r w:rsidRPr="003C38EE">
        <w:rPr>
          <w:color w:val="000000"/>
          <w:lang w:val="fr-FR"/>
        </w:rPr>
        <w:t>Algorithmes de calcul (</w:t>
      </w:r>
      <w:r w:rsidRPr="003C38EE">
        <w:rPr>
          <w:i/>
          <w:color w:val="000000"/>
          <w:lang w:val="fr-FR"/>
        </w:rPr>
        <w:t>M</w:t>
      </w:r>
      <w:r w:rsidRPr="003C38EE">
        <w:rPr>
          <w:color w:val="000000"/>
          <w:lang w:val="fr-FR"/>
        </w:rPr>
        <w:t xml:space="preserv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w:t>
      </w:r>
    </w:p>
    <w:p w:rsidR="00F97CBA" w:rsidRPr="003C38EE" w:rsidRDefault="00F97CBA">
      <w:pPr>
        <w:pStyle w:val="Heading1"/>
        <w:spacing w:before="360"/>
        <w:rPr>
          <w:color w:val="000000"/>
          <w:lang w:val="fr-FR"/>
        </w:rPr>
      </w:pPr>
      <w:r w:rsidRPr="003C38EE">
        <w:rPr>
          <w:color w:val="000000"/>
          <w:lang w:val="fr-FR"/>
        </w:rPr>
        <w:t>1</w:t>
      </w:r>
      <w:r w:rsidRPr="003C38EE">
        <w:rPr>
          <w:color w:val="000000"/>
          <w:lang w:val="fr-FR"/>
        </w:rPr>
        <w:tab/>
        <w:t>Algorithme de marge</w:t>
      </w:r>
    </w:p>
    <w:p w:rsidR="00F97CBA" w:rsidRPr="003C38EE" w:rsidRDefault="00F97CBA" w:rsidP="006706A9">
      <w:pPr>
        <w:spacing w:before="120"/>
        <w:rPr>
          <w:color w:val="000000"/>
          <w:lang w:val="fr-FR"/>
        </w:rPr>
      </w:pPr>
      <w:r w:rsidRPr="003C38EE">
        <w:rPr>
          <w:color w:val="000000"/>
          <w:lang w:val="fr-FR"/>
        </w:rPr>
        <w:t xml:space="preserve">Pour calculer les marges, il faut commencer par déterminer la valeur requise de </w:t>
      </w:r>
      <w:r w:rsidR="006706A9" w:rsidRPr="003C38EE">
        <w:rPr>
          <w:color w:val="000000"/>
          <w:position w:val="-32"/>
          <w:sz w:val="20"/>
          <w:lang w:val="fr-FR"/>
        </w:rPr>
        <w:object w:dxaOrig="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36.45pt" o:ole="">
            <v:imagedata r:id="rId7" o:title=""/>
          </v:shape>
          <o:OLEObject Type="Embed" ProgID="Equation.3" ShapeID="_x0000_i1025" DrawAspect="Content" ObjectID="_1407930057" r:id="rId8"/>
        </w:object>
      </w:r>
      <w:r w:rsidRPr="003C38EE">
        <w:rPr>
          <w:color w:val="000000"/>
          <w:lang w:val="fr-FR"/>
        </w:rPr>
        <w:t xml:space="preserve">qui est une fonction de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et du facteur</w:t>
      </w:r>
      <w:r w:rsidR="006706A9" w:rsidRPr="003C38EE">
        <w:rPr>
          <w:color w:val="000000"/>
          <w:lang w:val="fr-FR"/>
        </w:rPr>
        <w:t> </w:t>
      </w:r>
      <w:r w:rsidRPr="003C38EE">
        <w:rPr>
          <w:i/>
          <w:color w:val="000000"/>
          <w:lang w:val="fr-FR"/>
        </w:rPr>
        <w:t>K</w:t>
      </w:r>
      <w:r w:rsidRPr="003C38EE">
        <w:rPr>
          <w:color w:val="000000"/>
          <w:lang w:val="fr-FR"/>
        </w:rPr>
        <w:t>:</w:t>
      </w:r>
    </w:p>
    <w:p w:rsidR="006706A9" w:rsidRPr="003C38EE" w:rsidRDefault="006706A9" w:rsidP="006706A9">
      <w:pPr>
        <w:pStyle w:val="Equation"/>
        <w:tabs>
          <w:tab w:val="clear" w:pos="4678"/>
          <w:tab w:val="center" w:pos="4536"/>
        </w:tabs>
        <w:spacing w:before="120"/>
        <w:rPr>
          <w:color w:val="000000"/>
          <w:lang w:val="fr-FR"/>
        </w:rPr>
      </w:pPr>
      <w:r w:rsidRPr="003C38EE">
        <w:rPr>
          <w:color w:val="000000"/>
          <w:lang w:val="fr-FR"/>
        </w:rPr>
        <w:tab/>
      </w:r>
      <w:r w:rsidRPr="003C38EE">
        <w:rPr>
          <w:color w:val="000000"/>
          <w:lang w:val="fr-FR"/>
        </w:rPr>
        <w:tab/>
      </w:r>
      <w:r w:rsidRPr="003C38EE">
        <w:rPr>
          <w:color w:val="000000"/>
          <w:position w:val="-32"/>
          <w:sz w:val="20"/>
          <w:lang w:val="fr-FR"/>
        </w:rPr>
        <w:object w:dxaOrig="1980" w:dyaOrig="720">
          <v:shape id="_x0000_i1026" type="#_x0000_t75" style="width:99.35pt;height:36.45pt" o:ole="">
            <v:imagedata r:id="rId9" o:title=""/>
          </v:shape>
          <o:OLEObject Type="Embed" ProgID="Equation.3" ShapeID="_x0000_i1026" DrawAspect="Content" ObjectID="_1407930058" r:id="rId10"/>
        </w:object>
      </w:r>
    </w:p>
    <w:p w:rsidR="00F97CBA" w:rsidRPr="003C38EE" w:rsidRDefault="00F97CBA">
      <w:pPr>
        <w:spacing w:before="0"/>
        <w:rPr>
          <w:color w:val="000000"/>
          <w:lang w:val="fr-FR"/>
        </w:rPr>
      </w:pPr>
      <w:r w:rsidRPr="003C38EE">
        <w:rPr>
          <w:color w:val="000000"/>
          <w:lang w:val="fr-FR"/>
        </w:rPr>
        <w:t>où:</w:t>
      </w:r>
    </w:p>
    <w:tbl>
      <w:tblPr>
        <w:tblW w:w="0" w:type="auto"/>
        <w:tblInd w:w="-34" w:type="dxa"/>
        <w:tblLayout w:type="fixed"/>
        <w:tblLook w:val="0000"/>
      </w:tblPr>
      <w:tblGrid>
        <w:gridCol w:w="1892"/>
        <w:gridCol w:w="7429"/>
      </w:tblGrid>
      <w:tr w:rsidR="00F97CBA" w:rsidRPr="003C38EE">
        <w:tc>
          <w:tcPr>
            <w:tcW w:w="1892" w:type="dxa"/>
            <w:vAlign w:val="center"/>
          </w:tcPr>
          <w:p w:rsidR="00F97CBA" w:rsidRPr="003C38EE" w:rsidRDefault="00F97CBA">
            <w:pPr>
              <w:pStyle w:val="Equationlegend0"/>
              <w:rPr>
                <w:color w:val="000000"/>
                <w:lang w:val="fr-FR"/>
              </w:rPr>
            </w:pPr>
            <w:r w:rsidRPr="003C38EE">
              <w:rPr>
                <w:i/>
                <w:color w:val="000000"/>
                <w:lang w:val="fr-FR"/>
              </w:rPr>
              <w:tab/>
            </w:r>
            <w:r w:rsidR="006706A9" w:rsidRPr="003C38EE">
              <w:rPr>
                <w:color w:val="000000"/>
                <w:position w:val="-32"/>
                <w:sz w:val="20"/>
                <w:lang w:val="fr-FR"/>
              </w:rPr>
              <w:object w:dxaOrig="700" w:dyaOrig="720">
                <v:shape id="_x0000_i1027" type="#_x0000_t75" style="width:34.65pt;height:36.45pt" o:ole="">
                  <v:imagedata r:id="rId11" o:title=""/>
                </v:shape>
                <o:OLEObject Type="Embed" ProgID="Equation.3" ShapeID="_x0000_i1027" DrawAspect="Content" ObjectID="_1407930059" r:id="rId12"/>
              </w:object>
            </w:r>
          </w:p>
        </w:tc>
        <w:tc>
          <w:tcPr>
            <w:tcW w:w="7429" w:type="dxa"/>
            <w:vAlign w:val="center"/>
          </w:tcPr>
          <w:p w:rsidR="00F97CBA" w:rsidRPr="003C38EE" w:rsidRDefault="00F97CBA">
            <w:pPr>
              <w:pStyle w:val="Equationlegend0"/>
              <w:ind w:left="0" w:firstLine="0"/>
              <w:rPr>
                <w:color w:val="000000"/>
                <w:lang w:val="fr-FR"/>
              </w:rPr>
            </w:pPr>
            <w:r w:rsidRPr="003C38EE">
              <w:rPr>
                <w:color w:val="000000"/>
                <w:lang w:val="fr-FR"/>
              </w:rPr>
              <w:t xml:space="preserve">valeur requise de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(dB)</w:t>
            </w:r>
          </w:p>
        </w:tc>
      </w:tr>
      <w:tr w:rsidR="00F97CBA" w:rsidRPr="003C38EE">
        <w:tc>
          <w:tcPr>
            <w:tcW w:w="1892" w:type="dxa"/>
          </w:tcPr>
          <w:p w:rsidR="00F97CBA" w:rsidRPr="003C38EE" w:rsidRDefault="00F97CBA">
            <w:pPr>
              <w:pStyle w:val="Equationlegend0"/>
              <w:rPr>
                <w:color w:val="000000"/>
                <w:lang w:val="fr-FR"/>
              </w:rPr>
            </w:pPr>
            <w:r w:rsidRPr="003C38EE">
              <w:rPr>
                <w:color w:val="000000"/>
                <w:lang w:val="fr-FR"/>
              </w:rPr>
              <w:tab/>
            </w:r>
            <w:r w:rsidR="006706A9" w:rsidRPr="003C38EE">
              <w:rPr>
                <w:color w:val="000000"/>
                <w:position w:val="-28"/>
                <w:sz w:val="20"/>
                <w:lang w:val="fr-FR"/>
              </w:rPr>
              <w:object w:dxaOrig="620" w:dyaOrig="680">
                <v:shape id="_x0000_i1028" type="#_x0000_t75" style="width:31pt;height:33.7pt" o:ole="">
                  <v:imagedata r:id="rId13" o:title=""/>
                </v:shape>
                <o:OLEObject Type="Embed" ProgID="Equation.3" ShapeID="_x0000_i1028" DrawAspect="Content" ObjectID="_1407930060" r:id="rId14"/>
              </w:object>
            </w:r>
          </w:p>
        </w:tc>
        <w:tc>
          <w:tcPr>
            <w:tcW w:w="7429" w:type="dxa"/>
            <w:vAlign w:val="bottom"/>
          </w:tcPr>
          <w:p w:rsidR="00F97CBA" w:rsidRPr="003C38EE" w:rsidRDefault="00F97CBA">
            <w:pPr>
              <w:pStyle w:val="Equationlegend0"/>
              <w:spacing w:before="200"/>
              <w:ind w:left="0" w:firstLine="0"/>
              <w:rPr>
                <w:color w:val="000000"/>
                <w:lang w:val="fr-FR"/>
              </w:rPr>
            </w:pPr>
            <w:r w:rsidRPr="003C38EE">
              <w:rPr>
                <w:color w:val="000000"/>
                <w:lang w:val="fr-FR"/>
              </w:rPr>
              <w:t xml:space="preserve">objectif de </w:t>
            </w:r>
            <w:r w:rsidRPr="003C38EE">
              <w:rPr>
                <w:i/>
                <w:iCs/>
                <w:color w:val="000000"/>
                <w:lang w:val="fr-FR"/>
              </w:rPr>
              <w:t>C</w:t>
            </w:r>
            <w:r w:rsidRPr="003C38EE">
              <w:rPr>
                <w:color w:val="000000"/>
                <w:lang w:val="fr-FR"/>
              </w:rPr>
              <w:t>/</w:t>
            </w:r>
            <w:r w:rsidRPr="003C38EE">
              <w:rPr>
                <w:i/>
                <w:iCs/>
                <w:color w:val="000000"/>
                <w:lang w:val="fr-FR"/>
              </w:rPr>
              <w:t xml:space="preserve">N </w:t>
            </w:r>
            <w:r w:rsidRPr="003C38EE">
              <w:rPr>
                <w:color w:val="000000"/>
                <w:lang w:val="fr-FR"/>
              </w:rPr>
              <w:t xml:space="preserve">ou valeur calculée de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(dB) (voir le 3</w:t>
            </w:r>
            <w:r w:rsidRPr="003C38EE">
              <w:rPr>
                <w:vertAlign w:val="superscript"/>
                <w:lang w:val="fr-FR"/>
              </w:rPr>
              <w:t>ème</w:t>
            </w:r>
            <w:r w:rsidRPr="003C38EE">
              <w:rPr>
                <w:color w:val="000000"/>
                <w:lang w:val="fr-FR"/>
              </w:rPr>
              <w:t> alinéa du § 3 ci</w:t>
            </w:r>
            <w:r w:rsidRPr="003C38EE">
              <w:rPr>
                <w:color w:val="000000"/>
                <w:lang w:val="fr-FR"/>
              </w:rPr>
              <w:noBreakHyphen/>
              <w:t>dessus)</w:t>
            </w:r>
          </w:p>
        </w:tc>
      </w:tr>
      <w:tr w:rsidR="006706A9" w:rsidRPr="003C38EE" w:rsidTr="002749F0">
        <w:tc>
          <w:tcPr>
            <w:tcW w:w="1892" w:type="dxa"/>
          </w:tcPr>
          <w:p w:rsidR="006706A9" w:rsidRPr="003C38EE" w:rsidRDefault="006706A9" w:rsidP="002749F0">
            <w:pPr>
              <w:pStyle w:val="Equationlegend0"/>
              <w:tabs>
                <w:tab w:val="right" w:pos="1728"/>
              </w:tabs>
              <w:spacing w:before="40"/>
              <w:jc w:val="right"/>
              <w:rPr>
                <w:color w:val="000000"/>
                <w:lang w:val="fr-FR"/>
              </w:rPr>
            </w:pPr>
            <w:r w:rsidRPr="003C38EE">
              <w:rPr>
                <w:color w:val="000000"/>
                <w:lang w:val="fr-FR"/>
              </w:rPr>
              <w:tab/>
            </w:r>
            <w:r w:rsidRPr="003C38EE">
              <w:rPr>
                <w:i/>
                <w:color w:val="000000"/>
                <w:lang w:val="fr-FR"/>
              </w:rPr>
              <w:t>K</w:t>
            </w:r>
            <w:r w:rsidRPr="003C38EE">
              <w:rPr>
                <w:i/>
                <w:color w:val="000000"/>
                <w:sz w:val="12"/>
                <w:lang w:val="fr-FR"/>
              </w:rPr>
              <w:t> </w:t>
            </w:r>
            <w:r w:rsidRPr="003C38EE">
              <w:rPr>
                <w:color w:val="000000"/>
                <w:lang w:val="fr-FR"/>
              </w:rPr>
              <w:t>:</w:t>
            </w:r>
          </w:p>
        </w:tc>
        <w:tc>
          <w:tcPr>
            <w:tcW w:w="7429" w:type="dxa"/>
          </w:tcPr>
          <w:p w:rsidR="006706A9" w:rsidRPr="003C38EE" w:rsidRDefault="006706A9" w:rsidP="002749F0">
            <w:pPr>
              <w:pStyle w:val="Equationlegend0"/>
              <w:spacing w:before="40"/>
              <w:ind w:left="0" w:firstLine="0"/>
              <w:rPr>
                <w:color w:val="000000"/>
                <w:lang w:val="fr-FR"/>
              </w:rPr>
            </w:pPr>
            <w:r w:rsidRPr="003C38EE">
              <w:rPr>
                <w:color w:val="000000"/>
                <w:lang w:val="fr-FR"/>
              </w:rPr>
              <w:t xml:space="preserve">facteur servant à calculer le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requis (dB). En général, ce facteur est de 14,0 ou 12,2, selon les caractéristiques de modulation des signaux utiles (voir les Recommandations UIT</w:t>
            </w:r>
            <w:r w:rsidRPr="003C38EE">
              <w:rPr>
                <w:color w:val="000000"/>
                <w:lang w:val="fr-FR"/>
              </w:rPr>
              <w:noBreakHyphen/>
              <w:t>R S.483 et UIT</w:t>
            </w:r>
            <w:r w:rsidRPr="003C38EE">
              <w:rPr>
                <w:color w:val="000000"/>
                <w:lang w:val="fr-FR"/>
              </w:rPr>
              <w:noBreakHyphen/>
              <w:t>R S.523).</w:t>
            </w:r>
          </w:p>
        </w:tc>
      </w:tr>
    </w:tbl>
    <w:p w:rsidR="00F97CBA" w:rsidRPr="003C38EE" w:rsidRDefault="00F97CBA" w:rsidP="006706A9">
      <w:pPr>
        <w:rPr>
          <w:color w:val="000000"/>
          <w:lang w:val="fr-FR"/>
        </w:rPr>
      </w:pPr>
      <w:r w:rsidRPr="003C38EE">
        <w:rPr>
          <w:color w:val="000000"/>
          <w:lang w:val="fr-FR"/>
        </w:rPr>
        <w:br w:type="page"/>
        <w:t xml:space="preserve">Etant donné que </w:t>
      </w:r>
      <w:r w:rsidR="006706A9" w:rsidRPr="003C38EE">
        <w:rPr>
          <w:color w:val="000000"/>
          <w:position w:val="-32"/>
          <w:sz w:val="20"/>
          <w:lang w:val="fr-FR"/>
        </w:rPr>
        <w:object w:dxaOrig="660" w:dyaOrig="720">
          <v:shape id="_x0000_i1029" type="#_x0000_t75" style="width:32.8pt;height:36.45pt" o:ole="">
            <v:imagedata r:id="rId15" o:title=""/>
          </v:shape>
          <o:OLEObject Type="Embed" ProgID="Equation.3" ShapeID="_x0000_i1029" DrawAspect="Content" ObjectID="_1407930061" r:id="rId16"/>
        </w:object>
      </w:r>
      <w:r w:rsidR="006706A9" w:rsidRPr="003C38EE">
        <w:rPr>
          <w:rFonts w:ascii="Tms Rmn" w:hAnsi="Tms Rmn"/>
          <w:color w:val="000000"/>
          <w:sz w:val="12"/>
          <w:lang w:val="fr-FR"/>
        </w:rPr>
        <w:t> </w:t>
      </w:r>
      <w:r w:rsidR="006706A9" w:rsidRPr="003C38EE">
        <w:rPr>
          <w:color w:val="000000"/>
          <w:lang w:val="fr-FR"/>
        </w:rPr>
        <w:t xml:space="preserve">et </w:t>
      </w:r>
      <w:r w:rsidR="006706A9" w:rsidRPr="003C38EE">
        <w:rPr>
          <w:color w:val="000000"/>
          <w:position w:val="-32"/>
          <w:sz w:val="20"/>
          <w:lang w:val="fr-FR"/>
        </w:rPr>
        <w:object w:dxaOrig="620" w:dyaOrig="720">
          <v:shape id="_x0000_i1030" type="#_x0000_t75" style="width:31pt;height:36.45pt" o:ole="">
            <v:imagedata r:id="rId17" o:title=""/>
          </v:shape>
          <o:OLEObject Type="Embed" ProgID="Equation.3" ShapeID="_x0000_i1030" DrawAspect="Content" ObjectID="_1407930062" r:id="rId18"/>
        </w:object>
      </w:r>
      <w:r w:rsidR="006706A9" w:rsidRPr="003C38EE">
        <w:rPr>
          <w:rFonts w:ascii="Tms Rmn" w:hAnsi="Tms Rmn"/>
          <w:color w:val="000000"/>
          <w:sz w:val="12"/>
          <w:lang w:val="fr-FR"/>
        </w:rPr>
        <w:t> </w:t>
      </w:r>
      <w:r w:rsidRPr="003C38EE">
        <w:rPr>
          <w:color w:val="000000"/>
          <w:lang w:val="fr-FR"/>
        </w:rPr>
        <w:t>varieront en fonction de l'emplacement géographique dans la zone de service, on calcule les deux valeurs:</w:t>
      </w:r>
    </w:p>
    <w:p w:rsidR="00F97CBA" w:rsidRPr="003C38EE" w:rsidRDefault="00F97CBA">
      <w:pPr>
        <w:pStyle w:val="enumlev1"/>
        <w:spacing w:before="80"/>
        <w:rPr>
          <w:color w:val="000000"/>
          <w:lang w:val="fr-FR"/>
        </w:rPr>
      </w:pPr>
      <w:r w:rsidRPr="003C38EE">
        <w:rPr>
          <w:color w:val="000000"/>
          <w:lang w:val="fr-FR"/>
        </w:rPr>
        <w:t>–</w:t>
      </w:r>
      <w:r w:rsidRPr="003C38EE">
        <w:rPr>
          <w:color w:val="000000"/>
          <w:lang w:val="fr-FR"/>
        </w:rPr>
        <w:tab/>
        <w:t>aux emplacements géographiques des stations terriennes spécifiques associées, le cas échéant; ou</w:t>
      </w:r>
    </w:p>
    <w:p w:rsidR="00F97CBA" w:rsidRPr="003C38EE" w:rsidRDefault="00F97CBA" w:rsidP="006706A9">
      <w:pPr>
        <w:pStyle w:val="enumlev1"/>
        <w:rPr>
          <w:color w:val="000000"/>
          <w:lang w:val="fr-FR"/>
        </w:rPr>
      </w:pPr>
      <w:r w:rsidRPr="003C38EE">
        <w:rPr>
          <w:color w:val="000000"/>
          <w:lang w:val="fr-FR"/>
        </w:rPr>
        <w:t>–</w:t>
      </w:r>
      <w:r w:rsidRPr="003C38EE">
        <w:rPr>
          <w:color w:val="000000"/>
          <w:lang w:val="fr-FR"/>
        </w:rPr>
        <w:tab/>
        <w:t xml:space="preserve">dans le cas de stations terriennes types associées, au point de mesure situé dans la zone de service où la valeur de </w:t>
      </w:r>
      <w:r w:rsidR="006706A9" w:rsidRPr="003C38EE">
        <w:rPr>
          <w:color w:val="000000"/>
          <w:position w:val="-32"/>
          <w:sz w:val="20"/>
          <w:lang w:val="fr-FR"/>
        </w:rPr>
        <w:object w:dxaOrig="620" w:dyaOrig="720">
          <v:shape id="_x0000_i1031" type="#_x0000_t75" style="width:31pt;height:36.45pt" o:ole="">
            <v:imagedata r:id="rId17" o:title=""/>
          </v:shape>
          <o:OLEObject Type="Embed" ProgID="Equation.3" ShapeID="_x0000_i1031" DrawAspect="Content" ObjectID="_1407930063" r:id="rId19"/>
        </w:object>
      </w:r>
      <w:r w:rsidRPr="003C38EE">
        <w:rPr>
          <w:color w:val="000000"/>
          <w:lang w:val="fr-FR"/>
        </w:rPr>
        <w:t>est minimale.</w:t>
      </w:r>
    </w:p>
    <w:p w:rsidR="00F97CBA" w:rsidRPr="003C38EE" w:rsidRDefault="00F97CBA">
      <w:pPr>
        <w:rPr>
          <w:color w:val="000000"/>
          <w:lang w:val="fr-FR"/>
        </w:rPr>
      </w:pPr>
      <w:r w:rsidRPr="003C38EE">
        <w:rPr>
          <w:color w:val="000000"/>
          <w:lang w:val="fr-FR"/>
        </w:rPr>
        <w:t xml:space="preserve">La marge est constituée par la différence entre la valeur calculée de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et sa valeur requise:</w:t>
      </w:r>
    </w:p>
    <w:p w:rsidR="006706A9" w:rsidRPr="003C38EE" w:rsidRDefault="006706A9" w:rsidP="006706A9">
      <w:pPr>
        <w:pStyle w:val="Equation"/>
        <w:tabs>
          <w:tab w:val="clear" w:pos="4678"/>
          <w:tab w:val="center" w:pos="4536"/>
        </w:tabs>
        <w:rPr>
          <w:color w:val="000000"/>
          <w:lang w:val="fr-FR"/>
        </w:rPr>
      </w:pPr>
      <w:r w:rsidRPr="003C38EE">
        <w:rPr>
          <w:color w:val="000000"/>
          <w:lang w:val="fr-FR"/>
        </w:rPr>
        <w:tab/>
      </w:r>
      <w:r w:rsidRPr="003C38EE">
        <w:rPr>
          <w:color w:val="000000"/>
          <w:lang w:val="fr-FR"/>
        </w:rPr>
        <w:tab/>
      </w:r>
      <w:r w:rsidRPr="003C38EE">
        <w:rPr>
          <w:i/>
          <w:color w:val="000000"/>
          <w:lang w:val="fr-FR"/>
        </w:rPr>
        <w:t>M</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color w:val="000000"/>
          <w:position w:val="-32"/>
          <w:sz w:val="20"/>
          <w:lang w:val="fr-FR"/>
        </w:rPr>
        <w:object w:dxaOrig="1560" w:dyaOrig="720">
          <v:shape id="_x0000_i1032" type="#_x0000_t75" style="width:78.4pt;height:36.45pt" o:ole="">
            <v:imagedata r:id="rId20" o:title=""/>
          </v:shape>
          <o:OLEObject Type="Embed" ProgID="Equation.3" ShapeID="_x0000_i1032" DrawAspect="Content" ObjectID="_1407930064" r:id="rId21"/>
        </w:object>
      </w:r>
    </w:p>
    <w:p w:rsidR="00F97CBA" w:rsidRPr="003C38EE" w:rsidRDefault="00F97CBA">
      <w:pPr>
        <w:rPr>
          <w:color w:val="000000"/>
          <w:lang w:val="fr-FR"/>
        </w:rPr>
      </w:pPr>
      <w:r w:rsidRPr="003C38EE">
        <w:rPr>
          <w:color w:val="000000"/>
          <w:lang w:val="fr-FR"/>
        </w:rPr>
        <w:t>où:</w:t>
      </w:r>
    </w:p>
    <w:tbl>
      <w:tblPr>
        <w:tblW w:w="0" w:type="auto"/>
        <w:tblInd w:w="-34" w:type="dxa"/>
        <w:tblLayout w:type="fixed"/>
        <w:tblLook w:val="0000"/>
      </w:tblPr>
      <w:tblGrid>
        <w:gridCol w:w="1892"/>
        <w:gridCol w:w="7429"/>
      </w:tblGrid>
      <w:tr w:rsidR="00F97CBA" w:rsidRPr="003C38EE">
        <w:tc>
          <w:tcPr>
            <w:tcW w:w="1892" w:type="dxa"/>
            <w:vAlign w:val="center"/>
          </w:tcPr>
          <w:p w:rsidR="00F97CBA" w:rsidRPr="003C38EE" w:rsidRDefault="00F97CBA">
            <w:pPr>
              <w:pStyle w:val="Equationlegend0"/>
              <w:rPr>
                <w:color w:val="000000"/>
                <w:lang w:val="fr-FR"/>
              </w:rPr>
            </w:pPr>
            <w:r w:rsidRPr="003C38EE">
              <w:rPr>
                <w:i/>
                <w:color w:val="000000"/>
                <w:lang w:val="fr-FR"/>
              </w:rPr>
              <w:tab/>
              <w:t>M</w:t>
            </w:r>
            <w:r w:rsidRPr="003C38EE">
              <w:rPr>
                <w:color w:val="000000"/>
                <w:lang w:val="fr-FR"/>
              </w:rPr>
              <w:t xml:space="preserve">: </w:t>
            </w:r>
          </w:p>
        </w:tc>
        <w:tc>
          <w:tcPr>
            <w:tcW w:w="7429" w:type="dxa"/>
            <w:vAlign w:val="center"/>
          </w:tcPr>
          <w:p w:rsidR="00F97CBA" w:rsidRPr="003C38EE" w:rsidRDefault="00F97CBA">
            <w:pPr>
              <w:pStyle w:val="Equationlegend0"/>
              <w:ind w:left="0" w:firstLine="0"/>
              <w:rPr>
                <w:color w:val="000000"/>
                <w:lang w:val="fr-FR"/>
              </w:rPr>
            </w:pPr>
            <w:r w:rsidRPr="003C38EE">
              <w:rPr>
                <w:color w:val="000000"/>
                <w:lang w:val="fr-FR"/>
              </w:rPr>
              <w:t>marge (dB)</w:t>
            </w:r>
          </w:p>
        </w:tc>
      </w:tr>
      <w:tr w:rsidR="00F97CBA" w:rsidRPr="003C38EE">
        <w:tc>
          <w:tcPr>
            <w:tcW w:w="1892" w:type="dxa"/>
            <w:vAlign w:val="center"/>
          </w:tcPr>
          <w:p w:rsidR="00F97CBA" w:rsidRPr="003C38EE" w:rsidRDefault="00F97CBA">
            <w:pPr>
              <w:pStyle w:val="Equationlegend0"/>
              <w:rPr>
                <w:color w:val="000000"/>
                <w:lang w:val="fr-FR"/>
              </w:rPr>
            </w:pPr>
            <w:r w:rsidRPr="003C38EE">
              <w:rPr>
                <w:color w:val="000000"/>
                <w:lang w:val="fr-FR"/>
              </w:rPr>
              <w:tab/>
            </w:r>
            <w:r w:rsidR="006706A9" w:rsidRPr="003C38EE">
              <w:rPr>
                <w:color w:val="000000"/>
                <w:position w:val="-32"/>
                <w:sz w:val="20"/>
                <w:lang w:val="fr-FR"/>
              </w:rPr>
              <w:object w:dxaOrig="700" w:dyaOrig="720">
                <v:shape id="_x0000_i1033" type="#_x0000_t75" style="width:34.65pt;height:36.45pt" o:ole="">
                  <v:imagedata r:id="rId22" o:title=""/>
                </v:shape>
                <o:OLEObject Type="Embed" ProgID="Equation.3" ShapeID="_x0000_i1033" DrawAspect="Content" ObjectID="_1407930065" r:id="rId23"/>
              </w:object>
            </w:r>
          </w:p>
        </w:tc>
        <w:tc>
          <w:tcPr>
            <w:tcW w:w="7429" w:type="dxa"/>
            <w:vAlign w:val="center"/>
          </w:tcPr>
          <w:p w:rsidR="00F97CBA" w:rsidRPr="003C38EE" w:rsidRDefault="00F97CBA">
            <w:pPr>
              <w:pStyle w:val="Equationlegend0"/>
              <w:spacing w:before="240"/>
              <w:ind w:left="0" w:firstLine="0"/>
              <w:rPr>
                <w:color w:val="000000"/>
                <w:lang w:val="fr-FR"/>
              </w:rPr>
            </w:pPr>
            <w:r w:rsidRPr="003C38EE">
              <w:rPr>
                <w:color w:val="000000"/>
                <w:lang w:val="fr-FR"/>
              </w:rPr>
              <w:t xml:space="preserve">valeur ajustée de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compte tenu du facteur d'ajustement de brouillage (dB)</w:t>
            </w:r>
          </w:p>
        </w:tc>
      </w:tr>
      <w:tr w:rsidR="00F97CBA" w:rsidRPr="003C38EE">
        <w:tc>
          <w:tcPr>
            <w:tcW w:w="1892" w:type="dxa"/>
            <w:vAlign w:val="center"/>
          </w:tcPr>
          <w:p w:rsidR="00F97CBA" w:rsidRPr="003C38EE" w:rsidRDefault="00F97CBA">
            <w:pPr>
              <w:pStyle w:val="Equationlegend0"/>
              <w:rPr>
                <w:color w:val="000000"/>
                <w:lang w:val="fr-FR"/>
              </w:rPr>
            </w:pPr>
            <w:r w:rsidRPr="003C38EE">
              <w:rPr>
                <w:color w:val="000000"/>
                <w:lang w:val="fr-FR"/>
              </w:rPr>
              <w:tab/>
            </w:r>
            <w:r w:rsidR="006706A9" w:rsidRPr="003C38EE">
              <w:rPr>
                <w:color w:val="000000"/>
                <w:position w:val="-32"/>
                <w:sz w:val="20"/>
                <w:lang w:val="fr-FR"/>
              </w:rPr>
              <w:object w:dxaOrig="720" w:dyaOrig="720">
                <v:shape id="_x0000_i1034" type="#_x0000_t75" style="width:36.45pt;height:36.45pt" o:ole="">
                  <v:imagedata r:id="rId24" o:title=""/>
                </v:shape>
                <o:OLEObject Type="Embed" ProgID="Equation.3" ShapeID="_x0000_i1034" DrawAspect="Content" ObjectID="_1407930066" r:id="rId25"/>
              </w:object>
            </w:r>
          </w:p>
        </w:tc>
        <w:tc>
          <w:tcPr>
            <w:tcW w:w="7429" w:type="dxa"/>
            <w:vAlign w:val="center"/>
          </w:tcPr>
          <w:p w:rsidR="00F97CBA" w:rsidRPr="003C38EE" w:rsidRDefault="00F97CBA">
            <w:pPr>
              <w:pStyle w:val="Equationlegend0"/>
              <w:spacing w:before="0"/>
              <w:ind w:left="0" w:firstLine="0"/>
              <w:rPr>
                <w:color w:val="000000"/>
                <w:lang w:val="fr-FR"/>
              </w:rPr>
            </w:pPr>
            <w:r w:rsidRPr="003C38EE">
              <w:rPr>
                <w:color w:val="000000"/>
                <w:lang w:val="fr-FR"/>
              </w:rPr>
              <w:t xml:space="preserve">valeur requise de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(dB) calculée ci-dessus.</w:t>
            </w:r>
          </w:p>
        </w:tc>
      </w:tr>
    </w:tbl>
    <w:p w:rsidR="00F97CBA" w:rsidRPr="003C38EE" w:rsidRDefault="00F97CBA">
      <w:pPr>
        <w:rPr>
          <w:color w:val="000000"/>
          <w:lang w:val="fr-FR"/>
        </w:rPr>
      </w:pPr>
      <w:r w:rsidRPr="003C38EE">
        <w:rPr>
          <w:color w:val="000000"/>
          <w:lang w:val="fr-FR"/>
        </w:rPr>
        <w:t>Par conséquent, on obtient, par substitution:</w:t>
      </w:r>
    </w:p>
    <w:p w:rsidR="006706A9" w:rsidRPr="003C38EE" w:rsidRDefault="006706A9" w:rsidP="006706A9">
      <w:pPr>
        <w:pStyle w:val="Equation"/>
        <w:tabs>
          <w:tab w:val="clear" w:pos="4678"/>
          <w:tab w:val="center" w:pos="4536"/>
        </w:tabs>
        <w:rPr>
          <w:color w:val="000000"/>
          <w:lang w:val="fr-FR"/>
        </w:rPr>
      </w:pPr>
      <w:r w:rsidRPr="003C38EE">
        <w:rPr>
          <w:color w:val="000000"/>
          <w:lang w:val="fr-FR"/>
        </w:rPr>
        <w:tab/>
      </w:r>
      <w:r w:rsidRPr="003C38EE">
        <w:rPr>
          <w:color w:val="000000"/>
          <w:lang w:val="fr-FR"/>
        </w:rPr>
        <w:tab/>
      </w:r>
      <w:r w:rsidRPr="003C38EE">
        <w:rPr>
          <w:i/>
          <w:color w:val="000000"/>
          <w:lang w:val="fr-FR"/>
        </w:rPr>
        <w:t>M</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color w:val="000000"/>
          <w:position w:val="-32"/>
          <w:sz w:val="20"/>
          <w:lang w:val="fr-FR"/>
        </w:rPr>
        <w:object w:dxaOrig="1440" w:dyaOrig="720">
          <v:shape id="_x0000_i1035" type="#_x0000_t75" style="width:1in;height:36.45pt" o:ole="">
            <v:imagedata r:id="rId26" o:title=""/>
          </v:shape>
          <o:OLEObject Type="Embed" ProgID="Equation.3" ShapeID="_x0000_i1035" DrawAspect="Content" ObjectID="_1407930067" r:id="rId27"/>
        </w:object>
      </w:r>
      <w:r w:rsidRPr="003C38EE">
        <w:rPr>
          <w:color w:val="000000"/>
          <w:lang w:val="fr-FR"/>
        </w:rPr>
        <w:t xml:space="preserve"> –  </w:t>
      </w:r>
      <w:r w:rsidRPr="003C38EE">
        <w:rPr>
          <w:i/>
          <w:color w:val="000000"/>
          <w:lang w:val="fr-FR"/>
        </w:rPr>
        <w:t>K</w:t>
      </w:r>
    </w:p>
    <w:p w:rsidR="00F97CBA" w:rsidRPr="003C38EE" w:rsidRDefault="00F97CBA" w:rsidP="006706A9">
      <w:pPr>
        <w:pStyle w:val="Heading1"/>
        <w:rPr>
          <w:color w:val="000000"/>
          <w:lang w:val="fr-FR"/>
        </w:rPr>
      </w:pPr>
      <w:r w:rsidRPr="003C38EE">
        <w:rPr>
          <w:color w:val="000000"/>
          <w:lang w:val="fr-FR"/>
        </w:rPr>
        <w:t>2</w:t>
      </w:r>
      <w:r w:rsidRPr="003C38EE">
        <w:rPr>
          <w:color w:val="000000"/>
          <w:lang w:val="fr-FR"/>
        </w:rPr>
        <w:tab/>
        <w:t xml:space="preserve">Algorithme </w:t>
      </w:r>
      <w:r w:rsidR="006706A9" w:rsidRPr="003C38EE">
        <w:rPr>
          <w:color w:val="000000"/>
          <w:position w:val="-32"/>
          <w:sz w:val="20"/>
          <w:lang w:val="fr-FR"/>
        </w:rPr>
        <w:object w:dxaOrig="620" w:dyaOrig="720">
          <v:shape id="_x0000_i1036" type="#_x0000_t75" style="width:31pt;height:36.45pt" o:ole="">
            <v:imagedata r:id="rId17" o:title=""/>
          </v:shape>
          <o:OLEObject Type="Embed" ProgID="Equation.3" ShapeID="_x0000_i1036" DrawAspect="Content" ObjectID="_1407930068" r:id="rId28"/>
        </w:object>
      </w:r>
      <w:r w:rsidR="006706A9" w:rsidRPr="003C38EE">
        <w:rPr>
          <w:rFonts w:ascii="Tms Rmn" w:hAnsi="Tms Rmn"/>
          <w:color w:val="000000"/>
          <w:sz w:val="12"/>
          <w:lang w:val="fr-FR"/>
        </w:rPr>
        <w:t> </w:t>
      </w:r>
      <w:r w:rsidRPr="003C38EE">
        <w:rPr>
          <w:color w:val="000000"/>
          <w:lang w:val="fr-FR"/>
        </w:rPr>
        <w:t>pour les situations de brouillage</w:t>
      </w:r>
    </w:p>
    <w:p w:rsidR="00F97CBA" w:rsidRPr="003C38EE" w:rsidRDefault="00F97CBA">
      <w:pPr>
        <w:rPr>
          <w:color w:val="000000"/>
          <w:lang w:val="fr-FR"/>
        </w:rPr>
      </w:pPr>
      <w:r w:rsidRPr="003C38EE">
        <w:rPr>
          <w:color w:val="000000"/>
          <w:lang w:val="fr-FR"/>
        </w:rPr>
        <w:t xml:space="preserve">On ajuste le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de base comme suit:</w:t>
      </w:r>
    </w:p>
    <w:p w:rsidR="006706A9" w:rsidRPr="003C38EE" w:rsidRDefault="006706A9" w:rsidP="006706A9">
      <w:pPr>
        <w:pStyle w:val="Equation"/>
        <w:tabs>
          <w:tab w:val="clear" w:pos="4678"/>
          <w:tab w:val="center" w:pos="4536"/>
        </w:tabs>
        <w:rPr>
          <w:color w:val="000000"/>
          <w:lang w:val="fr-FR"/>
        </w:rPr>
      </w:pPr>
      <w:r w:rsidRPr="003C38EE">
        <w:rPr>
          <w:color w:val="000000"/>
          <w:lang w:val="fr-FR"/>
        </w:rPr>
        <w:tab/>
      </w:r>
      <w:r w:rsidRPr="003C38EE">
        <w:rPr>
          <w:color w:val="000000"/>
          <w:lang w:val="fr-FR"/>
        </w:rPr>
        <w:tab/>
      </w:r>
      <w:r w:rsidRPr="003C38EE">
        <w:rPr>
          <w:color w:val="000000"/>
          <w:position w:val="-32"/>
          <w:sz w:val="20"/>
          <w:lang w:val="fr-FR"/>
        </w:rPr>
        <w:object w:dxaOrig="1920" w:dyaOrig="720">
          <v:shape id="_x0000_i1037" type="#_x0000_t75" style="width:95.7pt;height:36.45pt" o:ole="">
            <v:imagedata r:id="rId29" o:title=""/>
          </v:shape>
          <o:OLEObject Type="Embed" ProgID="Equation.3" ShapeID="_x0000_i1037" DrawAspect="Content" ObjectID="_1407930069" r:id="rId30"/>
        </w:object>
      </w:r>
    </w:p>
    <w:p w:rsidR="00F97CBA" w:rsidRPr="003C38EE" w:rsidRDefault="00F97CBA">
      <w:pPr>
        <w:spacing w:before="0"/>
        <w:rPr>
          <w:color w:val="000000"/>
          <w:lang w:val="fr-FR"/>
        </w:rPr>
      </w:pPr>
      <w:r w:rsidRPr="003C38EE">
        <w:rPr>
          <w:color w:val="000000"/>
          <w:lang w:val="fr-FR"/>
        </w:rPr>
        <w:t>où:</w:t>
      </w:r>
    </w:p>
    <w:tbl>
      <w:tblPr>
        <w:tblW w:w="0" w:type="auto"/>
        <w:jc w:val="center"/>
        <w:tblLayout w:type="fixed"/>
        <w:tblLook w:val="0000"/>
      </w:tblPr>
      <w:tblGrid>
        <w:gridCol w:w="1858"/>
        <w:gridCol w:w="7429"/>
      </w:tblGrid>
      <w:tr w:rsidR="00F97CBA" w:rsidRPr="003C38EE">
        <w:trPr>
          <w:jc w:val="center"/>
        </w:trPr>
        <w:tc>
          <w:tcPr>
            <w:tcW w:w="1858" w:type="dxa"/>
            <w:vAlign w:val="center"/>
          </w:tcPr>
          <w:p w:rsidR="00F97CBA" w:rsidRPr="003C38EE" w:rsidRDefault="00F97CBA">
            <w:pPr>
              <w:pStyle w:val="Equationlegend0"/>
              <w:rPr>
                <w:color w:val="000000"/>
                <w:lang w:val="fr-FR"/>
              </w:rPr>
            </w:pPr>
            <w:r w:rsidRPr="003C38EE">
              <w:rPr>
                <w:color w:val="000000"/>
                <w:lang w:val="fr-FR"/>
              </w:rPr>
              <w:tab/>
            </w:r>
            <w:r w:rsidR="006706A9" w:rsidRPr="003C38EE">
              <w:rPr>
                <w:color w:val="000000"/>
                <w:position w:val="-32"/>
                <w:sz w:val="20"/>
                <w:lang w:val="fr-FR"/>
              </w:rPr>
              <w:object w:dxaOrig="700" w:dyaOrig="720">
                <v:shape id="_x0000_i1038" type="#_x0000_t75" style="width:34.65pt;height:36.45pt" o:ole="">
                  <v:imagedata r:id="rId22" o:title=""/>
                </v:shape>
                <o:OLEObject Type="Embed" ProgID="Equation.3" ShapeID="_x0000_i1038" DrawAspect="Content" ObjectID="_1407930070" r:id="rId31"/>
              </w:object>
            </w:r>
          </w:p>
        </w:tc>
        <w:tc>
          <w:tcPr>
            <w:tcW w:w="7429" w:type="dxa"/>
            <w:vAlign w:val="center"/>
          </w:tcPr>
          <w:p w:rsidR="00F97CBA" w:rsidRPr="003C38EE" w:rsidRDefault="00F97CBA">
            <w:pPr>
              <w:pStyle w:val="Equationlegend0"/>
              <w:spacing w:before="240"/>
              <w:ind w:left="0" w:firstLine="0"/>
              <w:rPr>
                <w:color w:val="000000"/>
                <w:lang w:val="fr-FR"/>
              </w:rPr>
            </w:pPr>
            <w:r w:rsidRPr="003C38EE">
              <w:rPr>
                <w:color w:val="000000"/>
                <w:lang w:val="fr-FR"/>
              </w:rPr>
              <w:t xml:space="preserve">valeur ajustée de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compte tenu du facteur d'ajustement de brouillage (dB)</w:t>
            </w:r>
          </w:p>
        </w:tc>
      </w:tr>
      <w:tr w:rsidR="00F97CBA" w:rsidRPr="003C38EE">
        <w:trPr>
          <w:jc w:val="center"/>
        </w:trPr>
        <w:tc>
          <w:tcPr>
            <w:tcW w:w="1858" w:type="dxa"/>
            <w:vAlign w:val="center"/>
          </w:tcPr>
          <w:p w:rsidR="00F97CBA" w:rsidRPr="003C38EE" w:rsidRDefault="00F97CBA">
            <w:pPr>
              <w:pStyle w:val="Equationlegend0"/>
              <w:rPr>
                <w:color w:val="000000"/>
                <w:lang w:val="fr-FR"/>
              </w:rPr>
            </w:pPr>
            <w:r w:rsidRPr="003C38EE">
              <w:rPr>
                <w:color w:val="000000"/>
                <w:lang w:val="fr-FR"/>
              </w:rPr>
              <w:tab/>
            </w:r>
            <w:r w:rsidR="006706A9" w:rsidRPr="003C38EE">
              <w:rPr>
                <w:color w:val="000000"/>
                <w:position w:val="-30"/>
                <w:sz w:val="20"/>
                <w:lang w:val="fr-FR"/>
              </w:rPr>
              <w:object w:dxaOrig="680" w:dyaOrig="680">
                <v:shape id="_x0000_i1039" type="#_x0000_t75" style="width:33.7pt;height:33.7pt" o:ole="">
                  <v:imagedata r:id="rId32" o:title=""/>
                </v:shape>
                <o:OLEObject Type="Embed" ProgID="Equation.3" ShapeID="_x0000_i1039" DrawAspect="Content" ObjectID="_1407930071" r:id="rId33"/>
              </w:object>
            </w:r>
          </w:p>
        </w:tc>
        <w:tc>
          <w:tcPr>
            <w:tcW w:w="7429" w:type="dxa"/>
            <w:vAlign w:val="center"/>
          </w:tcPr>
          <w:p w:rsidR="00F97CBA" w:rsidRPr="003C38EE" w:rsidRDefault="00F97CBA">
            <w:pPr>
              <w:pStyle w:val="Equationlegend0"/>
              <w:spacing w:before="240"/>
              <w:ind w:left="0" w:firstLine="0"/>
              <w:rPr>
                <w:color w:val="000000"/>
                <w:lang w:val="fr-FR"/>
              </w:rPr>
            </w:pPr>
            <w:r w:rsidRPr="003C38EE">
              <w:rPr>
                <w:color w:val="000000"/>
                <w:lang w:val="fr-FR"/>
              </w:rPr>
              <w:t xml:space="preserve">valeur calculée de base du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compte non tenu du facteur d'ajustement de brouillage (dB)</w:t>
            </w:r>
          </w:p>
        </w:tc>
      </w:tr>
      <w:tr w:rsidR="00F97CBA" w:rsidRPr="003C38EE">
        <w:trPr>
          <w:jc w:val="center"/>
        </w:trPr>
        <w:tc>
          <w:tcPr>
            <w:tcW w:w="1858" w:type="dxa"/>
            <w:vAlign w:val="center"/>
          </w:tcPr>
          <w:p w:rsidR="00F97CBA" w:rsidRPr="003C38EE" w:rsidRDefault="00F97CBA">
            <w:pPr>
              <w:pStyle w:val="Equationlegend0"/>
              <w:rPr>
                <w:color w:val="000000"/>
                <w:lang w:val="fr-FR"/>
              </w:rPr>
            </w:pPr>
            <w:r w:rsidRPr="003C38EE">
              <w:rPr>
                <w:i/>
                <w:color w:val="000000"/>
                <w:lang w:val="fr-FR"/>
              </w:rPr>
              <w:tab/>
              <w:t>I</w:t>
            </w:r>
            <w:r w:rsidRPr="003C38EE">
              <w:rPr>
                <w:i/>
                <w:color w:val="000000"/>
                <w:position w:val="-4"/>
                <w:sz w:val="20"/>
                <w:lang w:val="fr-FR"/>
              </w:rPr>
              <w:t>a</w:t>
            </w:r>
            <w:r w:rsidRPr="003C38EE">
              <w:rPr>
                <w:rFonts w:ascii="Tms Rmn" w:hAnsi="Tms Rmn"/>
                <w:color w:val="000000"/>
                <w:sz w:val="12"/>
                <w:lang w:val="fr-FR"/>
              </w:rPr>
              <w:t> </w:t>
            </w:r>
            <w:r w:rsidRPr="003C38EE">
              <w:rPr>
                <w:color w:val="000000"/>
                <w:lang w:val="fr-FR"/>
              </w:rPr>
              <w:t>:</w:t>
            </w:r>
          </w:p>
        </w:tc>
        <w:tc>
          <w:tcPr>
            <w:tcW w:w="7429" w:type="dxa"/>
            <w:vAlign w:val="center"/>
          </w:tcPr>
          <w:p w:rsidR="00F97CBA" w:rsidRPr="003C38EE" w:rsidRDefault="00F97CBA">
            <w:pPr>
              <w:pStyle w:val="Equationlegend0"/>
              <w:ind w:left="0" w:firstLine="0"/>
              <w:rPr>
                <w:color w:val="000000"/>
                <w:lang w:val="fr-FR"/>
              </w:rPr>
            </w:pPr>
            <w:r w:rsidRPr="003C38EE">
              <w:rPr>
                <w:color w:val="000000"/>
                <w:lang w:val="fr-FR"/>
              </w:rPr>
              <w:t>facteur d'ajustement de brouillage (dB).</w:t>
            </w:r>
          </w:p>
        </w:tc>
      </w:tr>
    </w:tbl>
    <w:p w:rsidR="00F97CBA" w:rsidRPr="003C38EE" w:rsidRDefault="00F97CBA">
      <w:pPr>
        <w:rPr>
          <w:color w:val="000000"/>
          <w:lang w:val="fr-FR"/>
        </w:rPr>
      </w:pPr>
      <w:r w:rsidRPr="003C38EE">
        <w:rPr>
          <w:color w:val="000000"/>
          <w:lang w:val="fr-FR"/>
        </w:rPr>
        <w:br w:type="page"/>
        <w:t xml:space="preserve">On calcule séparément les valeurs ajustées de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pour la liaison montante et pour la liaison descendante, étant donné que le facteur d'ajustement peut être différent sur les deux trajets.</w:t>
      </w:r>
    </w:p>
    <w:p w:rsidR="00F97CBA" w:rsidRPr="003C38EE" w:rsidRDefault="00F97CBA" w:rsidP="006706A9">
      <w:pPr>
        <w:keepNext/>
        <w:rPr>
          <w:color w:val="000000"/>
          <w:lang w:val="fr-FR"/>
        </w:rPr>
      </w:pPr>
      <w:r w:rsidRPr="003C38EE">
        <w:rPr>
          <w:color w:val="000000"/>
          <w:lang w:val="fr-FR"/>
        </w:rPr>
        <w:t xml:space="preserve">On calcule aussi le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total. Si l'on ne fait de calculs que pour la liaison montante (c'est</w:t>
      </w:r>
      <w:r w:rsidRPr="003C38EE">
        <w:rPr>
          <w:color w:val="000000"/>
          <w:lang w:val="fr-FR"/>
        </w:rPr>
        <w:noBreakHyphen/>
        <w:t>à</w:t>
      </w:r>
      <w:r w:rsidRPr="003C38EE">
        <w:rPr>
          <w:color w:val="000000"/>
          <w:lang w:val="fr-FR"/>
        </w:rPr>
        <w:noBreakHyphen/>
        <w:t xml:space="preserve">dire pas de liaison descendante pour le signal utile ou le signal brouilleur, ou pour les deux, ou pas de chevauchement de fréquences sur la liaison descendante entre les deux signaux), le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total correspond simplement à la valeur du</w:t>
      </w:r>
      <w:r w:rsidR="006706A9" w:rsidRPr="003C38EE">
        <w:rPr>
          <w:color w:val="000000"/>
          <w:lang w:val="fr-FR"/>
        </w:rPr>
        <w:t xml:space="preserv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de la liaison montante. De même, si l'on ne fait de calculs que pour la liaison descendante (c'est-à-dire pas de liaison montante pour le signal utile ou le signal brouilleur, ou pour les deux, ou pas de chevauchement de fréquences entre les deux signaux), le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total correspond simplement à la valeur du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de la liaison descen</w:t>
      </w:r>
      <w:r w:rsidR="006706A9" w:rsidRPr="003C38EE">
        <w:rPr>
          <w:color w:val="000000"/>
          <w:lang w:val="fr-FR"/>
        </w:rPr>
        <w:softHyphen/>
      </w:r>
      <w:r w:rsidRPr="003C38EE">
        <w:rPr>
          <w:color w:val="000000"/>
          <w:lang w:val="fr-FR"/>
        </w:rPr>
        <w:t xml:space="preserve">dante. En revanche, si le signal utile et le signal brouilleur ont chacun un trajet montant et un trajet descendant, on calcule le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total pour chaque point de mesure de la liaison descen</w:t>
      </w:r>
      <w:r w:rsidR="006706A9" w:rsidRPr="003C38EE">
        <w:rPr>
          <w:color w:val="000000"/>
          <w:lang w:val="fr-FR"/>
        </w:rPr>
        <w:softHyphen/>
      </w:r>
      <w:r w:rsidRPr="003C38EE">
        <w:rPr>
          <w:color w:val="000000"/>
          <w:lang w:val="fr-FR"/>
        </w:rPr>
        <w:t xml:space="preserve">dante à l'aide du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de la liaison montante du </w:t>
      </w:r>
      <w:r w:rsidRPr="003C38EE">
        <w:rPr>
          <w:i/>
          <w:color w:val="000000"/>
          <w:lang w:val="fr-FR"/>
        </w:rPr>
        <w:t>cas</w:t>
      </w:r>
      <w:r w:rsidRPr="003C38EE">
        <w:rPr>
          <w:color w:val="000000"/>
          <w:lang w:val="fr-FR"/>
        </w:rPr>
        <w:t xml:space="preserve"> </w:t>
      </w:r>
      <w:r w:rsidRPr="003C38EE">
        <w:rPr>
          <w:i/>
          <w:color w:val="000000"/>
          <w:lang w:val="fr-FR"/>
        </w:rPr>
        <w:t>le plus défavorable</w:t>
      </w:r>
      <w:r w:rsidRPr="003C38EE">
        <w:rPr>
          <w:color w:val="000000"/>
          <w:lang w:val="fr-FR"/>
        </w:rPr>
        <w:t xml:space="preserve"> et du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de chacun sur la liaison descendante:</w:t>
      </w:r>
    </w:p>
    <w:p w:rsidR="006706A9" w:rsidRPr="003C38EE" w:rsidRDefault="006706A9" w:rsidP="006706A9">
      <w:pPr>
        <w:pStyle w:val="Equation"/>
        <w:tabs>
          <w:tab w:val="clear" w:pos="4678"/>
          <w:tab w:val="center" w:pos="4536"/>
        </w:tabs>
        <w:rPr>
          <w:color w:val="000000"/>
          <w:lang w:val="fr-FR"/>
        </w:rPr>
      </w:pPr>
      <w:r w:rsidRPr="003C38EE">
        <w:rPr>
          <w:color w:val="000000"/>
          <w:lang w:val="fr-FR"/>
        </w:rPr>
        <w:tab/>
      </w:r>
      <w:r w:rsidRPr="003C38EE">
        <w:rPr>
          <w:color w:val="000000"/>
          <w:lang w:val="fr-FR"/>
        </w:rPr>
        <w:tab/>
      </w:r>
      <w:r w:rsidRPr="003C38EE">
        <w:rPr>
          <w:color w:val="000000"/>
          <w:position w:val="-56"/>
          <w:lang w:val="fr-FR"/>
        </w:rPr>
        <w:object w:dxaOrig="3860" w:dyaOrig="1240">
          <v:shape id="_x0000_i1040" type="#_x0000_t75" style="width:193.2pt;height:61.95pt" o:ole="">
            <v:imagedata r:id="rId34" o:title=""/>
          </v:shape>
          <o:OLEObject Type="Embed" ProgID="Equation.3" ShapeID="_x0000_i1040" DrawAspect="Content" ObjectID="_1407930072" r:id="rId35"/>
        </w:object>
      </w:r>
    </w:p>
    <w:p w:rsidR="00F97CBA" w:rsidRPr="003C38EE" w:rsidRDefault="00F97CBA">
      <w:pPr>
        <w:spacing w:before="0"/>
        <w:rPr>
          <w:color w:val="000000"/>
          <w:lang w:val="fr-FR"/>
        </w:rPr>
      </w:pPr>
      <w:r w:rsidRPr="003C38EE">
        <w:rPr>
          <w:color w:val="000000"/>
          <w:lang w:val="fr-FR"/>
        </w:rPr>
        <w:t>où:</w:t>
      </w:r>
    </w:p>
    <w:tbl>
      <w:tblPr>
        <w:tblW w:w="0" w:type="auto"/>
        <w:jc w:val="center"/>
        <w:tblLayout w:type="fixed"/>
        <w:tblLook w:val="0000"/>
      </w:tblPr>
      <w:tblGrid>
        <w:gridCol w:w="1858"/>
        <w:gridCol w:w="7429"/>
      </w:tblGrid>
      <w:tr w:rsidR="00F97CBA" w:rsidRPr="003C38EE">
        <w:trPr>
          <w:jc w:val="center"/>
        </w:trPr>
        <w:tc>
          <w:tcPr>
            <w:tcW w:w="1858" w:type="dxa"/>
            <w:vAlign w:val="center"/>
          </w:tcPr>
          <w:p w:rsidR="00F97CBA" w:rsidRPr="003C38EE" w:rsidRDefault="00F97CBA">
            <w:pPr>
              <w:pStyle w:val="Equationlegend0"/>
              <w:rPr>
                <w:color w:val="000000"/>
                <w:lang w:val="fr-FR"/>
              </w:rPr>
            </w:pPr>
            <w:r w:rsidRPr="003C38EE">
              <w:rPr>
                <w:color w:val="000000"/>
                <w:lang w:val="fr-FR"/>
              </w:rPr>
              <w:tab/>
            </w:r>
            <w:r w:rsidR="006706A9" w:rsidRPr="003C38EE">
              <w:rPr>
                <w:color w:val="000000"/>
                <w:position w:val="-32"/>
                <w:sz w:val="20"/>
                <w:lang w:val="fr-FR"/>
              </w:rPr>
              <w:object w:dxaOrig="720" w:dyaOrig="720">
                <v:shape id="_x0000_i1041" type="#_x0000_t75" style="width:36.45pt;height:36.45pt" o:ole="">
                  <v:imagedata r:id="rId36" o:title=""/>
                </v:shape>
                <o:OLEObject Type="Embed" ProgID="Equation.3" ShapeID="_x0000_i1041" DrawAspect="Content" ObjectID="_1407930073" r:id="rId37"/>
              </w:object>
            </w:r>
          </w:p>
        </w:tc>
        <w:tc>
          <w:tcPr>
            <w:tcW w:w="7429" w:type="dxa"/>
            <w:vAlign w:val="center"/>
          </w:tcPr>
          <w:p w:rsidR="00F97CBA" w:rsidRPr="003C38EE" w:rsidRDefault="00F97CBA">
            <w:pPr>
              <w:pStyle w:val="Equationlegend0"/>
              <w:tabs>
                <w:tab w:val="clear" w:pos="1985"/>
                <w:tab w:val="left" w:pos="-15"/>
              </w:tabs>
              <w:spacing w:before="240"/>
              <w:ind w:left="0" w:firstLine="0"/>
              <w:rPr>
                <w:color w:val="000000"/>
                <w:lang w:val="fr-FR"/>
              </w:rPr>
            </w:pPr>
            <w:r w:rsidRPr="003C38EE">
              <w:rPr>
                <w:color w:val="000000"/>
                <w:lang w:val="fr-FR"/>
              </w:rPr>
              <w:t xml:space="preserve">valeur totale du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pour un point de mesure donné de la liaison descendante (dB)</w:t>
            </w:r>
          </w:p>
        </w:tc>
      </w:tr>
      <w:tr w:rsidR="00F97CBA" w:rsidRPr="003C38EE">
        <w:trPr>
          <w:jc w:val="center"/>
        </w:trPr>
        <w:tc>
          <w:tcPr>
            <w:tcW w:w="1858" w:type="dxa"/>
            <w:vAlign w:val="center"/>
          </w:tcPr>
          <w:p w:rsidR="00F97CBA" w:rsidRPr="003C38EE" w:rsidRDefault="00F97CBA">
            <w:pPr>
              <w:pStyle w:val="Equationlegend0"/>
              <w:rPr>
                <w:color w:val="000000"/>
                <w:lang w:val="fr-FR"/>
              </w:rPr>
            </w:pPr>
            <w:r w:rsidRPr="003C38EE">
              <w:rPr>
                <w:color w:val="000000"/>
                <w:lang w:val="fr-FR"/>
              </w:rPr>
              <w:tab/>
            </w:r>
            <w:r w:rsidR="006706A9" w:rsidRPr="003C38EE">
              <w:rPr>
                <w:color w:val="000000"/>
                <w:position w:val="-32"/>
                <w:sz w:val="20"/>
                <w:lang w:val="fr-FR"/>
              </w:rPr>
              <w:object w:dxaOrig="680" w:dyaOrig="720">
                <v:shape id="_x0000_i1042" type="#_x0000_t75" style="width:33.7pt;height:36.45pt" o:ole="">
                  <v:imagedata r:id="rId38" o:title=""/>
                </v:shape>
                <o:OLEObject Type="Embed" ProgID="Equation.3" ShapeID="_x0000_i1042" DrawAspect="Content" ObjectID="_1407930074" r:id="rId39"/>
              </w:object>
            </w:r>
          </w:p>
        </w:tc>
        <w:tc>
          <w:tcPr>
            <w:tcW w:w="7429" w:type="dxa"/>
            <w:vAlign w:val="center"/>
          </w:tcPr>
          <w:p w:rsidR="00F97CBA" w:rsidRPr="003C38EE" w:rsidRDefault="00F97CBA">
            <w:pPr>
              <w:pStyle w:val="Equationlegend0"/>
              <w:tabs>
                <w:tab w:val="clear" w:pos="1985"/>
                <w:tab w:val="left" w:pos="-15"/>
              </w:tabs>
              <w:spacing w:before="240"/>
              <w:ind w:left="0" w:firstLine="0"/>
              <w:rPr>
                <w:color w:val="000000"/>
                <w:lang w:val="fr-FR"/>
              </w:rPr>
            </w:pP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le plus défavorable de la liaison montante à n'importe quel point de mesure de cette liaison (dB)</w:t>
            </w:r>
          </w:p>
        </w:tc>
      </w:tr>
      <w:tr w:rsidR="00F97CBA" w:rsidRPr="003C38EE">
        <w:trPr>
          <w:jc w:val="center"/>
        </w:trPr>
        <w:tc>
          <w:tcPr>
            <w:tcW w:w="1858" w:type="dxa"/>
            <w:vAlign w:val="center"/>
          </w:tcPr>
          <w:p w:rsidR="00F97CBA" w:rsidRPr="003C38EE" w:rsidRDefault="00F97CBA">
            <w:pPr>
              <w:pStyle w:val="Equationlegend0"/>
              <w:rPr>
                <w:color w:val="000000"/>
                <w:lang w:val="fr-FR"/>
              </w:rPr>
            </w:pPr>
            <w:r w:rsidRPr="003C38EE">
              <w:rPr>
                <w:color w:val="000000"/>
                <w:lang w:val="fr-FR"/>
              </w:rPr>
              <w:tab/>
            </w:r>
            <w:r w:rsidR="006706A9" w:rsidRPr="003C38EE">
              <w:rPr>
                <w:color w:val="000000"/>
                <w:position w:val="-32"/>
                <w:sz w:val="20"/>
                <w:lang w:val="fr-FR"/>
              </w:rPr>
              <w:object w:dxaOrig="700" w:dyaOrig="720">
                <v:shape id="_x0000_i1043" type="#_x0000_t75" style="width:34.65pt;height:36.45pt" o:ole="">
                  <v:imagedata r:id="rId40" o:title=""/>
                </v:shape>
                <o:OLEObject Type="Embed" ProgID="Equation.3" ShapeID="_x0000_i1043" DrawAspect="Content" ObjectID="_1407930075" r:id="rId41"/>
              </w:object>
            </w:r>
          </w:p>
        </w:tc>
        <w:tc>
          <w:tcPr>
            <w:tcW w:w="7429" w:type="dxa"/>
            <w:vAlign w:val="center"/>
          </w:tcPr>
          <w:p w:rsidR="00F97CBA" w:rsidRPr="003C38EE" w:rsidRDefault="00F97CBA">
            <w:pPr>
              <w:pStyle w:val="Equationlegend0"/>
              <w:tabs>
                <w:tab w:val="clear" w:pos="1985"/>
                <w:tab w:val="left" w:pos="-15"/>
              </w:tabs>
              <w:spacing w:before="240"/>
              <w:ind w:left="0" w:firstLine="0"/>
              <w:rPr>
                <w:color w:val="000000"/>
                <w:lang w:val="fr-FR"/>
              </w:rPr>
            </w:pP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de la liaison descendante pour un point de mesure donné de cette liaison (dB).</w:t>
            </w:r>
          </w:p>
        </w:tc>
      </w:tr>
    </w:tbl>
    <w:p w:rsidR="00F97CBA" w:rsidRPr="003C38EE" w:rsidRDefault="00F97CBA">
      <w:pPr>
        <w:pStyle w:val="Heading2"/>
        <w:rPr>
          <w:color w:val="000000"/>
          <w:lang w:val="fr-FR"/>
        </w:rPr>
      </w:pPr>
      <w:r w:rsidRPr="003C38EE">
        <w:rPr>
          <w:color w:val="000000"/>
          <w:lang w:val="fr-FR"/>
        </w:rPr>
        <w:t>2.1</w:t>
      </w:r>
      <w:r w:rsidRPr="003C38EE">
        <w:rPr>
          <w:color w:val="000000"/>
          <w:lang w:val="fr-FR"/>
        </w:rPr>
        <w:tab/>
        <w:t>Détermination du facteur d'ajustement de brouillage</w:t>
      </w:r>
    </w:p>
    <w:p w:rsidR="00F97CBA" w:rsidRPr="003C38EE" w:rsidRDefault="00F97CBA">
      <w:pPr>
        <w:pStyle w:val="Heading3"/>
        <w:rPr>
          <w:color w:val="000000"/>
          <w:lang w:val="fr-FR"/>
        </w:rPr>
      </w:pPr>
      <w:r w:rsidRPr="003C38EE">
        <w:rPr>
          <w:color w:val="000000"/>
          <w:lang w:val="fr-FR"/>
        </w:rPr>
        <w:t>2.1.1</w:t>
      </w:r>
      <w:r w:rsidRPr="003C38EE">
        <w:rPr>
          <w:color w:val="000000"/>
          <w:lang w:val="fr-FR"/>
        </w:rPr>
        <w:tab/>
        <w:t>Brouillage causé par des porteuses numériques assimilables à du bruit (facteur d'ajustement de brouillage 1)</w:t>
      </w:r>
    </w:p>
    <w:p w:rsidR="00F97CBA" w:rsidRPr="003C38EE" w:rsidRDefault="00F97CBA" w:rsidP="006706A9">
      <w:pPr>
        <w:rPr>
          <w:color w:val="000000"/>
          <w:lang w:val="fr-FR"/>
        </w:rPr>
      </w:pPr>
      <w:r w:rsidRPr="003C38EE">
        <w:rPr>
          <w:color w:val="000000"/>
          <w:lang w:val="fr-FR"/>
        </w:rPr>
        <w:t>La version actuelle de la Recommandation UIT-R S.741</w:t>
      </w:r>
      <w:r w:rsidRPr="003C38EE">
        <w:rPr>
          <w:color w:val="000000"/>
          <w:lang w:val="fr-FR"/>
        </w:rPr>
        <w:noBreakHyphen/>
        <w:t xml:space="preserve">2 s'applique au brouillage sur la même fréquence causé par des porteuses numériques assimilables à du bruit. Pour le brouillage entre fréquences différentes d'un facteur d'ajustement de brouillage (ou facteur d'avantage de la largeur de bande), à la suite des travaux des Commissions d'études des radiocommunications, qui a adopté une méthode de traitement des cas de porteuses à décalage de fréquences. Ceci se reflète par l'application d'un facteur </w:t>
      </w:r>
      <w:r w:rsidRPr="003C38EE">
        <w:rPr>
          <w:i/>
          <w:color w:val="000000"/>
          <w:lang w:val="fr-FR"/>
        </w:rPr>
        <w:t>A</w:t>
      </w:r>
      <w:r w:rsidRPr="003C38EE">
        <w:rPr>
          <w:color w:val="000000"/>
          <w:lang w:val="fr-FR"/>
        </w:rPr>
        <w:t xml:space="preserve"> défini ci-après (désigné par </w:t>
      </w:r>
      <w:r w:rsidRPr="003C38EE">
        <w:rPr>
          <w:i/>
          <w:color w:val="000000"/>
          <w:lang w:val="fr-FR"/>
        </w:rPr>
        <w:t>I</w:t>
      </w:r>
      <w:r w:rsidRPr="003C38EE">
        <w:rPr>
          <w:i/>
          <w:iCs/>
          <w:vertAlign w:val="subscript"/>
          <w:lang w:val="fr-FR"/>
        </w:rPr>
        <w:t>a</w:t>
      </w:r>
      <w:r w:rsidRPr="003C38EE">
        <w:rPr>
          <w:color w:val="000000"/>
          <w:lang w:val="fr-FR"/>
        </w:rPr>
        <w:t xml:space="preserve"> au § 2 ci-dessus).</w:t>
      </w:r>
    </w:p>
    <w:p w:rsidR="00F97CBA" w:rsidRPr="003C38EE" w:rsidRDefault="00F97CBA">
      <w:pPr>
        <w:rPr>
          <w:color w:val="000000"/>
          <w:lang w:val="fr-FR"/>
        </w:rPr>
      </w:pPr>
      <w:r w:rsidRPr="003C38EE">
        <w:rPr>
          <w:color w:val="000000"/>
          <w:lang w:val="fr-FR"/>
        </w:rPr>
        <w:t xml:space="preserve">En cas de décalage de fréquences entre porteuses, on peut calculer le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qui en résulte à l'aide de la formule:</w:t>
      </w:r>
    </w:p>
    <w:p w:rsidR="006706A9" w:rsidRPr="003C38EE" w:rsidRDefault="006706A9" w:rsidP="006706A9">
      <w:pPr>
        <w:pStyle w:val="Equation"/>
        <w:tabs>
          <w:tab w:val="clear" w:pos="4678"/>
          <w:tab w:val="center" w:pos="4536"/>
        </w:tabs>
        <w:rPr>
          <w:color w:val="000000"/>
          <w:lang w:val="fr-FR"/>
        </w:rPr>
      </w:pPr>
      <w:r w:rsidRPr="003C38EE">
        <w:rPr>
          <w:color w:val="000000"/>
          <w:lang w:val="fr-FR"/>
        </w:rPr>
        <w:tab/>
      </w:r>
      <w:r w:rsidRPr="003C38EE">
        <w:rPr>
          <w:color w:val="000000"/>
          <w:lang w:val="fr-FR"/>
        </w:rPr>
        <w:tab/>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w:t>
      </w:r>
      <w:r w:rsidRPr="003C38EE">
        <w:rPr>
          <w:rFonts w:ascii="Symbol" w:hAnsi="Symbol"/>
          <w:color w:val="000000"/>
          <w:lang w:val="fr-FR"/>
        </w:rPr>
        <w:t></w:t>
      </w:r>
      <w:r w:rsidRPr="003C38EE">
        <w:rPr>
          <w:color w:val="000000"/>
          <w:lang w:val="fr-FR"/>
        </w:rPr>
        <w:t> 10 log (</w:t>
      </w:r>
      <w:r w:rsidRPr="003C38EE">
        <w:rPr>
          <w:i/>
          <w:color w:val="000000"/>
          <w:lang w:val="fr-FR"/>
        </w:rPr>
        <w:t>c</w:t>
      </w:r>
      <w:r w:rsidRPr="003C38EE">
        <w:rPr>
          <w:color w:val="000000"/>
          <w:lang w:val="fr-FR"/>
        </w:rPr>
        <w:t>/</w:t>
      </w:r>
      <w:r w:rsidRPr="003C38EE">
        <w:rPr>
          <w:i/>
          <w:color w:val="000000"/>
          <w:lang w:val="fr-FR"/>
        </w:rPr>
        <w:t>i</w:t>
      </w:r>
      <w:r w:rsidRPr="003C38EE">
        <w:rPr>
          <w:rFonts w:ascii="Tms Rmn" w:hAnsi="Tms Rmn"/>
          <w:color w:val="000000"/>
          <w:sz w:val="12"/>
          <w:lang w:val="fr-FR"/>
        </w:rPr>
        <w:t> </w:t>
      </w:r>
      <w:r w:rsidRPr="003C38EE">
        <w:rPr>
          <w:color w:val="000000"/>
          <w:lang w:val="fr-FR"/>
        </w:rPr>
        <w:t>) – </w:t>
      </w:r>
      <w:r w:rsidRPr="003C38EE">
        <w:rPr>
          <w:i/>
          <w:color w:val="000000"/>
          <w:lang w:val="fr-FR"/>
        </w:rPr>
        <w:t>A</w:t>
      </w:r>
    </w:p>
    <w:p w:rsidR="00F97CBA" w:rsidRPr="003C38EE" w:rsidRDefault="00F97CBA" w:rsidP="006706A9">
      <w:pPr>
        <w:rPr>
          <w:color w:val="000000"/>
          <w:lang w:val="fr-FR"/>
        </w:rPr>
      </w:pPr>
      <w:r w:rsidRPr="003C38EE">
        <w:rPr>
          <w:color w:val="000000"/>
          <w:lang w:val="fr-FR"/>
        </w:rPr>
        <w:t xml:space="preserve">dans laquelle </w:t>
      </w:r>
      <w:r w:rsidRPr="003C38EE">
        <w:rPr>
          <w:i/>
          <w:color w:val="000000"/>
          <w:lang w:val="fr-FR"/>
        </w:rPr>
        <w:t>A</w:t>
      </w:r>
      <w:r w:rsidRPr="003C38EE">
        <w:rPr>
          <w:color w:val="000000"/>
          <w:lang w:val="fr-FR"/>
        </w:rPr>
        <w:t xml:space="preserve"> est le facteur d'avantage de la largeur de bande</w:t>
      </w:r>
      <w:r w:rsidR="006706A9" w:rsidRPr="003C38EE">
        <w:rPr>
          <w:color w:val="000000"/>
          <w:lang w:val="fr-FR"/>
        </w:rPr>
        <w:t> </w:t>
      </w:r>
      <w:r w:rsidRPr="003C38EE">
        <w:rPr>
          <w:color w:val="000000"/>
          <w:lang w:val="fr-FR"/>
        </w:rPr>
        <w:t>(dB).</w:t>
      </w:r>
    </w:p>
    <w:p w:rsidR="00F97CBA" w:rsidRPr="003C38EE" w:rsidRDefault="00F97CBA">
      <w:pPr>
        <w:rPr>
          <w:color w:val="000000"/>
          <w:lang w:val="fr-FR"/>
        </w:rPr>
      </w:pPr>
      <w:r w:rsidRPr="003C38EE">
        <w:rPr>
          <w:color w:val="000000"/>
          <w:lang w:val="fr-FR"/>
        </w:rPr>
        <w:br w:type="page"/>
        <w:t xml:space="preserve">Le facteur </w:t>
      </w:r>
      <w:r w:rsidRPr="003C38EE">
        <w:rPr>
          <w:i/>
          <w:color w:val="000000"/>
          <w:lang w:val="fr-FR"/>
        </w:rPr>
        <w:t>A</w:t>
      </w:r>
      <w:r w:rsidRPr="003C38EE">
        <w:rPr>
          <w:color w:val="000000"/>
          <w:lang w:val="fr-FR"/>
        </w:rPr>
        <w:t xml:space="preserve"> est le rapport entre la puissance de la porteuse brouilleuse contenue dans la largeur de bande du signal utile et la puissance totale de la porteuse brouilleuse, dans l'hypo</w:t>
      </w:r>
      <w:r w:rsidR="006706A9" w:rsidRPr="003C38EE">
        <w:rPr>
          <w:color w:val="000000"/>
          <w:lang w:val="fr-FR"/>
        </w:rPr>
        <w:softHyphen/>
      </w:r>
      <w:r w:rsidRPr="003C38EE">
        <w:rPr>
          <w:color w:val="000000"/>
          <w:lang w:val="fr-FR"/>
        </w:rPr>
        <w:t>thèse où cette dernière porteuse a une densité spectrale de puissance uniforme dans toute la largeur de la bande qu'elle occupe.</w:t>
      </w:r>
    </w:p>
    <w:p w:rsidR="00F97CBA" w:rsidRPr="003C38EE" w:rsidRDefault="00F97CBA" w:rsidP="006706A9">
      <w:pPr>
        <w:pStyle w:val="Heading3"/>
        <w:rPr>
          <w:color w:val="000000"/>
          <w:lang w:val="fr-FR"/>
        </w:rPr>
      </w:pPr>
      <w:r w:rsidRPr="003C38EE">
        <w:rPr>
          <w:color w:val="000000"/>
          <w:lang w:val="fr-FR"/>
        </w:rPr>
        <w:t>2.1.2</w:t>
      </w:r>
      <w:r w:rsidRPr="003C38EE">
        <w:rPr>
          <w:color w:val="000000"/>
          <w:lang w:val="fr-FR"/>
        </w:rPr>
        <w:tab/>
        <w:t>Brouillage causé par des porteuses analogiques assimilables à du bruit (facteur d'ajustement de brouillage</w:t>
      </w:r>
      <w:r w:rsidR="006706A9" w:rsidRPr="003C38EE">
        <w:rPr>
          <w:color w:val="000000"/>
          <w:lang w:val="fr-FR"/>
        </w:rPr>
        <w:t> </w:t>
      </w:r>
      <w:r w:rsidRPr="003C38EE">
        <w:rPr>
          <w:color w:val="000000"/>
          <w:lang w:val="fr-FR"/>
        </w:rPr>
        <w:t>2)</w:t>
      </w:r>
    </w:p>
    <w:p w:rsidR="00F97CBA" w:rsidRPr="003C38EE" w:rsidRDefault="00F97CBA" w:rsidP="006706A9">
      <w:pPr>
        <w:rPr>
          <w:color w:val="000000"/>
          <w:lang w:val="fr-FR"/>
        </w:rPr>
      </w:pPr>
      <w:r w:rsidRPr="003C38EE">
        <w:rPr>
          <w:color w:val="000000"/>
          <w:lang w:val="fr-FR"/>
        </w:rPr>
        <w:t xml:space="preserve">En pareils cas, le rapport </w:t>
      </w:r>
      <w:r w:rsidRPr="003C38EE">
        <w:rPr>
          <w:i/>
          <w:color w:val="000000"/>
          <w:lang w:val="fr-FR"/>
        </w:rPr>
        <w:t>C</w:t>
      </w:r>
      <w:r w:rsidRPr="003C38EE">
        <w:rPr>
          <w:color w:val="000000"/>
          <w:lang w:val="fr-FR"/>
        </w:rPr>
        <w:t>/</w:t>
      </w:r>
      <w:r w:rsidRPr="003C38EE">
        <w:rPr>
          <w:i/>
          <w:color w:val="000000"/>
          <w:lang w:val="fr-FR"/>
        </w:rPr>
        <w:t>I</w:t>
      </w:r>
      <w:r w:rsidRPr="003C38EE">
        <w:rPr>
          <w:color w:val="000000"/>
          <w:lang w:val="fr-FR"/>
        </w:rPr>
        <w:t xml:space="preserve"> qui en résulte peut être calculé à l'aide de la formule du §</w:t>
      </w:r>
      <w:r w:rsidR="006706A9" w:rsidRPr="003C38EE">
        <w:rPr>
          <w:color w:val="000000"/>
          <w:lang w:val="fr-FR"/>
        </w:rPr>
        <w:t> </w:t>
      </w:r>
      <w:r w:rsidRPr="003C38EE">
        <w:rPr>
          <w:color w:val="000000"/>
          <w:lang w:val="fr-FR"/>
        </w:rPr>
        <w:t xml:space="preserve">2.1.1, où le facteur </w:t>
      </w:r>
      <w:r w:rsidRPr="003C38EE">
        <w:rPr>
          <w:i/>
          <w:color w:val="000000"/>
          <w:lang w:val="fr-FR"/>
        </w:rPr>
        <w:t>A</w:t>
      </w:r>
      <w:r w:rsidRPr="003C38EE">
        <w:rPr>
          <w:color w:val="000000"/>
          <w:lang w:val="fr-FR"/>
        </w:rPr>
        <w:t xml:space="preserve"> est le rapport de la puissance de la porteuse brouilleuse contenue dans la largeur de bande du signal utile à la puissance de la porteuse brouilleuse totale, en posant en approximation que la densité spectrale de puissance de la porteuse brouilleuse est constante sur la largeur de bande de la porteuse utile et est égale à la valeur maximale (voir le troisième alinéa du §</w:t>
      </w:r>
      <w:r w:rsidR="006706A9" w:rsidRPr="003C38EE">
        <w:rPr>
          <w:color w:val="000000"/>
          <w:lang w:val="fr-FR"/>
        </w:rPr>
        <w:t> </w:t>
      </w:r>
      <w:r w:rsidRPr="003C38EE">
        <w:rPr>
          <w:color w:val="000000"/>
          <w:lang w:val="fr-FR"/>
        </w:rPr>
        <w:t>3.4 de l'Annexe</w:t>
      </w:r>
      <w:r w:rsidR="006706A9" w:rsidRPr="003C38EE">
        <w:rPr>
          <w:color w:val="000000"/>
          <w:lang w:val="fr-FR"/>
        </w:rPr>
        <w:t> </w:t>
      </w:r>
      <w:r w:rsidRPr="003C38EE">
        <w:rPr>
          <w:color w:val="000000"/>
          <w:lang w:val="fr-FR"/>
        </w:rPr>
        <w:t>1 de la Recommandation UIT-R</w:t>
      </w:r>
      <w:r w:rsidR="006706A9" w:rsidRPr="003C38EE">
        <w:rPr>
          <w:color w:val="000000"/>
          <w:lang w:val="fr-FR"/>
        </w:rPr>
        <w:t> </w:t>
      </w:r>
      <w:r w:rsidRPr="003C38EE">
        <w:rPr>
          <w:color w:val="000000"/>
          <w:lang w:val="fr-FR"/>
        </w:rPr>
        <w:t>S.741</w:t>
      </w:r>
      <w:r w:rsidR="006706A9" w:rsidRPr="003C38EE">
        <w:rPr>
          <w:color w:val="000000"/>
          <w:lang w:val="fr-FR"/>
        </w:rPr>
        <w:noBreakHyphen/>
      </w:r>
      <w:r w:rsidRPr="003C38EE">
        <w:rPr>
          <w:color w:val="000000"/>
          <w:lang w:val="fr-FR"/>
        </w:rPr>
        <w:t>2).</w:t>
      </w:r>
    </w:p>
    <w:p w:rsidR="00F97CBA" w:rsidRPr="003C38EE" w:rsidRDefault="00F97CBA" w:rsidP="006706A9">
      <w:pPr>
        <w:pStyle w:val="Heading1"/>
        <w:rPr>
          <w:color w:val="000000"/>
          <w:lang w:val="fr-FR"/>
        </w:rPr>
      </w:pPr>
      <w:r w:rsidRPr="003C38EE">
        <w:rPr>
          <w:color w:val="000000"/>
          <w:lang w:val="fr-FR"/>
        </w:rPr>
        <w:t>3</w:t>
      </w:r>
      <w:r w:rsidRPr="003C38EE">
        <w:rPr>
          <w:color w:val="000000"/>
          <w:lang w:val="fr-FR"/>
        </w:rPr>
        <w:tab/>
        <w:t xml:space="preserve">Algorithme </w:t>
      </w:r>
      <w:r w:rsidRPr="003C38EE">
        <w:rPr>
          <w:i/>
          <w:color w:val="000000"/>
          <w:lang w:val="fr-FR"/>
        </w:rPr>
        <w:t>C</w:t>
      </w:r>
      <w:r w:rsidRPr="003C38EE">
        <w:rPr>
          <w:color w:val="000000"/>
          <w:lang w:val="fr-FR"/>
        </w:rPr>
        <w:t>/</w:t>
      </w:r>
      <w:r w:rsidRPr="003C38EE">
        <w:rPr>
          <w:i/>
          <w:color w:val="000000"/>
          <w:lang w:val="fr-FR"/>
        </w:rPr>
        <w:t>N</w:t>
      </w:r>
    </w:p>
    <w:p w:rsidR="00F97CBA" w:rsidRPr="003C38EE" w:rsidRDefault="00F97CBA">
      <w:pPr>
        <w:rPr>
          <w:color w:val="000000"/>
          <w:lang w:val="fr-FR"/>
        </w:rPr>
      </w:pPr>
      <w:r w:rsidRPr="003C38EE">
        <w:rPr>
          <w:color w:val="000000"/>
          <w:lang w:val="fr-FR"/>
        </w:rPr>
        <w:t xml:space="preserve">L'algorithme de calcul de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exige que l'on détermine la valeur de </w:t>
      </w:r>
      <w:r w:rsidRPr="003C38EE">
        <w:rPr>
          <w:i/>
          <w:color w:val="000000"/>
          <w:lang w:val="fr-FR"/>
        </w:rPr>
        <w:t>N</w:t>
      </w:r>
      <w:r w:rsidRPr="003C38EE">
        <w:rPr>
          <w:color w:val="000000"/>
          <w:lang w:val="fr-FR"/>
        </w:rPr>
        <w:t>, selon la formule suivante:</w:t>
      </w:r>
    </w:p>
    <w:p w:rsidR="00F97CBA" w:rsidRPr="003C38EE" w:rsidRDefault="00F97CBA">
      <w:pPr>
        <w:pStyle w:val="Equation"/>
        <w:rPr>
          <w:color w:val="000000"/>
          <w:lang w:val="fr-FR"/>
        </w:rPr>
      </w:pPr>
      <w:r w:rsidRPr="003C38EE">
        <w:rPr>
          <w:color w:val="000000"/>
          <w:lang w:val="fr-FR"/>
        </w:rPr>
        <w:tab/>
      </w:r>
      <w:r w:rsidRPr="003C38EE">
        <w:rPr>
          <w:color w:val="000000"/>
          <w:lang w:val="fr-FR"/>
        </w:rPr>
        <w:tab/>
      </w:r>
      <w:r w:rsidRPr="003C38EE">
        <w:rPr>
          <w:color w:val="000000"/>
          <w:position w:val="-12"/>
          <w:lang w:val="fr-FR"/>
        </w:rPr>
        <w:object w:dxaOrig="4500" w:dyaOrig="360">
          <v:shape id="_x0000_i1044" type="#_x0000_t75" style="width:225.1pt;height:18.25pt" o:ole="">
            <v:imagedata r:id="rId42" o:title=""/>
          </v:shape>
          <o:OLEObject Type="Embed" ProgID="Equation.3" ShapeID="_x0000_i1044" DrawAspect="Content" ObjectID="_1407930076" r:id="rId43"/>
        </w:object>
      </w:r>
    </w:p>
    <w:p w:rsidR="00F97CBA" w:rsidRPr="003C38EE" w:rsidRDefault="00F97CBA" w:rsidP="006706A9">
      <w:pPr>
        <w:rPr>
          <w:lang w:val="fr-FR"/>
        </w:rPr>
      </w:pPr>
      <w:r w:rsidRPr="003C38EE">
        <w:rPr>
          <w:lang w:val="fr-FR"/>
        </w:rPr>
        <w:t>où:</w:t>
      </w:r>
    </w:p>
    <w:p w:rsidR="00F97CBA" w:rsidRPr="003C38EE" w:rsidRDefault="00F97CBA" w:rsidP="006706A9">
      <w:pPr>
        <w:pStyle w:val="Equationlegend0"/>
        <w:rPr>
          <w:color w:val="000000"/>
          <w:lang w:val="fr-FR"/>
        </w:rPr>
      </w:pPr>
      <w:r w:rsidRPr="003C38EE">
        <w:rPr>
          <w:i/>
          <w:color w:val="000000"/>
          <w:lang w:val="fr-FR"/>
        </w:rPr>
        <w:tab/>
        <w:t>N</w:t>
      </w:r>
      <w:r w:rsidRPr="003C38EE">
        <w:rPr>
          <w:rFonts w:ascii="Tms Rmn" w:hAnsi="Tms Rmn"/>
          <w:color w:val="000000"/>
          <w:sz w:val="12"/>
          <w:lang w:val="fr-FR"/>
        </w:rPr>
        <w:t> </w:t>
      </w:r>
      <w:r w:rsidRPr="003C38EE">
        <w:rPr>
          <w:color w:val="000000"/>
          <w:lang w:val="fr-FR"/>
        </w:rPr>
        <w:t>:</w:t>
      </w:r>
      <w:r w:rsidRPr="003C38EE">
        <w:rPr>
          <w:color w:val="000000"/>
          <w:lang w:val="fr-FR"/>
        </w:rPr>
        <w:tab/>
        <w:t>valeur du bruit (dBW)</w:t>
      </w:r>
    </w:p>
    <w:p w:rsidR="00F97CBA" w:rsidRPr="003C38EE" w:rsidRDefault="00F97CBA">
      <w:pPr>
        <w:pStyle w:val="Equationlegend0"/>
        <w:rPr>
          <w:color w:val="000000"/>
          <w:lang w:val="fr-FR"/>
        </w:rPr>
      </w:pPr>
      <w:r w:rsidRPr="003C38EE">
        <w:rPr>
          <w:i/>
          <w:color w:val="000000"/>
          <w:lang w:val="fr-FR"/>
        </w:rPr>
        <w:tab/>
        <w:t>T</w:t>
      </w:r>
      <w:r w:rsidRPr="003C38EE">
        <w:rPr>
          <w:i/>
          <w:color w:val="000000"/>
          <w:position w:val="-4"/>
          <w:sz w:val="20"/>
          <w:lang w:val="fr-FR"/>
        </w:rPr>
        <w:t>R</w:t>
      </w:r>
      <w:r w:rsidRPr="003C38EE">
        <w:rPr>
          <w:rFonts w:ascii="Tms Rmn" w:hAnsi="Tms Rmn"/>
          <w:color w:val="000000"/>
          <w:sz w:val="12"/>
          <w:lang w:val="fr-FR"/>
        </w:rPr>
        <w:t> </w:t>
      </w:r>
      <w:r w:rsidRPr="003C38EE">
        <w:rPr>
          <w:color w:val="000000"/>
          <w:lang w:val="fr-FR"/>
        </w:rPr>
        <w:t>:</w:t>
      </w:r>
      <w:r w:rsidRPr="003C38EE">
        <w:rPr>
          <w:color w:val="000000"/>
          <w:lang w:val="fr-FR"/>
        </w:rPr>
        <w:tab/>
        <w:t>température de bruit du système de réception (K)</w:t>
      </w:r>
    </w:p>
    <w:p w:rsidR="00F97CBA" w:rsidRPr="003C38EE" w:rsidRDefault="00F97CBA">
      <w:pPr>
        <w:pStyle w:val="Equationlegend0"/>
        <w:rPr>
          <w:color w:val="000000"/>
          <w:lang w:val="fr-FR"/>
        </w:rPr>
      </w:pPr>
      <w:r w:rsidRPr="003C38EE">
        <w:rPr>
          <w:i/>
          <w:color w:val="000000"/>
          <w:lang w:val="fr-FR"/>
        </w:rPr>
        <w:tab/>
        <w:t>BW</w:t>
      </w:r>
      <w:r w:rsidRPr="003C38EE">
        <w:rPr>
          <w:rFonts w:ascii="Tms Rmn" w:hAnsi="Tms Rmn"/>
          <w:color w:val="000000"/>
          <w:sz w:val="12"/>
          <w:lang w:val="fr-FR"/>
        </w:rPr>
        <w:t> </w:t>
      </w:r>
      <w:r w:rsidRPr="003C38EE">
        <w:rPr>
          <w:color w:val="000000"/>
          <w:lang w:val="fr-FR"/>
        </w:rPr>
        <w:t>:</w:t>
      </w:r>
      <w:r w:rsidRPr="003C38EE">
        <w:rPr>
          <w:color w:val="000000"/>
          <w:lang w:val="fr-FR"/>
        </w:rPr>
        <w:tab/>
        <w:t>largeur de bande (MHz).</w:t>
      </w:r>
    </w:p>
    <w:p w:rsidR="00F97CBA" w:rsidRPr="003C38EE" w:rsidRDefault="00F97CBA">
      <w:pPr>
        <w:rPr>
          <w:color w:val="000000"/>
          <w:lang w:val="fr-FR"/>
        </w:rPr>
      </w:pPr>
      <w:r w:rsidRPr="003C38EE">
        <w:rPr>
          <w:color w:val="000000"/>
          <w:lang w:val="fr-FR"/>
        </w:rPr>
        <w:t xml:space="preserve">On calcule la valeur de </w:t>
      </w:r>
      <w:r w:rsidRPr="003C38EE">
        <w:rPr>
          <w:i/>
          <w:color w:val="000000"/>
          <w:lang w:val="fr-FR"/>
        </w:rPr>
        <w:t>N</w:t>
      </w:r>
      <w:r w:rsidRPr="003C38EE">
        <w:rPr>
          <w:color w:val="000000"/>
          <w:lang w:val="fr-FR"/>
        </w:rPr>
        <w:t xml:space="preserve"> une fois pour la liaison montante (le cas échéant) et une fois pour la liaison descendante (le cas échéant) du système utile.</w:t>
      </w:r>
    </w:p>
    <w:p w:rsidR="00F97CBA" w:rsidRPr="003C38EE" w:rsidRDefault="00F97CBA">
      <w:pPr>
        <w:rPr>
          <w:color w:val="000000"/>
          <w:lang w:val="fr-FR"/>
        </w:rPr>
      </w:pPr>
      <w:r w:rsidRPr="003C38EE">
        <w:rPr>
          <w:color w:val="000000"/>
          <w:lang w:val="fr-FR"/>
        </w:rPr>
        <w:t xml:space="preserve">Après avoir déterminé </w:t>
      </w:r>
      <w:r w:rsidRPr="003C38EE">
        <w:rPr>
          <w:i/>
          <w:color w:val="000000"/>
          <w:lang w:val="fr-FR"/>
        </w:rPr>
        <w:t>N</w:t>
      </w:r>
      <w:r w:rsidRPr="003C38EE">
        <w:rPr>
          <w:color w:val="000000"/>
          <w:lang w:val="fr-FR"/>
        </w:rPr>
        <w:t xml:space="preserve">, on calcule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à chaque point de mesure de la liaison montante (le cas échéant) et de la liaison descendante (le cas échéant):</w:t>
      </w:r>
    </w:p>
    <w:p w:rsidR="00F97CBA" w:rsidRPr="003C38EE" w:rsidRDefault="00F97CBA">
      <w:pPr>
        <w:pStyle w:val="Equation"/>
        <w:tabs>
          <w:tab w:val="clear" w:pos="4678"/>
          <w:tab w:val="center" w:pos="4536"/>
        </w:tabs>
        <w:rPr>
          <w:color w:val="000000"/>
          <w:lang w:val="fr-FR"/>
        </w:rPr>
      </w:pPr>
      <w:r w:rsidRPr="003C38EE">
        <w:rPr>
          <w:color w:val="000000"/>
          <w:lang w:val="fr-FR"/>
        </w:rPr>
        <w:tab/>
      </w:r>
      <w:r w:rsidRPr="003C38EE">
        <w:rPr>
          <w:color w:val="000000"/>
          <w:lang w:val="fr-FR"/>
        </w:rPr>
        <w:tab/>
      </w:r>
      <w:r w:rsidRPr="003C38EE">
        <w:rPr>
          <w:color w:val="000000"/>
          <w:position w:val="-28"/>
          <w:sz w:val="20"/>
          <w:lang w:val="fr-FR"/>
        </w:rPr>
        <w:object w:dxaOrig="1359" w:dyaOrig="680">
          <v:shape id="_x0000_i1045" type="#_x0000_t75" style="width:68.35pt;height:33.7pt" o:ole="">
            <v:imagedata r:id="rId44" o:title=""/>
          </v:shape>
          <o:OLEObject Type="Embed" ProgID="Equation.3" ShapeID="_x0000_i1045" DrawAspect="Content" ObjectID="_1407930077" r:id="rId45"/>
        </w:object>
      </w:r>
    </w:p>
    <w:p w:rsidR="00F97CBA" w:rsidRPr="003C38EE" w:rsidRDefault="00F97CBA">
      <w:pPr>
        <w:spacing w:before="0"/>
        <w:rPr>
          <w:color w:val="000000"/>
          <w:lang w:val="fr-FR"/>
        </w:rPr>
      </w:pPr>
      <w:r w:rsidRPr="003C38EE">
        <w:rPr>
          <w:color w:val="000000"/>
          <w:lang w:val="fr-FR"/>
        </w:rPr>
        <w:t>où:</w:t>
      </w:r>
    </w:p>
    <w:p w:rsidR="00F97CBA" w:rsidRPr="003C38EE" w:rsidRDefault="00F97CBA">
      <w:pPr>
        <w:pStyle w:val="Equationlegend0"/>
        <w:rPr>
          <w:color w:val="000000"/>
          <w:lang w:val="fr-FR"/>
        </w:rPr>
      </w:pPr>
      <w:r w:rsidRPr="003C38EE">
        <w:rPr>
          <w:i/>
          <w:color w:val="000000"/>
          <w:lang w:val="fr-FR"/>
        </w:rPr>
        <w:tab/>
        <w:t>C</w:t>
      </w:r>
      <w:r w:rsidRPr="003C38EE">
        <w:rPr>
          <w:rFonts w:ascii="Tms Rmn" w:hAnsi="Tms Rmn"/>
          <w:color w:val="000000"/>
          <w:sz w:val="12"/>
          <w:lang w:val="fr-FR"/>
        </w:rPr>
        <w:t> </w:t>
      </w:r>
      <w:r w:rsidRPr="003C38EE">
        <w:rPr>
          <w:color w:val="000000"/>
          <w:lang w:val="fr-FR"/>
        </w:rPr>
        <w:t>:</w:t>
      </w:r>
      <w:r w:rsidRPr="003C38EE">
        <w:rPr>
          <w:color w:val="000000"/>
          <w:lang w:val="fr-FR"/>
        </w:rPr>
        <w:tab/>
        <w:t>porteuse (dBW)</w:t>
      </w:r>
    </w:p>
    <w:p w:rsidR="00F97CBA" w:rsidRPr="003C38EE" w:rsidRDefault="00F97CBA">
      <w:pPr>
        <w:pStyle w:val="Equationlegend0"/>
        <w:rPr>
          <w:color w:val="000000"/>
          <w:lang w:val="fr-FR"/>
        </w:rPr>
      </w:pPr>
      <w:r w:rsidRPr="003C38EE">
        <w:rPr>
          <w:i/>
          <w:color w:val="000000"/>
          <w:lang w:val="fr-FR"/>
        </w:rPr>
        <w:tab/>
        <w:t>N</w:t>
      </w:r>
      <w:r w:rsidRPr="003C38EE">
        <w:rPr>
          <w:rFonts w:ascii="Tms Rmn" w:hAnsi="Tms Rmn"/>
          <w:color w:val="000000"/>
          <w:sz w:val="12"/>
          <w:lang w:val="fr-FR"/>
        </w:rPr>
        <w:t> </w:t>
      </w:r>
      <w:r w:rsidRPr="003C38EE">
        <w:rPr>
          <w:color w:val="000000"/>
          <w:lang w:val="fr-FR"/>
        </w:rPr>
        <w:t>:</w:t>
      </w:r>
      <w:r w:rsidRPr="003C38EE">
        <w:rPr>
          <w:color w:val="000000"/>
          <w:lang w:val="fr-FR"/>
        </w:rPr>
        <w:tab/>
        <w:t>bruit (dBW) calculé ci-dessus.</w:t>
      </w:r>
    </w:p>
    <w:p w:rsidR="00F97CBA" w:rsidRPr="003C38EE" w:rsidRDefault="00F97CBA" w:rsidP="006706A9">
      <w:pPr>
        <w:rPr>
          <w:color w:val="000000"/>
          <w:lang w:val="fr-FR"/>
        </w:rPr>
      </w:pPr>
      <w:r w:rsidRPr="003C38EE">
        <w:rPr>
          <w:color w:val="000000"/>
          <w:lang w:val="fr-FR"/>
        </w:rPr>
        <w:t xml:space="preserve">On calcule aussi le rapport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total. S'il n'y a qu'une liaison montante, les valeurs de ce rapport correspondent simplement à celles du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de cette liaison. De même, s'il n'y a qu'une liaison descendante, les valeurs du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total correspondent simplement à celles du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de cette liaison. En revanche. s'il y a une liaison montante et une liaison descendante, on calcule </w:t>
      </w:r>
      <w:r w:rsidR="006706A9" w:rsidRPr="003C38EE">
        <w:rPr>
          <w:color w:val="000000"/>
          <w:lang w:val="fr-FR"/>
        </w:rPr>
        <w:br w:type="page"/>
      </w:r>
      <w:r w:rsidRPr="003C38EE">
        <w:rPr>
          <w:color w:val="000000"/>
          <w:lang w:val="fr-FR"/>
        </w:rPr>
        <w:t xml:space="preserve">le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total pour chaque point de mesure de la liaison descendante à l'aide du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de la liaison montante du </w:t>
      </w:r>
      <w:r w:rsidRPr="003C38EE">
        <w:rPr>
          <w:i/>
          <w:color w:val="000000"/>
          <w:lang w:val="fr-FR"/>
        </w:rPr>
        <w:t>cas</w:t>
      </w:r>
      <w:r w:rsidRPr="003C38EE">
        <w:rPr>
          <w:color w:val="000000"/>
          <w:lang w:val="fr-FR"/>
        </w:rPr>
        <w:t xml:space="preserve"> </w:t>
      </w:r>
      <w:r w:rsidRPr="003C38EE">
        <w:rPr>
          <w:i/>
          <w:color w:val="000000"/>
          <w:lang w:val="fr-FR"/>
        </w:rPr>
        <w:t>le</w:t>
      </w:r>
      <w:r w:rsidRPr="003C38EE">
        <w:rPr>
          <w:color w:val="000000"/>
          <w:lang w:val="fr-FR"/>
        </w:rPr>
        <w:t xml:space="preserve"> </w:t>
      </w:r>
      <w:r w:rsidRPr="003C38EE">
        <w:rPr>
          <w:i/>
          <w:color w:val="000000"/>
          <w:lang w:val="fr-FR"/>
        </w:rPr>
        <w:t>plus défavorable</w:t>
      </w:r>
      <w:r w:rsidRPr="003C38EE">
        <w:rPr>
          <w:color w:val="000000"/>
          <w:lang w:val="fr-FR"/>
        </w:rPr>
        <w:t xml:space="preserve"> et des valeurs individuelles du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de la liaison descendante:</w:t>
      </w:r>
    </w:p>
    <w:p w:rsidR="006706A9" w:rsidRPr="003C38EE" w:rsidRDefault="006706A9" w:rsidP="006706A9">
      <w:pPr>
        <w:pStyle w:val="Equation"/>
        <w:tabs>
          <w:tab w:val="clear" w:pos="4678"/>
          <w:tab w:val="center" w:pos="4536"/>
        </w:tabs>
        <w:rPr>
          <w:color w:val="000000"/>
          <w:lang w:val="fr-FR"/>
        </w:rPr>
      </w:pPr>
      <w:r w:rsidRPr="003C38EE">
        <w:rPr>
          <w:color w:val="000000"/>
          <w:lang w:val="fr-FR"/>
        </w:rPr>
        <w:tab/>
      </w:r>
      <w:r w:rsidRPr="003C38EE">
        <w:rPr>
          <w:color w:val="000000"/>
          <w:lang w:val="fr-FR"/>
        </w:rPr>
        <w:tab/>
      </w:r>
      <w:r w:rsidRPr="003C38EE">
        <w:rPr>
          <w:color w:val="000000"/>
          <w:position w:val="-56"/>
          <w:lang w:val="fr-FR"/>
        </w:rPr>
        <w:object w:dxaOrig="3940" w:dyaOrig="1260">
          <v:shape id="_x0000_i1046" type="#_x0000_t75" style="width:196.85pt;height:62.9pt" o:ole="">
            <v:imagedata r:id="rId46" o:title=""/>
          </v:shape>
          <o:OLEObject Type="Embed" ProgID="Equation.3" ShapeID="_x0000_i1046" DrawAspect="Content" ObjectID="_1407930078" r:id="rId47"/>
        </w:object>
      </w:r>
    </w:p>
    <w:p w:rsidR="00F97CBA" w:rsidRPr="003C38EE" w:rsidRDefault="00F97CBA">
      <w:pPr>
        <w:rPr>
          <w:color w:val="000000"/>
          <w:lang w:val="fr-FR"/>
        </w:rPr>
      </w:pPr>
      <w:r w:rsidRPr="003C38EE">
        <w:rPr>
          <w:color w:val="000000"/>
          <w:lang w:val="fr-FR"/>
        </w:rPr>
        <w:t>où:</w:t>
      </w:r>
    </w:p>
    <w:tbl>
      <w:tblPr>
        <w:tblW w:w="0" w:type="auto"/>
        <w:jc w:val="center"/>
        <w:tblLayout w:type="fixed"/>
        <w:tblLook w:val="0000"/>
      </w:tblPr>
      <w:tblGrid>
        <w:gridCol w:w="1858"/>
        <w:gridCol w:w="7429"/>
      </w:tblGrid>
      <w:tr w:rsidR="00F97CBA" w:rsidRPr="003C38EE">
        <w:trPr>
          <w:jc w:val="center"/>
        </w:trPr>
        <w:tc>
          <w:tcPr>
            <w:tcW w:w="1858" w:type="dxa"/>
            <w:vAlign w:val="center"/>
          </w:tcPr>
          <w:p w:rsidR="00F97CBA" w:rsidRPr="003C38EE" w:rsidRDefault="00F97CBA">
            <w:pPr>
              <w:pStyle w:val="Equationlegend0"/>
              <w:rPr>
                <w:color w:val="000000"/>
                <w:lang w:val="fr-FR"/>
              </w:rPr>
            </w:pPr>
            <w:r w:rsidRPr="003C38EE">
              <w:rPr>
                <w:color w:val="000000"/>
                <w:lang w:val="fr-FR"/>
              </w:rPr>
              <w:tab/>
            </w:r>
            <w:r w:rsidRPr="003C38EE">
              <w:rPr>
                <w:color w:val="000000"/>
                <w:position w:val="-32"/>
                <w:sz w:val="20"/>
                <w:lang w:val="fr-FR"/>
              </w:rPr>
              <w:object w:dxaOrig="720" w:dyaOrig="720">
                <v:shape id="_x0000_i1047" type="#_x0000_t75" style="width:36.45pt;height:36.45pt" o:ole="">
                  <v:imagedata r:id="rId48" o:title=""/>
                </v:shape>
                <o:OLEObject Type="Embed" ProgID="Equation.3" ShapeID="_x0000_i1047" DrawAspect="Content" ObjectID="_1407930079" r:id="rId49"/>
              </w:object>
            </w:r>
          </w:p>
        </w:tc>
        <w:tc>
          <w:tcPr>
            <w:tcW w:w="7429" w:type="dxa"/>
            <w:vAlign w:val="center"/>
          </w:tcPr>
          <w:p w:rsidR="00F97CBA" w:rsidRPr="003C38EE" w:rsidRDefault="00F97CBA">
            <w:pPr>
              <w:pStyle w:val="Equationlegend0"/>
              <w:tabs>
                <w:tab w:val="clear" w:pos="1985"/>
                <w:tab w:val="left" w:pos="-15"/>
              </w:tabs>
              <w:spacing w:before="240"/>
              <w:ind w:left="-15" w:firstLine="15"/>
              <w:rPr>
                <w:color w:val="000000"/>
                <w:lang w:val="fr-FR"/>
              </w:rPr>
            </w:pPr>
            <w:r w:rsidRPr="003C38EE">
              <w:rPr>
                <w:color w:val="000000"/>
                <w:lang w:val="fr-FR"/>
              </w:rPr>
              <w:t xml:space="preserve">valeur totale de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pour un point de mesure donné de la liaison descendante (dB)</w:t>
            </w:r>
          </w:p>
        </w:tc>
      </w:tr>
      <w:tr w:rsidR="00F97CBA" w:rsidRPr="003C38EE">
        <w:trPr>
          <w:jc w:val="center"/>
        </w:trPr>
        <w:tc>
          <w:tcPr>
            <w:tcW w:w="1858" w:type="dxa"/>
            <w:vAlign w:val="center"/>
          </w:tcPr>
          <w:p w:rsidR="00F97CBA" w:rsidRPr="003C38EE" w:rsidRDefault="00F97CBA">
            <w:pPr>
              <w:pStyle w:val="Equationlegend0"/>
              <w:rPr>
                <w:color w:val="000000"/>
                <w:lang w:val="fr-FR"/>
              </w:rPr>
            </w:pPr>
            <w:r w:rsidRPr="003C38EE">
              <w:rPr>
                <w:color w:val="000000"/>
                <w:lang w:val="fr-FR"/>
              </w:rPr>
              <w:tab/>
            </w:r>
            <w:r w:rsidRPr="003C38EE">
              <w:rPr>
                <w:color w:val="000000"/>
                <w:position w:val="-32"/>
                <w:sz w:val="20"/>
                <w:lang w:val="fr-FR"/>
              </w:rPr>
              <w:object w:dxaOrig="700" w:dyaOrig="720">
                <v:shape id="_x0000_i1048" type="#_x0000_t75" style="width:34.65pt;height:36.45pt" o:ole="">
                  <v:imagedata r:id="rId50" o:title=""/>
                </v:shape>
                <o:OLEObject Type="Embed" ProgID="Equation.3" ShapeID="_x0000_i1048" DrawAspect="Content" ObjectID="_1407930080" r:id="rId51"/>
              </w:object>
            </w:r>
          </w:p>
        </w:tc>
        <w:tc>
          <w:tcPr>
            <w:tcW w:w="7429" w:type="dxa"/>
            <w:vAlign w:val="center"/>
          </w:tcPr>
          <w:p w:rsidR="00F97CBA" w:rsidRPr="003C38EE" w:rsidRDefault="00F97CBA">
            <w:pPr>
              <w:pStyle w:val="Equationlegend0"/>
              <w:tabs>
                <w:tab w:val="clear" w:pos="1985"/>
                <w:tab w:val="left" w:pos="-15"/>
              </w:tabs>
              <w:spacing w:before="240"/>
              <w:ind w:left="-15" w:firstLine="15"/>
              <w:rPr>
                <w:color w:val="000000"/>
                <w:lang w:val="fr-FR"/>
              </w:rPr>
            </w:pP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de la liaison montante du cas le plus défavorable, à n'importe quel point de mesure de cette liaison (dB)</w:t>
            </w:r>
          </w:p>
        </w:tc>
      </w:tr>
      <w:tr w:rsidR="00F97CBA" w:rsidRPr="003C38EE">
        <w:trPr>
          <w:jc w:val="center"/>
        </w:trPr>
        <w:tc>
          <w:tcPr>
            <w:tcW w:w="1858" w:type="dxa"/>
            <w:vAlign w:val="center"/>
          </w:tcPr>
          <w:p w:rsidR="00F97CBA" w:rsidRPr="003C38EE" w:rsidRDefault="00F97CBA">
            <w:pPr>
              <w:pStyle w:val="Equationlegend0"/>
              <w:rPr>
                <w:color w:val="000000"/>
                <w:lang w:val="fr-FR"/>
              </w:rPr>
            </w:pPr>
            <w:r w:rsidRPr="003C38EE">
              <w:rPr>
                <w:color w:val="000000"/>
                <w:lang w:val="fr-FR"/>
              </w:rPr>
              <w:tab/>
            </w:r>
            <w:r w:rsidRPr="003C38EE">
              <w:rPr>
                <w:color w:val="000000"/>
                <w:position w:val="-32"/>
                <w:sz w:val="20"/>
                <w:lang w:val="fr-FR"/>
              </w:rPr>
              <w:object w:dxaOrig="720" w:dyaOrig="720">
                <v:shape id="_x0000_i1049" type="#_x0000_t75" style="width:36.45pt;height:36.45pt" o:ole="">
                  <v:imagedata r:id="rId52" o:title=""/>
                </v:shape>
                <o:OLEObject Type="Embed" ProgID="Equation.3" ShapeID="_x0000_i1049" DrawAspect="Content" ObjectID="_1407930081" r:id="rId53"/>
              </w:object>
            </w:r>
          </w:p>
        </w:tc>
        <w:tc>
          <w:tcPr>
            <w:tcW w:w="7429" w:type="dxa"/>
            <w:vAlign w:val="center"/>
          </w:tcPr>
          <w:p w:rsidR="00F97CBA" w:rsidRPr="003C38EE" w:rsidRDefault="00F97CBA">
            <w:pPr>
              <w:pStyle w:val="Equationlegend0"/>
              <w:tabs>
                <w:tab w:val="clear" w:pos="1985"/>
                <w:tab w:val="left" w:pos="-15"/>
              </w:tabs>
              <w:spacing w:before="240"/>
              <w:ind w:left="-15" w:firstLine="15"/>
              <w:rPr>
                <w:color w:val="000000"/>
                <w:lang w:val="fr-FR"/>
              </w:rPr>
            </w:pP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de la liaison descendante pour un point de mesure donné de cette liaison (dB).</w:t>
            </w:r>
          </w:p>
        </w:tc>
      </w:tr>
    </w:tbl>
    <w:p w:rsidR="00F97CBA" w:rsidRPr="003C38EE" w:rsidRDefault="00F97CBA">
      <w:pPr>
        <w:pStyle w:val="Heading2"/>
        <w:rPr>
          <w:color w:val="000000"/>
          <w:lang w:val="fr-FR"/>
        </w:rPr>
      </w:pPr>
      <w:r w:rsidRPr="003C38EE">
        <w:rPr>
          <w:color w:val="000000"/>
          <w:lang w:val="fr-FR"/>
        </w:rPr>
        <w:t>3.1</w:t>
      </w:r>
      <w:r w:rsidRPr="003C38EE">
        <w:rPr>
          <w:rFonts w:ascii="MS Sans Serif" w:hAnsi="MS Sans Serif"/>
          <w:color w:val="000000"/>
          <w:lang w:val="fr-FR"/>
        </w:rPr>
        <w:tab/>
      </w:r>
      <w:r w:rsidRPr="003C38EE">
        <w:rPr>
          <w:color w:val="000000"/>
          <w:lang w:val="fr-FR"/>
        </w:rPr>
        <w:t>Détermination du rapport de protection relatif pour le Cas (V) du Tableau 1: (TV-MF) à (TV-MF)</w:t>
      </w:r>
    </w:p>
    <w:p w:rsidR="00F97CBA" w:rsidRPr="003C38EE" w:rsidRDefault="00F97CBA" w:rsidP="006706A9">
      <w:pPr>
        <w:rPr>
          <w:color w:val="000000"/>
          <w:lang w:val="fr-FR"/>
        </w:rPr>
      </w:pPr>
      <w:r w:rsidRPr="003C38EE">
        <w:rPr>
          <w:color w:val="000000"/>
          <w:lang w:val="fr-FR"/>
        </w:rPr>
        <w:t>Pour régler une situation de brouillage entre fréquences différentes causé par une porteuse TV</w:t>
      </w:r>
      <w:r w:rsidR="006706A9" w:rsidRPr="003C38EE">
        <w:rPr>
          <w:color w:val="000000"/>
          <w:lang w:val="fr-FR"/>
        </w:rPr>
        <w:noBreakHyphen/>
      </w:r>
      <w:r w:rsidRPr="003C38EE">
        <w:rPr>
          <w:color w:val="000000"/>
          <w:lang w:val="fr-FR"/>
        </w:rPr>
        <w:t>MF à une autre porteuse TV-MF, le Bureau des radiocommunications utilise les gabarits du rapport de protection définis dans les Règles de procédure relatives aux § 3.5.1 et 3.8 de l'Annexe 5 de l'Appendice </w:t>
      </w:r>
      <w:r w:rsidRPr="003C38EE">
        <w:rPr>
          <w:rStyle w:val="Appref"/>
          <w:b/>
          <w:color w:val="000000"/>
          <w:lang w:val="fr-FR"/>
        </w:rPr>
        <w:t>30</w:t>
      </w:r>
      <w:r w:rsidRPr="003C38EE">
        <w:rPr>
          <w:color w:val="000000"/>
          <w:lang w:val="fr-FR"/>
        </w:rPr>
        <w:t xml:space="preserve"> pour le même cas de brouillage. L'assouplissement du rapport de protection qui en découle est appliqué au facteur </w:t>
      </w:r>
      <w:r w:rsidRPr="003C38EE">
        <w:rPr>
          <w:i/>
          <w:color w:val="000000"/>
          <w:lang w:val="fr-FR"/>
        </w:rPr>
        <w:t>K</w:t>
      </w:r>
      <w:r w:rsidRPr="003C38EE">
        <w:rPr>
          <w:color w:val="000000"/>
          <w:lang w:val="fr-FR"/>
        </w:rPr>
        <w:t xml:space="preserve"> de 14,0</w:t>
      </w:r>
      <w:r w:rsidR="006706A9" w:rsidRPr="003C38EE">
        <w:rPr>
          <w:color w:val="000000"/>
          <w:lang w:val="fr-FR"/>
        </w:rPr>
        <w:t xml:space="preserve"> </w:t>
      </w:r>
      <w:r w:rsidRPr="003C38EE">
        <w:rPr>
          <w:color w:val="000000"/>
          <w:lang w:val="fr-FR"/>
        </w:rPr>
        <w:t>dB établi par la Recom</w:t>
      </w:r>
      <w:r w:rsidR="006706A9" w:rsidRPr="003C38EE">
        <w:rPr>
          <w:color w:val="000000"/>
          <w:lang w:val="fr-FR"/>
        </w:rPr>
        <w:softHyphen/>
      </w:r>
      <w:r w:rsidRPr="003C38EE">
        <w:rPr>
          <w:color w:val="000000"/>
          <w:lang w:val="fr-FR"/>
        </w:rPr>
        <w:t>mandation UIT</w:t>
      </w:r>
      <w:r w:rsidR="006706A9" w:rsidRPr="003C38EE">
        <w:rPr>
          <w:color w:val="000000"/>
          <w:lang w:val="fr-FR"/>
        </w:rPr>
        <w:noBreakHyphen/>
      </w:r>
      <w:r w:rsidRPr="003C38EE">
        <w:rPr>
          <w:color w:val="000000"/>
          <w:lang w:val="fr-FR"/>
        </w:rPr>
        <w:t>R S.483.</w:t>
      </w:r>
    </w:p>
    <w:p w:rsidR="00F97CBA" w:rsidRPr="003C38EE" w:rsidRDefault="00F97CBA" w:rsidP="006706A9">
      <w:pPr>
        <w:rPr>
          <w:lang w:val="fr-FR"/>
        </w:rPr>
      </w:pPr>
    </w:p>
    <w:p w:rsidR="00F97CBA" w:rsidRPr="003C38EE" w:rsidRDefault="00F97CBA" w:rsidP="006706A9">
      <w:pPr>
        <w:rPr>
          <w:lang w:val="fr-FR"/>
        </w:rPr>
      </w:pPr>
    </w:p>
    <w:p w:rsidR="00F97CBA" w:rsidRPr="003C38EE" w:rsidRDefault="00F97CBA">
      <w:pPr>
        <w:pStyle w:val="Heading1"/>
        <w:ind w:left="0" w:firstLine="0"/>
        <w:jc w:val="center"/>
        <w:rPr>
          <w:color w:val="000000"/>
          <w:lang w:val="fr-FR"/>
        </w:rPr>
      </w:pPr>
      <w:r w:rsidRPr="003C38EE">
        <w:rPr>
          <w:b w:val="0"/>
          <w:color w:val="000000"/>
          <w:lang w:val="fr-FR"/>
        </w:rPr>
        <w:t>SUPPLÉMENT  2</w:t>
      </w:r>
    </w:p>
    <w:p w:rsidR="00F97CBA" w:rsidRPr="003C38EE" w:rsidRDefault="00F97CBA" w:rsidP="006706A9">
      <w:pPr>
        <w:pStyle w:val="Heading1"/>
        <w:spacing w:before="240"/>
        <w:ind w:left="0" w:firstLine="0"/>
        <w:jc w:val="center"/>
        <w:rPr>
          <w:color w:val="000000"/>
          <w:lang w:val="fr-FR"/>
        </w:rPr>
      </w:pPr>
      <w:r w:rsidRPr="003C38EE">
        <w:rPr>
          <w:color w:val="000000"/>
          <w:lang w:val="fr-FR"/>
        </w:rPr>
        <w:t>Marges additionnelles à prendre en considération</w:t>
      </w:r>
    </w:p>
    <w:p w:rsidR="00F97CBA" w:rsidRPr="003C38EE" w:rsidRDefault="00F97CBA">
      <w:pPr>
        <w:pStyle w:val="Heading1"/>
        <w:rPr>
          <w:color w:val="000000"/>
          <w:lang w:val="fr-FR"/>
        </w:rPr>
      </w:pPr>
      <w:r w:rsidRPr="003C38EE">
        <w:rPr>
          <w:color w:val="000000"/>
          <w:lang w:val="fr-FR"/>
        </w:rPr>
        <w:t>1</w:t>
      </w:r>
      <w:r w:rsidRPr="003C38EE">
        <w:rPr>
          <w:color w:val="000000"/>
          <w:lang w:val="fr-FR"/>
        </w:rPr>
        <w:tab/>
        <w:t>Introduction</w:t>
      </w:r>
    </w:p>
    <w:p w:rsidR="00F97CBA" w:rsidRPr="003C38EE" w:rsidRDefault="00F97CBA" w:rsidP="006706A9">
      <w:pPr>
        <w:rPr>
          <w:color w:val="000000"/>
          <w:lang w:val="fr-FR"/>
        </w:rPr>
      </w:pPr>
      <w:r w:rsidRPr="003C38EE">
        <w:rPr>
          <w:color w:val="000000"/>
          <w:lang w:val="fr-FR"/>
        </w:rPr>
        <w:t xml:space="preserve">Pour évaluer finalement l'effet brouilleur sur une émission donnée, il est nécessaire d'ajuster les marges obtenues en tenant compte de la définition de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donnée dans la Recomman</w:t>
      </w:r>
      <w:r w:rsidRPr="003C38EE">
        <w:rPr>
          <w:color w:val="000000"/>
          <w:lang w:val="fr-FR"/>
        </w:rPr>
        <w:softHyphen/>
        <w:t>dation UIT-R S.741</w:t>
      </w:r>
      <w:r w:rsidRPr="003C38EE">
        <w:rPr>
          <w:color w:val="000000"/>
          <w:lang w:val="fr-FR"/>
        </w:rPr>
        <w:noBreakHyphen/>
        <w:t>2 qui, dans la plupart des cas, est la référence de qualité nécessaire pour calculer les critères de brouillage dû à une source unique pour les porteuses du SFS (voir le Tableau 2 de la Recommandation UIT</w:t>
      </w:r>
      <w:r w:rsidR="006706A9" w:rsidRPr="003C38EE">
        <w:rPr>
          <w:color w:val="000000"/>
          <w:lang w:val="fr-FR"/>
        </w:rPr>
        <w:noBreakHyphen/>
      </w:r>
      <w:r w:rsidRPr="003C38EE">
        <w:rPr>
          <w:color w:val="000000"/>
          <w:lang w:val="fr-FR"/>
        </w:rPr>
        <w:t>R</w:t>
      </w:r>
      <w:r w:rsidR="006706A9" w:rsidRPr="003C38EE">
        <w:rPr>
          <w:color w:val="000000"/>
          <w:lang w:val="fr-FR"/>
        </w:rPr>
        <w:t> </w:t>
      </w:r>
      <w:r w:rsidRPr="003C38EE">
        <w:rPr>
          <w:color w:val="000000"/>
          <w:lang w:val="fr-FR"/>
        </w:rPr>
        <w:t>S.741</w:t>
      </w:r>
      <w:r w:rsidR="006706A9" w:rsidRPr="003C38EE">
        <w:rPr>
          <w:color w:val="000000"/>
          <w:lang w:val="fr-FR"/>
        </w:rPr>
        <w:noBreakHyphen/>
      </w:r>
      <w:r w:rsidRPr="003C38EE">
        <w:rPr>
          <w:color w:val="000000"/>
          <w:lang w:val="fr-FR"/>
        </w:rPr>
        <w:t>2).</w:t>
      </w:r>
    </w:p>
    <w:p w:rsidR="00F97CBA" w:rsidRPr="003C38EE" w:rsidRDefault="00F97CBA">
      <w:pPr>
        <w:rPr>
          <w:color w:val="000000"/>
          <w:lang w:val="fr-FR"/>
        </w:rPr>
      </w:pPr>
      <w:r w:rsidRPr="003C38EE">
        <w:rPr>
          <w:color w:val="000000"/>
          <w:lang w:val="fr-FR"/>
        </w:rPr>
        <w:br w:type="page"/>
        <w:t xml:space="preserve">Dans le Tableau mentionné ci-dessus, </w:t>
      </w:r>
      <w:r w:rsidRPr="003C38EE">
        <w:rPr>
          <w:i/>
          <w:color w:val="000000"/>
          <w:lang w:val="fr-FR"/>
        </w:rPr>
        <w:t>C</w:t>
      </w:r>
      <w:r w:rsidRPr="003C38EE">
        <w:rPr>
          <w:color w:val="000000"/>
          <w:lang w:val="fr-FR"/>
        </w:rPr>
        <w:t>/</w:t>
      </w:r>
      <w:r w:rsidRPr="003C38EE">
        <w:rPr>
          <w:i/>
          <w:color w:val="000000"/>
          <w:lang w:val="fr-FR"/>
        </w:rPr>
        <w:t>N</w:t>
      </w:r>
      <w:r w:rsidRPr="003C38EE">
        <w:rPr>
          <w:color w:val="000000"/>
          <w:lang w:val="fr-FR"/>
        </w:rPr>
        <w:t xml:space="preserve"> est défini comme étant: «le rapport (dB) de la puissance de la porteuse à celle du bruit total, comprenant tous les bruits internes du système et le brouillage dû aux autres systèmes».</w:t>
      </w:r>
    </w:p>
    <w:p w:rsidR="00F97CBA" w:rsidRPr="003C38EE" w:rsidRDefault="00F97CBA">
      <w:pPr>
        <w:pStyle w:val="Heading1"/>
        <w:rPr>
          <w:color w:val="000000"/>
          <w:u w:val="single"/>
          <w:lang w:val="fr-FR"/>
        </w:rPr>
      </w:pPr>
      <w:r w:rsidRPr="003C38EE">
        <w:rPr>
          <w:color w:val="000000"/>
          <w:lang w:val="fr-FR"/>
        </w:rPr>
        <w:t>2</w:t>
      </w:r>
      <w:r w:rsidRPr="003C38EE">
        <w:rPr>
          <w:color w:val="000000"/>
          <w:lang w:val="fr-FR"/>
        </w:rPr>
        <w:tab/>
        <w:t xml:space="preserve">Calculs effectués conformément au numéro </w:t>
      </w:r>
      <w:r w:rsidRPr="003C38EE">
        <w:rPr>
          <w:rStyle w:val="Artref"/>
          <w:color w:val="000000"/>
          <w:lang w:val="fr-FR"/>
        </w:rPr>
        <w:t>1.174</w:t>
      </w:r>
    </w:p>
    <w:p w:rsidR="00F97CBA" w:rsidRPr="003C38EE" w:rsidRDefault="00F97CBA">
      <w:pPr>
        <w:rPr>
          <w:color w:val="000000"/>
          <w:lang w:val="fr-FR"/>
        </w:rPr>
      </w:pPr>
      <w:r w:rsidRPr="003C38EE">
        <w:rPr>
          <w:color w:val="000000"/>
          <w:lang w:val="fr-FR"/>
        </w:rPr>
        <w:t xml:space="preserve">Le numéro </w:t>
      </w:r>
      <w:r w:rsidRPr="003C38EE">
        <w:rPr>
          <w:rStyle w:val="Artref"/>
          <w:b/>
          <w:color w:val="000000"/>
          <w:lang w:val="fr-FR"/>
        </w:rPr>
        <w:t>1.174</w:t>
      </w:r>
      <w:r w:rsidRPr="003C38EE">
        <w:rPr>
          <w:color w:val="000000"/>
          <w:lang w:val="fr-FR"/>
        </w:rPr>
        <w:t xml:space="preserve"> définit la température de bruit équivalente d'une liaison par satellite comme suit:</w:t>
      </w:r>
    </w:p>
    <w:p w:rsidR="00F97CBA" w:rsidRPr="003C38EE" w:rsidRDefault="00F97CBA">
      <w:pPr>
        <w:rPr>
          <w:i/>
          <w:color w:val="000000"/>
          <w:lang w:val="fr-FR"/>
        </w:rPr>
      </w:pPr>
      <w:r w:rsidRPr="003C38EE">
        <w:rPr>
          <w:color w:val="000000"/>
          <w:lang w:val="fr-FR"/>
        </w:rPr>
        <w:t xml:space="preserve">«Température de bruit rapportée à la sortie de l'antenne de réception de la </w:t>
      </w:r>
      <w:r w:rsidRPr="003C38EE">
        <w:rPr>
          <w:i/>
          <w:color w:val="000000"/>
          <w:lang w:val="fr-FR"/>
        </w:rPr>
        <w:t>station terrienne</w:t>
      </w:r>
      <w:r w:rsidRPr="003C38EE">
        <w:rPr>
          <w:color w:val="000000"/>
          <w:lang w:val="fr-FR"/>
        </w:rPr>
        <w:t xml:space="preserve">, correspondant à la puissance de bruit radioélectrique qui produit le bruit total observé à la sortie de la </w:t>
      </w:r>
      <w:r w:rsidRPr="003C38EE">
        <w:rPr>
          <w:i/>
          <w:color w:val="000000"/>
          <w:lang w:val="fr-FR"/>
        </w:rPr>
        <w:t>liaison par satellite</w:t>
      </w:r>
      <w:r w:rsidRPr="003C38EE">
        <w:rPr>
          <w:color w:val="000000"/>
          <w:lang w:val="fr-FR"/>
        </w:rPr>
        <w:t xml:space="preserve">, compte non tenu du bruit dû aux </w:t>
      </w:r>
      <w:r w:rsidRPr="003C38EE">
        <w:rPr>
          <w:i/>
          <w:color w:val="000000"/>
          <w:lang w:val="fr-FR"/>
        </w:rPr>
        <w:t>brouillages</w:t>
      </w:r>
      <w:r w:rsidRPr="003C38EE">
        <w:rPr>
          <w:color w:val="000000"/>
          <w:lang w:val="fr-FR"/>
        </w:rPr>
        <w:t xml:space="preserve"> causés par des </w:t>
      </w:r>
      <w:r w:rsidRPr="003C38EE">
        <w:rPr>
          <w:i/>
          <w:color w:val="000000"/>
          <w:lang w:val="fr-FR"/>
        </w:rPr>
        <w:t>liaisons</w:t>
      </w:r>
      <w:r w:rsidRPr="003C38EE">
        <w:rPr>
          <w:color w:val="000000"/>
          <w:lang w:val="fr-FR"/>
        </w:rPr>
        <w:t xml:space="preserve"> </w:t>
      </w:r>
      <w:r w:rsidRPr="003C38EE">
        <w:rPr>
          <w:i/>
          <w:color w:val="000000"/>
          <w:lang w:val="fr-FR"/>
        </w:rPr>
        <w:t>par</w:t>
      </w:r>
      <w:r w:rsidRPr="003C38EE">
        <w:rPr>
          <w:color w:val="000000"/>
          <w:lang w:val="fr-FR"/>
        </w:rPr>
        <w:t xml:space="preserve"> </w:t>
      </w:r>
      <w:r w:rsidRPr="003C38EE">
        <w:rPr>
          <w:i/>
          <w:color w:val="000000"/>
          <w:lang w:val="fr-FR"/>
        </w:rPr>
        <w:t>satellite</w:t>
      </w:r>
      <w:r w:rsidRPr="003C38EE">
        <w:rPr>
          <w:color w:val="000000"/>
          <w:lang w:val="fr-FR"/>
        </w:rPr>
        <w:t xml:space="preserve"> utilisant d'autres </w:t>
      </w:r>
      <w:r w:rsidRPr="003C38EE">
        <w:rPr>
          <w:i/>
          <w:color w:val="000000"/>
          <w:lang w:val="fr-FR"/>
        </w:rPr>
        <w:t>satellites</w:t>
      </w:r>
      <w:r w:rsidRPr="003C38EE">
        <w:rPr>
          <w:color w:val="000000"/>
          <w:lang w:val="fr-FR"/>
        </w:rPr>
        <w:t xml:space="preserve"> et par des systèmes de Terre.»</w:t>
      </w:r>
    </w:p>
    <w:p w:rsidR="00F97CBA" w:rsidRPr="003C38EE" w:rsidRDefault="00F97CBA" w:rsidP="00F16DBE">
      <w:pPr>
        <w:rPr>
          <w:lang w:val="fr-FR"/>
        </w:rPr>
      </w:pPr>
      <w:r w:rsidRPr="003C38EE">
        <w:rPr>
          <w:lang w:val="fr-FR"/>
        </w:rPr>
        <w:t xml:space="preserve">Les valeurs de température de bruit interne du système, données par les administrations pour calculer le bruit interne du système, </w:t>
      </w:r>
      <w:r w:rsidRPr="003C38EE">
        <w:rPr>
          <w:i/>
          <w:lang w:val="fr-FR"/>
        </w:rPr>
        <w:t>N</w:t>
      </w:r>
      <w:r w:rsidRPr="003C38EE">
        <w:rPr>
          <w:lang w:val="fr-FR"/>
        </w:rPr>
        <w:t xml:space="preserve"> c'est-à-dire, </w:t>
      </w:r>
      <w:r w:rsidRPr="003C38EE">
        <w:rPr>
          <w:i/>
          <w:lang w:val="fr-FR"/>
        </w:rPr>
        <w:t>T</w:t>
      </w:r>
      <w:r w:rsidRPr="003C38EE">
        <w:rPr>
          <w:i/>
          <w:iCs/>
          <w:vertAlign w:val="subscript"/>
          <w:lang w:val="fr-FR"/>
        </w:rPr>
        <w:t>s</w:t>
      </w:r>
      <w:r w:rsidRPr="003C38EE">
        <w:rPr>
          <w:lang w:val="fr-FR"/>
        </w:rPr>
        <w:t xml:space="preserve"> et </w:t>
      </w:r>
      <w:r w:rsidRPr="003C38EE">
        <w:rPr>
          <w:i/>
          <w:lang w:val="fr-FR"/>
        </w:rPr>
        <w:t>T</w:t>
      </w:r>
      <w:r w:rsidRPr="003C38EE">
        <w:rPr>
          <w:i/>
          <w:iCs/>
          <w:vertAlign w:val="subscript"/>
          <w:lang w:val="fr-FR"/>
        </w:rPr>
        <w:t>e</w:t>
      </w:r>
      <w:r w:rsidRPr="003C38EE">
        <w:rPr>
          <w:lang w:val="fr-FR"/>
        </w:rPr>
        <w:t>, sont définies dans l'Appendice</w:t>
      </w:r>
      <w:r w:rsidR="00F16DBE" w:rsidRPr="003C38EE">
        <w:rPr>
          <w:lang w:val="fr-FR"/>
        </w:rPr>
        <w:t> </w:t>
      </w:r>
      <w:r w:rsidRPr="003C38EE">
        <w:rPr>
          <w:rStyle w:val="Appref"/>
          <w:b/>
          <w:color w:val="000000"/>
          <w:lang w:val="fr-FR"/>
        </w:rPr>
        <w:t>8</w:t>
      </w:r>
      <w:r w:rsidRPr="003C38EE">
        <w:rPr>
          <w:lang w:val="fr-FR"/>
        </w:rPr>
        <w:t>, comme suit:</w:t>
      </w:r>
    </w:p>
    <w:p w:rsidR="00F97CBA" w:rsidRPr="003C38EE" w:rsidRDefault="00F97CBA" w:rsidP="00F16DBE">
      <w:pPr>
        <w:pStyle w:val="enumlev1"/>
        <w:tabs>
          <w:tab w:val="left" w:pos="680"/>
        </w:tabs>
        <w:ind w:left="680" w:hanging="680"/>
        <w:rPr>
          <w:color w:val="000000"/>
          <w:lang w:val="fr-FR"/>
        </w:rPr>
      </w:pPr>
      <w:r w:rsidRPr="003C38EE">
        <w:rPr>
          <w:color w:val="000000"/>
          <w:lang w:val="fr-FR"/>
        </w:rPr>
        <w:t>«</w:t>
      </w:r>
      <w:r w:rsidRPr="003C38EE">
        <w:rPr>
          <w:i/>
          <w:color w:val="000000"/>
          <w:lang w:val="fr-FR"/>
        </w:rPr>
        <w:t>T</w:t>
      </w:r>
      <w:r w:rsidRPr="003C38EE">
        <w:rPr>
          <w:i/>
          <w:iCs/>
          <w:vertAlign w:val="subscript"/>
          <w:lang w:val="fr-FR"/>
        </w:rPr>
        <w:t>s</w:t>
      </w:r>
      <w:r w:rsidRPr="003C38EE">
        <w:rPr>
          <w:rFonts w:ascii="Tms Rmn" w:hAnsi="Tms Rmn"/>
          <w:color w:val="000000"/>
          <w:sz w:val="12"/>
          <w:lang w:val="fr-FR"/>
        </w:rPr>
        <w:t> </w:t>
      </w:r>
      <w:r w:rsidRPr="003C38EE">
        <w:rPr>
          <w:color w:val="000000"/>
          <w:lang w:val="fr-FR"/>
        </w:rPr>
        <w:t>:</w:t>
      </w:r>
      <w:r w:rsidRPr="003C38EE">
        <w:rPr>
          <w:color w:val="000000"/>
          <w:lang w:val="fr-FR"/>
        </w:rPr>
        <w:tab/>
        <w:t>température de bruit du système de réception de la station spatiale, rapportée à la sortie de l'antenne de réception de la station spatiale</w:t>
      </w:r>
      <w:r w:rsidR="00F16DBE" w:rsidRPr="003C38EE">
        <w:rPr>
          <w:color w:val="000000"/>
          <w:lang w:val="fr-FR"/>
        </w:rPr>
        <w:t> </w:t>
      </w:r>
      <w:r w:rsidRPr="003C38EE">
        <w:rPr>
          <w:color w:val="000000"/>
          <w:lang w:val="fr-FR"/>
        </w:rPr>
        <w:t>(K)»</w:t>
      </w:r>
    </w:p>
    <w:p w:rsidR="00F97CBA" w:rsidRPr="003C38EE" w:rsidRDefault="00F97CBA" w:rsidP="00F16DBE">
      <w:pPr>
        <w:pStyle w:val="enumlev1"/>
        <w:tabs>
          <w:tab w:val="left" w:pos="680"/>
        </w:tabs>
        <w:ind w:left="680" w:hanging="680"/>
        <w:rPr>
          <w:color w:val="000000"/>
          <w:lang w:val="fr-FR"/>
        </w:rPr>
      </w:pPr>
      <w:r w:rsidRPr="003C38EE">
        <w:rPr>
          <w:color w:val="000000"/>
          <w:lang w:val="fr-FR"/>
        </w:rPr>
        <w:t>«</w:t>
      </w:r>
      <w:r w:rsidRPr="003C38EE">
        <w:rPr>
          <w:i/>
          <w:color w:val="000000"/>
          <w:lang w:val="fr-FR"/>
        </w:rPr>
        <w:t>T</w:t>
      </w:r>
      <w:r w:rsidRPr="003C38EE">
        <w:rPr>
          <w:i/>
          <w:iCs/>
          <w:vertAlign w:val="subscript"/>
          <w:lang w:val="fr-FR"/>
        </w:rPr>
        <w:t>e</w:t>
      </w:r>
      <w:r w:rsidRPr="003C38EE">
        <w:rPr>
          <w:rFonts w:ascii="Tms Rmn" w:hAnsi="Tms Rmn"/>
          <w:color w:val="000000"/>
          <w:sz w:val="12"/>
          <w:lang w:val="fr-FR"/>
        </w:rPr>
        <w:t> </w:t>
      </w:r>
      <w:r w:rsidRPr="003C38EE">
        <w:rPr>
          <w:color w:val="000000"/>
          <w:lang w:val="fr-FR"/>
        </w:rPr>
        <w:t>:</w:t>
      </w:r>
      <w:r w:rsidRPr="003C38EE">
        <w:rPr>
          <w:color w:val="000000"/>
          <w:lang w:val="fr-FR"/>
        </w:rPr>
        <w:tab/>
        <w:t>température de bruit du système de réception de la station terrienne, rapportée à la sortie de l'antenne de réception de la station terrienne</w:t>
      </w:r>
      <w:r w:rsidR="00F16DBE" w:rsidRPr="003C38EE">
        <w:rPr>
          <w:color w:val="000000"/>
          <w:lang w:val="fr-FR"/>
        </w:rPr>
        <w:t> </w:t>
      </w:r>
      <w:r w:rsidRPr="003C38EE">
        <w:rPr>
          <w:color w:val="000000"/>
          <w:lang w:val="fr-FR"/>
        </w:rPr>
        <w:t>(K).»</w:t>
      </w:r>
    </w:p>
    <w:p w:rsidR="00F97CBA" w:rsidRPr="003C38EE" w:rsidRDefault="00F97CBA" w:rsidP="00F16DBE">
      <w:pPr>
        <w:rPr>
          <w:color w:val="000000"/>
          <w:lang w:val="fr-FR"/>
        </w:rPr>
      </w:pPr>
      <w:r w:rsidRPr="003C38EE">
        <w:rPr>
          <w:color w:val="000000"/>
          <w:lang w:val="fr-FR"/>
        </w:rPr>
        <w:t>On combine les valeurs susmentionnées conformément à la Recommandation UIT</w:t>
      </w:r>
      <w:r w:rsidR="00F16DBE" w:rsidRPr="003C38EE">
        <w:rPr>
          <w:color w:val="000000"/>
          <w:lang w:val="fr-FR"/>
        </w:rPr>
        <w:noBreakHyphen/>
      </w:r>
      <w:r w:rsidRPr="003C38EE">
        <w:rPr>
          <w:color w:val="000000"/>
          <w:lang w:val="fr-FR"/>
        </w:rPr>
        <w:t>R</w:t>
      </w:r>
      <w:r w:rsidR="00F16DBE" w:rsidRPr="003C38EE">
        <w:rPr>
          <w:color w:val="000000"/>
          <w:lang w:val="fr-FR"/>
        </w:rPr>
        <w:t xml:space="preserve"> </w:t>
      </w:r>
      <w:r w:rsidRPr="003C38EE">
        <w:rPr>
          <w:color w:val="000000"/>
          <w:lang w:val="fr-FR"/>
        </w:rPr>
        <w:t xml:space="preserve">S.738 pour calculer </w:t>
      </w:r>
      <w:r w:rsidRPr="003C38EE">
        <w:rPr>
          <w:i/>
          <w:color w:val="000000"/>
          <w:lang w:val="fr-FR"/>
        </w:rPr>
        <w:t>T</w:t>
      </w:r>
      <w:r w:rsidRPr="003C38EE">
        <w:rPr>
          <w:i/>
          <w:iCs/>
          <w:vertAlign w:val="subscript"/>
          <w:lang w:val="fr-FR"/>
        </w:rPr>
        <w:t>min</w:t>
      </w:r>
      <w:r w:rsidRPr="003C38EE">
        <w:rPr>
          <w:color w:val="000000"/>
          <w:lang w:val="fr-FR"/>
        </w:rPr>
        <w:t xml:space="preserve">, la température de </w:t>
      </w:r>
      <w:r w:rsidRPr="003C38EE">
        <w:rPr>
          <w:i/>
          <w:color w:val="000000"/>
          <w:lang w:val="fr-FR"/>
        </w:rPr>
        <w:t>bruit équivalente de la liaison par satellite</w:t>
      </w:r>
      <w:r w:rsidRPr="003C38EE">
        <w:rPr>
          <w:color w:val="000000"/>
          <w:lang w:val="fr-FR"/>
        </w:rPr>
        <w:t xml:space="preserve"> la plus faible, selon la formule suivante:</w:t>
      </w:r>
    </w:p>
    <w:p w:rsidR="00F97CBA" w:rsidRPr="003C38EE" w:rsidRDefault="00F97CBA">
      <w:pPr>
        <w:pStyle w:val="Equation"/>
        <w:tabs>
          <w:tab w:val="clear" w:pos="4678"/>
          <w:tab w:val="center" w:pos="4536"/>
        </w:tabs>
        <w:rPr>
          <w:color w:val="000000"/>
          <w:lang w:val="fr-FR"/>
        </w:rPr>
      </w:pPr>
      <w:r w:rsidRPr="003C38EE">
        <w:rPr>
          <w:color w:val="000000"/>
          <w:lang w:val="fr-FR"/>
        </w:rPr>
        <w:tab/>
      </w:r>
      <w:r w:rsidRPr="003C38EE">
        <w:rPr>
          <w:color w:val="000000"/>
          <w:lang w:val="fr-FR"/>
        </w:rPr>
        <w:tab/>
      </w:r>
      <w:r w:rsidRPr="003C38EE">
        <w:rPr>
          <w:i/>
          <w:color w:val="000000"/>
          <w:lang w:val="fr-FR"/>
        </w:rPr>
        <w:t>T</w:t>
      </w:r>
      <w:r w:rsidRPr="003C38EE">
        <w:rPr>
          <w:i/>
          <w:color w:val="000000"/>
          <w:position w:val="-4"/>
          <w:sz w:val="20"/>
          <w:lang w:val="fr-FR"/>
        </w:rPr>
        <w:t>min</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i/>
          <w:color w:val="000000"/>
          <w:lang w:val="fr-FR"/>
        </w:rPr>
        <w:t>T</w:t>
      </w:r>
      <w:r w:rsidRPr="003C38EE">
        <w:rPr>
          <w:i/>
          <w:color w:val="000000"/>
          <w:position w:val="-4"/>
          <w:sz w:val="20"/>
          <w:lang w:val="fr-FR"/>
        </w:rPr>
        <w:t>e</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rFonts w:ascii="Symbol" w:hAnsi="Symbol"/>
          <w:color w:val="000000"/>
          <w:lang w:val="fr-FR"/>
        </w:rPr>
        <w:t></w:t>
      </w:r>
      <w:r w:rsidRPr="003C38EE">
        <w:rPr>
          <w:i/>
          <w:color w:val="000000"/>
          <w:position w:val="-4"/>
          <w:sz w:val="20"/>
          <w:lang w:val="fr-FR"/>
        </w:rPr>
        <w:t>min</w:t>
      </w:r>
      <w:r w:rsidRPr="003C38EE">
        <w:rPr>
          <w:color w:val="000000"/>
          <w:lang w:val="fr-FR"/>
        </w:rPr>
        <w:t xml:space="preserve">  </w:t>
      </w:r>
      <w:r w:rsidRPr="003C38EE">
        <w:rPr>
          <w:i/>
          <w:color w:val="000000"/>
          <w:lang w:val="fr-FR"/>
        </w:rPr>
        <w:t>T</w:t>
      </w:r>
      <w:r w:rsidRPr="003C38EE">
        <w:rPr>
          <w:i/>
          <w:color w:val="000000"/>
          <w:position w:val="-4"/>
          <w:sz w:val="20"/>
          <w:lang w:val="fr-FR"/>
        </w:rPr>
        <w:t>s</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i/>
          <w:color w:val="000000"/>
          <w:lang w:val="fr-FR"/>
        </w:rPr>
        <w:t>T</w:t>
      </w:r>
      <w:r w:rsidRPr="003C38EE">
        <w:rPr>
          <w:i/>
          <w:color w:val="000000"/>
          <w:position w:val="-4"/>
          <w:sz w:val="20"/>
          <w:lang w:val="fr-FR"/>
        </w:rPr>
        <w:t>a</w:t>
      </w:r>
    </w:p>
    <w:p w:rsidR="00F97CBA" w:rsidRPr="003C38EE" w:rsidRDefault="00F97CBA">
      <w:pPr>
        <w:spacing w:before="0"/>
        <w:rPr>
          <w:color w:val="000000"/>
          <w:lang w:val="fr-FR"/>
        </w:rPr>
      </w:pPr>
      <w:r w:rsidRPr="003C38EE">
        <w:rPr>
          <w:color w:val="000000"/>
          <w:lang w:val="fr-FR"/>
        </w:rPr>
        <w:t>dans laquelle:</w:t>
      </w:r>
    </w:p>
    <w:p w:rsidR="00F97CBA" w:rsidRPr="003C38EE" w:rsidRDefault="00F97CBA">
      <w:pPr>
        <w:pStyle w:val="Equationlegend0"/>
        <w:rPr>
          <w:color w:val="000000"/>
          <w:lang w:val="fr-FR"/>
        </w:rPr>
      </w:pPr>
      <w:r w:rsidRPr="003C38EE">
        <w:rPr>
          <w:i/>
          <w:color w:val="000000"/>
          <w:lang w:val="fr-FR"/>
        </w:rPr>
        <w:tab/>
        <w:t>T</w:t>
      </w:r>
      <w:r w:rsidRPr="003C38EE">
        <w:rPr>
          <w:i/>
          <w:iCs/>
          <w:vertAlign w:val="subscript"/>
          <w:lang w:val="fr-FR"/>
        </w:rPr>
        <w:t>a</w:t>
      </w:r>
      <w:r w:rsidRPr="003C38EE">
        <w:rPr>
          <w:rFonts w:ascii="Tms Rmn" w:hAnsi="Tms Rmn"/>
          <w:color w:val="000000"/>
          <w:sz w:val="12"/>
          <w:lang w:val="fr-FR"/>
        </w:rPr>
        <w:t> </w:t>
      </w:r>
      <w:r w:rsidRPr="003C38EE">
        <w:rPr>
          <w:color w:val="000000"/>
          <w:lang w:val="fr-FR"/>
        </w:rPr>
        <w:t>:</w:t>
      </w:r>
      <w:r w:rsidRPr="003C38EE">
        <w:rPr>
          <w:color w:val="000000"/>
          <w:lang w:val="fr-FR"/>
        </w:rPr>
        <w:tab/>
        <w:t>autres bruits internes</w:t>
      </w:r>
    </w:p>
    <w:p w:rsidR="00F97CBA" w:rsidRPr="003C38EE" w:rsidRDefault="00F97CBA">
      <w:pPr>
        <w:pStyle w:val="Equationlegend0"/>
        <w:rPr>
          <w:color w:val="000000"/>
          <w:lang w:val="fr-FR"/>
        </w:rPr>
      </w:pPr>
      <w:r w:rsidRPr="003C38EE">
        <w:rPr>
          <w:rFonts w:ascii="Symbol" w:hAnsi="Symbol"/>
          <w:color w:val="000000"/>
          <w:lang w:val="fr-FR"/>
        </w:rPr>
        <w:tab/>
      </w:r>
      <w:r w:rsidRPr="003C38EE">
        <w:rPr>
          <w:rFonts w:ascii="Symbol" w:hAnsi="Symbol"/>
          <w:color w:val="000000"/>
          <w:lang w:val="fr-FR"/>
        </w:rPr>
        <w:t></w:t>
      </w:r>
      <w:r w:rsidRPr="003C38EE">
        <w:rPr>
          <w:i/>
          <w:iCs/>
          <w:vertAlign w:val="subscript"/>
          <w:lang w:val="fr-FR"/>
        </w:rPr>
        <w:t>min</w:t>
      </w:r>
      <w:r w:rsidRPr="003C38EE">
        <w:rPr>
          <w:rFonts w:ascii="Tms Rmn" w:hAnsi="Tms Rmn"/>
          <w:color w:val="000000"/>
          <w:sz w:val="12"/>
          <w:lang w:val="fr-FR"/>
        </w:rPr>
        <w:t> </w:t>
      </w:r>
      <w:r w:rsidRPr="003C38EE">
        <w:rPr>
          <w:color w:val="000000"/>
          <w:lang w:val="fr-FR"/>
        </w:rPr>
        <w:t>:</w:t>
      </w:r>
      <w:r w:rsidRPr="003C38EE">
        <w:rPr>
          <w:color w:val="000000"/>
          <w:lang w:val="fr-FR"/>
        </w:rPr>
        <w:tab/>
        <w:t>gain minimum de transmission d'une liaison par satellite soumise à brouillage.</w:t>
      </w:r>
    </w:p>
    <w:p w:rsidR="00F97CBA" w:rsidRPr="003C38EE" w:rsidRDefault="00F97CBA" w:rsidP="00F16DBE">
      <w:pPr>
        <w:pStyle w:val="Heading1"/>
        <w:rPr>
          <w:color w:val="000000"/>
          <w:lang w:val="fr-FR"/>
        </w:rPr>
      </w:pPr>
      <w:r w:rsidRPr="003C38EE">
        <w:rPr>
          <w:color w:val="000000"/>
          <w:lang w:val="fr-FR"/>
        </w:rPr>
        <w:t>3</w:t>
      </w:r>
      <w:r w:rsidRPr="003C38EE">
        <w:rPr>
          <w:color w:val="000000"/>
          <w:lang w:val="fr-FR"/>
        </w:rPr>
        <w:tab/>
        <w:t>Valeur de bruit à calculer conformément à la Recommandation UIT</w:t>
      </w:r>
      <w:r w:rsidR="00F16DBE" w:rsidRPr="003C38EE">
        <w:rPr>
          <w:color w:val="000000"/>
          <w:lang w:val="fr-FR"/>
        </w:rPr>
        <w:noBreakHyphen/>
      </w:r>
      <w:r w:rsidRPr="003C38EE">
        <w:rPr>
          <w:color w:val="000000"/>
          <w:lang w:val="fr-FR"/>
        </w:rPr>
        <w:t>R S.741-2</w:t>
      </w:r>
    </w:p>
    <w:p w:rsidR="00F97CBA" w:rsidRPr="003C38EE" w:rsidRDefault="00F97CBA" w:rsidP="00F16DBE">
      <w:pPr>
        <w:rPr>
          <w:color w:val="000000"/>
          <w:lang w:val="fr-FR"/>
        </w:rPr>
      </w:pPr>
      <w:r w:rsidRPr="003C38EE">
        <w:rPr>
          <w:color w:val="000000"/>
          <w:lang w:val="fr-FR"/>
        </w:rPr>
        <w:t xml:space="preserve">Pour se conformer à la Recommandation UIT-R S.741-2, il paraît nécessaire d'ajouter à la valeur de </w:t>
      </w:r>
      <w:r w:rsidRPr="003C38EE">
        <w:rPr>
          <w:i/>
          <w:color w:val="000000"/>
          <w:lang w:val="fr-FR"/>
        </w:rPr>
        <w:t>N</w:t>
      </w:r>
      <w:r w:rsidRPr="003C38EE">
        <w:rPr>
          <w:color w:val="000000"/>
          <w:lang w:val="fr-FR"/>
        </w:rPr>
        <w:t xml:space="preserve"> calculée par le programme sur la base des valeurs de </w:t>
      </w:r>
      <w:r w:rsidRPr="003C38EE">
        <w:rPr>
          <w:i/>
          <w:color w:val="000000"/>
          <w:lang w:val="fr-FR"/>
        </w:rPr>
        <w:t>T</w:t>
      </w:r>
      <w:r w:rsidRPr="003C38EE">
        <w:rPr>
          <w:i/>
          <w:iCs/>
          <w:vertAlign w:val="subscript"/>
          <w:lang w:val="fr-FR"/>
        </w:rPr>
        <w:t>e</w:t>
      </w:r>
      <w:r w:rsidRPr="003C38EE">
        <w:rPr>
          <w:color w:val="000000"/>
          <w:lang w:val="fr-FR"/>
        </w:rPr>
        <w:t xml:space="preserve"> et </w:t>
      </w:r>
      <w:r w:rsidRPr="003C38EE">
        <w:rPr>
          <w:i/>
          <w:color w:val="000000"/>
          <w:lang w:val="fr-FR"/>
        </w:rPr>
        <w:t>T</w:t>
      </w:r>
      <w:r w:rsidRPr="003C38EE">
        <w:rPr>
          <w:i/>
          <w:iCs/>
          <w:vertAlign w:val="subscript"/>
          <w:lang w:val="fr-FR"/>
        </w:rPr>
        <w:t>s</w:t>
      </w:r>
      <w:r w:rsidRPr="003C38EE">
        <w:rPr>
          <w:color w:val="000000"/>
          <w:lang w:val="fr-FR"/>
        </w:rPr>
        <w:t xml:space="preserve"> susmentionnées, le niveau maximum admissible du brouillage total causé par d'autres réseaux spatiaux, ainsi qu'il ressort des Recommandations UIT</w:t>
      </w:r>
      <w:r w:rsidR="00F16DBE" w:rsidRPr="003C38EE">
        <w:rPr>
          <w:color w:val="000000"/>
          <w:lang w:val="fr-FR"/>
        </w:rPr>
        <w:noBreakHyphen/>
      </w:r>
      <w:r w:rsidRPr="003C38EE">
        <w:rPr>
          <w:color w:val="000000"/>
          <w:lang w:val="fr-FR"/>
        </w:rPr>
        <w:t>R S.466 (pour la téléphonie MRF</w:t>
      </w:r>
      <w:r w:rsidRPr="003C38EE">
        <w:rPr>
          <w:color w:val="000000"/>
          <w:lang w:val="fr-FR"/>
        </w:rPr>
        <w:noBreakHyphen/>
        <w:t>MF), UIT</w:t>
      </w:r>
      <w:r w:rsidR="00F16DBE" w:rsidRPr="003C38EE">
        <w:rPr>
          <w:color w:val="000000"/>
          <w:lang w:val="fr-FR"/>
        </w:rPr>
        <w:noBreakHyphen/>
      </w:r>
      <w:r w:rsidRPr="003C38EE">
        <w:rPr>
          <w:color w:val="000000"/>
          <w:lang w:val="fr-FR"/>
        </w:rPr>
        <w:t>R S.483 (pour la TV analogique) et UIT</w:t>
      </w:r>
      <w:r w:rsidR="00F16DBE" w:rsidRPr="003C38EE">
        <w:rPr>
          <w:color w:val="000000"/>
          <w:lang w:val="fr-FR"/>
        </w:rPr>
        <w:noBreakHyphen/>
      </w:r>
      <w:r w:rsidRPr="003C38EE">
        <w:rPr>
          <w:color w:val="000000"/>
          <w:lang w:val="fr-FR"/>
        </w:rPr>
        <w:t>R S.523 (pour les émissions numériques), ainsi que la contribution des émissions de Terre qui partagent les mêmes bandes de fréquences, définies dans les Recommandations UIT-R SF.356 (brouillage causé à des voies téléphoniques utilisant la modulation de fréquence) et UIT</w:t>
      </w:r>
      <w:r w:rsidR="00F16DBE" w:rsidRPr="003C38EE">
        <w:rPr>
          <w:color w:val="000000"/>
          <w:lang w:val="fr-FR"/>
        </w:rPr>
        <w:noBreakHyphen/>
      </w:r>
      <w:r w:rsidRPr="003C38EE">
        <w:rPr>
          <w:color w:val="000000"/>
          <w:lang w:val="fr-FR"/>
        </w:rPr>
        <w:t>R SF.558 (brouillage causé à des systèmes transmettant la téléphonie avec codage MIC à 8</w:t>
      </w:r>
      <w:r w:rsidR="00F16DBE" w:rsidRPr="003C38EE">
        <w:rPr>
          <w:color w:val="000000"/>
          <w:lang w:val="fr-FR"/>
        </w:rPr>
        <w:t> </w:t>
      </w:r>
      <w:r w:rsidRPr="003C38EE">
        <w:rPr>
          <w:color w:val="000000"/>
          <w:lang w:val="fr-FR"/>
        </w:rPr>
        <w:t>bits).</w:t>
      </w:r>
    </w:p>
    <w:p w:rsidR="00F97CBA" w:rsidRPr="003C38EE" w:rsidRDefault="00F97CBA">
      <w:pPr>
        <w:pStyle w:val="Heading1"/>
        <w:rPr>
          <w:color w:val="000000"/>
          <w:lang w:val="fr-FR"/>
        </w:rPr>
      </w:pPr>
      <w:r w:rsidRPr="003C38EE">
        <w:rPr>
          <w:color w:val="000000"/>
          <w:lang w:val="fr-FR"/>
        </w:rPr>
        <w:br w:type="page"/>
        <w:t>4</w:t>
      </w:r>
      <w:r w:rsidRPr="003C38EE">
        <w:rPr>
          <w:color w:val="000000"/>
          <w:lang w:val="fr-FR"/>
        </w:rPr>
        <w:tab/>
        <w:t>Calcul de marges additionnelles</w:t>
      </w:r>
    </w:p>
    <w:p w:rsidR="00F97CBA" w:rsidRPr="003C38EE" w:rsidRDefault="00F97CBA">
      <w:pPr>
        <w:pStyle w:val="Heading2"/>
        <w:spacing w:before="240"/>
        <w:rPr>
          <w:color w:val="000000"/>
          <w:lang w:val="fr-FR"/>
        </w:rPr>
      </w:pPr>
      <w:r w:rsidRPr="003C38EE">
        <w:rPr>
          <w:color w:val="000000"/>
          <w:lang w:val="fr-FR"/>
        </w:rPr>
        <w:t>4.1</w:t>
      </w:r>
      <w:r w:rsidRPr="003C38EE">
        <w:rPr>
          <w:color w:val="000000"/>
          <w:lang w:val="fr-FR"/>
        </w:rPr>
        <w:tab/>
        <w:t>Téléphonie MRF-MF</w:t>
      </w:r>
    </w:p>
    <w:p w:rsidR="00F97CBA" w:rsidRPr="003C38EE" w:rsidRDefault="00F97CBA" w:rsidP="00F16DBE">
      <w:pPr>
        <w:pStyle w:val="Heading3"/>
        <w:spacing w:before="240"/>
        <w:rPr>
          <w:color w:val="000000"/>
          <w:lang w:val="fr-FR"/>
        </w:rPr>
      </w:pPr>
      <w:r w:rsidRPr="003C38EE">
        <w:rPr>
          <w:color w:val="000000"/>
          <w:lang w:val="fr-FR"/>
        </w:rPr>
        <w:t>4.1.1</w:t>
      </w:r>
      <w:r w:rsidRPr="003C38EE">
        <w:rPr>
          <w:color w:val="000000"/>
          <w:lang w:val="fr-FR"/>
        </w:rPr>
        <w:tab/>
        <w:t>Brouillage total produit par d'autres réseaux spatiaux partageant la même bande de fréquences (</w:t>
      </w:r>
      <w:r w:rsidRPr="003C38EE">
        <w:rPr>
          <w:b w:val="0"/>
          <w:color w:val="000000"/>
          <w:lang w:val="fr-FR"/>
        </w:rPr>
        <w:t>Recommandation UIT</w:t>
      </w:r>
      <w:r w:rsidR="00F16DBE" w:rsidRPr="003C38EE">
        <w:rPr>
          <w:b w:val="0"/>
          <w:color w:val="000000"/>
          <w:lang w:val="fr-FR"/>
        </w:rPr>
        <w:noBreakHyphen/>
      </w:r>
      <w:r w:rsidRPr="003C38EE">
        <w:rPr>
          <w:b w:val="0"/>
          <w:color w:val="000000"/>
          <w:lang w:val="fr-FR"/>
        </w:rPr>
        <w:t>R S.466)</w:t>
      </w:r>
    </w:p>
    <w:p w:rsidR="00F97CBA" w:rsidRPr="003C38EE" w:rsidRDefault="00F97CBA" w:rsidP="00F16DBE">
      <w:pPr>
        <w:rPr>
          <w:color w:val="000000"/>
          <w:lang w:val="fr-FR"/>
        </w:rPr>
      </w:pPr>
      <w:r w:rsidRPr="003C38EE">
        <w:rPr>
          <w:color w:val="000000"/>
          <w:lang w:val="fr-FR"/>
        </w:rPr>
        <w:t>Conformément à la Recommandation UIT-R S.466, dans les bandes de fréquences où le réseau ne pratique pas la réutilisation des fréquences: la puissance totale du brouillage ne doit pas être supérieure à 2</w:t>
      </w:r>
      <w:r w:rsidRPr="003C38EE">
        <w:rPr>
          <w:rFonts w:ascii="Tms Rmn" w:hAnsi="Tms Rmn"/>
          <w:color w:val="000000"/>
          <w:sz w:val="12"/>
          <w:lang w:val="fr-FR"/>
        </w:rPr>
        <w:t> </w:t>
      </w:r>
      <w:r w:rsidRPr="003C38EE">
        <w:rPr>
          <w:color w:val="000000"/>
          <w:lang w:val="fr-FR"/>
        </w:rPr>
        <w:t xml:space="preserve">500 pW0p (puissance psophométrique moyenne pendant une minute, pendant plus de 20% d'un mois quelconque). Cette valeur correspond à 25% de la puissance du bruit admissible de </w:t>
      </w:r>
      <w:r w:rsidRPr="003C38EE">
        <w:rPr>
          <w:lang w:val="fr-FR"/>
        </w:rPr>
        <w:t>10</w:t>
      </w:r>
      <w:r w:rsidR="00F16DBE" w:rsidRPr="003C38EE">
        <w:rPr>
          <w:rFonts w:ascii="Tms Rmn" w:hAnsi="Tms Rmn"/>
          <w:sz w:val="12"/>
          <w:lang w:val="fr-FR"/>
        </w:rPr>
        <w:t> </w:t>
      </w:r>
      <w:r w:rsidRPr="003C38EE">
        <w:rPr>
          <w:lang w:val="fr-FR"/>
        </w:rPr>
        <w:t xml:space="preserve">000 </w:t>
      </w:r>
      <w:r w:rsidRPr="003C38EE">
        <w:rPr>
          <w:color w:val="000000"/>
          <w:lang w:val="fr-FR"/>
        </w:rPr>
        <w:t>pW0p établie par la Recommandation UIT-R S.353 pour le même pourcentage de temps.</w:t>
      </w:r>
    </w:p>
    <w:p w:rsidR="00F97CBA" w:rsidRPr="003C38EE" w:rsidRDefault="00F97CBA">
      <w:pPr>
        <w:pStyle w:val="Heading3"/>
        <w:rPr>
          <w:color w:val="000000"/>
          <w:u w:val="single"/>
          <w:lang w:val="fr-FR"/>
        </w:rPr>
      </w:pPr>
      <w:r w:rsidRPr="003C38EE">
        <w:rPr>
          <w:color w:val="000000"/>
          <w:lang w:val="fr-FR"/>
        </w:rPr>
        <w:t>4.1.2</w:t>
      </w:r>
      <w:r w:rsidRPr="003C38EE">
        <w:rPr>
          <w:color w:val="000000"/>
          <w:lang w:val="fr-FR"/>
        </w:rPr>
        <w:tab/>
        <w:t xml:space="preserve">Valeurs maximales admissibles du brouillage total dû aux faisceaux hertziens dans une voie téléphonique d'un système du SFS </w:t>
      </w:r>
      <w:r w:rsidRPr="003C38EE">
        <w:rPr>
          <w:b w:val="0"/>
          <w:color w:val="000000"/>
          <w:lang w:val="fr-FR"/>
        </w:rPr>
        <w:t>(Recommandation UIT</w:t>
      </w:r>
      <w:r w:rsidRPr="003C38EE">
        <w:rPr>
          <w:b w:val="0"/>
          <w:color w:val="000000"/>
          <w:lang w:val="fr-FR"/>
        </w:rPr>
        <w:noBreakHyphen/>
        <w:t>R SF.356)</w:t>
      </w:r>
    </w:p>
    <w:p w:rsidR="00F97CBA" w:rsidRPr="003C38EE" w:rsidRDefault="00F97CBA" w:rsidP="00F16DBE">
      <w:pPr>
        <w:rPr>
          <w:color w:val="000000"/>
          <w:lang w:val="fr-FR"/>
        </w:rPr>
      </w:pPr>
      <w:r w:rsidRPr="003C38EE">
        <w:rPr>
          <w:color w:val="000000"/>
          <w:lang w:val="fr-FR"/>
        </w:rPr>
        <w:t>Conformément à cette Recommandation, le brouillage causé par l'ensemble des émetteurs des stations hertziennes ne devrait pas dépasser une puissance psophométrique moyenne pendant une minute de 1</w:t>
      </w:r>
      <w:r w:rsidRPr="003C38EE">
        <w:rPr>
          <w:rFonts w:ascii="Tms Rmn" w:hAnsi="Tms Rmn"/>
          <w:color w:val="000000"/>
          <w:sz w:val="12"/>
          <w:lang w:val="fr-FR"/>
        </w:rPr>
        <w:t> </w:t>
      </w:r>
      <w:r w:rsidRPr="003C38EE">
        <w:rPr>
          <w:color w:val="000000"/>
          <w:lang w:val="fr-FR"/>
        </w:rPr>
        <w:t>000 pW0p pendant plus de 20% d'un mois quelconque. Cette valeur correspond à 10% de la puissance du bruit admissible de 10</w:t>
      </w:r>
      <w:r w:rsidRPr="003C38EE">
        <w:rPr>
          <w:rFonts w:ascii="Tms Rmn" w:hAnsi="Tms Rmn"/>
          <w:color w:val="000000"/>
          <w:sz w:val="12"/>
          <w:lang w:val="fr-FR"/>
        </w:rPr>
        <w:t> </w:t>
      </w:r>
      <w:r w:rsidRPr="003C38EE">
        <w:rPr>
          <w:color w:val="000000"/>
          <w:lang w:val="fr-FR"/>
        </w:rPr>
        <w:t>000 pW0p établie par la Recom</w:t>
      </w:r>
      <w:r w:rsidR="00F16DBE" w:rsidRPr="003C38EE">
        <w:rPr>
          <w:color w:val="000000"/>
          <w:lang w:val="fr-FR"/>
        </w:rPr>
        <w:softHyphen/>
      </w:r>
      <w:r w:rsidRPr="003C38EE">
        <w:rPr>
          <w:color w:val="000000"/>
          <w:lang w:val="fr-FR"/>
        </w:rPr>
        <w:t>mandation</w:t>
      </w:r>
      <w:r w:rsidR="00F16DBE" w:rsidRPr="003C38EE">
        <w:rPr>
          <w:color w:val="000000"/>
          <w:lang w:val="fr-FR"/>
        </w:rPr>
        <w:t> </w:t>
      </w:r>
      <w:r w:rsidRPr="003C38EE">
        <w:rPr>
          <w:color w:val="000000"/>
          <w:lang w:val="fr-FR"/>
        </w:rPr>
        <w:t>UIT</w:t>
      </w:r>
      <w:r w:rsidR="00F16DBE" w:rsidRPr="003C38EE">
        <w:rPr>
          <w:color w:val="000000"/>
          <w:lang w:val="fr-FR"/>
        </w:rPr>
        <w:noBreakHyphen/>
      </w:r>
      <w:r w:rsidRPr="003C38EE">
        <w:rPr>
          <w:color w:val="000000"/>
          <w:lang w:val="fr-FR"/>
        </w:rPr>
        <w:t>R</w:t>
      </w:r>
      <w:r w:rsidR="00F16DBE" w:rsidRPr="003C38EE">
        <w:rPr>
          <w:color w:val="000000"/>
          <w:lang w:val="fr-FR"/>
        </w:rPr>
        <w:t> </w:t>
      </w:r>
      <w:r w:rsidRPr="003C38EE">
        <w:rPr>
          <w:color w:val="000000"/>
          <w:lang w:val="fr-FR"/>
        </w:rPr>
        <w:t>S.353 pour le même pourcentage de temps.</w:t>
      </w:r>
    </w:p>
    <w:p w:rsidR="00F97CBA" w:rsidRPr="003C38EE" w:rsidRDefault="00F97CBA">
      <w:pPr>
        <w:pStyle w:val="Heading3"/>
        <w:rPr>
          <w:color w:val="000000"/>
          <w:u w:val="single"/>
          <w:lang w:val="fr-FR"/>
        </w:rPr>
      </w:pPr>
      <w:r w:rsidRPr="003C38EE">
        <w:rPr>
          <w:color w:val="000000"/>
          <w:lang w:val="fr-FR"/>
        </w:rPr>
        <w:t>4.1.3</w:t>
      </w:r>
      <w:r w:rsidRPr="003C38EE">
        <w:rPr>
          <w:color w:val="000000"/>
          <w:lang w:val="fr-FR"/>
        </w:rPr>
        <w:tab/>
        <w:t>Calcul de la marge additionnelle</w:t>
      </w:r>
    </w:p>
    <w:p w:rsidR="00F97CBA" w:rsidRPr="003C38EE" w:rsidRDefault="00F97CBA">
      <w:pPr>
        <w:pStyle w:val="Equationlegend0"/>
        <w:rPr>
          <w:color w:val="000000"/>
          <w:lang w:val="fr-FR"/>
        </w:rPr>
      </w:pPr>
      <w:r w:rsidRPr="003C38EE">
        <w:rPr>
          <w:color w:val="000000"/>
          <w:lang w:val="fr-FR"/>
        </w:rPr>
        <w:tab/>
      </w:r>
      <w:r w:rsidRPr="003C38EE">
        <w:rPr>
          <w:i/>
          <w:iCs/>
          <w:color w:val="000000"/>
          <w:lang w:val="fr-FR"/>
        </w:rPr>
        <w:t>N</w:t>
      </w:r>
      <w:r w:rsidRPr="003C38EE">
        <w:rPr>
          <w:i/>
          <w:iCs/>
          <w:vertAlign w:val="subscript"/>
          <w:lang w:val="fr-FR"/>
        </w:rPr>
        <w:t>tot</w:t>
      </w:r>
      <w:r w:rsidRPr="003C38EE">
        <w:rPr>
          <w:rFonts w:ascii="Tms Rmn" w:hAnsi="Tms Rmn"/>
          <w:color w:val="000000"/>
          <w:position w:val="-4"/>
          <w:sz w:val="12"/>
          <w:lang w:val="fr-FR"/>
        </w:rPr>
        <w:t> </w:t>
      </w:r>
      <w:r w:rsidRPr="003C38EE">
        <w:rPr>
          <w:color w:val="000000"/>
          <w:lang w:val="fr-FR"/>
        </w:rPr>
        <w:t>:</w:t>
      </w:r>
      <w:r w:rsidRPr="003C38EE">
        <w:rPr>
          <w:color w:val="000000"/>
          <w:lang w:val="fr-FR"/>
        </w:rPr>
        <w:tab/>
        <w:t>bruit total de la liaison, y compris tous les bruits internes et le brouillage causé par d'autres systèmes</w:t>
      </w:r>
    </w:p>
    <w:p w:rsidR="00F97CBA" w:rsidRPr="003C38EE" w:rsidRDefault="00F97CBA">
      <w:pPr>
        <w:pStyle w:val="Equationlegend0"/>
        <w:rPr>
          <w:color w:val="000000"/>
          <w:lang w:val="fr-FR"/>
        </w:rPr>
      </w:pPr>
      <w:r w:rsidRPr="003C38EE">
        <w:rPr>
          <w:color w:val="000000"/>
          <w:lang w:val="fr-FR"/>
        </w:rPr>
        <w:tab/>
      </w:r>
      <w:r w:rsidRPr="003C38EE">
        <w:rPr>
          <w:i/>
          <w:color w:val="000000"/>
          <w:lang w:val="fr-FR"/>
        </w:rPr>
        <w:t>N</w:t>
      </w:r>
      <w:r w:rsidRPr="003C38EE">
        <w:rPr>
          <w:i/>
          <w:iCs/>
          <w:vertAlign w:val="subscript"/>
          <w:lang w:val="fr-FR"/>
        </w:rPr>
        <w:t>i</w:t>
      </w:r>
      <w:r w:rsidRPr="003C38EE">
        <w:rPr>
          <w:rFonts w:ascii="Tms Rmn" w:hAnsi="Tms Rmn"/>
          <w:color w:val="000000"/>
          <w:position w:val="-4"/>
          <w:sz w:val="12"/>
          <w:lang w:val="fr-FR"/>
        </w:rPr>
        <w:t> </w:t>
      </w:r>
      <w:r w:rsidRPr="003C38EE">
        <w:rPr>
          <w:color w:val="000000"/>
          <w:lang w:val="fr-FR"/>
        </w:rPr>
        <w:t>:</w:t>
      </w:r>
      <w:r w:rsidRPr="003C38EE">
        <w:rPr>
          <w:color w:val="000000"/>
          <w:lang w:val="fr-FR"/>
        </w:rPr>
        <w:tab/>
        <w:t>bruit interne de la liaison</w:t>
      </w:r>
    </w:p>
    <w:p w:rsidR="00F97CBA" w:rsidRPr="003C38EE" w:rsidRDefault="00F97CBA">
      <w:pPr>
        <w:pStyle w:val="Equationlegend0"/>
        <w:rPr>
          <w:color w:val="000000"/>
          <w:lang w:val="fr-FR"/>
        </w:rPr>
      </w:pPr>
      <w:r w:rsidRPr="003C38EE">
        <w:rPr>
          <w:color w:val="000000"/>
          <w:lang w:val="fr-FR"/>
        </w:rPr>
        <w:tab/>
      </w:r>
      <w:r w:rsidRPr="003C38EE">
        <w:rPr>
          <w:i/>
          <w:color w:val="000000"/>
          <w:lang w:val="fr-FR"/>
        </w:rPr>
        <w:t>X</w:t>
      </w:r>
      <w:r w:rsidRPr="003C38EE">
        <w:rPr>
          <w:rFonts w:ascii="Tms Rmn" w:hAnsi="Tms Rmn"/>
          <w:color w:val="000000"/>
          <w:position w:val="-4"/>
          <w:sz w:val="12"/>
          <w:lang w:val="fr-FR"/>
        </w:rPr>
        <w:t> </w:t>
      </w:r>
      <w:r w:rsidRPr="003C38EE">
        <w:rPr>
          <w:color w:val="000000"/>
          <w:lang w:val="fr-FR"/>
        </w:rPr>
        <w:t>:</w:t>
      </w:r>
      <w:r w:rsidRPr="003C38EE">
        <w:rPr>
          <w:color w:val="000000"/>
          <w:lang w:val="fr-FR"/>
        </w:rPr>
        <w:tab/>
        <w:t>bruit dû au brouillage causé par d'autres systèmes</w:t>
      </w:r>
    </w:p>
    <w:p w:rsidR="00F97CBA" w:rsidRPr="003C38EE" w:rsidRDefault="00F97CBA">
      <w:pPr>
        <w:rPr>
          <w:color w:val="000000"/>
          <w:lang w:val="fr-FR"/>
        </w:rPr>
      </w:pPr>
      <w:r w:rsidRPr="003C38EE">
        <w:rPr>
          <w:color w:val="000000"/>
          <w:lang w:val="fr-FR"/>
        </w:rPr>
        <w:t>Par conséquent:</w:t>
      </w:r>
    </w:p>
    <w:p w:rsidR="00F97CBA" w:rsidRPr="003C38EE" w:rsidRDefault="00F97CBA">
      <w:pPr>
        <w:pStyle w:val="enumlev1"/>
        <w:ind w:left="1134" w:hanging="1134"/>
        <w:rPr>
          <w:color w:val="000000"/>
          <w:lang w:val="fr-FR"/>
        </w:rPr>
      </w:pPr>
      <w:r w:rsidRPr="003C38EE">
        <w:rPr>
          <w:color w:val="000000"/>
          <w:lang w:val="fr-FR"/>
        </w:rPr>
        <w:tab/>
      </w:r>
      <w:r w:rsidRPr="003C38EE">
        <w:rPr>
          <w:i/>
          <w:color w:val="000000"/>
          <w:lang w:val="fr-FR"/>
        </w:rPr>
        <w:t>N</w:t>
      </w:r>
      <w:r w:rsidRPr="003C38EE">
        <w:rPr>
          <w:i/>
          <w:iCs/>
          <w:vertAlign w:val="subscript"/>
          <w:lang w:val="fr-FR"/>
        </w:rPr>
        <w:t>tot</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i/>
          <w:color w:val="000000"/>
          <w:lang w:val="fr-FR"/>
        </w:rPr>
        <w:t>N</w:t>
      </w:r>
      <w:r w:rsidRPr="003C38EE">
        <w:rPr>
          <w:i/>
          <w:iCs/>
          <w:vertAlign w:val="subscript"/>
          <w:lang w:val="fr-FR"/>
        </w:rPr>
        <w:t>i</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i/>
          <w:color w:val="000000"/>
          <w:lang w:val="fr-FR"/>
        </w:rPr>
        <w:t>X</w:t>
      </w:r>
    </w:p>
    <w:p w:rsidR="00F97CBA" w:rsidRPr="003C38EE" w:rsidRDefault="00F97CBA">
      <w:pPr>
        <w:rPr>
          <w:color w:val="000000"/>
          <w:lang w:val="fr-FR"/>
        </w:rPr>
      </w:pPr>
      <w:r w:rsidRPr="003C38EE">
        <w:rPr>
          <w:color w:val="000000"/>
          <w:lang w:val="fr-FR"/>
        </w:rPr>
        <w:t>où:</w:t>
      </w:r>
    </w:p>
    <w:p w:rsidR="00F97CBA" w:rsidRPr="003C38EE" w:rsidRDefault="00F97CBA">
      <w:pPr>
        <w:pStyle w:val="enumlev1"/>
        <w:ind w:left="1134" w:hanging="1134"/>
        <w:rPr>
          <w:color w:val="000000"/>
          <w:lang w:val="fr-FR"/>
        </w:rPr>
      </w:pPr>
      <w:r w:rsidRPr="003C38EE">
        <w:rPr>
          <w:color w:val="000000"/>
          <w:lang w:val="fr-FR"/>
        </w:rPr>
        <w:tab/>
      </w:r>
      <w:r w:rsidRPr="003C38EE">
        <w:rPr>
          <w:i/>
          <w:color w:val="000000"/>
          <w:lang w:val="fr-FR"/>
        </w:rPr>
        <w:t>X</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(0,25  </w:t>
      </w:r>
      <w:r w:rsidRPr="003C38EE">
        <w:rPr>
          <w:rFonts w:ascii="Symbol" w:hAnsi="Symbol"/>
          <w:color w:val="000000"/>
          <w:lang w:val="fr-FR"/>
        </w:rPr>
        <w:t></w:t>
      </w:r>
      <w:r w:rsidRPr="003C38EE">
        <w:rPr>
          <w:color w:val="000000"/>
          <w:lang w:val="fr-FR"/>
        </w:rPr>
        <w:t xml:space="preserve">  0,1) </w:t>
      </w:r>
      <w:r w:rsidRPr="003C38EE">
        <w:rPr>
          <w:i/>
          <w:color w:val="000000"/>
          <w:lang w:val="fr-FR"/>
        </w:rPr>
        <w:t>N</w:t>
      </w:r>
      <w:r w:rsidRPr="003C38EE">
        <w:rPr>
          <w:i/>
          <w:iCs/>
          <w:vertAlign w:val="subscript"/>
          <w:lang w:val="fr-FR"/>
        </w:rPr>
        <w:t>tot</w:t>
      </w:r>
    </w:p>
    <w:p w:rsidR="00F97CBA" w:rsidRPr="003C38EE" w:rsidRDefault="00F97CBA">
      <w:pPr>
        <w:rPr>
          <w:color w:val="000000"/>
          <w:lang w:val="fr-FR"/>
        </w:rPr>
      </w:pPr>
      <w:r w:rsidRPr="003C38EE">
        <w:rPr>
          <w:color w:val="000000"/>
          <w:lang w:val="fr-FR"/>
        </w:rPr>
        <w:t>Par conséquent:</w:t>
      </w:r>
    </w:p>
    <w:p w:rsidR="00F97CBA" w:rsidRPr="003C38EE" w:rsidRDefault="00F97CBA">
      <w:pPr>
        <w:pStyle w:val="enumlev1"/>
        <w:ind w:left="1134" w:hanging="1134"/>
        <w:rPr>
          <w:color w:val="000000"/>
          <w:lang w:val="fr-FR"/>
        </w:rPr>
      </w:pPr>
      <w:r w:rsidRPr="003C38EE">
        <w:rPr>
          <w:color w:val="000000"/>
          <w:lang w:val="fr-FR"/>
        </w:rPr>
        <w:tab/>
      </w:r>
      <w:r w:rsidRPr="003C38EE">
        <w:rPr>
          <w:i/>
          <w:color w:val="000000"/>
          <w:lang w:val="fr-FR"/>
        </w:rPr>
        <w:t>N</w:t>
      </w:r>
      <w:r w:rsidRPr="003C38EE">
        <w:rPr>
          <w:i/>
          <w:iCs/>
          <w:vertAlign w:val="subscript"/>
          <w:lang w:val="fr-FR"/>
        </w:rPr>
        <w:t>tot</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i/>
          <w:color w:val="000000"/>
          <w:lang w:val="fr-FR"/>
        </w:rPr>
        <w:t>N</w:t>
      </w:r>
      <w:r w:rsidRPr="003C38EE">
        <w:rPr>
          <w:i/>
          <w:color w:val="000000"/>
          <w:position w:val="-4"/>
          <w:sz w:val="20"/>
          <w:lang w:val="fr-FR"/>
        </w:rPr>
        <w:t>i</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0,35 </w:t>
      </w:r>
      <w:r w:rsidRPr="003C38EE">
        <w:rPr>
          <w:i/>
          <w:color w:val="000000"/>
          <w:lang w:val="fr-FR"/>
        </w:rPr>
        <w:t>N</w:t>
      </w:r>
      <w:r w:rsidRPr="003C38EE">
        <w:rPr>
          <w:i/>
          <w:iCs/>
          <w:vertAlign w:val="subscript"/>
          <w:lang w:val="fr-FR"/>
        </w:rPr>
        <w:t>tot</w:t>
      </w:r>
    </w:p>
    <w:p w:rsidR="00F97CBA" w:rsidRPr="003C38EE" w:rsidRDefault="00F97CBA">
      <w:pPr>
        <w:pStyle w:val="enumlev1"/>
        <w:ind w:left="1134" w:hanging="1134"/>
        <w:rPr>
          <w:color w:val="000000"/>
          <w:lang w:val="fr-FR"/>
        </w:rPr>
      </w:pPr>
      <w:r w:rsidRPr="003C38EE">
        <w:rPr>
          <w:color w:val="000000"/>
          <w:lang w:val="fr-FR"/>
        </w:rPr>
        <w:tab/>
      </w:r>
      <w:r w:rsidRPr="003C38EE">
        <w:rPr>
          <w:i/>
          <w:color w:val="000000"/>
          <w:lang w:val="fr-FR"/>
        </w:rPr>
        <w:t>N</w:t>
      </w:r>
      <w:r w:rsidRPr="003C38EE">
        <w:rPr>
          <w:i/>
          <w:iCs/>
          <w:vertAlign w:val="subscript"/>
          <w:lang w:val="fr-FR"/>
        </w:rPr>
        <w:t>tot</w:t>
      </w:r>
      <w:r w:rsidRPr="003C38EE">
        <w:rPr>
          <w:rFonts w:ascii="Tms Rmn" w:hAnsi="Tms Rmn"/>
          <w:color w:val="000000"/>
          <w:position w:val="-4"/>
          <w:sz w:val="12"/>
          <w:lang w:val="fr-FR"/>
        </w:rPr>
        <w:t> </w:t>
      </w:r>
      <w:r w:rsidRPr="003C38EE">
        <w:rPr>
          <w:color w:val="000000"/>
          <w:lang w:val="fr-FR"/>
        </w:rPr>
        <w:t xml:space="preserve">(1  –  0,35)  </w:t>
      </w:r>
      <w:r w:rsidRPr="003C38EE">
        <w:rPr>
          <w:rFonts w:ascii="Symbol" w:hAnsi="Symbol"/>
          <w:color w:val="000000"/>
          <w:lang w:val="fr-FR"/>
        </w:rPr>
        <w:t></w:t>
      </w:r>
      <w:r w:rsidRPr="003C38EE">
        <w:rPr>
          <w:color w:val="000000"/>
          <w:lang w:val="fr-FR"/>
        </w:rPr>
        <w:t xml:space="preserve">  </w:t>
      </w:r>
      <w:r w:rsidRPr="003C38EE">
        <w:rPr>
          <w:i/>
          <w:color w:val="000000"/>
          <w:lang w:val="fr-FR"/>
        </w:rPr>
        <w:t>N</w:t>
      </w:r>
      <w:r w:rsidRPr="003C38EE">
        <w:rPr>
          <w:i/>
          <w:iCs/>
          <w:vertAlign w:val="subscript"/>
          <w:lang w:val="fr-FR"/>
        </w:rPr>
        <w:t>i</w:t>
      </w:r>
    </w:p>
    <w:p w:rsidR="00F97CBA" w:rsidRPr="003C38EE" w:rsidRDefault="00F97CBA" w:rsidP="00F16DBE">
      <w:pPr>
        <w:pStyle w:val="enumlev1"/>
        <w:ind w:left="1134" w:hanging="1134"/>
        <w:rPr>
          <w:color w:val="000000"/>
          <w:lang w:val="fr-FR"/>
        </w:rPr>
      </w:pPr>
      <w:r w:rsidRPr="003C38EE">
        <w:rPr>
          <w:color w:val="000000"/>
          <w:lang w:val="fr-FR"/>
        </w:rPr>
        <w:tab/>
      </w:r>
      <w:r w:rsidRPr="003C38EE">
        <w:rPr>
          <w:i/>
          <w:color w:val="000000"/>
          <w:lang w:val="fr-FR"/>
        </w:rPr>
        <w:t>N</w:t>
      </w:r>
      <w:r w:rsidRPr="003C38EE">
        <w:rPr>
          <w:i/>
          <w:iCs/>
          <w:vertAlign w:val="subscript"/>
          <w:lang w:val="fr-FR"/>
        </w:rPr>
        <w:t>tot</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1,53 </w:t>
      </w:r>
      <w:r w:rsidRPr="003C38EE">
        <w:rPr>
          <w:i/>
          <w:color w:val="000000"/>
          <w:lang w:val="fr-FR"/>
        </w:rPr>
        <w:t>N</w:t>
      </w:r>
      <w:r w:rsidRPr="003C38EE">
        <w:rPr>
          <w:i/>
          <w:iCs/>
          <w:vertAlign w:val="subscript"/>
          <w:lang w:val="fr-FR"/>
        </w:rPr>
        <w:t>i</w:t>
      </w:r>
    </w:p>
    <w:p w:rsidR="00F97CBA" w:rsidRPr="003C38EE" w:rsidRDefault="00F97CBA" w:rsidP="00F16DBE">
      <w:pPr>
        <w:pStyle w:val="enumlev1"/>
        <w:ind w:left="1134" w:hanging="1134"/>
        <w:rPr>
          <w:color w:val="000000"/>
          <w:lang w:val="fr-FR"/>
        </w:rPr>
      </w:pPr>
      <w:r w:rsidRPr="003C38EE">
        <w:rPr>
          <w:color w:val="000000"/>
          <w:lang w:val="fr-FR"/>
        </w:rPr>
        <w:tab/>
        <w:t>Marge additionnelle: 10</w:t>
      </w:r>
      <w:r w:rsidR="00F16DBE" w:rsidRPr="003C38EE">
        <w:rPr>
          <w:color w:val="000000"/>
          <w:lang w:val="fr-FR"/>
        </w:rPr>
        <w:t> </w:t>
      </w:r>
      <w:r w:rsidRPr="003C38EE">
        <w:rPr>
          <w:color w:val="000000"/>
          <w:position w:val="6"/>
          <w:sz w:val="20"/>
          <w:lang w:val="fr-FR"/>
        </w:rPr>
        <w:t>*</w:t>
      </w:r>
      <w:r w:rsidR="00F16DBE" w:rsidRPr="003C38EE">
        <w:rPr>
          <w:lang w:val="fr-FR"/>
        </w:rPr>
        <w:t> </w:t>
      </w:r>
      <w:r w:rsidRPr="003C38EE">
        <w:rPr>
          <w:color w:val="000000"/>
          <w:lang w:val="fr-FR"/>
        </w:rPr>
        <w:t xml:space="preserve">log(1,53)  </w:t>
      </w:r>
      <w:r w:rsidRPr="003C38EE">
        <w:rPr>
          <w:rFonts w:ascii="Symbol" w:hAnsi="Symbol"/>
          <w:color w:val="000000"/>
          <w:lang w:val="fr-FR"/>
        </w:rPr>
        <w:t></w:t>
      </w:r>
      <w:r w:rsidRPr="003C38EE">
        <w:rPr>
          <w:color w:val="000000"/>
          <w:lang w:val="fr-FR"/>
        </w:rPr>
        <w:t xml:space="preserve">  1,87 dB.</w:t>
      </w:r>
    </w:p>
    <w:p w:rsidR="00F97CBA" w:rsidRPr="003C38EE" w:rsidRDefault="00F97CBA">
      <w:pPr>
        <w:rPr>
          <w:color w:val="000000"/>
          <w:lang w:val="fr-FR"/>
        </w:rPr>
      </w:pPr>
      <w:r w:rsidRPr="003C38EE">
        <w:rPr>
          <w:color w:val="000000"/>
          <w:lang w:val="fr-FR"/>
        </w:rPr>
        <w:br w:type="page"/>
        <w:t>En l'absence de données suffisantes pour calculer une marge additionnelle dans les cas où la liaison montante et la liaison descendante sont traitées séparément (pour les signaux de télé</w:t>
      </w:r>
      <w:r w:rsidR="00F16DBE" w:rsidRPr="003C38EE">
        <w:rPr>
          <w:color w:val="000000"/>
          <w:lang w:val="fr-FR"/>
        </w:rPr>
        <w:softHyphen/>
      </w:r>
      <w:r w:rsidRPr="003C38EE">
        <w:rPr>
          <w:color w:val="000000"/>
          <w:lang w:val="fr-FR"/>
        </w:rPr>
        <w:t>mesure et de télécommande par exemple), on utilisera les marges initiales, c'est-à-dire qu'aucune marge supplémentaire ne sera prise en considération.</w:t>
      </w:r>
    </w:p>
    <w:p w:rsidR="00F97CBA" w:rsidRPr="003C38EE" w:rsidRDefault="00F97CBA">
      <w:pPr>
        <w:pStyle w:val="Heading2"/>
        <w:rPr>
          <w:color w:val="000000"/>
          <w:lang w:val="fr-FR"/>
        </w:rPr>
      </w:pPr>
      <w:r w:rsidRPr="003C38EE">
        <w:rPr>
          <w:color w:val="000000"/>
          <w:lang w:val="fr-FR"/>
        </w:rPr>
        <w:t>4.2</w:t>
      </w:r>
      <w:r w:rsidRPr="003C38EE">
        <w:rPr>
          <w:color w:val="000000"/>
          <w:lang w:val="fr-FR"/>
        </w:rPr>
        <w:tab/>
        <w:t>Emissions numériques</w:t>
      </w:r>
    </w:p>
    <w:p w:rsidR="00F97CBA" w:rsidRPr="003C38EE" w:rsidRDefault="00F97CBA" w:rsidP="00F16DBE">
      <w:pPr>
        <w:pStyle w:val="Heading3"/>
        <w:rPr>
          <w:color w:val="000000"/>
          <w:u w:val="single"/>
          <w:lang w:val="fr-FR"/>
        </w:rPr>
      </w:pPr>
      <w:r w:rsidRPr="003C38EE">
        <w:rPr>
          <w:color w:val="000000"/>
          <w:lang w:val="fr-FR"/>
        </w:rPr>
        <w:t>4.2.1</w:t>
      </w:r>
      <w:r w:rsidRPr="003C38EE">
        <w:rPr>
          <w:color w:val="000000"/>
          <w:lang w:val="fr-FR"/>
        </w:rPr>
        <w:tab/>
        <w:t xml:space="preserve">Brouillage total causé par d'autres réseaux spatiaux partageant la même bande de fréquences </w:t>
      </w:r>
      <w:r w:rsidRPr="003C38EE">
        <w:rPr>
          <w:b w:val="0"/>
          <w:color w:val="000000"/>
          <w:lang w:val="fr-FR"/>
        </w:rPr>
        <w:t>(Recommandation UIT</w:t>
      </w:r>
      <w:r w:rsidR="00F16DBE" w:rsidRPr="003C38EE">
        <w:rPr>
          <w:b w:val="0"/>
          <w:color w:val="000000"/>
          <w:lang w:val="fr-FR"/>
        </w:rPr>
        <w:noBreakHyphen/>
      </w:r>
      <w:r w:rsidRPr="003C38EE">
        <w:rPr>
          <w:b w:val="0"/>
          <w:color w:val="000000"/>
          <w:lang w:val="fr-FR"/>
        </w:rPr>
        <w:t>R</w:t>
      </w:r>
      <w:r w:rsidR="00F16DBE" w:rsidRPr="003C38EE">
        <w:rPr>
          <w:b w:val="0"/>
          <w:color w:val="000000"/>
          <w:lang w:val="fr-FR"/>
        </w:rPr>
        <w:t> </w:t>
      </w:r>
      <w:r w:rsidRPr="003C38EE">
        <w:rPr>
          <w:b w:val="0"/>
          <w:color w:val="000000"/>
          <w:lang w:val="fr-FR"/>
        </w:rPr>
        <w:t>S.523)</w:t>
      </w:r>
    </w:p>
    <w:p w:rsidR="00F97CBA" w:rsidRPr="003C38EE" w:rsidRDefault="00F97CBA" w:rsidP="00F16DBE">
      <w:pPr>
        <w:rPr>
          <w:color w:val="000000"/>
          <w:lang w:val="fr-FR"/>
        </w:rPr>
      </w:pPr>
      <w:r w:rsidRPr="003C38EE">
        <w:rPr>
          <w:color w:val="000000"/>
          <w:lang w:val="fr-FR"/>
        </w:rPr>
        <w:t>Conformément à la Recommandation UIT-R S.523 dans les bandes de fréquences où le réseau ne fonctionne pas avec réutilisation des fréquences: la puissance totale du brouillage (moyenne calculée pendant n'importe quelle période de 10 min) ne doit pas dépasser, pendant plus de 20% d'un mois quelconque, 25% du niveau total de la puissance de bruit à l'entrée du démodulateur, ce qui se traduirait par un taux d'erreur sur les bits de 1 </w:t>
      </w:r>
      <w:r w:rsidRPr="003C38EE">
        <w:rPr>
          <w:rFonts w:ascii="Symbol" w:hAnsi="Symbol"/>
          <w:color w:val="000000"/>
          <w:lang w:val="fr-FR"/>
        </w:rPr>
        <w:t></w:t>
      </w:r>
      <w:r w:rsidRPr="003C38EE">
        <w:rPr>
          <w:color w:val="000000"/>
          <w:lang w:val="fr-FR"/>
        </w:rPr>
        <w:t> 10</w:t>
      </w:r>
      <w:r w:rsidRPr="003C38EE">
        <w:rPr>
          <w:vertAlign w:val="superscript"/>
          <w:lang w:val="fr-FR"/>
        </w:rPr>
        <w:t>–6</w:t>
      </w:r>
      <w:r w:rsidRPr="003C38EE">
        <w:rPr>
          <w:color w:val="000000"/>
          <w:lang w:val="fr-FR"/>
        </w:rPr>
        <w:t>, ainsi qu'il est prévu par la Recommandation UIT</w:t>
      </w:r>
      <w:r w:rsidR="00F16DBE" w:rsidRPr="003C38EE">
        <w:rPr>
          <w:color w:val="000000"/>
          <w:lang w:val="fr-FR"/>
        </w:rPr>
        <w:noBreakHyphen/>
      </w:r>
      <w:r w:rsidRPr="003C38EE">
        <w:rPr>
          <w:color w:val="000000"/>
          <w:lang w:val="fr-FR"/>
        </w:rPr>
        <w:t>R</w:t>
      </w:r>
      <w:r w:rsidR="00F16DBE" w:rsidRPr="003C38EE">
        <w:rPr>
          <w:color w:val="000000"/>
          <w:lang w:val="fr-FR"/>
        </w:rPr>
        <w:t> </w:t>
      </w:r>
      <w:r w:rsidRPr="003C38EE">
        <w:rPr>
          <w:color w:val="000000"/>
          <w:lang w:val="fr-FR"/>
        </w:rPr>
        <w:t>S.522 pour le même pourcentage de temps.</w:t>
      </w:r>
    </w:p>
    <w:p w:rsidR="00F97CBA" w:rsidRPr="003C38EE" w:rsidRDefault="00F97CBA" w:rsidP="00F16DBE">
      <w:pPr>
        <w:pStyle w:val="Heading3"/>
        <w:rPr>
          <w:color w:val="000000"/>
          <w:u w:val="single"/>
          <w:lang w:val="fr-FR"/>
        </w:rPr>
      </w:pPr>
      <w:r w:rsidRPr="003C38EE">
        <w:rPr>
          <w:color w:val="000000"/>
          <w:lang w:val="fr-FR"/>
        </w:rPr>
        <w:t>4.2.2</w:t>
      </w:r>
      <w:r w:rsidRPr="003C38EE">
        <w:rPr>
          <w:color w:val="000000"/>
          <w:lang w:val="fr-FR"/>
        </w:rPr>
        <w:tab/>
        <w:t>Valeurs maximales admissibles du brouillage total causé par des faisceaux hertziens à des systèmes du SFS transmettant la téléphonie avec codage MIC à 8</w:t>
      </w:r>
      <w:r w:rsidR="00F16DBE" w:rsidRPr="003C38EE">
        <w:rPr>
          <w:color w:val="000000"/>
          <w:lang w:val="fr-FR"/>
        </w:rPr>
        <w:t> </w:t>
      </w:r>
      <w:r w:rsidRPr="003C38EE">
        <w:rPr>
          <w:color w:val="000000"/>
          <w:lang w:val="fr-FR"/>
        </w:rPr>
        <w:t xml:space="preserve">bits </w:t>
      </w:r>
      <w:r w:rsidRPr="003C38EE">
        <w:rPr>
          <w:b w:val="0"/>
          <w:color w:val="000000"/>
          <w:lang w:val="fr-FR"/>
        </w:rPr>
        <w:t>(Recommandation UIT</w:t>
      </w:r>
      <w:r w:rsidR="00F16DBE" w:rsidRPr="003C38EE">
        <w:rPr>
          <w:b w:val="0"/>
          <w:color w:val="000000"/>
          <w:lang w:val="fr-FR"/>
        </w:rPr>
        <w:noBreakHyphen/>
      </w:r>
      <w:r w:rsidRPr="003C38EE">
        <w:rPr>
          <w:b w:val="0"/>
          <w:color w:val="000000"/>
          <w:lang w:val="fr-FR"/>
        </w:rPr>
        <w:t>R</w:t>
      </w:r>
      <w:r w:rsidR="00F16DBE" w:rsidRPr="003C38EE">
        <w:rPr>
          <w:b w:val="0"/>
          <w:color w:val="000000"/>
          <w:lang w:val="fr-FR"/>
        </w:rPr>
        <w:t> </w:t>
      </w:r>
      <w:r w:rsidRPr="003C38EE">
        <w:rPr>
          <w:b w:val="0"/>
          <w:color w:val="000000"/>
          <w:lang w:val="fr-FR"/>
        </w:rPr>
        <w:t>SF.558)</w:t>
      </w:r>
    </w:p>
    <w:p w:rsidR="00F97CBA" w:rsidRPr="003C38EE" w:rsidRDefault="00F97CBA" w:rsidP="00F16DBE">
      <w:pPr>
        <w:rPr>
          <w:color w:val="000000"/>
          <w:lang w:val="fr-FR"/>
        </w:rPr>
      </w:pPr>
      <w:r w:rsidRPr="003C38EE">
        <w:rPr>
          <w:color w:val="000000"/>
          <w:lang w:val="fr-FR"/>
        </w:rPr>
        <w:t>Conformément à cette Recommandation, le brouillage causé par l'ensemble des émetteurs des stations à faisceaux hertziens, en moyenne pendant n'importe quelle période de 10 min, ne doit pas dépasser, pendant plus de 20% d'un mois quelconque, 10% du bruit total à l'entrée du démodulateur, ce qui se traduirait par un taux d'erreur binaire de 1 </w:t>
      </w:r>
      <w:r w:rsidRPr="003C38EE">
        <w:rPr>
          <w:rFonts w:ascii="Symbol" w:hAnsi="Symbol"/>
          <w:color w:val="000000"/>
          <w:lang w:val="fr-FR"/>
        </w:rPr>
        <w:t></w:t>
      </w:r>
      <w:r w:rsidRPr="003C38EE">
        <w:rPr>
          <w:color w:val="000000"/>
          <w:lang w:val="fr-FR"/>
        </w:rPr>
        <w:t> 10</w:t>
      </w:r>
      <w:r w:rsidRPr="003C38EE">
        <w:rPr>
          <w:vertAlign w:val="superscript"/>
          <w:lang w:val="fr-FR"/>
        </w:rPr>
        <w:t>–6</w:t>
      </w:r>
      <w:r w:rsidRPr="003C38EE">
        <w:rPr>
          <w:color w:val="000000"/>
          <w:lang w:val="fr-FR"/>
        </w:rPr>
        <w:t>, ainsi qu'il est prévu par la Recommandation UIT</w:t>
      </w:r>
      <w:r w:rsidR="00F16DBE" w:rsidRPr="003C38EE">
        <w:rPr>
          <w:color w:val="000000"/>
          <w:lang w:val="fr-FR"/>
        </w:rPr>
        <w:noBreakHyphen/>
      </w:r>
      <w:r w:rsidRPr="003C38EE">
        <w:rPr>
          <w:color w:val="000000"/>
          <w:lang w:val="fr-FR"/>
        </w:rPr>
        <w:t>R</w:t>
      </w:r>
      <w:r w:rsidR="00F16DBE" w:rsidRPr="003C38EE">
        <w:rPr>
          <w:color w:val="000000"/>
          <w:lang w:val="fr-FR"/>
        </w:rPr>
        <w:t> </w:t>
      </w:r>
      <w:r w:rsidRPr="003C38EE">
        <w:rPr>
          <w:color w:val="000000"/>
          <w:lang w:val="fr-FR"/>
        </w:rPr>
        <w:t>S.522 pour le même pourcentage de temps.</w:t>
      </w:r>
    </w:p>
    <w:p w:rsidR="00F97CBA" w:rsidRPr="003C38EE" w:rsidRDefault="00F97CBA">
      <w:pPr>
        <w:pStyle w:val="Heading3"/>
        <w:rPr>
          <w:color w:val="000000"/>
          <w:u w:val="single"/>
          <w:lang w:val="fr-FR"/>
        </w:rPr>
      </w:pPr>
      <w:r w:rsidRPr="003C38EE">
        <w:rPr>
          <w:color w:val="000000"/>
          <w:lang w:val="fr-FR"/>
        </w:rPr>
        <w:t>4.2.3</w:t>
      </w:r>
      <w:r w:rsidRPr="003C38EE">
        <w:rPr>
          <w:color w:val="000000"/>
          <w:lang w:val="fr-FR"/>
        </w:rPr>
        <w:tab/>
        <w:t>Calcul de la marge additionnelle</w:t>
      </w:r>
    </w:p>
    <w:p w:rsidR="00F97CBA" w:rsidRPr="003C38EE" w:rsidRDefault="00F97CBA" w:rsidP="00F16DBE">
      <w:pPr>
        <w:rPr>
          <w:color w:val="000000"/>
          <w:lang w:val="fr-FR"/>
        </w:rPr>
      </w:pPr>
      <w:r w:rsidRPr="003C38EE">
        <w:rPr>
          <w:color w:val="000000"/>
          <w:lang w:val="fr-FR"/>
        </w:rPr>
        <w:t>On obtient les mêmes valeurs qu'au §</w:t>
      </w:r>
      <w:r w:rsidR="00F16DBE" w:rsidRPr="003C38EE">
        <w:rPr>
          <w:color w:val="000000"/>
          <w:lang w:val="fr-FR"/>
        </w:rPr>
        <w:t> </w:t>
      </w:r>
      <w:r w:rsidRPr="003C38EE">
        <w:rPr>
          <w:color w:val="000000"/>
          <w:lang w:val="fr-FR"/>
        </w:rPr>
        <w:t>4.1.3 ci-dessus.</w:t>
      </w:r>
    </w:p>
    <w:p w:rsidR="00F97CBA" w:rsidRPr="003C38EE" w:rsidRDefault="00F97CBA">
      <w:pPr>
        <w:pStyle w:val="Heading2"/>
        <w:rPr>
          <w:color w:val="000000"/>
          <w:u w:val="single"/>
          <w:lang w:val="fr-FR"/>
        </w:rPr>
      </w:pPr>
      <w:r w:rsidRPr="003C38EE">
        <w:rPr>
          <w:color w:val="000000"/>
          <w:lang w:val="fr-FR"/>
        </w:rPr>
        <w:t>4.3</w:t>
      </w:r>
      <w:r w:rsidRPr="003C38EE">
        <w:rPr>
          <w:color w:val="000000"/>
          <w:lang w:val="fr-FR"/>
        </w:rPr>
        <w:tab/>
        <w:t>TV analogique</w:t>
      </w:r>
    </w:p>
    <w:p w:rsidR="00F97CBA" w:rsidRPr="003C38EE" w:rsidRDefault="00F97CBA" w:rsidP="00F16DBE">
      <w:pPr>
        <w:pStyle w:val="Heading3"/>
        <w:rPr>
          <w:color w:val="000000"/>
          <w:lang w:val="fr-FR"/>
        </w:rPr>
      </w:pPr>
      <w:r w:rsidRPr="003C38EE">
        <w:rPr>
          <w:color w:val="000000"/>
          <w:lang w:val="fr-FR"/>
        </w:rPr>
        <w:t>4.3.1</w:t>
      </w:r>
      <w:r w:rsidRPr="003C38EE">
        <w:rPr>
          <w:color w:val="000000"/>
          <w:lang w:val="fr-FR"/>
        </w:rPr>
        <w:tab/>
        <w:t xml:space="preserve">Brouillage total causé par d'autres réseaux spatiaux partageant la même bande de fréquences </w:t>
      </w:r>
      <w:r w:rsidRPr="003C38EE">
        <w:rPr>
          <w:b w:val="0"/>
          <w:color w:val="000000"/>
          <w:lang w:val="fr-FR"/>
        </w:rPr>
        <w:t>(Recommandation UIT</w:t>
      </w:r>
      <w:r w:rsidR="00F16DBE" w:rsidRPr="003C38EE">
        <w:rPr>
          <w:b w:val="0"/>
          <w:color w:val="000000"/>
          <w:lang w:val="fr-FR"/>
        </w:rPr>
        <w:noBreakHyphen/>
      </w:r>
      <w:r w:rsidRPr="003C38EE">
        <w:rPr>
          <w:b w:val="0"/>
          <w:color w:val="000000"/>
          <w:lang w:val="fr-FR"/>
        </w:rPr>
        <w:t>R</w:t>
      </w:r>
      <w:r w:rsidR="00F16DBE" w:rsidRPr="003C38EE">
        <w:rPr>
          <w:b w:val="0"/>
          <w:color w:val="000000"/>
          <w:lang w:val="fr-FR"/>
        </w:rPr>
        <w:t> </w:t>
      </w:r>
      <w:r w:rsidRPr="003C38EE">
        <w:rPr>
          <w:b w:val="0"/>
          <w:color w:val="000000"/>
          <w:lang w:val="fr-FR"/>
        </w:rPr>
        <w:t>S.483)</w:t>
      </w:r>
    </w:p>
    <w:p w:rsidR="00F97CBA" w:rsidRPr="003C38EE" w:rsidRDefault="00F97CBA">
      <w:pPr>
        <w:rPr>
          <w:color w:val="000000"/>
          <w:lang w:val="fr-FR"/>
        </w:rPr>
      </w:pPr>
      <w:r w:rsidRPr="003C38EE">
        <w:rPr>
          <w:color w:val="000000"/>
          <w:lang w:val="fr-FR"/>
        </w:rPr>
        <w:t>Conformément à la Recommandation UIT-R S.483, la puissance de bruit du brouillage total ne doit pas dépasser 10% du bruit admissible du signal vidéo dans le circuit fictif de référence pendant plus de 1% du mois.</w:t>
      </w:r>
    </w:p>
    <w:p w:rsidR="00F97CBA" w:rsidRPr="003C38EE" w:rsidRDefault="00F97CBA" w:rsidP="00F16DBE">
      <w:pPr>
        <w:pStyle w:val="Heading3"/>
        <w:rPr>
          <w:color w:val="000000"/>
          <w:u w:val="single"/>
          <w:lang w:val="fr-FR"/>
        </w:rPr>
      </w:pPr>
      <w:r w:rsidRPr="003C38EE">
        <w:rPr>
          <w:color w:val="000000"/>
          <w:lang w:val="fr-FR"/>
        </w:rPr>
        <w:br w:type="page"/>
        <w:t>4.3.2</w:t>
      </w:r>
      <w:r w:rsidRPr="003C38EE">
        <w:rPr>
          <w:color w:val="000000"/>
          <w:lang w:val="fr-FR"/>
        </w:rPr>
        <w:tab/>
        <w:t>Valeurs maximales admissibles du brouillage total causé par des systèmes hertziens dans le canal vidéo analogique du</w:t>
      </w:r>
      <w:r w:rsidR="00F16DBE" w:rsidRPr="003C38EE">
        <w:rPr>
          <w:color w:val="000000"/>
          <w:lang w:val="fr-FR"/>
        </w:rPr>
        <w:t> </w:t>
      </w:r>
      <w:r w:rsidRPr="003C38EE">
        <w:rPr>
          <w:color w:val="000000"/>
          <w:lang w:val="fr-FR"/>
        </w:rPr>
        <w:t>SFS</w:t>
      </w:r>
    </w:p>
    <w:p w:rsidR="00F97CBA" w:rsidRPr="003C38EE" w:rsidRDefault="00F97CBA" w:rsidP="00F16DBE">
      <w:pPr>
        <w:rPr>
          <w:color w:val="000000"/>
          <w:lang w:val="fr-FR"/>
        </w:rPr>
      </w:pPr>
      <w:r w:rsidRPr="003C38EE">
        <w:rPr>
          <w:color w:val="000000"/>
          <w:lang w:val="fr-FR"/>
        </w:rPr>
        <w:t>Aucune Recommandation n'a encore été formulée pour le brouillage causé par les émetteurs du service fixe dans le canal vidéo analogique du</w:t>
      </w:r>
      <w:r w:rsidR="00F16DBE" w:rsidRPr="003C38EE">
        <w:rPr>
          <w:color w:val="000000"/>
          <w:lang w:val="fr-FR"/>
        </w:rPr>
        <w:t> </w:t>
      </w:r>
      <w:r w:rsidRPr="003C38EE">
        <w:rPr>
          <w:color w:val="000000"/>
          <w:lang w:val="fr-FR"/>
        </w:rPr>
        <w:t>SFS.</w:t>
      </w:r>
    </w:p>
    <w:p w:rsidR="00F97CBA" w:rsidRPr="003C38EE" w:rsidRDefault="00F97CBA">
      <w:pPr>
        <w:pStyle w:val="Heading3"/>
        <w:rPr>
          <w:color w:val="000000"/>
          <w:u w:val="single"/>
          <w:lang w:val="fr-FR"/>
        </w:rPr>
      </w:pPr>
      <w:r w:rsidRPr="003C38EE">
        <w:rPr>
          <w:color w:val="000000"/>
          <w:lang w:val="fr-FR"/>
        </w:rPr>
        <w:t>4.3.3</w:t>
      </w:r>
      <w:r w:rsidRPr="003C38EE">
        <w:rPr>
          <w:color w:val="000000"/>
          <w:lang w:val="fr-FR"/>
        </w:rPr>
        <w:tab/>
        <w:t>Calcul de la marge additionnelle</w:t>
      </w:r>
    </w:p>
    <w:p w:rsidR="00F97CBA" w:rsidRPr="003C38EE" w:rsidRDefault="00F97CBA">
      <w:pPr>
        <w:pStyle w:val="enumlev1"/>
        <w:ind w:left="1134" w:hanging="1134"/>
        <w:rPr>
          <w:color w:val="000000"/>
          <w:lang w:val="fr-FR"/>
        </w:rPr>
      </w:pPr>
      <w:r w:rsidRPr="003C38EE">
        <w:rPr>
          <w:color w:val="000000"/>
          <w:lang w:val="fr-FR"/>
        </w:rPr>
        <w:tab/>
      </w:r>
      <w:r w:rsidRPr="003C38EE">
        <w:rPr>
          <w:i/>
          <w:color w:val="000000"/>
          <w:lang w:val="fr-FR"/>
        </w:rPr>
        <w:t>N</w:t>
      </w:r>
      <w:r w:rsidRPr="003C38EE">
        <w:rPr>
          <w:i/>
          <w:iCs/>
          <w:vertAlign w:val="subscript"/>
          <w:lang w:val="fr-FR"/>
        </w:rPr>
        <w:t>tot</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w:t>
      </w:r>
      <w:r w:rsidRPr="003C38EE">
        <w:rPr>
          <w:i/>
          <w:color w:val="000000"/>
          <w:lang w:val="fr-FR"/>
        </w:rPr>
        <w:t>N</w:t>
      </w:r>
      <w:r w:rsidRPr="003C38EE">
        <w:rPr>
          <w:i/>
          <w:iCs/>
          <w:vertAlign w:val="subscript"/>
          <w:lang w:val="fr-FR"/>
        </w:rPr>
        <w:t>i</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0,1 </w:t>
      </w:r>
      <w:r w:rsidRPr="003C38EE">
        <w:rPr>
          <w:i/>
          <w:color w:val="000000"/>
          <w:lang w:val="fr-FR"/>
        </w:rPr>
        <w:t>N</w:t>
      </w:r>
      <w:r w:rsidRPr="003C38EE">
        <w:rPr>
          <w:i/>
          <w:iCs/>
          <w:vertAlign w:val="subscript"/>
          <w:lang w:val="fr-FR"/>
        </w:rPr>
        <w:t>tot</w:t>
      </w:r>
    </w:p>
    <w:p w:rsidR="00F97CBA" w:rsidRPr="003C38EE" w:rsidRDefault="00F97CBA">
      <w:pPr>
        <w:pStyle w:val="enumlev1"/>
        <w:ind w:left="1134" w:hanging="1134"/>
        <w:rPr>
          <w:color w:val="000000"/>
          <w:lang w:val="fr-FR"/>
        </w:rPr>
      </w:pPr>
      <w:r w:rsidRPr="003C38EE">
        <w:rPr>
          <w:color w:val="000000"/>
          <w:lang w:val="fr-FR"/>
        </w:rPr>
        <w:tab/>
      </w:r>
      <w:r w:rsidRPr="003C38EE">
        <w:rPr>
          <w:i/>
          <w:color w:val="000000"/>
          <w:lang w:val="fr-FR"/>
        </w:rPr>
        <w:t>N</w:t>
      </w:r>
      <w:r w:rsidRPr="003C38EE">
        <w:rPr>
          <w:i/>
          <w:iCs/>
          <w:vertAlign w:val="subscript"/>
          <w:lang w:val="fr-FR"/>
        </w:rPr>
        <w:t>tot</w:t>
      </w:r>
      <w:r w:rsidRPr="003C38EE">
        <w:rPr>
          <w:rFonts w:ascii="Tms Rmn" w:hAnsi="Tms Rmn"/>
          <w:color w:val="000000"/>
          <w:sz w:val="12"/>
          <w:lang w:val="fr-FR"/>
        </w:rPr>
        <w:t> </w:t>
      </w:r>
      <w:r w:rsidRPr="003C38EE">
        <w:rPr>
          <w:color w:val="000000"/>
          <w:lang w:val="fr-FR"/>
        </w:rPr>
        <w:t xml:space="preserve">(1  –  0,1)  </w:t>
      </w:r>
      <w:r w:rsidRPr="003C38EE">
        <w:rPr>
          <w:rFonts w:ascii="Symbol" w:hAnsi="Symbol"/>
          <w:color w:val="000000"/>
          <w:lang w:val="fr-FR"/>
        </w:rPr>
        <w:t></w:t>
      </w:r>
      <w:r w:rsidRPr="003C38EE">
        <w:rPr>
          <w:color w:val="000000"/>
          <w:lang w:val="fr-FR"/>
        </w:rPr>
        <w:t xml:space="preserve">  </w:t>
      </w:r>
      <w:r w:rsidRPr="003C38EE">
        <w:rPr>
          <w:i/>
          <w:color w:val="000000"/>
          <w:lang w:val="fr-FR"/>
        </w:rPr>
        <w:t>N</w:t>
      </w:r>
      <w:r w:rsidRPr="003C38EE">
        <w:rPr>
          <w:i/>
          <w:iCs/>
          <w:vertAlign w:val="subscript"/>
          <w:lang w:val="fr-FR"/>
        </w:rPr>
        <w:t>i</w:t>
      </w:r>
    </w:p>
    <w:p w:rsidR="00F97CBA" w:rsidRPr="003C38EE" w:rsidRDefault="00F97CBA">
      <w:pPr>
        <w:pStyle w:val="enumlev1"/>
        <w:ind w:left="1134" w:hanging="1134"/>
        <w:rPr>
          <w:color w:val="000000"/>
          <w:lang w:val="fr-FR"/>
        </w:rPr>
      </w:pPr>
      <w:r w:rsidRPr="003C38EE">
        <w:rPr>
          <w:color w:val="000000"/>
          <w:lang w:val="fr-FR"/>
        </w:rPr>
        <w:tab/>
      </w:r>
      <w:r w:rsidRPr="003C38EE">
        <w:rPr>
          <w:i/>
          <w:color w:val="000000"/>
          <w:lang w:val="fr-FR"/>
        </w:rPr>
        <w:t>N</w:t>
      </w:r>
      <w:r w:rsidRPr="003C38EE">
        <w:rPr>
          <w:i/>
          <w:iCs/>
          <w:vertAlign w:val="subscript"/>
          <w:lang w:val="fr-FR"/>
        </w:rPr>
        <w:t>tot</w:t>
      </w:r>
      <w:r w:rsidRPr="003C38EE">
        <w:rPr>
          <w:color w:val="000000"/>
          <w:lang w:val="fr-FR"/>
        </w:rPr>
        <w:t xml:space="preserve">  </w:t>
      </w:r>
      <w:r w:rsidRPr="003C38EE">
        <w:rPr>
          <w:rFonts w:ascii="Symbol" w:hAnsi="Symbol"/>
          <w:color w:val="000000"/>
          <w:lang w:val="fr-FR"/>
        </w:rPr>
        <w:t></w:t>
      </w:r>
      <w:r w:rsidRPr="003C38EE">
        <w:rPr>
          <w:color w:val="000000"/>
          <w:lang w:val="fr-FR"/>
        </w:rPr>
        <w:t xml:space="preserve">  1,11 </w:t>
      </w:r>
      <w:r w:rsidRPr="003C38EE">
        <w:rPr>
          <w:i/>
          <w:color w:val="000000"/>
          <w:lang w:val="fr-FR"/>
        </w:rPr>
        <w:t>N</w:t>
      </w:r>
      <w:r w:rsidRPr="003C38EE">
        <w:rPr>
          <w:i/>
          <w:iCs/>
          <w:vertAlign w:val="subscript"/>
          <w:lang w:val="fr-FR"/>
        </w:rPr>
        <w:t>i</w:t>
      </w:r>
    </w:p>
    <w:p w:rsidR="00F97CBA" w:rsidRPr="003C38EE" w:rsidRDefault="00F97CBA" w:rsidP="00F16DBE">
      <w:pPr>
        <w:pStyle w:val="enumlev1"/>
        <w:ind w:left="1134" w:hanging="1134"/>
        <w:rPr>
          <w:color w:val="000000"/>
          <w:lang w:val="fr-FR"/>
        </w:rPr>
      </w:pPr>
      <w:r w:rsidRPr="003C38EE">
        <w:rPr>
          <w:color w:val="000000"/>
          <w:lang w:val="fr-FR"/>
        </w:rPr>
        <w:tab/>
        <w:t>Marge additionnelle: 10</w:t>
      </w:r>
      <w:r w:rsidR="00F16DBE" w:rsidRPr="003C38EE">
        <w:rPr>
          <w:color w:val="000000"/>
          <w:lang w:val="fr-FR"/>
        </w:rPr>
        <w:t> </w:t>
      </w:r>
      <w:r w:rsidRPr="003C38EE">
        <w:rPr>
          <w:color w:val="000000"/>
          <w:position w:val="6"/>
          <w:sz w:val="20"/>
          <w:lang w:val="fr-FR"/>
        </w:rPr>
        <w:t>*</w:t>
      </w:r>
      <w:r w:rsidR="00F16DBE" w:rsidRPr="003C38EE">
        <w:rPr>
          <w:lang w:val="fr-FR"/>
        </w:rPr>
        <w:t> </w:t>
      </w:r>
      <w:r w:rsidRPr="003C38EE">
        <w:rPr>
          <w:color w:val="000000"/>
          <w:lang w:val="fr-FR"/>
        </w:rPr>
        <w:t xml:space="preserve">log(1,11)  </w:t>
      </w:r>
      <w:r w:rsidRPr="003C38EE">
        <w:rPr>
          <w:rFonts w:ascii="Symbol" w:hAnsi="Symbol"/>
          <w:color w:val="000000"/>
          <w:lang w:val="fr-FR"/>
        </w:rPr>
        <w:t></w:t>
      </w:r>
      <w:r w:rsidRPr="003C38EE">
        <w:rPr>
          <w:color w:val="000000"/>
          <w:lang w:val="fr-FR"/>
        </w:rPr>
        <w:t xml:space="preserve">  0,46 dB</w:t>
      </w:r>
    </w:p>
    <w:p w:rsidR="00F97CBA" w:rsidRPr="003C38EE" w:rsidRDefault="00F97CBA" w:rsidP="00F16DBE">
      <w:pPr>
        <w:rPr>
          <w:color w:val="000000"/>
          <w:lang w:val="fr-FR"/>
        </w:rPr>
      </w:pPr>
      <w:r w:rsidRPr="003C38EE">
        <w:rPr>
          <w:b/>
          <w:bCs/>
          <w:color w:val="000000"/>
          <w:lang w:val="fr-FR"/>
        </w:rPr>
        <w:t>5</w:t>
      </w:r>
      <w:r w:rsidRPr="003C38EE">
        <w:rPr>
          <w:color w:val="000000"/>
          <w:lang w:val="fr-FR"/>
        </w:rPr>
        <w:tab/>
        <w:t>Vu ce qui précède, il convient d'ajouter une valeur de 0,46 dB aux marges faisant intervenir les émissions TV analogiques utiles et une valeur de 1,87 dB pour les autres émissions utiles.</w:t>
      </w:r>
    </w:p>
    <w:p w:rsidR="00F97CBA" w:rsidRPr="003C38EE" w:rsidRDefault="00F97CBA" w:rsidP="00F16DBE">
      <w:pPr>
        <w:rPr>
          <w:lang w:val="fr-FR"/>
        </w:rPr>
      </w:pPr>
    </w:p>
    <w:p w:rsidR="00F97CBA" w:rsidRPr="003C38EE" w:rsidRDefault="00F97CBA" w:rsidP="00F16DBE">
      <w:pPr>
        <w:jc w:val="center"/>
        <w:rPr>
          <w:lang w:val="fr-FR"/>
        </w:rPr>
      </w:pPr>
      <w:r w:rsidRPr="003C38EE">
        <w:rPr>
          <w:lang w:val="fr-FR"/>
        </w:rPr>
        <w:t>____________________</w:t>
      </w: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pPr>
    </w:p>
    <w:p w:rsidR="00F97CBA" w:rsidRPr="003C38EE" w:rsidRDefault="00F97CBA" w:rsidP="00F16DBE">
      <w:pPr>
        <w:rPr>
          <w:lang w:val="fr-FR"/>
        </w:rPr>
        <w:sectPr w:rsidR="00F97CBA" w:rsidRPr="003C38EE">
          <w:headerReference w:type="even" r:id="rId54"/>
          <w:headerReference w:type="default" r:id="rId55"/>
          <w:footnotePr>
            <w:pos w:val="beneathText"/>
          </w:footnotePr>
          <w:pgSz w:w="11907" w:h="16840" w:code="9"/>
          <w:pgMar w:top="1701" w:right="851" w:bottom="1134" w:left="1985" w:header="720" w:footer="482" w:gutter="0"/>
          <w:cols w:space="720"/>
          <w:vAlign w:val="both"/>
        </w:sectPr>
      </w:pPr>
    </w:p>
    <w:p w:rsidR="00F97CBA" w:rsidRPr="003C38EE" w:rsidRDefault="00F97CBA" w:rsidP="00F16DBE">
      <w:pPr>
        <w:rPr>
          <w:lang w:val="fr-FR"/>
        </w:rPr>
      </w:pPr>
    </w:p>
    <w:sectPr w:rsidR="00F97CBA" w:rsidRPr="003C38EE" w:rsidSect="00F16DBE">
      <w:headerReference w:type="first" r:id="rId5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9F0" w:rsidRDefault="002749F0">
      <w:r>
        <w:separator/>
      </w:r>
    </w:p>
  </w:endnote>
  <w:endnote w:type="continuationSeparator" w:id="0">
    <w:p w:rsidR="002749F0" w:rsidRDefault="002749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0A87" w:usb1="00000000" w:usb2="00000000" w:usb3="00000000" w:csb0="000001B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9F0" w:rsidRDefault="002749F0">
      <w:r>
        <w:rPr>
          <w:b/>
        </w:rPr>
        <w:t>_______________</w:t>
      </w:r>
    </w:p>
  </w:footnote>
  <w:footnote w:type="continuationSeparator" w:id="0">
    <w:p w:rsidR="002749F0" w:rsidRDefault="002749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3C38EE">
      <w:trPr>
        <w:cantSplit/>
      </w:trPr>
      <w:tc>
        <w:tcPr>
          <w:tcW w:w="1701" w:type="dxa"/>
          <w:tcBorders>
            <w:top w:val="single" w:sz="6" w:space="0" w:color="auto"/>
            <w:left w:val="single" w:sz="6" w:space="0" w:color="auto"/>
            <w:bottom w:val="single" w:sz="6" w:space="0" w:color="auto"/>
            <w:right w:val="single" w:sz="6" w:space="0" w:color="auto"/>
          </w:tcBorders>
        </w:tcPr>
        <w:p w:rsidR="003C38EE" w:rsidRDefault="003C38EE">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rsidR="003C38EE" w:rsidRDefault="00E5032B">
          <w:pPr>
            <w:pStyle w:val="HeaderRegProc"/>
            <w:rPr>
              <w:lang w:val="fr-FR"/>
            </w:rPr>
          </w:pPr>
          <w:fldSimple w:instr="styleref href2">
            <w:r w:rsidR="009E626A">
              <w:rPr>
                <w:noProof/>
              </w:rPr>
              <w:t>B3</w:t>
            </w:r>
          </w:fldSimple>
        </w:p>
      </w:tc>
      <w:tc>
        <w:tcPr>
          <w:tcW w:w="1701" w:type="dxa"/>
          <w:tcBorders>
            <w:top w:val="single" w:sz="6" w:space="0" w:color="auto"/>
            <w:left w:val="single" w:sz="6" w:space="0" w:color="auto"/>
            <w:bottom w:val="single" w:sz="6" w:space="0" w:color="auto"/>
            <w:right w:val="single" w:sz="6" w:space="0" w:color="auto"/>
          </w:tcBorders>
        </w:tcPr>
        <w:p w:rsidR="003C38EE" w:rsidRDefault="003C38EE">
          <w:pPr>
            <w:pStyle w:val="HeaderRegProc"/>
            <w:rPr>
              <w:lang w:val="fr-CH"/>
            </w:rPr>
          </w:pPr>
          <w:r>
            <w:rPr>
              <w:lang w:val="fr-FR"/>
            </w:rPr>
            <w:t xml:space="preserve">page </w:t>
          </w:r>
          <w:r w:rsidR="00E5032B">
            <w:rPr>
              <w:rStyle w:val="PageNumber"/>
            </w:rPr>
            <w:fldChar w:fldCharType="begin"/>
          </w:r>
          <w:r>
            <w:rPr>
              <w:rStyle w:val="PageNumber"/>
            </w:rPr>
            <w:instrText xml:space="preserve"> PAGE </w:instrText>
          </w:r>
          <w:r w:rsidR="00E5032B">
            <w:rPr>
              <w:rStyle w:val="PageNumber"/>
            </w:rPr>
            <w:fldChar w:fldCharType="separate"/>
          </w:r>
          <w:r w:rsidR="009E626A">
            <w:rPr>
              <w:rStyle w:val="PageNumber"/>
              <w:noProof/>
            </w:rPr>
            <w:t>14</w:t>
          </w:r>
          <w:r w:rsidR="00E5032B">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C38EE" w:rsidRDefault="003C38EE">
          <w:pPr>
            <w:pStyle w:val="HeaderRegProc"/>
            <w:rPr>
              <w:lang w:val="fr-CH"/>
            </w:rPr>
          </w:pPr>
          <w:r>
            <w:rPr>
              <w:lang w:val="fr-CH"/>
            </w:rPr>
            <w:t>rév.</w:t>
          </w:r>
          <w:fldSimple w:instr=" DOCPROPERTY &quot;Header10&quot; \* MERGEFORMAT ">
            <w:r>
              <w:rPr>
                <w:lang w:val="fr-CH"/>
              </w:rPr>
              <w:t>-</w:t>
            </w:r>
          </w:fldSimple>
        </w:p>
      </w:tc>
    </w:tr>
  </w:tbl>
  <w:p w:rsidR="003C38EE" w:rsidRDefault="003C38EE">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3C38EE">
      <w:trPr>
        <w:cantSplit/>
        <w:jc w:val="right"/>
      </w:trPr>
      <w:tc>
        <w:tcPr>
          <w:tcW w:w="1701" w:type="dxa"/>
          <w:tcBorders>
            <w:top w:val="single" w:sz="6" w:space="0" w:color="auto"/>
            <w:left w:val="single" w:sz="6" w:space="0" w:color="auto"/>
            <w:bottom w:val="single" w:sz="6" w:space="0" w:color="auto"/>
            <w:right w:val="single" w:sz="6" w:space="0" w:color="auto"/>
          </w:tcBorders>
        </w:tcPr>
        <w:p w:rsidR="003C38EE" w:rsidRDefault="003C38EE">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rsidR="003C38EE" w:rsidRDefault="00E5032B">
          <w:pPr>
            <w:pStyle w:val="HeaderRegProc"/>
            <w:rPr>
              <w:lang w:val="fr-FR"/>
            </w:rPr>
          </w:pPr>
          <w:fldSimple w:instr="styleref href2">
            <w:r w:rsidR="009E626A">
              <w:rPr>
                <w:noProof/>
              </w:rPr>
              <w:t>B3</w:t>
            </w:r>
          </w:fldSimple>
        </w:p>
      </w:tc>
      <w:tc>
        <w:tcPr>
          <w:tcW w:w="1701" w:type="dxa"/>
          <w:tcBorders>
            <w:top w:val="single" w:sz="6" w:space="0" w:color="auto"/>
            <w:left w:val="single" w:sz="6" w:space="0" w:color="auto"/>
            <w:bottom w:val="single" w:sz="6" w:space="0" w:color="auto"/>
            <w:right w:val="single" w:sz="6" w:space="0" w:color="auto"/>
          </w:tcBorders>
        </w:tcPr>
        <w:p w:rsidR="003C38EE" w:rsidRDefault="003C38EE">
          <w:pPr>
            <w:pStyle w:val="HeaderRegProc"/>
            <w:rPr>
              <w:lang w:val="fr-CH"/>
            </w:rPr>
          </w:pPr>
          <w:r>
            <w:rPr>
              <w:lang w:val="fr-FR"/>
            </w:rPr>
            <w:t xml:space="preserve">page </w:t>
          </w:r>
          <w:r w:rsidR="00E5032B">
            <w:rPr>
              <w:rStyle w:val="PageNumber"/>
            </w:rPr>
            <w:fldChar w:fldCharType="begin"/>
          </w:r>
          <w:r>
            <w:rPr>
              <w:rStyle w:val="PageNumber"/>
            </w:rPr>
            <w:instrText xml:space="preserve"> PAGE </w:instrText>
          </w:r>
          <w:r w:rsidR="00E5032B">
            <w:rPr>
              <w:rStyle w:val="PageNumber"/>
            </w:rPr>
            <w:fldChar w:fldCharType="separate"/>
          </w:r>
          <w:r w:rsidR="009E626A">
            <w:rPr>
              <w:rStyle w:val="PageNumber"/>
              <w:noProof/>
            </w:rPr>
            <w:t>13</w:t>
          </w:r>
          <w:r w:rsidR="00E5032B">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C38EE" w:rsidRDefault="003C38EE">
          <w:pPr>
            <w:pStyle w:val="HeaderRegProc"/>
            <w:rPr>
              <w:lang w:val="fr-CH"/>
            </w:rPr>
          </w:pPr>
          <w:r>
            <w:rPr>
              <w:lang w:val="fr-CH"/>
            </w:rPr>
            <w:t>rév.</w:t>
          </w:r>
          <w:fldSimple w:instr=" DOCPROPERTY &quot;Header10&quot; \* MERGEFORMAT ">
            <w:r>
              <w:rPr>
                <w:lang w:val="fr-CH"/>
              </w:rPr>
              <w:t>-</w:t>
            </w:r>
          </w:fldSimple>
        </w:p>
      </w:tc>
    </w:tr>
  </w:tbl>
  <w:p w:rsidR="003C38EE" w:rsidRDefault="003C38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8EE" w:rsidRDefault="003C38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730DE7C"/>
    <w:lvl w:ilvl="0">
      <w:start w:val="1"/>
      <w:numFmt w:val="decimal"/>
      <w:lvlText w:val="%1."/>
      <w:lvlJc w:val="left"/>
      <w:pPr>
        <w:tabs>
          <w:tab w:val="num" w:pos="1800"/>
        </w:tabs>
        <w:ind w:left="1800" w:hanging="360"/>
      </w:pPr>
    </w:lvl>
  </w:abstractNum>
  <w:abstractNum w:abstractNumId="1">
    <w:nsid w:val="FFFFFF7D"/>
    <w:multiLevelType w:val="singleLevel"/>
    <w:tmpl w:val="6734BC76"/>
    <w:lvl w:ilvl="0">
      <w:start w:val="1"/>
      <w:numFmt w:val="decimal"/>
      <w:lvlText w:val="%1."/>
      <w:lvlJc w:val="left"/>
      <w:pPr>
        <w:tabs>
          <w:tab w:val="num" w:pos="1440"/>
        </w:tabs>
        <w:ind w:left="1440" w:hanging="360"/>
      </w:pPr>
    </w:lvl>
  </w:abstractNum>
  <w:abstractNum w:abstractNumId="2">
    <w:nsid w:val="FFFFFF7E"/>
    <w:multiLevelType w:val="singleLevel"/>
    <w:tmpl w:val="849E4A4A"/>
    <w:lvl w:ilvl="0">
      <w:start w:val="1"/>
      <w:numFmt w:val="decimal"/>
      <w:lvlText w:val="%1."/>
      <w:lvlJc w:val="left"/>
      <w:pPr>
        <w:tabs>
          <w:tab w:val="num" w:pos="1080"/>
        </w:tabs>
        <w:ind w:left="1080" w:hanging="360"/>
      </w:pPr>
    </w:lvl>
  </w:abstractNum>
  <w:abstractNum w:abstractNumId="3">
    <w:nsid w:val="FFFFFF7F"/>
    <w:multiLevelType w:val="singleLevel"/>
    <w:tmpl w:val="7604F452"/>
    <w:lvl w:ilvl="0">
      <w:start w:val="1"/>
      <w:numFmt w:val="decimal"/>
      <w:lvlText w:val="%1."/>
      <w:lvlJc w:val="left"/>
      <w:pPr>
        <w:tabs>
          <w:tab w:val="num" w:pos="720"/>
        </w:tabs>
        <w:ind w:left="720" w:hanging="360"/>
      </w:pPr>
    </w:lvl>
  </w:abstractNum>
  <w:abstractNum w:abstractNumId="4">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81657E8"/>
    <w:lvl w:ilvl="0">
      <w:start w:val="1"/>
      <w:numFmt w:val="decimal"/>
      <w:lvlText w:val="%1."/>
      <w:lvlJc w:val="left"/>
      <w:pPr>
        <w:tabs>
          <w:tab w:val="num" w:pos="360"/>
        </w:tabs>
        <w:ind w:left="360" w:hanging="360"/>
      </w:pPr>
    </w:lvl>
  </w:abstractNum>
  <w:abstractNum w:abstractNumId="9">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abstractNum w:abstractNumId="11">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02315390"/>
    <w:multiLevelType w:val="singleLevel"/>
    <w:tmpl w:val="0C090019"/>
    <w:lvl w:ilvl="0">
      <w:start w:val="1"/>
      <w:numFmt w:val="lowerLetter"/>
      <w:lvlText w:val="(%1)"/>
      <w:lvlJc w:val="left"/>
      <w:pPr>
        <w:tabs>
          <w:tab w:val="num" w:pos="360"/>
        </w:tabs>
        <w:ind w:left="360" w:hanging="360"/>
      </w:pPr>
    </w:lvl>
  </w:abstractNum>
  <w:abstractNum w:abstractNumId="13">
    <w:nsid w:val="06CA1AAF"/>
    <w:multiLevelType w:val="singleLevel"/>
    <w:tmpl w:val="0C09000F"/>
    <w:lvl w:ilvl="0">
      <w:start w:val="1"/>
      <w:numFmt w:val="decimal"/>
      <w:lvlText w:val="%1."/>
      <w:lvlJc w:val="left"/>
      <w:pPr>
        <w:tabs>
          <w:tab w:val="num" w:pos="360"/>
        </w:tabs>
        <w:ind w:left="360" w:hanging="360"/>
      </w:pPr>
    </w:lvl>
  </w:abstractNum>
  <w:abstractNum w:abstractNumId="14">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nsid w:val="14EA1255"/>
    <w:multiLevelType w:val="singleLevel"/>
    <w:tmpl w:val="0C09000F"/>
    <w:lvl w:ilvl="0">
      <w:start w:val="1"/>
      <w:numFmt w:val="decimal"/>
      <w:lvlText w:val="%1."/>
      <w:lvlJc w:val="left"/>
      <w:pPr>
        <w:tabs>
          <w:tab w:val="num" w:pos="360"/>
        </w:tabs>
        <w:ind w:left="360" w:hanging="360"/>
      </w:pPr>
    </w:lvl>
  </w:abstractNum>
  <w:abstractNum w:abstractNumId="18">
    <w:nsid w:val="189D77DD"/>
    <w:multiLevelType w:val="singleLevel"/>
    <w:tmpl w:val="0C090019"/>
    <w:lvl w:ilvl="0">
      <w:start w:val="1"/>
      <w:numFmt w:val="lowerLetter"/>
      <w:lvlText w:val="(%1)"/>
      <w:lvlJc w:val="left"/>
      <w:pPr>
        <w:tabs>
          <w:tab w:val="num" w:pos="360"/>
        </w:tabs>
        <w:ind w:left="360" w:hanging="360"/>
      </w:pPr>
    </w:lvl>
  </w:abstractNum>
  <w:abstractNum w:abstractNumId="19">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nsid w:val="4A445B20"/>
    <w:multiLevelType w:val="hybridMultilevel"/>
    <w:tmpl w:val="3EBC0572"/>
    <w:lvl w:ilvl="0" w:tplc="DB201830">
      <w:start w:val="3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6">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7">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9">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4">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2"/>
  </w:num>
  <w:num w:numId="3">
    <w:abstractNumId w:val="33"/>
  </w:num>
  <w:num w:numId="4">
    <w:abstractNumId w:val="29"/>
  </w:num>
  <w:num w:numId="5">
    <w:abstractNumId w:val="31"/>
  </w:num>
  <w:num w:numId="6">
    <w:abstractNumId w:val="11"/>
  </w:num>
  <w:num w:numId="7">
    <w:abstractNumId w:val="22"/>
  </w:num>
  <w:num w:numId="8">
    <w:abstractNumId w:val="19"/>
  </w:num>
  <w:num w:numId="9">
    <w:abstractNumId w:val="13"/>
  </w:num>
  <w:num w:numId="10">
    <w:abstractNumId w:val="25"/>
  </w:num>
  <w:num w:numId="11">
    <w:abstractNumId w:val="21"/>
  </w:num>
  <w:num w:numId="12">
    <w:abstractNumId w:val="30"/>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4"/>
  </w:num>
  <w:num w:numId="28">
    <w:abstractNumId w:val="18"/>
  </w:num>
  <w:num w:numId="29">
    <w:abstractNumId w:val="20"/>
  </w:num>
  <w:num w:numId="30">
    <w:abstractNumId w:val="23"/>
  </w:num>
  <w:num w:numId="31">
    <w:abstractNumId w:val="28"/>
  </w:num>
  <w:num w:numId="32">
    <w:abstractNumId w:val="12"/>
  </w:num>
  <w:num w:numId="33">
    <w:abstractNumId w:val="16"/>
  </w:num>
  <w:num w:numId="34">
    <w:abstractNumId w:val="26"/>
  </w:num>
  <w:num w:numId="35">
    <w:abstractNumId w:val="27"/>
  </w:num>
  <w:num w:numId="3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intFractionalCharacterWidth/>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197E2A"/>
    <w:rsid w:val="000D5E95"/>
    <w:rsid w:val="00197E2A"/>
    <w:rsid w:val="002749F0"/>
    <w:rsid w:val="003C38EE"/>
    <w:rsid w:val="006706A9"/>
    <w:rsid w:val="009E626A"/>
    <w:rsid w:val="00E15F28"/>
    <w:rsid w:val="00E5032B"/>
    <w:rsid w:val="00F16DBE"/>
    <w:rsid w:val="00F97CB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032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E5032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E5032B"/>
    <w:pPr>
      <w:spacing w:before="480"/>
      <w:outlineLvl w:val="1"/>
    </w:pPr>
    <w:rPr>
      <w:sz w:val="26"/>
    </w:rPr>
  </w:style>
  <w:style w:type="paragraph" w:styleId="Heading3">
    <w:name w:val="heading 3"/>
    <w:basedOn w:val="Heading1"/>
    <w:next w:val="Normal"/>
    <w:qFormat/>
    <w:rsid w:val="00E5032B"/>
    <w:pPr>
      <w:spacing w:before="360"/>
      <w:outlineLvl w:val="2"/>
    </w:pPr>
    <w:rPr>
      <w:sz w:val="24"/>
    </w:rPr>
  </w:style>
  <w:style w:type="paragraph" w:styleId="Heading4">
    <w:name w:val="heading 4"/>
    <w:basedOn w:val="Heading3"/>
    <w:next w:val="Normal"/>
    <w:qFormat/>
    <w:rsid w:val="00E5032B"/>
    <w:pPr>
      <w:outlineLvl w:val="3"/>
    </w:pPr>
  </w:style>
  <w:style w:type="paragraph" w:styleId="Heading5">
    <w:name w:val="heading 5"/>
    <w:basedOn w:val="Heading3"/>
    <w:next w:val="Normal"/>
    <w:qFormat/>
    <w:rsid w:val="00E5032B"/>
    <w:pPr>
      <w:outlineLvl w:val="4"/>
    </w:pPr>
  </w:style>
  <w:style w:type="paragraph" w:styleId="Heading6">
    <w:name w:val="heading 6"/>
    <w:basedOn w:val="Heading3"/>
    <w:next w:val="Normal"/>
    <w:qFormat/>
    <w:rsid w:val="00E5032B"/>
    <w:pPr>
      <w:outlineLvl w:val="5"/>
    </w:pPr>
  </w:style>
  <w:style w:type="paragraph" w:styleId="Heading7">
    <w:name w:val="heading 7"/>
    <w:basedOn w:val="Heading3"/>
    <w:next w:val="Normal"/>
    <w:qFormat/>
    <w:rsid w:val="00E5032B"/>
    <w:pPr>
      <w:outlineLvl w:val="6"/>
    </w:pPr>
  </w:style>
  <w:style w:type="paragraph" w:styleId="Heading8">
    <w:name w:val="heading 8"/>
    <w:basedOn w:val="Heading3"/>
    <w:next w:val="Normal"/>
    <w:qFormat/>
    <w:rsid w:val="00E5032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E5032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E5032B"/>
    <w:rPr>
      <w:vertAlign w:val="superscript"/>
    </w:rPr>
  </w:style>
  <w:style w:type="paragraph" w:styleId="TOC8">
    <w:name w:val="toc 8"/>
    <w:basedOn w:val="Normal"/>
    <w:next w:val="Normal"/>
    <w:semiHidden/>
    <w:rsid w:val="00E5032B"/>
    <w:pPr>
      <w:tabs>
        <w:tab w:val="left" w:pos="7711"/>
        <w:tab w:val="right" w:leader="dot" w:pos="9725"/>
      </w:tabs>
      <w:ind w:left="6350"/>
    </w:pPr>
  </w:style>
  <w:style w:type="paragraph" w:styleId="TOC7">
    <w:name w:val="toc 7"/>
    <w:basedOn w:val="Normal"/>
    <w:next w:val="Normal"/>
    <w:semiHidden/>
    <w:rsid w:val="00E5032B"/>
    <w:pPr>
      <w:tabs>
        <w:tab w:val="left" w:pos="6350"/>
        <w:tab w:val="right" w:leader="dot" w:pos="9725"/>
      </w:tabs>
      <w:ind w:left="5103"/>
    </w:pPr>
  </w:style>
  <w:style w:type="paragraph" w:styleId="TOC6">
    <w:name w:val="toc 6"/>
    <w:basedOn w:val="TOC4"/>
    <w:next w:val="Normal"/>
    <w:semiHidden/>
    <w:rsid w:val="00E5032B"/>
    <w:pPr>
      <w:ind w:left="3913"/>
    </w:pPr>
  </w:style>
  <w:style w:type="paragraph" w:styleId="TOC4">
    <w:name w:val="toc 4"/>
    <w:basedOn w:val="TOC3"/>
    <w:next w:val="Normal"/>
    <w:semiHidden/>
    <w:rsid w:val="00E5032B"/>
    <w:pPr>
      <w:tabs>
        <w:tab w:val="clear" w:pos="2268"/>
      </w:tabs>
      <w:spacing w:before="80"/>
      <w:ind w:left="3119" w:hanging="851"/>
    </w:pPr>
  </w:style>
  <w:style w:type="paragraph" w:styleId="TOC3">
    <w:name w:val="toc 3"/>
    <w:basedOn w:val="TOC2"/>
    <w:next w:val="Normal"/>
    <w:semiHidden/>
    <w:rsid w:val="00E5032B"/>
    <w:pPr>
      <w:tabs>
        <w:tab w:val="clear" w:pos="1985"/>
        <w:tab w:val="left" w:pos="2268"/>
      </w:tabs>
      <w:ind w:left="2268" w:hanging="2268"/>
    </w:pPr>
  </w:style>
  <w:style w:type="paragraph" w:styleId="TOC2">
    <w:name w:val="toc 2"/>
    <w:basedOn w:val="TOC1"/>
    <w:next w:val="Normal"/>
    <w:semiHidden/>
    <w:rsid w:val="00E5032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E5032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E5032B"/>
    <w:pPr>
      <w:tabs>
        <w:tab w:val="clear" w:pos="2268"/>
        <w:tab w:val="left" w:pos="3062"/>
      </w:tabs>
      <w:ind w:left="3062" w:hanging="3062"/>
    </w:pPr>
  </w:style>
  <w:style w:type="paragraph" w:styleId="Index1">
    <w:name w:val="index 1"/>
    <w:basedOn w:val="Normal"/>
    <w:next w:val="Normal"/>
    <w:semiHidden/>
    <w:rsid w:val="00E5032B"/>
  </w:style>
  <w:style w:type="paragraph" w:styleId="Footer">
    <w:name w:val="footer"/>
    <w:basedOn w:val="Normal"/>
    <w:rsid w:val="00E5032B"/>
    <w:pPr>
      <w:tabs>
        <w:tab w:val="left" w:pos="567"/>
        <w:tab w:val="center" w:pos="3742"/>
        <w:tab w:val="right" w:pos="6974"/>
      </w:tabs>
    </w:pPr>
  </w:style>
  <w:style w:type="paragraph" w:styleId="Header">
    <w:name w:val="header"/>
    <w:aliases w:val="encabezado"/>
    <w:basedOn w:val="Normal"/>
    <w:rsid w:val="00E5032B"/>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E5032B"/>
    <w:rPr>
      <w:position w:val="6"/>
      <w:sz w:val="16"/>
    </w:rPr>
  </w:style>
  <w:style w:type="paragraph" w:styleId="FootnoteText">
    <w:name w:val="footnote text"/>
    <w:basedOn w:val="Normal"/>
    <w:semiHidden/>
    <w:rsid w:val="00E5032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E5032B"/>
    <w:pPr>
      <w:spacing w:before="120"/>
      <w:ind w:left="1134"/>
    </w:pPr>
  </w:style>
  <w:style w:type="paragraph" w:customStyle="1" w:styleId="TableLegend">
    <w:name w:val="Table_Legend"/>
    <w:basedOn w:val="TableText"/>
    <w:next w:val="Normal"/>
    <w:rsid w:val="00E5032B"/>
    <w:pPr>
      <w:keepNext/>
      <w:tabs>
        <w:tab w:val="left" w:pos="284"/>
        <w:tab w:val="left" w:pos="567"/>
        <w:tab w:val="left" w:pos="851"/>
        <w:tab w:val="left" w:pos="1134"/>
      </w:tabs>
      <w:spacing w:before="120" w:after="0"/>
    </w:pPr>
  </w:style>
  <w:style w:type="paragraph" w:customStyle="1" w:styleId="TableText">
    <w:name w:val="Table_Text"/>
    <w:basedOn w:val="Normal"/>
    <w:rsid w:val="00E5032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E5032B"/>
    <w:pPr>
      <w:spacing w:before="0"/>
    </w:pPr>
    <w:rPr>
      <w:b/>
    </w:rPr>
  </w:style>
  <w:style w:type="paragraph" w:customStyle="1" w:styleId="Table">
    <w:name w:val="Table_#"/>
    <w:basedOn w:val="Normal"/>
    <w:next w:val="TableTitle"/>
    <w:rsid w:val="00E5032B"/>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E5032B"/>
    <w:pPr>
      <w:tabs>
        <w:tab w:val="clear" w:pos="2268"/>
        <w:tab w:val="left" w:pos="2608"/>
        <w:tab w:val="left" w:pos="3345"/>
      </w:tabs>
      <w:spacing w:before="120"/>
      <w:ind w:left="454" w:hanging="454"/>
    </w:pPr>
  </w:style>
  <w:style w:type="paragraph" w:customStyle="1" w:styleId="enumlev2">
    <w:name w:val="enumlev2"/>
    <w:basedOn w:val="enumlev1"/>
    <w:rsid w:val="00E5032B"/>
    <w:pPr>
      <w:tabs>
        <w:tab w:val="left" w:pos="907"/>
      </w:tabs>
      <w:ind w:left="908"/>
    </w:pPr>
  </w:style>
  <w:style w:type="paragraph" w:customStyle="1" w:styleId="enumlev3">
    <w:name w:val="enumlev3"/>
    <w:basedOn w:val="enumlev2"/>
    <w:rsid w:val="00E5032B"/>
    <w:pPr>
      <w:tabs>
        <w:tab w:val="clear" w:pos="1134"/>
        <w:tab w:val="clear" w:pos="1871"/>
        <w:tab w:val="clear" w:pos="2608"/>
        <w:tab w:val="left" w:pos="1361"/>
      </w:tabs>
      <w:ind w:left="1361"/>
    </w:pPr>
  </w:style>
  <w:style w:type="paragraph" w:customStyle="1" w:styleId="Figure">
    <w:name w:val="Figure"/>
    <w:basedOn w:val="Normal"/>
    <w:rsid w:val="00E5032B"/>
    <w:pPr>
      <w:keepNext/>
      <w:keepLines/>
      <w:spacing w:before="240"/>
      <w:jc w:val="center"/>
    </w:pPr>
  </w:style>
  <w:style w:type="paragraph" w:customStyle="1" w:styleId="FigureLegend">
    <w:name w:val="Figure_Legend"/>
    <w:basedOn w:val="TableLegend"/>
    <w:next w:val="Figure0"/>
    <w:rsid w:val="00E5032B"/>
  </w:style>
  <w:style w:type="paragraph" w:customStyle="1" w:styleId="Figure0">
    <w:name w:val="Figure_#"/>
    <w:basedOn w:val="Table"/>
    <w:next w:val="FigureTitle"/>
    <w:rsid w:val="00E5032B"/>
  </w:style>
  <w:style w:type="paragraph" w:customStyle="1" w:styleId="FigureTitle">
    <w:name w:val="Figure_Title"/>
    <w:basedOn w:val="TableTitle"/>
    <w:next w:val="Normal"/>
    <w:rsid w:val="00E5032B"/>
    <w:pPr>
      <w:spacing w:after="720"/>
    </w:pPr>
  </w:style>
  <w:style w:type="paragraph" w:customStyle="1" w:styleId="Annex">
    <w:name w:val="Annex_#"/>
    <w:basedOn w:val="Art"/>
    <w:next w:val="AnnexRef"/>
    <w:rsid w:val="00E5032B"/>
  </w:style>
  <w:style w:type="paragraph" w:customStyle="1" w:styleId="Art">
    <w:name w:val="Art_#"/>
    <w:basedOn w:val="Normal"/>
    <w:next w:val="Arttitle"/>
    <w:rsid w:val="00E5032B"/>
    <w:pPr>
      <w:keepNext/>
      <w:keepLines/>
      <w:spacing w:before="720"/>
      <w:jc w:val="center"/>
    </w:pPr>
    <w:rPr>
      <w:sz w:val="28"/>
    </w:rPr>
  </w:style>
  <w:style w:type="paragraph" w:customStyle="1" w:styleId="Arttitle">
    <w:name w:val="Art_title"/>
    <w:next w:val="Normalaftertitle"/>
    <w:rsid w:val="00E5032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E5032B"/>
    <w:pPr>
      <w:spacing w:before="360"/>
    </w:pPr>
  </w:style>
  <w:style w:type="paragraph" w:customStyle="1" w:styleId="AnnexRef">
    <w:name w:val="Annex_Ref"/>
    <w:basedOn w:val="Normal"/>
    <w:rsid w:val="00E5032B"/>
    <w:pPr>
      <w:jc w:val="center"/>
    </w:pPr>
  </w:style>
  <w:style w:type="paragraph" w:customStyle="1" w:styleId="AnnexTitle">
    <w:name w:val="Annex_Title"/>
    <w:basedOn w:val="Arttitle"/>
    <w:next w:val="Normal"/>
    <w:rsid w:val="00E5032B"/>
    <w:pPr>
      <w:spacing w:after="0"/>
    </w:pPr>
  </w:style>
  <w:style w:type="paragraph" w:customStyle="1" w:styleId="Appendix">
    <w:name w:val="Appendix_#"/>
    <w:basedOn w:val="Art"/>
    <w:next w:val="AppendixTitle"/>
    <w:rsid w:val="00E5032B"/>
  </w:style>
  <w:style w:type="paragraph" w:customStyle="1" w:styleId="AppendixTitle">
    <w:name w:val="Appendix_Title"/>
    <w:basedOn w:val="Arttitle"/>
    <w:next w:val="Normal"/>
    <w:rsid w:val="00E5032B"/>
  </w:style>
  <w:style w:type="paragraph" w:customStyle="1" w:styleId="headfoot">
    <w:name w:val="head_foot"/>
    <w:basedOn w:val="Normal"/>
    <w:next w:val="Normalaftertitle"/>
    <w:rsid w:val="00E5032B"/>
    <w:pPr>
      <w:spacing w:before="0"/>
    </w:pPr>
    <w:rPr>
      <w:color w:val="0000FF"/>
      <w:sz w:val="20"/>
    </w:rPr>
  </w:style>
  <w:style w:type="paragraph" w:customStyle="1" w:styleId="AppendixRef">
    <w:name w:val="Appendix_Ref"/>
    <w:basedOn w:val="AnnexRef"/>
    <w:next w:val="AppendixTitle"/>
    <w:rsid w:val="00E5032B"/>
  </w:style>
  <w:style w:type="paragraph" w:customStyle="1" w:styleId="RefTitle">
    <w:name w:val="Ref_Title"/>
    <w:basedOn w:val="Normal"/>
    <w:next w:val="RefText"/>
    <w:rsid w:val="00E5032B"/>
    <w:pPr>
      <w:spacing w:before="480"/>
      <w:jc w:val="left"/>
    </w:pPr>
    <w:rPr>
      <w:b/>
    </w:rPr>
  </w:style>
  <w:style w:type="paragraph" w:customStyle="1" w:styleId="RefText">
    <w:name w:val="Ref_Text"/>
    <w:basedOn w:val="Normal"/>
    <w:rsid w:val="00E5032B"/>
  </w:style>
  <w:style w:type="paragraph" w:customStyle="1" w:styleId="listitem">
    <w:name w:val="listitem"/>
    <w:basedOn w:val="Normal"/>
    <w:rsid w:val="00E5032B"/>
    <w:pPr>
      <w:keepLines/>
      <w:spacing w:before="0"/>
      <w:jc w:val="left"/>
    </w:pPr>
  </w:style>
  <w:style w:type="paragraph" w:customStyle="1" w:styleId="TableRef">
    <w:name w:val="Table_Ref"/>
    <w:basedOn w:val="Normal"/>
    <w:next w:val="TableTitle"/>
    <w:rsid w:val="00E5032B"/>
    <w:pPr>
      <w:keepNext/>
      <w:spacing w:before="567"/>
      <w:jc w:val="center"/>
    </w:pPr>
    <w:rPr>
      <w:sz w:val="18"/>
    </w:rPr>
  </w:style>
  <w:style w:type="paragraph" w:customStyle="1" w:styleId="Signcountry">
    <w:name w:val="Sign_country"/>
    <w:basedOn w:val="Normal"/>
    <w:next w:val="SignPart"/>
    <w:rsid w:val="00E5032B"/>
    <w:pPr>
      <w:keepNext/>
      <w:keepLines/>
      <w:spacing w:before="240" w:after="57"/>
      <w:jc w:val="left"/>
    </w:pPr>
    <w:rPr>
      <w:b/>
    </w:rPr>
  </w:style>
  <w:style w:type="paragraph" w:customStyle="1" w:styleId="SignPart">
    <w:name w:val="Sign_Part"/>
    <w:basedOn w:val="Signcountry"/>
    <w:rsid w:val="00E5032B"/>
    <w:pPr>
      <w:keepNext w:val="0"/>
      <w:keepLines w:val="0"/>
      <w:spacing w:before="0"/>
      <w:ind w:left="284"/>
    </w:pPr>
    <w:rPr>
      <w:b w:val="0"/>
      <w:smallCaps/>
    </w:rPr>
  </w:style>
  <w:style w:type="paragraph" w:customStyle="1" w:styleId="Chap">
    <w:name w:val="Chap_#"/>
    <w:basedOn w:val="Art"/>
    <w:next w:val="Chaptitle"/>
    <w:rsid w:val="00E5032B"/>
    <w:pPr>
      <w:spacing w:before="1200"/>
    </w:pPr>
    <w:rPr>
      <w:sz w:val="32"/>
    </w:rPr>
  </w:style>
  <w:style w:type="paragraph" w:customStyle="1" w:styleId="Chaptitle">
    <w:name w:val="Chap_title"/>
    <w:basedOn w:val="Arttitle"/>
    <w:next w:val="Art"/>
    <w:rsid w:val="00E5032B"/>
    <w:rPr>
      <w:sz w:val="32"/>
    </w:rPr>
  </w:style>
  <w:style w:type="paragraph" w:customStyle="1" w:styleId="Protfin">
    <w:name w:val="Prot_fin"/>
    <w:basedOn w:val="Normal"/>
    <w:next w:val="Normalaftertitle"/>
    <w:rsid w:val="00E5032B"/>
    <w:pPr>
      <w:pageBreakBefore/>
      <w:spacing w:before="720" w:after="240"/>
      <w:jc w:val="center"/>
    </w:pPr>
    <w:rPr>
      <w:b/>
    </w:rPr>
  </w:style>
  <w:style w:type="paragraph" w:customStyle="1" w:styleId="Prot">
    <w:name w:val="Prot_#"/>
    <w:basedOn w:val="Normal"/>
    <w:next w:val="Protlang"/>
    <w:rsid w:val="00E5032B"/>
    <w:pPr>
      <w:keepNext/>
      <w:spacing w:before="240"/>
      <w:jc w:val="center"/>
    </w:pPr>
  </w:style>
  <w:style w:type="paragraph" w:customStyle="1" w:styleId="Protlang">
    <w:name w:val="Prot_lang"/>
    <w:basedOn w:val="Prot"/>
    <w:next w:val="Protpays"/>
    <w:rsid w:val="00E5032B"/>
    <w:pPr>
      <w:keepLines/>
      <w:framePr w:hSpace="181" w:vSpace="181" w:wrap="auto" w:hAnchor="text" w:xAlign="right"/>
      <w:spacing w:before="0"/>
      <w:jc w:val="right"/>
    </w:pPr>
    <w:rPr>
      <w:i/>
      <w:sz w:val="18"/>
    </w:rPr>
  </w:style>
  <w:style w:type="paragraph" w:customStyle="1" w:styleId="Protpays">
    <w:name w:val="Prot_pays"/>
    <w:basedOn w:val="Protlang"/>
    <w:next w:val="headfoot"/>
    <w:rsid w:val="00E5032B"/>
    <w:pPr>
      <w:framePr w:wrap="auto"/>
      <w:spacing w:before="113" w:line="199" w:lineRule="exact"/>
      <w:jc w:val="left"/>
    </w:pPr>
  </w:style>
  <w:style w:type="paragraph" w:customStyle="1" w:styleId="Prottexte">
    <w:name w:val="Prot_texte"/>
    <w:basedOn w:val="Protlang"/>
    <w:rsid w:val="00E5032B"/>
    <w:pPr>
      <w:keepNext w:val="0"/>
      <w:keepLines w:val="0"/>
      <w:framePr w:wrap="auto"/>
      <w:spacing w:before="113" w:line="199" w:lineRule="exact"/>
      <w:jc w:val="both"/>
    </w:pPr>
    <w:rPr>
      <w:i w:val="0"/>
    </w:rPr>
  </w:style>
  <w:style w:type="paragraph" w:customStyle="1" w:styleId="Protcall">
    <w:name w:val="Prot_call"/>
    <w:basedOn w:val="Prottexte"/>
    <w:next w:val="Prottexte"/>
    <w:rsid w:val="00E5032B"/>
    <w:pPr>
      <w:keepNext/>
      <w:keepLines/>
      <w:framePr w:wrap="auto" w:xAlign="left"/>
      <w:spacing w:before="170"/>
      <w:ind w:left="794"/>
      <w:jc w:val="left"/>
    </w:pPr>
    <w:rPr>
      <w:i/>
    </w:rPr>
  </w:style>
  <w:style w:type="paragraph" w:customStyle="1" w:styleId="Res">
    <w:name w:val="Res_#"/>
    <w:basedOn w:val="Art"/>
    <w:next w:val="Restitle"/>
    <w:rsid w:val="00E5032B"/>
  </w:style>
  <w:style w:type="paragraph" w:customStyle="1" w:styleId="Restitle">
    <w:name w:val="Res_title"/>
    <w:basedOn w:val="Arttitle"/>
    <w:next w:val="headfoot"/>
    <w:rsid w:val="00E5032B"/>
    <w:pPr>
      <w:spacing w:after="120"/>
    </w:pPr>
  </w:style>
  <w:style w:type="paragraph" w:customStyle="1" w:styleId="Rec">
    <w:name w:val="Rec_#"/>
    <w:basedOn w:val="Res"/>
    <w:next w:val="Rectitle"/>
    <w:rsid w:val="00E5032B"/>
  </w:style>
  <w:style w:type="paragraph" w:customStyle="1" w:styleId="Rectitle">
    <w:name w:val="Rec_title"/>
    <w:basedOn w:val="Restitle"/>
    <w:next w:val="headfoot"/>
    <w:rsid w:val="00E5032B"/>
  </w:style>
  <w:style w:type="paragraph" w:customStyle="1" w:styleId="Equation">
    <w:name w:val="Equation"/>
    <w:basedOn w:val="Normal"/>
    <w:rsid w:val="00E5032B"/>
    <w:pPr>
      <w:tabs>
        <w:tab w:val="clear" w:pos="1871"/>
        <w:tab w:val="clear" w:pos="2268"/>
        <w:tab w:val="center" w:pos="4678"/>
        <w:tab w:val="right" w:pos="9356"/>
      </w:tabs>
      <w:jc w:val="left"/>
    </w:pPr>
  </w:style>
  <w:style w:type="paragraph" w:customStyle="1" w:styleId="Note">
    <w:name w:val="Note"/>
    <w:basedOn w:val="Normal"/>
    <w:rsid w:val="00E5032B"/>
    <w:pPr>
      <w:tabs>
        <w:tab w:val="left" w:pos="284"/>
      </w:tabs>
      <w:spacing w:before="160"/>
    </w:pPr>
    <w:rPr>
      <w:sz w:val="20"/>
    </w:rPr>
  </w:style>
  <w:style w:type="paragraph" w:customStyle="1" w:styleId="Signcountry0">
    <w:name w:val="Sign country"/>
    <w:basedOn w:val="Normal"/>
    <w:next w:val="Signpart0"/>
    <w:rsid w:val="00E5032B"/>
    <w:pPr>
      <w:keepNext/>
      <w:keepLines/>
      <w:spacing w:before="240" w:after="57"/>
      <w:jc w:val="left"/>
    </w:pPr>
    <w:rPr>
      <w:b/>
    </w:rPr>
  </w:style>
  <w:style w:type="paragraph" w:customStyle="1" w:styleId="Signpart0">
    <w:name w:val="Sign part"/>
    <w:basedOn w:val="Signcountry0"/>
    <w:rsid w:val="00E5032B"/>
    <w:pPr>
      <w:keepNext w:val="0"/>
      <w:keepLines w:val="0"/>
      <w:spacing w:before="0"/>
      <w:ind w:left="284"/>
    </w:pPr>
    <w:rPr>
      <w:b w:val="0"/>
      <w:smallCaps/>
    </w:rPr>
  </w:style>
  <w:style w:type="paragraph" w:customStyle="1" w:styleId="Section1">
    <w:name w:val="Section_1"/>
    <w:basedOn w:val="Normal"/>
    <w:rsid w:val="00E5032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E5032B"/>
    <w:pPr>
      <w:pageBreakBefore/>
      <w:spacing w:before="720" w:after="240"/>
      <w:jc w:val="center"/>
    </w:pPr>
    <w:rPr>
      <w:b/>
    </w:rPr>
  </w:style>
  <w:style w:type="paragraph" w:customStyle="1" w:styleId="Prot0">
    <w:name w:val="Prot #"/>
    <w:basedOn w:val="Normal"/>
    <w:next w:val="Protlang0"/>
    <w:rsid w:val="00E5032B"/>
    <w:pPr>
      <w:keepNext/>
      <w:spacing w:before="240"/>
      <w:jc w:val="center"/>
    </w:pPr>
  </w:style>
  <w:style w:type="paragraph" w:customStyle="1" w:styleId="Protlang0">
    <w:name w:val="Prot lang"/>
    <w:basedOn w:val="Prot0"/>
    <w:next w:val="Protpays0"/>
    <w:rsid w:val="00E5032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E5032B"/>
    <w:pPr>
      <w:framePr w:wrap="auto"/>
      <w:spacing w:before="113" w:line="199" w:lineRule="exact"/>
      <w:jc w:val="left"/>
    </w:pPr>
  </w:style>
  <w:style w:type="paragraph" w:customStyle="1" w:styleId="Prottexte0">
    <w:name w:val="Prot texte"/>
    <w:basedOn w:val="Protlang0"/>
    <w:rsid w:val="00E5032B"/>
    <w:pPr>
      <w:keepNext w:val="0"/>
      <w:keepLines w:val="0"/>
      <w:framePr w:wrap="auto"/>
      <w:spacing w:before="113" w:line="199" w:lineRule="exact"/>
      <w:jc w:val="both"/>
    </w:pPr>
    <w:rPr>
      <w:i w:val="0"/>
    </w:rPr>
  </w:style>
  <w:style w:type="paragraph" w:customStyle="1" w:styleId="Protcall0">
    <w:name w:val="Prot call"/>
    <w:basedOn w:val="Prottexte0"/>
    <w:next w:val="Prottexte0"/>
    <w:rsid w:val="00E5032B"/>
    <w:pPr>
      <w:keepNext/>
      <w:keepLines/>
      <w:framePr w:wrap="auto" w:xAlign="left"/>
      <w:spacing w:before="170"/>
      <w:ind w:left="794"/>
      <w:jc w:val="left"/>
    </w:pPr>
    <w:rPr>
      <w:i/>
    </w:rPr>
  </w:style>
  <w:style w:type="character" w:styleId="PageNumber">
    <w:name w:val="page number"/>
    <w:basedOn w:val="DefaultParagraphFont"/>
    <w:rsid w:val="00E5032B"/>
  </w:style>
  <w:style w:type="paragraph" w:customStyle="1" w:styleId="TableFin">
    <w:name w:val="Table_Fin"/>
    <w:basedOn w:val="Normal"/>
    <w:rsid w:val="00E5032B"/>
    <w:pPr>
      <w:tabs>
        <w:tab w:val="clear" w:pos="1134"/>
      </w:tabs>
      <w:spacing w:before="0"/>
    </w:pPr>
    <w:rPr>
      <w:sz w:val="12"/>
    </w:rPr>
  </w:style>
  <w:style w:type="paragraph" w:customStyle="1" w:styleId="MEP">
    <w:name w:val="MEP"/>
    <w:basedOn w:val="Normal"/>
    <w:rsid w:val="00E5032B"/>
  </w:style>
  <w:style w:type="paragraph" w:customStyle="1" w:styleId="head">
    <w:name w:val="head"/>
    <w:basedOn w:val="headfoot"/>
    <w:rsid w:val="00E5032B"/>
  </w:style>
  <w:style w:type="paragraph" w:customStyle="1" w:styleId="foot">
    <w:name w:val="foot"/>
    <w:basedOn w:val="headfoot"/>
    <w:rsid w:val="00E5032B"/>
  </w:style>
  <w:style w:type="character" w:customStyle="1" w:styleId="href">
    <w:name w:val="href"/>
    <w:basedOn w:val="DefaultParagraphFont"/>
    <w:rsid w:val="00E5032B"/>
  </w:style>
  <w:style w:type="paragraph" w:customStyle="1" w:styleId="Section2">
    <w:name w:val="Section_2"/>
    <w:basedOn w:val="Section1"/>
    <w:rsid w:val="00E5032B"/>
    <w:pPr>
      <w:jc w:val="left"/>
    </w:pPr>
    <w:rPr>
      <w:b w:val="0"/>
      <w:i/>
    </w:rPr>
  </w:style>
  <w:style w:type="paragraph" w:customStyle="1" w:styleId="Section3">
    <w:name w:val="Section_3"/>
    <w:basedOn w:val="Section1"/>
    <w:rsid w:val="00E5032B"/>
    <w:rPr>
      <w:b w:val="0"/>
    </w:rPr>
  </w:style>
  <w:style w:type="paragraph" w:customStyle="1" w:styleId="EquationLegend">
    <w:name w:val="Equation_Legend"/>
    <w:basedOn w:val="NormalIndent"/>
    <w:rsid w:val="00E5032B"/>
  </w:style>
  <w:style w:type="paragraph" w:customStyle="1" w:styleId="Call">
    <w:name w:val="Call"/>
    <w:basedOn w:val="Normal"/>
    <w:next w:val="Normal"/>
    <w:rsid w:val="00E5032B"/>
    <w:pPr>
      <w:tabs>
        <w:tab w:val="clear" w:pos="1871"/>
        <w:tab w:val="clear" w:pos="2268"/>
      </w:tabs>
      <w:spacing w:before="360"/>
      <w:ind w:left="1134"/>
    </w:pPr>
    <w:rPr>
      <w:i/>
    </w:rPr>
  </w:style>
  <w:style w:type="paragraph" w:customStyle="1" w:styleId="Headingb">
    <w:name w:val="Heading b"/>
    <w:basedOn w:val="Heading3"/>
    <w:rsid w:val="00E5032B"/>
    <w:pPr>
      <w:spacing w:before="400"/>
      <w:ind w:left="0" w:firstLine="0"/>
      <w:outlineLvl w:val="9"/>
    </w:pPr>
  </w:style>
  <w:style w:type="paragraph" w:customStyle="1" w:styleId="TableHead">
    <w:name w:val="Table_Head"/>
    <w:basedOn w:val="TableText"/>
    <w:next w:val="TableText"/>
    <w:rsid w:val="00E5032B"/>
    <w:pPr>
      <w:spacing w:before="80" w:after="80"/>
      <w:jc w:val="center"/>
    </w:pPr>
    <w:rPr>
      <w:b/>
    </w:rPr>
  </w:style>
  <w:style w:type="paragraph" w:customStyle="1" w:styleId="Line">
    <w:name w:val="Line"/>
    <w:basedOn w:val="Normal"/>
    <w:next w:val="Normal"/>
    <w:rsid w:val="00E5032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E5032B"/>
    <w:rPr>
      <w:b w:val="0"/>
      <w:i/>
    </w:rPr>
  </w:style>
  <w:style w:type="paragraph" w:styleId="TableofFigures">
    <w:name w:val="table of figures"/>
    <w:basedOn w:val="Normal"/>
    <w:next w:val="Normal"/>
    <w:semiHidden/>
    <w:rsid w:val="00E5032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E5032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E5032B"/>
    <w:rPr>
      <w:sz w:val="16"/>
    </w:rPr>
  </w:style>
  <w:style w:type="paragraph" w:styleId="CommentText">
    <w:name w:val="annotation text"/>
    <w:basedOn w:val="Normal"/>
    <w:semiHidden/>
    <w:rsid w:val="00E5032B"/>
    <w:rPr>
      <w:sz w:val="20"/>
      <w:lang w:val="fr-FR"/>
    </w:rPr>
  </w:style>
  <w:style w:type="paragraph" w:customStyle="1" w:styleId="Tabletext0">
    <w:name w:val="Table_text"/>
    <w:basedOn w:val="Normal"/>
    <w:rsid w:val="00E5032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E5032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E5032B"/>
    <w:pPr>
      <w:keepNext/>
      <w:spacing w:before="80" w:after="80"/>
      <w:jc w:val="center"/>
    </w:pPr>
    <w:rPr>
      <w:b/>
    </w:rPr>
  </w:style>
  <w:style w:type="character" w:customStyle="1" w:styleId="Artrefdef">
    <w:name w:val="Art_ref_def"/>
    <w:basedOn w:val="DefaultParagraphFont"/>
    <w:rsid w:val="00E5032B"/>
  </w:style>
  <w:style w:type="character" w:customStyle="1" w:styleId="Apprefdef">
    <w:name w:val="App_ref_def"/>
    <w:basedOn w:val="DefaultParagraphFont"/>
    <w:rsid w:val="00E5032B"/>
  </w:style>
  <w:style w:type="character" w:customStyle="1" w:styleId="Resrefdef">
    <w:name w:val="Res_ref_def"/>
    <w:basedOn w:val="DefaultParagraphFont"/>
    <w:rsid w:val="00E5032B"/>
  </w:style>
  <w:style w:type="paragraph" w:customStyle="1" w:styleId="HeaderRegProc">
    <w:name w:val="Header_RegProc"/>
    <w:basedOn w:val="Normal"/>
    <w:rsid w:val="00E5032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E5032B"/>
    <w:pPr>
      <w:tabs>
        <w:tab w:val="clear" w:pos="907"/>
        <w:tab w:val="left" w:pos="1814"/>
      </w:tabs>
      <w:spacing w:before="80"/>
      <w:ind w:left="1815"/>
    </w:pPr>
    <w:rPr>
      <w:lang w:val="fr-CH"/>
    </w:rPr>
  </w:style>
  <w:style w:type="character" w:customStyle="1" w:styleId="href2">
    <w:name w:val="href2"/>
    <w:basedOn w:val="href"/>
    <w:rsid w:val="00E5032B"/>
  </w:style>
  <w:style w:type="character" w:customStyle="1" w:styleId="Style1">
    <w:name w:val="Style1"/>
    <w:basedOn w:val="DefaultParagraphFont"/>
    <w:rsid w:val="00E5032B"/>
  </w:style>
  <w:style w:type="character" w:customStyle="1" w:styleId="Appdef">
    <w:name w:val="App_def"/>
    <w:basedOn w:val="DefaultParagraphFont"/>
    <w:rsid w:val="00E5032B"/>
    <w:rPr>
      <w:b/>
      <w:color w:val="FFCC00"/>
    </w:rPr>
  </w:style>
  <w:style w:type="character" w:customStyle="1" w:styleId="Appref">
    <w:name w:val="App_ref"/>
    <w:basedOn w:val="DefaultParagraphFont"/>
    <w:rsid w:val="00E5032B"/>
    <w:rPr>
      <w:color w:val="3366FF"/>
    </w:rPr>
  </w:style>
  <w:style w:type="character" w:customStyle="1" w:styleId="Artdef">
    <w:name w:val="Art_def"/>
    <w:basedOn w:val="DefaultParagraphFont"/>
    <w:rsid w:val="00E5032B"/>
    <w:rPr>
      <w:b/>
      <w:color w:val="FFCC00"/>
    </w:rPr>
  </w:style>
  <w:style w:type="character" w:customStyle="1" w:styleId="Artref">
    <w:name w:val="Art_ref"/>
    <w:basedOn w:val="DefaultParagraphFont"/>
    <w:rsid w:val="00E5032B"/>
    <w:rPr>
      <w:color w:val="3366FF"/>
    </w:rPr>
  </w:style>
  <w:style w:type="character" w:customStyle="1" w:styleId="Recdef">
    <w:name w:val="Rec_def"/>
    <w:basedOn w:val="DefaultParagraphFont"/>
    <w:rsid w:val="00E5032B"/>
    <w:rPr>
      <w:b/>
      <w:color w:val="FFCC00"/>
    </w:rPr>
  </w:style>
  <w:style w:type="character" w:customStyle="1" w:styleId="Recref">
    <w:name w:val="Rec_ref"/>
    <w:basedOn w:val="DefaultParagraphFont"/>
    <w:rsid w:val="00E5032B"/>
    <w:rPr>
      <w:color w:val="3366FF"/>
    </w:rPr>
  </w:style>
  <w:style w:type="character" w:customStyle="1" w:styleId="Resdef">
    <w:name w:val="Res_def"/>
    <w:basedOn w:val="DefaultParagraphFont"/>
    <w:rsid w:val="00E5032B"/>
    <w:rPr>
      <w:b/>
      <w:color w:val="FFCC00"/>
    </w:rPr>
  </w:style>
  <w:style w:type="character" w:customStyle="1" w:styleId="Resref">
    <w:name w:val="Res_ref"/>
    <w:basedOn w:val="DefaultParagraphFont"/>
    <w:rsid w:val="00E5032B"/>
    <w:rPr>
      <w:color w:val="3366FF"/>
    </w:rPr>
  </w:style>
  <w:style w:type="character" w:customStyle="1" w:styleId="Tableref0">
    <w:name w:val="Table_ref"/>
    <w:basedOn w:val="DefaultParagraphFont"/>
    <w:rsid w:val="00E5032B"/>
    <w:rPr>
      <w:color w:val="3366FF"/>
    </w:rPr>
  </w:style>
  <w:style w:type="paragraph" w:customStyle="1" w:styleId="TableNo">
    <w:name w:val="Table_No"/>
    <w:basedOn w:val="Normal"/>
    <w:next w:val="Tabletitle0"/>
    <w:rsid w:val="00E5032B"/>
    <w:pPr>
      <w:keepNext/>
      <w:tabs>
        <w:tab w:val="clear" w:pos="1134"/>
        <w:tab w:val="clear" w:pos="1871"/>
        <w:tab w:val="clear" w:pos="2268"/>
        <w:tab w:val="left" w:pos="794"/>
        <w:tab w:val="left" w:pos="1191"/>
        <w:tab w:val="left" w:pos="1588"/>
        <w:tab w:val="left" w:pos="1985"/>
      </w:tabs>
      <w:spacing w:before="560" w:after="120"/>
      <w:jc w:val="center"/>
    </w:pPr>
    <w:rPr>
      <w:caps/>
      <w:lang w:val="fr-FR"/>
    </w:rPr>
  </w:style>
  <w:style w:type="paragraph" w:customStyle="1" w:styleId="Tabletitle0">
    <w:name w:val="Table_title"/>
    <w:basedOn w:val="Normal"/>
    <w:next w:val="Tablehead0"/>
    <w:rsid w:val="00E5032B"/>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Equationlegend0">
    <w:name w:val="Equation_legend"/>
    <w:basedOn w:val="NormalIndent"/>
    <w:rsid w:val="00E5032B"/>
    <w:pPr>
      <w:tabs>
        <w:tab w:val="clear" w:pos="1134"/>
        <w:tab w:val="clear" w:pos="1871"/>
        <w:tab w:val="clear" w:pos="2268"/>
        <w:tab w:val="right" w:pos="1701"/>
        <w:tab w:val="left" w:pos="1985"/>
      </w:tabs>
      <w:spacing w:before="80"/>
      <w:ind w:left="1985" w:hanging="1985"/>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1.wmf"/><Relationship Id="rId55"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oleObject" Target="embeddings/oleObject19.bin"/><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header" Target="header3.xml"/><Relationship Id="rId8" Type="http://schemas.openxmlformats.org/officeDocument/2006/relationships/oleObject" Target="embeddings/oleObject1.bin"/><Relationship Id="rId51" Type="http://schemas.openxmlformats.org/officeDocument/2006/relationships/oleObject" Target="embeddings/oleObject24.bin"/><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TotalTime>
  <Pages>15</Pages>
  <Words>4229</Words>
  <Characters>22697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26873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B1 / SECB3 du RR</dc:subject>
  <dc:creator>Composition des Publications</dc:creator>
  <cp:keywords>FOLIOS:  1  - 14</cp:keywords>
  <dc:description>Edition 2009:  11.03.2009/DD (dict. ok)</dc:description>
  <cp:lastModifiedBy>simon denicola</cp:lastModifiedBy>
  <cp:revision>3</cp:revision>
  <cp:lastPrinted>2005-05-18T12:37:00Z</cp:lastPrinted>
  <dcterms:created xsi:type="dcterms:W3CDTF">2012-08-08T16:05:00Z</dcterms:created>
  <dcterms:modified xsi:type="dcterms:W3CDTF">2012-08-31T12:54:00Z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