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D83" w:rsidRPr="009C0818" w:rsidRDefault="00954D83" w:rsidP="00877E9F">
      <w:pPr>
        <w:pStyle w:val="Heading1"/>
        <w:spacing w:before="140"/>
        <w:jc w:val="center"/>
        <w:rPr>
          <w:lang w:val="fr-FR"/>
        </w:rPr>
      </w:pPr>
      <w:r w:rsidRPr="009C0818">
        <w:rPr>
          <w:lang w:val="fr-FR"/>
        </w:rPr>
        <w:t xml:space="preserve">PARTIE  </w:t>
      </w:r>
      <w:r w:rsidRPr="009C0818">
        <w:rPr>
          <w:rStyle w:val="href"/>
          <w:lang w:val="fr-FR"/>
        </w:rPr>
        <w:t>A9</w:t>
      </w:r>
    </w:p>
    <w:p w:rsidR="00954D83" w:rsidRPr="009C0818" w:rsidRDefault="00954D83" w:rsidP="00877E9F">
      <w:pPr>
        <w:pStyle w:val="Heading1"/>
        <w:spacing w:before="240"/>
        <w:ind w:left="0" w:firstLine="0"/>
        <w:jc w:val="center"/>
        <w:rPr>
          <w:lang w:val="fr-FR"/>
        </w:rPr>
      </w:pPr>
      <w:r w:rsidRPr="009C0818">
        <w:rPr>
          <w:lang w:val="fr-FR"/>
        </w:rPr>
        <w:t>Règles relatives à l'Accord régional relatif à la planification</w:t>
      </w:r>
      <w:r w:rsidR="009C0818" w:rsidRPr="009C0818">
        <w:rPr>
          <w:lang w:val="fr-FR"/>
        </w:rPr>
        <w:br/>
      </w:r>
      <w:r w:rsidRPr="009C0818">
        <w:rPr>
          <w:lang w:val="fr-FR"/>
        </w:rPr>
        <w:t>du service de</w:t>
      </w:r>
      <w:r w:rsidR="009C0818" w:rsidRPr="009C0818">
        <w:rPr>
          <w:lang w:val="fr-FR"/>
        </w:rPr>
        <w:t xml:space="preserve"> </w:t>
      </w:r>
      <w:r w:rsidRPr="009C0818">
        <w:rPr>
          <w:lang w:val="fr-FR"/>
        </w:rPr>
        <w:t>radionavigation maritime (radiophares)</w:t>
      </w:r>
      <w:r w:rsidR="009C0818" w:rsidRPr="009C0818">
        <w:rPr>
          <w:lang w:val="fr-FR"/>
        </w:rPr>
        <w:br/>
      </w:r>
      <w:r w:rsidRPr="009C0818">
        <w:rPr>
          <w:lang w:val="fr-FR"/>
        </w:rPr>
        <w:t>dans</w:t>
      </w:r>
      <w:r w:rsidR="009C0818" w:rsidRPr="009C0818">
        <w:rPr>
          <w:lang w:val="fr-FR"/>
        </w:rPr>
        <w:t xml:space="preserve"> </w:t>
      </w:r>
      <w:r w:rsidRPr="009C0818">
        <w:rPr>
          <w:lang w:val="fr-FR"/>
        </w:rPr>
        <w:t>la Zo</w:t>
      </w:r>
      <w:bookmarkStart w:id="0" w:name="_GoBack"/>
      <w:bookmarkEnd w:id="0"/>
      <w:r w:rsidRPr="009C0818">
        <w:rPr>
          <w:lang w:val="fr-FR"/>
        </w:rPr>
        <w:t>ne européenne maritime</w:t>
      </w:r>
      <w:r w:rsidRPr="009C0818">
        <w:rPr>
          <w:lang w:val="fr-FR"/>
        </w:rPr>
        <w:br/>
        <w:t>(Genève, 1985) (</w:t>
      </w:r>
      <w:r w:rsidRPr="009C0818">
        <w:rPr>
          <w:rStyle w:val="href2"/>
          <w:lang w:val="fr-FR"/>
        </w:rPr>
        <w:t>GE85-EMA</w:t>
      </w:r>
      <w:r w:rsidRPr="009C0818">
        <w:rPr>
          <w:lang w:val="fr-FR"/>
        </w:rPr>
        <w:t>)</w:t>
      </w:r>
    </w:p>
    <w:p w:rsidR="00954D83" w:rsidRPr="009C0818" w:rsidRDefault="00954D83">
      <w:pPr>
        <w:pStyle w:val="Heading1"/>
        <w:rPr>
          <w:lang w:val="fr-FR"/>
        </w:rPr>
      </w:pPr>
      <w:r w:rsidRPr="009C0818">
        <w:rPr>
          <w:lang w:val="fr-FR"/>
        </w:rPr>
        <w:t>1</w:t>
      </w:r>
      <w:r w:rsidRPr="009C0818">
        <w:rPr>
          <w:lang w:val="fr-FR"/>
        </w:rPr>
        <w:tab/>
        <w:t>Statut des administrations vis-à-vis de l'Accord</w:t>
      </w:r>
    </w:p>
    <w:p w:rsidR="00954D83" w:rsidRPr="009C0818" w:rsidRDefault="00954D83">
      <w:pPr>
        <w:rPr>
          <w:lang w:val="fr-FR"/>
        </w:rPr>
      </w:pPr>
      <w:r w:rsidRPr="009C0818">
        <w:rPr>
          <w:lang w:val="fr-FR"/>
        </w:rPr>
        <w:t>1.1</w:t>
      </w:r>
      <w:r w:rsidRPr="009C0818">
        <w:rPr>
          <w:lang w:val="fr-FR"/>
        </w:rPr>
        <w:tab/>
        <w:t>Pendant la période transitoire entre l'établissement de l'Accord (13 mars 1985) et son entrée en vigueur (1</w:t>
      </w:r>
      <w:r w:rsidRPr="009C0818">
        <w:rPr>
          <w:vertAlign w:val="superscript"/>
          <w:lang w:val="fr-FR"/>
        </w:rPr>
        <w:t>er</w:t>
      </w:r>
      <w:r w:rsidRPr="009C0818">
        <w:rPr>
          <w:lang w:val="fr-FR"/>
        </w:rPr>
        <w:t xml:space="preserve"> avril 1992), et après consultation des administrations des pays situés dans la Zone européenne maritime, le Comité a introduit et utilisé la notion de «partie à l'Accord» aux fins d'application des procédures et des critères techniques connexes énoncés aux Articles 4, 5 et 6 de l'Accord GE85-EMA relatifs aux modifications du Plan et à la notifi</w:t>
      </w:r>
      <w:r w:rsidRPr="009C0818">
        <w:rPr>
          <w:lang w:val="fr-FR"/>
        </w:rPr>
        <w:softHyphen/>
        <w:t>cation, à l'examen et à l'inscription des fiches de notification d'assignation de fréquence aux stations des services planifiés (radionavigation maritime) ou non planifiés (radionavigation aéronautique). Ont été considérées comme étant «parties à l'Accord GE85-EMA» toutes les administrations ayant des territoires dans la zone de planification (c'est-à-dire dans la Zone européenne maritime) qui n'étaient pas opposées à ce concept. Les administrations qui ont déclaré formellement qu'elles ne souhaitaient pas être considérées comme étant «parties à l'Accord», ainsi que les administrations non participantes, sans assignations dans le Plan qui n'avaient pas déclaré formellement qu'elles avaient l'intention de devenir «parties à l'Accord» ont été considérées comme étant «non parties à l'Accord».</w:t>
      </w:r>
    </w:p>
    <w:p w:rsidR="00954D83" w:rsidRPr="009C0818" w:rsidRDefault="00954D83" w:rsidP="009C0818">
      <w:pPr>
        <w:rPr>
          <w:lang w:val="fr-FR"/>
        </w:rPr>
      </w:pPr>
      <w:r w:rsidRPr="009C0818">
        <w:rPr>
          <w:lang w:val="fr-FR"/>
        </w:rPr>
        <w:t>1.2</w:t>
      </w:r>
      <w:r w:rsidRPr="009C0818">
        <w:rPr>
          <w:lang w:val="fr-FR"/>
        </w:rPr>
        <w:tab/>
        <w:t>Après l'entrée en vigueur de l'Accord et en attendant d'engager d'autres consul</w:t>
      </w:r>
      <w:r w:rsidRPr="009C0818">
        <w:rPr>
          <w:lang w:val="fr-FR"/>
        </w:rPr>
        <w:softHyphen/>
        <w:t>tations avec les administrations concernées, le Comité a décidé de maintenir ce concept. En conséquence, le Bureau considérera comme étant parties à l'Accord GE85</w:t>
      </w:r>
      <w:r w:rsidRPr="009C0818">
        <w:rPr>
          <w:lang w:val="fr-FR"/>
        </w:rPr>
        <w:noBreakHyphen/>
        <w:t>EMA toutes les administrations ayant des territoires dans la Zone européenne maritime, à l'exception des administrations des pays suivants: AND, BIH, BLR, CVA, IRQ, ISL, LIE, LUX, MDA, MKD, SMR, SUI et SVN, qui sont donc considérées comme étant non parties à l'Accord jusqu'à ce qu'elles adhèrent officiellement à l'Accord.</w:t>
      </w:r>
    </w:p>
    <w:p w:rsidR="00954D83" w:rsidRPr="009C0818" w:rsidRDefault="00954D83">
      <w:pPr>
        <w:pStyle w:val="Heading1"/>
        <w:rPr>
          <w:smallCaps/>
          <w:lang w:val="fr-FR"/>
        </w:rPr>
      </w:pPr>
      <w:r w:rsidRPr="009C0818">
        <w:rPr>
          <w:smallCaps/>
          <w:lang w:val="fr-FR"/>
        </w:rPr>
        <w:t>2</w:t>
      </w:r>
      <w:r w:rsidRPr="009C0818">
        <w:rPr>
          <w:smallCaps/>
          <w:lang w:val="fr-FR"/>
        </w:rPr>
        <w:tab/>
      </w:r>
      <w:r w:rsidRPr="009C0818">
        <w:rPr>
          <w:lang w:val="fr-FR"/>
        </w:rPr>
        <w:t xml:space="preserve">Application du numéro </w:t>
      </w:r>
      <w:r w:rsidRPr="009C0818">
        <w:rPr>
          <w:rStyle w:val="Artref"/>
          <w:color w:val="000000"/>
          <w:lang w:val="fr-FR"/>
        </w:rPr>
        <w:t>S5.73</w:t>
      </w:r>
      <w:r w:rsidRPr="009C0818">
        <w:rPr>
          <w:lang w:val="fr-FR"/>
        </w:rPr>
        <w:t xml:space="preserve"> et de la Résolution </w:t>
      </w:r>
      <w:r w:rsidRPr="009C0818">
        <w:rPr>
          <w:rStyle w:val="Resref"/>
          <w:color w:val="000000"/>
          <w:lang w:val="fr-FR"/>
        </w:rPr>
        <w:t>602 (Mob</w:t>
      </w:r>
      <w:r w:rsidRPr="009C0818">
        <w:rPr>
          <w:rStyle w:val="Resref"/>
          <w:color w:val="000000"/>
          <w:lang w:val="fr-FR"/>
        </w:rPr>
        <w:noBreakHyphen/>
        <w:t>87)</w:t>
      </w:r>
      <w:r w:rsidR="00BC5BEA" w:rsidRPr="000D754C">
        <w:rPr>
          <w:rStyle w:val="FootnoteReference"/>
          <w:b w:val="0"/>
          <w:bCs/>
          <w:color w:val="000000"/>
          <w:lang w:val="fr-FR"/>
        </w:rPr>
        <w:footnoteReference w:customMarkFollows="1" w:id="1"/>
        <w:t>*</w:t>
      </w:r>
      <w:r w:rsidRPr="009C0818">
        <w:rPr>
          <w:lang w:val="fr-FR"/>
        </w:rPr>
        <w:t xml:space="preserve"> dans le cadre de l'Accord GE85-EMA</w:t>
      </w:r>
    </w:p>
    <w:p w:rsidR="00954D83" w:rsidRPr="009C0818" w:rsidRDefault="00954D83" w:rsidP="009C0818">
      <w:pPr>
        <w:rPr>
          <w:lang w:val="fr-FR"/>
        </w:rPr>
      </w:pPr>
      <w:r w:rsidRPr="009C0818">
        <w:rPr>
          <w:lang w:val="fr-FR"/>
        </w:rPr>
        <w:t>2.1</w:t>
      </w:r>
      <w:r w:rsidRPr="009C0818">
        <w:rPr>
          <w:lang w:val="fr-FR"/>
        </w:rPr>
        <w:tab/>
        <w:t>Conformément aux décisions de la Conférence administrative régionale pour la planification du service de radionavigation maritime  (radiophares) dans la Zone européenne maritime, Genève, 1985 (désignée ci-après CARR GE85-EMA, Genève, 1985), et pour permettre le traitement des fiches de notification soumises au titre de la Résolution 1 de la Conférence, le Comité a établi la Règle provisoire Nº H42 concernant l'application, par les administrations parties à l'Accord et par l'ex-IFRB, de la procédure transitoire définie dans l'Annexe de la Résolution 1(EMA), au cours de la période précédant l'entrée en vigueur de l'Accord (1</w:t>
      </w:r>
      <w:r w:rsidRPr="009C0818">
        <w:rPr>
          <w:vertAlign w:val="superscript"/>
          <w:lang w:val="fr-FR"/>
        </w:rPr>
        <w:t>er</w:t>
      </w:r>
      <w:r w:rsidR="009C0818" w:rsidRPr="009C0818">
        <w:rPr>
          <w:lang w:val="fr-FR"/>
        </w:rPr>
        <w:t> </w:t>
      </w:r>
      <w:r w:rsidRPr="009C0818">
        <w:rPr>
          <w:lang w:val="fr-FR"/>
        </w:rPr>
        <w:t>avril</w:t>
      </w:r>
      <w:r w:rsidR="009C0818" w:rsidRPr="009C0818">
        <w:rPr>
          <w:lang w:val="fr-FR"/>
        </w:rPr>
        <w:t> </w:t>
      </w:r>
      <w:r w:rsidRPr="009C0818">
        <w:rPr>
          <w:lang w:val="fr-FR"/>
        </w:rPr>
        <w:t>1992).</w:t>
      </w:r>
    </w:p>
    <w:p w:rsidR="00954D83" w:rsidRPr="009C0818" w:rsidRDefault="00954D83" w:rsidP="009C0818">
      <w:pPr>
        <w:rPr>
          <w:lang w:val="fr-FR"/>
        </w:rPr>
      </w:pPr>
      <w:r w:rsidRPr="009C0818">
        <w:rPr>
          <w:lang w:val="fr-FR"/>
        </w:rPr>
        <w:br w:type="page"/>
      </w:r>
      <w:r w:rsidRPr="009C0818">
        <w:rPr>
          <w:lang w:val="fr-FR"/>
        </w:rPr>
        <w:lastRenderedPageBreak/>
        <w:t>2.2</w:t>
      </w:r>
      <w:r w:rsidRPr="009C0818">
        <w:rPr>
          <w:lang w:val="fr-FR"/>
        </w:rPr>
        <w:tab/>
        <w:t>Après la publication de la Règle Nº H42 (voir la Lettre circulaire de l'ex-IFRB Nº 828 du 5 juillet 1990), plusieurs administrations ont fait savoir qu'elles se proposaient d'utiliser les radiophares maritimes dans cette bande pour transmettre aux navires des infor</w:t>
      </w:r>
      <w:r w:rsidR="009C0818" w:rsidRPr="009C0818">
        <w:rPr>
          <w:lang w:val="fr-FR"/>
        </w:rPr>
        <w:softHyphen/>
      </w:r>
      <w:r w:rsidRPr="009C0818">
        <w:rPr>
          <w:lang w:val="fr-FR"/>
        </w:rPr>
        <w:t>mations supplémentaires utiles à la navigation, y compris des corrections différentielles d'autres systèmes de radionavigation (par exemple, Oméga, GPS, Loran</w:t>
      </w:r>
      <w:r w:rsidR="009C0818" w:rsidRPr="009C0818">
        <w:rPr>
          <w:lang w:val="fr-FR"/>
        </w:rPr>
        <w:noBreakHyphen/>
      </w:r>
      <w:r w:rsidRPr="009C0818">
        <w:rPr>
          <w:lang w:val="fr-FR"/>
        </w:rPr>
        <w:t>C).</w:t>
      </w:r>
    </w:p>
    <w:p w:rsidR="00954D83" w:rsidRPr="009C0818" w:rsidRDefault="00954D83" w:rsidP="009C0818">
      <w:pPr>
        <w:rPr>
          <w:lang w:val="fr-FR"/>
        </w:rPr>
      </w:pPr>
      <w:r w:rsidRPr="009C0818">
        <w:rPr>
          <w:lang w:val="fr-FR"/>
        </w:rPr>
        <w:t>2.3</w:t>
      </w:r>
      <w:r w:rsidRPr="009C0818">
        <w:rPr>
          <w:lang w:val="fr-FR"/>
        </w:rPr>
        <w:tab/>
        <w:t>Le Comité a réexaminé la question en tenant compte tout particulièrement des dispositions du numéro</w:t>
      </w:r>
      <w:r w:rsidR="009C0818" w:rsidRPr="009C0818">
        <w:rPr>
          <w:lang w:val="fr-FR"/>
        </w:rPr>
        <w:t xml:space="preserve"> </w:t>
      </w:r>
      <w:r w:rsidRPr="009C0818">
        <w:rPr>
          <w:rStyle w:val="Artref"/>
          <w:b/>
          <w:bCs/>
          <w:color w:val="000000"/>
          <w:lang w:val="fr-FR"/>
        </w:rPr>
        <w:t>S5.73</w:t>
      </w:r>
      <w:r w:rsidRPr="009C0818">
        <w:rPr>
          <w:rStyle w:val="Artref0"/>
          <w:lang w:val="fr-FR"/>
        </w:rPr>
        <w:t xml:space="preserve"> du RR</w:t>
      </w:r>
      <w:r w:rsidRPr="009C0818">
        <w:rPr>
          <w:lang w:val="fr-FR"/>
        </w:rPr>
        <w:t xml:space="preserve">, de la Résolution </w:t>
      </w:r>
      <w:r w:rsidRPr="009C0818">
        <w:rPr>
          <w:rStyle w:val="Resref"/>
          <w:b/>
          <w:bCs/>
          <w:color w:val="000000"/>
          <w:lang w:val="fr-FR"/>
        </w:rPr>
        <w:t>602 (Mob-87)</w:t>
      </w:r>
      <w:r w:rsidR="00081977" w:rsidRPr="00D00412">
        <w:rPr>
          <w:rStyle w:val="FootnoteReference"/>
          <w:color w:val="000000"/>
          <w:lang w:val="fr-FR"/>
        </w:rPr>
        <w:footnoteReference w:customMarkFollows="1" w:id="2"/>
        <w:t>*</w:t>
      </w:r>
      <w:r w:rsidRPr="009C0818">
        <w:rPr>
          <w:lang w:val="fr-FR"/>
        </w:rPr>
        <w:t xml:space="preserve">, et de la </w:t>
      </w:r>
      <w:r w:rsidRPr="009C0818">
        <w:rPr>
          <w:iCs/>
          <w:lang w:val="fr-FR"/>
        </w:rPr>
        <w:t>Note 2</w:t>
      </w:r>
      <w:r w:rsidRPr="009C0818">
        <w:rPr>
          <w:lang w:val="fr-FR"/>
        </w:rPr>
        <w:t xml:space="preserve"> de l'Annexe</w:t>
      </w:r>
      <w:r w:rsidR="009C0818" w:rsidRPr="009C0818">
        <w:rPr>
          <w:lang w:val="fr-FR"/>
        </w:rPr>
        <w:t> </w:t>
      </w:r>
      <w:r w:rsidRPr="009C0818">
        <w:rPr>
          <w:lang w:val="fr-FR"/>
        </w:rPr>
        <w:t>1 de l'Accord régional. La Règle Nº H42(</w:t>
      </w:r>
      <w:proofErr w:type="spellStart"/>
      <w:r w:rsidRPr="009C0818">
        <w:rPr>
          <w:lang w:val="fr-FR"/>
        </w:rPr>
        <w:t>Rév</w:t>
      </w:r>
      <w:proofErr w:type="spellEnd"/>
      <w:r w:rsidRPr="009C0818">
        <w:rPr>
          <w:lang w:val="fr-FR"/>
        </w:rPr>
        <w:t>.) a été publiée dans la Lettre circulaire de l'ex-IFRB Nº 913 du 30 septembre 1992 portant sur ce sujet. La méthode proposée n'ayant pas suscité d'objections, le Comité a décidé de la garder (voir aussi la Partie A1 des Règles de procédure concernant l'application du numéro </w:t>
      </w:r>
      <w:r w:rsidRPr="009C0818">
        <w:rPr>
          <w:rStyle w:val="Artref"/>
          <w:b/>
          <w:bCs/>
          <w:color w:val="000000"/>
          <w:lang w:val="fr-FR"/>
        </w:rPr>
        <w:t>5.73</w:t>
      </w:r>
      <w:r w:rsidRPr="009C0818">
        <w:rPr>
          <w:lang w:val="fr-FR"/>
        </w:rPr>
        <w:t>).</w:t>
      </w:r>
    </w:p>
    <w:p w:rsidR="00954D83" w:rsidRPr="009C0818" w:rsidRDefault="00954D83">
      <w:pPr>
        <w:pStyle w:val="Heading1"/>
        <w:rPr>
          <w:lang w:val="fr-FR"/>
        </w:rPr>
      </w:pPr>
      <w:r w:rsidRPr="009C0818">
        <w:rPr>
          <w:lang w:val="fr-FR"/>
        </w:rPr>
        <w:t>3</w:t>
      </w:r>
      <w:r w:rsidRPr="009C0818">
        <w:rPr>
          <w:lang w:val="fr-FR"/>
        </w:rPr>
        <w:tab/>
        <w:t>Traitement des fiches de notification d'assignation de fréquence à des stations de radiophare du service de radionavigation maritime par des administrations considérées comme étant parties à l'Accord (Article 5 de l'Accord)</w:t>
      </w:r>
    </w:p>
    <w:p w:rsidR="00954D83" w:rsidRPr="009C0818" w:rsidRDefault="00954D83">
      <w:pPr>
        <w:rPr>
          <w:lang w:val="fr-FR"/>
        </w:rPr>
      </w:pPr>
      <w:r w:rsidRPr="009C0818">
        <w:rPr>
          <w:lang w:val="fr-FR"/>
        </w:rPr>
        <w:t>Les fiches de notification d'assignation de fréquence dans la bande 283,5-315 kHz, aux stations de radiophare du service de radionavigation maritime situées dans la Zone euro</w:t>
      </w:r>
      <w:r w:rsidR="009C0818" w:rsidRPr="009C0818">
        <w:rPr>
          <w:lang w:val="fr-FR"/>
        </w:rPr>
        <w:softHyphen/>
      </w:r>
      <w:r w:rsidRPr="009C0818">
        <w:rPr>
          <w:lang w:val="fr-FR"/>
        </w:rPr>
        <w:t>péenne maritime et notifiées par les administrations considérées comme étant parties à l'Accord doivent faire l'objet des examens suivants.</w:t>
      </w:r>
    </w:p>
    <w:p w:rsidR="00954D83" w:rsidRPr="009C0818" w:rsidRDefault="00954D83" w:rsidP="009C0818">
      <w:pPr>
        <w:pStyle w:val="Heading2"/>
        <w:rPr>
          <w:lang w:val="fr-FR"/>
        </w:rPr>
      </w:pPr>
      <w:r w:rsidRPr="009C0818">
        <w:rPr>
          <w:lang w:val="fr-FR"/>
        </w:rPr>
        <w:t>3.1</w:t>
      </w:r>
      <w:r w:rsidRPr="009C0818">
        <w:rPr>
          <w:lang w:val="fr-FR"/>
        </w:rPr>
        <w:tab/>
        <w:t>Examen par rapport au Règlement (numéro</w:t>
      </w:r>
      <w:r w:rsidR="009C0818" w:rsidRPr="009C0818">
        <w:rPr>
          <w:lang w:val="fr-FR"/>
        </w:rPr>
        <w:t xml:space="preserve"> </w:t>
      </w:r>
      <w:r w:rsidRPr="009C0818">
        <w:rPr>
          <w:rStyle w:val="Artref0"/>
          <w:lang w:val="fr-FR"/>
        </w:rPr>
        <w:t>11.31</w:t>
      </w:r>
      <w:r w:rsidRPr="009C0818">
        <w:rPr>
          <w:lang w:val="fr-FR"/>
        </w:rPr>
        <w:t xml:space="preserve"> et dispositions connexes)</w:t>
      </w:r>
    </w:p>
    <w:p w:rsidR="00954D83" w:rsidRPr="009C0818" w:rsidRDefault="00954D83">
      <w:pPr>
        <w:rPr>
          <w:lang w:val="fr-FR"/>
        </w:rPr>
      </w:pPr>
      <w:r w:rsidRPr="009C0818">
        <w:rPr>
          <w:lang w:val="fr-FR"/>
        </w:rPr>
        <w:t>L'examen réglementaire de ces fiches de notification consiste à vérifier qu'elles sont conformes au Tableau d'attribution des bandes de fréquences, et à vérifier que la fiche de notification concerne bien une station de radiophare.</w:t>
      </w:r>
    </w:p>
    <w:p w:rsidR="00954D83" w:rsidRPr="009C0818" w:rsidRDefault="00954D83">
      <w:pPr>
        <w:pStyle w:val="Heading2"/>
        <w:rPr>
          <w:lang w:val="fr-FR"/>
        </w:rPr>
      </w:pPr>
      <w:r w:rsidRPr="009C0818">
        <w:rPr>
          <w:lang w:val="fr-FR"/>
        </w:rPr>
        <w:t>3.2</w:t>
      </w:r>
      <w:r w:rsidRPr="009C0818">
        <w:rPr>
          <w:lang w:val="fr-FR"/>
        </w:rPr>
        <w:tab/>
        <w:t>Examen de conformité avec l'Accord</w:t>
      </w:r>
    </w:p>
    <w:p w:rsidR="00954D83" w:rsidRPr="009C0818" w:rsidRDefault="00954D83" w:rsidP="009C0818">
      <w:pPr>
        <w:rPr>
          <w:lang w:val="fr-FR"/>
        </w:rPr>
      </w:pPr>
      <w:r w:rsidRPr="009C0818">
        <w:rPr>
          <w:lang w:val="fr-FR"/>
        </w:rPr>
        <w:t>L'examen de conformité avec le Plan sera fondé sur la vérification de toutes les données contenues dans le Plan.</w:t>
      </w:r>
    </w:p>
    <w:p w:rsidR="00954D83" w:rsidRPr="009C0818" w:rsidRDefault="00954D83" w:rsidP="009C0818">
      <w:pPr>
        <w:rPr>
          <w:lang w:val="fr-FR"/>
        </w:rPr>
      </w:pPr>
      <w:r w:rsidRPr="009C0818">
        <w:rPr>
          <w:lang w:val="fr-FR"/>
        </w:rPr>
        <w:t xml:space="preserve">Etant donné que la </w:t>
      </w:r>
      <w:r w:rsidRPr="009C0818">
        <w:rPr>
          <w:iCs/>
          <w:lang w:val="fr-FR"/>
        </w:rPr>
        <w:t>Note 2</w:t>
      </w:r>
      <w:r w:rsidRPr="009C0818">
        <w:rPr>
          <w:lang w:val="fr-FR"/>
        </w:rPr>
        <w:t xml:space="preserve"> de l'Annexe 1 de l'Accord régional GE85</w:t>
      </w:r>
      <w:r w:rsidR="009C0818" w:rsidRPr="009C0818">
        <w:rPr>
          <w:lang w:val="fr-FR"/>
        </w:rPr>
        <w:noBreakHyphen/>
      </w:r>
      <w:r w:rsidRPr="009C0818">
        <w:rPr>
          <w:lang w:val="fr-FR"/>
        </w:rPr>
        <w:t>EMA stipule que «les</w:t>
      </w:r>
      <w:r w:rsidR="009C0818" w:rsidRPr="009C0818">
        <w:rPr>
          <w:lang w:val="fr-FR"/>
        </w:rPr>
        <w:t>  </w:t>
      </w:r>
      <w:r w:rsidRPr="009C0818">
        <w:rPr>
          <w:lang w:val="fr-FR"/>
        </w:rPr>
        <w:t>paramètres techniques prévoient aussi des émissions composites utilisant à la fois A1A et F1B», l'assignation de fréquence sera considérée comme conforme à l'Accord dans la mesure où ces deux classes d'émission (A1A et F1B) sont notifiées et où la largeur de bande</w:t>
      </w:r>
      <w:r w:rsidR="009C0818" w:rsidRPr="009C0818">
        <w:rPr>
          <w:lang w:val="fr-FR"/>
        </w:rPr>
        <w:t>  </w:t>
      </w:r>
      <w:r w:rsidRPr="009C0818">
        <w:rPr>
          <w:lang w:val="fr-FR"/>
        </w:rPr>
        <w:t>notifiée ne dépasse pas 500 Hz. En outre, compte tenu des résultats des études des</w:t>
      </w:r>
      <w:r w:rsidR="009C0818" w:rsidRPr="009C0818">
        <w:rPr>
          <w:lang w:val="fr-FR"/>
        </w:rPr>
        <w:t>  </w:t>
      </w:r>
      <w:r w:rsidRPr="009C0818">
        <w:rPr>
          <w:lang w:val="fr-FR"/>
        </w:rPr>
        <w:t>Commissions d'études des radiocommunications découlant de la mise en œuvre de la Résolution 3 (EMA), le Comité a décidé que la classe d'émission G1D (c'est-à-dire la classe d'émission correspondant aux techniques de modulation à déphasage minimal (MDM)) serait également recevable.</w:t>
      </w:r>
    </w:p>
    <w:p w:rsidR="00954D83" w:rsidRPr="009C0818" w:rsidRDefault="00954D83" w:rsidP="009C0818">
      <w:pPr>
        <w:pStyle w:val="Heading1"/>
        <w:rPr>
          <w:lang w:val="fr-FR"/>
        </w:rPr>
      </w:pPr>
      <w:r w:rsidRPr="009C0818">
        <w:rPr>
          <w:lang w:val="fr-FR"/>
        </w:rPr>
        <w:br w:type="page"/>
      </w:r>
      <w:r w:rsidRPr="009C0818">
        <w:rPr>
          <w:lang w:val="fr-FR"/>
        </w:rPr>
        <w:lastRenderedPageBreak/>
        <w:t>4</w:t>
      </w:r>
      <w:r w:rsidRPr="009C0818">
        <w:rPr>
          <w:lang w:val="fr-FR"/>
        </w:rPr>
        <w:tab/>
        <w:t>Traitement des notifications relatives aux modifications au Plan régies par l'Accord GE85-EMA (Article</w:t>
      </w:r>
      <w:r w:rsidR="009C0818" w:rsidRPr="009C0818">
        <w:rPr>
          <w:lang w:val="fr-FR"/>
        </w:rPr>
        <w:t> </w:t>
      </w:r>
      <w:r w:rsidRPr="009C0818">
        <w:rPr>
          <w:lang w:val="fr-FR"/>
        </w:rPr>
        <w:t>4 de l'Accord)</w:t>
      </w:r>
    </w:p>
    <w:p w:rsidR="00954D83" w:rsidRPr="009C0818" w:rsidRDefault="00954D83" w:rsidP="009C0818">
      <w:pPr>
        <w:rPr>
          <w:lang w:val="fr-FR"/>
        </w:rPr>
      </w:pPr>
      <w:r w:rsidRPr="009C0818">
        <w:rPr>
          <w:lang w:val="fr-FR"/>
        </w:rPr>
        <w:t>4.1</w:t>
      </w:r>
      <w:r w:rsidRPr="009C0818">
        <w:rPr>
          <w:lang w:val="fr-FR"/>
        </w:rPr>
        <w:tab/>
        <w:t>Les modifications au Plan sont considérées comme recevables de toutes les admi</w:t>
      </w:r>
      <w:r w:rsidR="009C0818" w:rsidRPr="009C0818">
        <w:rPr>
          <w:lang w:val="fr-FR"/>
        </w:rPr>
        <w:softHyphen/>
      </w:r>
      <w:r w:rsidRPr="009C0818">
        <w:rPr>
          <w:lang w:val="fr-FR"/>
        </w:rPr>
        <w:t>nistrations considérées comme étant parties à l'Accord (voir le §</w:t>
      </w:r>
      <w:r w:rsidR="009C0818" w:rsidRPr="009C0818">
        <w:rPr>
          <w:lang w:val="fr-FR"/>
        </w:rPr>
        <w:t> </w:t>
      </w:r>
      <w:r w:rsidRPr="009C0818">
        <w:rPr>
          <w:lang w:val="fr-FR"/>
        </w:rPr>
        <w:t>1.2 ci-dessus) à condition que les stations en question soient situées dans la Zone européenne maritime.</w:t>
      </w:r>
    </w:p>
    <w:p w:rsidR="00954D83" w:rsidRPr="009C0818" w:rsidRDefault="00954D83">
      <w:pPr>
        <w:rPr>
          <w:lang w:val="fr-FR"/>
        </w:rPr>
      </w:pPr>
      <w:r w:rsidRPr="009C0818">
        <w:rPr>
          <w:lang w:val="fr-FR"/>
        </w:rPr>
        <w:t>4.2</w:t>
      </w:r>
      <w:r w:rsidRPr="009C0818">
        <w:rPr>
          <w:lang w:val="fr-FR"/>
        </w:rPr>
        <w:tab/>
        <w:t>Le traitement des notifications relatives aux modifications du Plan s'effectue selon les procédures suivantes:</w:t>
      </w:r>
    </w:p>
    <w:p w:rsidR="00954D83" w:rsidRPr="009C0818" w:rsidRDefault="00954D83" w:rsidP="009C0818">
      <w:pPr>
        <w:pStyle w:val="enumlev1"/>
        <w:ind w:left="0" w:firstLine="0"/>
        <w:rPr>
          <w:lang w:val="fr-FR"/>
        </w:rPr>
      </w:pPr>
      <w:r w:rsidRPr="009C0818">
        <w:rPr>
          <w:lang w:val="fr-FR"/>
        </w:rPr>
        <w:t>4.2.1</w:t>
      </w:r>
      <w:r w:rsidRPr="009C0818">
        <w:rPr>
          <w:lang w:val="fr-FR"/>
        </w:rPr>
        <w:tab/>
        <w:t>Les principes techniques à utiliser dans la procédure pour les modifications du Plan sont ceux que contiennent les Annexes 2 et 3 de l'Accord GE85</w:t>
      </w:r>
      <w:r w:rsidR="009C0818" w:rsidRPr="009C0818">
        <w:rPr>
          <w:lang w:val="fr-FR"/>
        </w:rPr>
        <w:noBreakHyphen/>
      </w:r>
      <w:r w:rsidRPr="009C0818">
        <w:rPr>
          <w:lang w:val="fr-FR"/>
        </w:rPr>
        <w:t>EMA. Le logiciel utilisé à la CARR GE85</w:t>
      </w:r>
      <w:r w:rsidR="009C0818" w:rsidRPr="009C0818">
        <w:rPr>
          <w:lang w:val="fr-FR"/>
        </w:rPr>
        <w:noBreakHyphen/>
      </w:r>
      <w:r w:rsidRPr="009C0818">
        <w:rPr>
          <w:lang w:val="fr-FR"/>
        </w:rPr>
        <w:t>EMA sera employé à cette fin, après avoir été convenablement modifié en vue de tenir compte des lignes côtières numérisées.</w:t>
      </w:r>
    </w:p>
    <w:p w:rsidR="00954D83" w:rsidRPr="009C0818" w:rsidRDefault="00954D83">
      <w:pPr>
        <w:pStyle w:val="enumlev1"/>
        <w:ind w:left="0" w:firstLine="0"/>
        <w:rPr>
          <w:lang w:val="fr-FR"/>
        </w:rPr>
      </w:pPr>
      <w:r w:rsidRPr="009C0818">
        <w:rPr>
          <w:lang w:val="fr-FR"/>
        </w:rPr>
        <w:t>4.2.2</w:t>
      </w:r>
      <w:r w:rsidRPr="009C0818">
        <w:rPr>
          <w:lang w:val="fr-FR"/>
        </w:rPr>
        <w:tab/>
        <w:t>Les éléments suivants sont vérifiés du point de vue de leur conformité avec les principes techniques de l'Accord:</w:t>
      </w:r>
    </w:p>
    <w:p w:rsidR="00954D83" w:rsidRPr="009C0818" w:rsidRDefault="00954D83" w:rsidP="009C0818">
      <w:pPr>
        <w:pStyle w:val="enumlev1"/>
        <w:rPr>
          <w:lang w:val="fr-FR"/>
        </w:rPr>
      </w:pPr>
      <w:r w:rsidRPr="009C0818">
        <w:rPr>
          <w:lang w:val="fr-FR"/>
        </w:rPr>
        <w:t>–</w:t>
      </w:r>
      <w:r w:rsidRPr="009C0818">
        <w:rPr>
          <w:lang w:val="fr-FR"/>
        </w:rPr>
        <w:tab/>
        <w:t>conformité de la fréquence assignée avec la disposition des voies spécifiée à l'Annexe</w:t>
      </w:r>
      <w:r w:rsidR="009C0818" w:rsidRPr="009C0818">
        <w:rPr>
          <w:lang w:val="fr-FR"/>
        </w:rPr>
        <w:t> </w:t>
      </w:r>
      <w:r w:rsidRPr="009C0818">
        <w:rPr>
          <w:lang w:val="fr-FR"/>
        </w:rPr>
        <w:t>2 de l'Accord GE85</w:t>
      </w:r>
      <w:r w:rsidR="009C0818" w:rsidRPr="009C0818">
        <w:rPr>
          <w:lang w:val="fr-FR"/>
        </w:rPr>
        <w:noBreakHyphen/>
      </w:r>
      <w:r w:rsidRPr="009C0818">
        <w:rPr>
          <w:lang w:val="fr-FR"/>
        </w:rPr>
        <w:t xml:space="preserve">EMA; cependant le Bureau n'applique pas les dispositions de la </w:t>
      </w:r>
      <w:r w:rsidRPr="009C0818">
        <w:rPr>
          <w:iCs/>
          <w:lang w:val="fr-FR"/>
        </w:rPr>
        <w:t>Note 1</w:t>
      </w:r>
      <w:r w:rsidRPr="009C0818">
        <w:rPr>
          <w:lang w:val="fr-FR"/>
        </w:rPr>
        <w:t xml:space="preserve"> de cette Annexe;</w:t>
      </w:r>
    </w:p>
    <w:p w:rsidR="00954D83" w:rsidRPr="009C0818" w:rsidRDefault="00954D83" w:rsidP="009C0818">
      <w:pPr>
        <w:pStyle w:val="enumlev1"/>
        <w:rPr>
          <w:lang w:val="fr-FR"/>
        </w:rPr>
      </w:pPr>
      <w:r w:rsidRPr="009C0818">
        <w:rPr>
          <w:lang w:val="fr-FR"/>
        </w:rPr>
        <w:t>–</w:t>
      </w:r>
      <w:r w:rsidRPr="009C0818">
        <w:rPr>
          <w:lang w:val="fr-FR"/>
        </w:rPr>
        <w:tab/>
        <w:t>conformité de la classe d'émission et de la largeur de bande notifiées avec les valeurs admissibles (A1A, F1B, G1D; jusqu'à 500</w:t>
      </w:r>
      <w:r w:rsidR="009C0818" w:rsidRPr="009C0818">
        <w:rPr>
          <w:lang w:val="fr-FR"/>
        </w:rPr>
        <w:t> </w:t>
      </w:r>
      <w:r w:rsidRPr="009C0818">
        <w:rPr>
          <w:lang w:val="fr-FR"/>
        </w:rPr>
        <w:t>Hz au maximum);</w:t>
      </w:r>
    </w:p>
    <w:p w:rsidR="00954D83" w:rsidRPr="009C0818" w:rsidRDefault="00954D83">
      <w:pPr>
        <w:pStyle w:val="enumlev1"/>
        <w:rPr>
          <w:lang w:val="fr-FR"/>
        </w:rPr>
      </w:pPr>
      <w:r w:rsidRPr="009C0818">
        <w:rPr>
          <w:lang w:val="fr-FR"/>
        </w:rPr>
        <w:t>–</w:t>
      </w:r>
      <w:r w:rsidRPr="009C0818">
        <w:rPr>
          <w:lang w:val="fr-FR"/>
        </w:rPr>
        <w:tab/>
        <w:t>conformité des limites de la portée de service avec les limites établies à la Conférence.</w:t>
      </w:r>
    </w:p>
    <w:p w:rsidR="00954D83" w:rsidRPr="009C0818" w:rsidRDefault="00954D83" w:rsidP="009C0818">
      <w:pPr>
        <w:rPr>
          <w:lang w:val="fr-FR"/>
        </w:rPr>
      </w:pPr>
      <w:r w:rsidRPr="009C0818">
        <w:rPr>
          <w:lang w:val="fr-FR"/>
        </w:rPr>
        <w:t>Les administrations notifient seulement la portée de service nécessaire, d'après laquelle est déterminée la puissance nécessaire pour assurer une intensité de champ minimum à la limite de la zone de service. L'administration qui notifie une portée de service de plus de 280 km est priée de la réduire à une valeur inférieure à 280 km; en effet, les critères de propagation retenus pour l'élaboration du Plan ne tiennent pas compte de l'onde ionosphérique qui se produit pendant la nuit et peut causer des erreurs de relèvement aux grandes distances (voir la Note</w:t>
      </w:r>
      <w:r w:rsidR="009C0818" w:rsidRPr="009C0818">
        <w:rPr>
          <w:lang w:val="fr-FR"/>
        </w:rPr>
        <w:t> </w:t>
      </w:r>
      <w:r w:rsidRPr="009C0818">
        <w:rPr>
          <w:lang w:val="fr-FR"/>
        </w:rPr>
        <w:t>1 de l'Annexe</w:t>
      </w:r>
      <w:r w:rsidR="009C0818" w:rsidRPr="009C0818">
        <w:rPr>
          <w:lang w:val="fr-FR"/>
        </w:rPr>
        <w:t> </w:t>
      </w:r>
      <w:r w:rsidRPr="009C0818">
        <w:rPr>
          <w:lang w:val="fr-FR"/>
        </w:rPr>
        <w:t>1 des Actes Finals).</w:t>
      </w:r>
    </w:p>
    <w:p w:rsidR="00954D83" w:rsidRPr="009C0818" w:rsidRDefault="00954D83">
      <w:pPr>
        <w:rPr>
          <w:lang w:val="fr-FR"/>
        </w:rPr>
      </w:pPr>
      <w:r w:rsidRPr="009C0818">
        <w:rPr>
          <w:lang w:val="fr-FR"/>
        </w:rPr>
        <w:t>4.3</w:t>
      </w:r>
      <w:r w:rsidRPr="009C0818">
        <w:rPr>
          <w:lang w:val="fr-FR"/>
        </w:rPr>
        <w:tab/>
        <w:t>Pour effectuer les examens visant à identifier les administrations dont les assignations pourraient être affectées par une modification du Plan, les critères suivants sont appliqués:</w:t>
      </w:r>
    </w:p>
    <w:p w:rsidR="00954D83" w:rsidRPr="009C0818" w:rsidRDefault="00954D83" w:rsidP="009C0818">
      <w:pPr>
        <w:rPr>
          <w:lang w:val="fr-FR"/>
        </w:rPr>
      </w:pPr>
      <w:r w:rsidRPr="009C0818">
        <w:rPr>
          <w:lang w:val="fr-FR"/>
        </w:rPr>
        <w:t>4.3.1</w:t>
      </w:r>
      <w:r w:rsidRPr="009C0818">
        <w:rPr>
          <w:lang w:val="fr-FR"/>
        </w:rPr>
        <w:tab/>
        <w:t>les normes techniques pertinentes contenues dans la Section B4 des Règles de procédure vis-à-vis des assignations de fréquence aux stations du service de radionavigation aéronautique inscrites dans le Fichier de référence au nom d'administrations qui sont parties à l'Accord;</w:t>
      </w:r>
    </w:p>
    <w:p w:rsidR="00954D83" w:rsidRPr="009C0818" w:rsidRDefault="00954D83">
      <w:pPr>
        <w:rPr>
          <w:lang w:val="fr-FR"/>
        </w:rPr>
      </w:pPr>
      <w:r w:rsidRPr="009C0818">
        <w:rPr>
          <w:lang w:val="fr-FR"/>
        </w:rPr>
        <w:t>4.3.2</w:t>
      </w:r>
      <w:r w:rsidRPr="009C0818">
        <w:rPr>
          <w:lang w:val="fr-FR"/>
        </w:rPr>
        <w:tab/>
        <w:t xml:space="preserve">les critères contenus dans l'Annexe 3 de l'Accord vis-à-vis des assignations qui sont conformes à l'Accord, y compris les modifications qu'il est proposé d'apporter au Plan et pour lesquelles la procédure de l'Article 4 est en cours. </w:t>
      </w:r>
    </w:p>
    <w:p w:rsidR="00954D83" w:rsidRPr="009C0818" w:rsidRDefault="009C0818" w:rsidP="009C0818">
      <w:pPr>
        <w:pStyle w:val="Note"/>
        <w:rPr>
          <w:lang w:val="fr-FR"/>
        </w:rPr>
      </w:pPr>
      <w:r w:rsidRPr="009C0818">
        <w:rPr>
          <w:lang w:val="fr-FR"/>
        </w:rPr>
        <w:br w:type="page"/>
      </w:r>
      <w:r w:rsidR="00954D83" w:rsidRPr="009C0818">
        <w:rPr>
          <w:lang w:val="fr-FR"/>
        </w:rPr>
        <w:lastRenderedPageBreak/>
        <w:t>NOTE</w:t>
      </w:r>
      <w:r w:rsidRPr="009C0818">
        <w:rPr>
          <w:lang w:val="fr-FR"/>
        </w:rPr>
        <w:t> </w:t>
      </w:r>
      <w:r w:rsidR="00954D83" w:rsidRPr="009C0818">
        <w:rPr>
          <w:lang w:val="fr-FR"/>
        </w:rPr>
        <w:t>1</w:t>
      </w:r>
      <w:r w:rsidRPr="009C0818">
        <w:rPr>
          <w:lang w:val="fr-FR"/>
        </w:rPr>
        <w:t> </w:t>
      </w:r>
      <w:r w:rsidR="00954D83" w:rsidRPr="009C0818">
        <w:rPr>
          <w:lang w:val="fr-FR"/>
        </w:rPr>
        <w:t>–</w:t>
      </w:r>
      <w:r w:rsidRPr="009C0818">
        <w:rPr>
          <w:lang w:val="fr-FR"/>
        </w:rPr>
        <w:t> </w:t>
      </w:r>
      <w:r w:rsidR="00954D83" w:rsidRPr="009C0818">
        <w:rPr>
          <w:lang w:val="fr-FR"/>
        </w:rPr>
        <w:t>Les normes techniques contenues dans la Section B4 des Règles de procédure et les critères de l'Annexe 3 de l'Accord diffèrent sur les points suivants:</w:t>
      </w:r>
    </w:p>
    <w:p w:rsidR="00954D83" w:rsidRPr="009C0818" w:rsidRDefault="00954D83">
      <w:pPr>
        <w:pStyle w:val="Note"/>
        <w:ind w:left="284" w:hanging="284"/>
        <w:rPr>
          <w:lang w:val="fr-FR"/>
        </w:rPr>
      </w:pPr>
      <w:r w:rsidRPr="009C0818">
        <w:rPr>
          <w:lang w:val="fr-FR"/>
        </w:rPr>
        <w:t>–</w:t>
      </w:r>
      <w:r w:rsidRPr="009C0818">
        <w:rPr>
          <w:lang w:val="fr-FR"/>
        </w:rPr>
        <w:tab/>
        <w:t>les normes techniques contenues dans la Section B4 des Règles de procédure tiennent compte de l'onde ionosphérique, alors que les critères de l'Annexe 3 n'en tiennent pas compte;</w:t>
      </w:r>
    </w:p>
    <w:p w:rsidR="00954D83" w:rsidRPr="009C0818" w:rsidRDefault="00954D83" w:rsidP="009C0818">
      <w:pPr>
        <w:pStyle w:val="Note"/>
        <w:ind w:left="284" w:hanging="284"/>
        <w:rPr>
          <w:lang w:val="fr-FR"/>
        </w:rPr>
      </w:pPr>
      <w:r w:rsidRPr="009C0818">
        <w:rPr>
          <w:lang w:val="fr-FR"/>
        </w:rPr>
        <w:t>–</w:t>
      </w:r>
      <w:r w:rsidRPr="009C0818">
        <w:rPr>
          <w:lang w:val="fr-FR"/>
        </w:rPr>
        <w:tab/>
        <w:t>le §</w:t>
      </w:r>
      <w:r w:rsidR="009C0818" w:rsidRPr="009C0818">
        <w:rPr>
          <w:lang w:val="fr-FR"/>
        </w:rPr>
        <w:t> </w:t>
      </w:r>
      <w:r w:rsidRPr="009C0818">
        <w:rPr>
          <w:lang w:val="fr-FR"/>
        </w:rPr>
        <w:t>1.4 de l'Annexe 3 et la Norme technique A-3 contenus dans les Règles de procédure donnent des valeurs différentes au sujet des facteurs de discrimination (rapports de protection respectifs vis-à-vis des canaux adjacents).</w:t>
      </w:r>
    </w:p>
    <w:p w:rsidR="00954D83" w:rsidRPr="009C0818" w:rsidRDefault="00954D83" w:rsidP="009C0818">
      <w:pPr>
        <w:pStyle w:val="Heading1"/>
        <w:rPr>
          <w:lang w:val="fr-FR"/>
        </w:rPr>
      </w:pPr>
      <w:r w:rsidRPr="009C0818">
        <w:rPr>
          <w:lang w:val="fr-FR"/>
        </w:rPr>
        <w:t>5</w:t>
      </w:r>
      <w:r w:rsidRPr="009C0818">
        <w:rPr>
          <w:lang w:val="fr-FR"/>
        </w:rPr>
        <w:tab/>
        <w:t>Traitement des fiches de notification d'assignation de fréquence aux stations du service de radionavigation aéronautique (Article</w:t>
      </w:r>
      <w:r w:rsidR="009C0818" w:rsidRPr="009C0818">
        <w:rPr>
          <w:lang w:val="fr-FR"/>
        </w:rPr>
        <w:t> </w:t>
      </w:r>
      <w:r w:rsidRPr="009C0818">
        <w:rPr>
          <w:lang w:val="fr-FR"/>
        </w:rPr>
        <w:t>6 de l'Accord)</w:t>
      </w:r>
    </w:p>
    <w:p w:rsidR="00954D83" w:rsidRPr="009C0818" w:rsidRDefault="00954D83" w:rsidP="009C0818">
      <w:pPr>
        <w:rPr>
          <w:lang w:val="fr-FR"/>
        </w:rPr>
      </w:pPr>
      <w:r w:rsidRPr="009C0818">
        <w:rPr>
          <w:lang w:val="fr-FR"/>
        </w:rPr>
        <w:t>Le traitement des fiches de notification d'assignation de fréquence aux stations du service de radionavigation aéronautique par des administrations considérées comme étant parties à l'Accord s'effectue selon la procédure contenue dans l'Article 6 de l'Accord. Les Normes techniques contenues dans la Section</w:t>
      </w:r>
      <w:r w:rsidR="009C0818" w:rsidRPr="009C0818">
        <w:rPr>
          <w:lang w:val="fr-FR"/>
        </w:rPr>
        <w:t xml:space="preserve"> </w:t>
      </w:r>
      <w:r w:rsidRPr="009C0818">
        <w:rPr>
          <w:lang w:val="fr-FR"/>
        </w:rPr>
        <w:t>B4 des Règles de procédure sont utilisées pour ces examens.</w:t>
      </w:r>
    </w:p>
    <w:p w:rsidR="00954D83" w:rsidRPr="009C0818" w:rsidRDefault="00954D83" w:rsidP="009C0818">
      <w:pPr>
        <w:rPr>
          <w:lang w:val="fr-FR"/>
        </w:rPr>
      </w:pPr>
    </w:p>
    <w:p w:rsidR="00954D83" w:rsidRPr="009C0818" w:rsidRDefault="00954D83">
      <w:pPr>
        <w:jc w:val="center"/>
        <w:rPr>
          <w:lang w:val="fr-FR"/>
        </w:rPr>
      </w:pPr>
      <w:r w:rsidRPr="009C0818">
        <w:rPr>
          <w:lang w:val="fr-FR"/>
        </w:rPr>
        <w:t>____________________</w:t>
      </w:r>
    </w:p>
    <w:p w:rsidR="00954D83" w:rsidRPr="009C0818" w:rsidRDefault="00954D83" w:rsidP="009C0818">
      <w:pPr>
        <w:rPr>
          <w:lang w:val="fr-FR"/>
        </w:rPr>
      </w:pPr>
    </w:p>
    <w:p w:rsidR="00954D83" w:rsidRPr="009C0818" w:rsidRDefault="00954D83" w:rsidP="009C0818">
      <w:pPr>
        <w:rPr>
          <w:lang w:val="fr-FR"/>
        </w:rPr>
      </w:pPr>
    </w:p>
    <w:p w:rsidR="00954D83" w:rsidRPr="009C0818" w:rsidRDefault="00954D83" w:rsidP="009C0818">
      <w:pPr>
        <w:rPr>
          <w:lang w:val="fr-FR"/>
        </w:rPr>
      </w:pPr>
    </w:p>
    <w:p w:rsidR="00954D83" w:rsidRPr="009C0818" w:rsidRDefault="00954D83" w:rsidP="009C0818">
      <w:pPr>
        <w:rPr>
          <w:lang w:val="fr-FR"/>
        </w:rPr>
      </w:pPr>
    </w:p>
    <w:p w:rsidR="00954D83" w:rsidRPr="009C0818" w:rsidRDefault="00954D83" w:rsidP="009C0818">
      <w:pPr>
        <w:rPr>
          <w:lang w:val="fr-FR"/>
        </w:rPr>
      </w:pPr>
    </w:p>
    <w:p w:rsidR="00954D83" w:rsidRPr="009C0818" w:rsidRDefault="00954D83" w:rsidP="009C0818">
      <w:pPr>
        <w:rPr>
          <w:lang w:val="fr-FR"/>
        </w:rPr>
      </w:pPr>
    </w:p>
    <w:p w:rsidR="00954D83" w:rsidRPr="009C0818" w:rsidRDefault="00954D83" w:rsidP="009C0818">
      <w:pPr>
        <w:rPr>
          <w:lang w:val="fr-FR"/>
        </w:rPr>
      </w:pPr>
    </w:p>
    <w:p w:rsidR="00954D83" w:rsidRPr="009C0818" w:rsidRDefault="00954D83" w:rsidP="009C0818">
      <w:pPr>
        <w:rPr>
          <w:lang w:val="fr-FR"/>
        </w:rPr>
      </w:pPr>
    </w:p>
    <w:p w:rsidR="00954D83" w:rsidRPr="009C0818" w:rsidRDefault="00954D83" w:rsidP="009C0818">
      <w:pPr>
        <w:rPr>
          <w:lang w:val="fr-FR"/>
        </w:rPr>
      </w:pPr>
    </w:p>
    <w:p w:rsidR="00954D83" w:rsidRPr="009C0818" w:rsidRDefault="00954D83" w:rsidP="009C0818">
      <w:pPr>
        <w:rPr>
          <w:lang w:val="fr-FR"/>
        </w:rPr>
      </w:pPr>
    </w:p>
    <w:p w:rsidR="00954D83" w:rsidRPr="009C0818" w:rsidRDefault="00954D83" w:rsidP="009C0818">
      <w:pPr>
        <w:rPr>
          <w:lang w:val="fr-FR"/>
        </w:rPr>
      </w:pPr>
    </w:p>
    <w:p w:rsidR="00954D83" w:rsidRPr="009C0818" w:rsidRDefault="00954D83" w:rsidP="009C0818">
      <w:pPr>
        <w:rPr>
          <w:lang w:val="fr-FR"/>
        </w:rPr>
      </w:pPr>
    </w:p>
    <w:p w:rsidR="00954D83" w:rsidRPr="009C0818" w:rsidRDefault="00954D83" w:rsidP="009C0818">
      <w:pPr>
        <w:rPr>
          <w:lang w:val="fr-FR"/>
        </w:rPr>
      </w:pPr>
    </w:p>
    <w:p w:rsidR="00954D83" w:rsidRPr="009C0818" w:rsidRDefault="00954D83" w:rsidP="009C0818">
      <w:pPr>
        <w:rPr>
          <w:lang w:val="fr-FR"/>
        </w:rPr>
      </w:pPr>
    </w:p>
    <w:p w:rsidR="00954D83" w:rsidRPr="009C0818" w:rsidRDefault="00954D83" w:rsidP="009C0818">
      <w:pPr>
        <w:rPr>
          <w:lang w:val="fr-FR"/>
        </w:rPr>
        <w:sectPr w:rsidR="00954D83" w:rsidRPr="009C0818">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rsidR="00954D83" w:rsidRPr="009C0818" w:rsidRDefault="00954D83" w:rsidP="009C0818">
      <w:pPr>
        <w:rPr>
          <w:lang w:val="fr-FR"/>
        </w:rPr>
      </w:pPr>
    </w:p>
    <w:sectPr w:rsidR="00954D83" w:rsidRPr="009C0818" w:rsidSect="009C0818">
      <w:headerReference w:type="first" r:id="rId10"/>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2E19" w:rsidRDefault="00202E19">
      <w:r>
        <w:separator/>
      </w:r>
    </w:p>
  </w:endnote>
  <w:endnote w:type="continuationSeparator" w:id="0">
    <w:p w:rsidR="00202E19" w:rsidRDefault="00202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2E19" w:rsidRDefault="00202E19">
      <w:r>
        <w:rPr>
          <w:b/>
        </w:rPr>
        <w:t>_______________</w:t>
      </w:r>
    </w:p>
  </w:footnote>
  <w:footnote w:type="continuationSeparator" w:id="0">
    <w:p w:rsidR="00202E19" w:rsidRDefault="00202E19">
      <w:r>
        <w:continuationSeparator/>
      </w:r>
    </w:p>
  </w:footnote>
  <w:footnote w:id="1">
    <w:p w:rsidR="00BC5BEA" w:rsidRPr="00BC5BEA" w:rsidRDefault="00BC5BEA">
      <w:pPr>
        <w:pStyle w:val="FootnoteText"/>
        <w:rPr>
          <w:lang w:val="fr-CH"/>
        </w:rPr>
      </w:pPr>
      <w:r w:rsidRPr="00BC5BEA">
        <w:rPr>
          <w:rStyle w:val="FootnoteReference"/>
          <w:lang w:val="fr-CH"/>
        </w:rPr>
        <w:t>*</w:t>
      </w:r>
      <w:r w:rsidRPr="00BC5BEA">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CMR-03.</w:t>
      </w:r>
    </w:p>
  </w:footnote>
  <w:footnote w:id="2">
    <w:p w:rsidR="00081977" w:rsidRPr="00081977" w:rsidRDefault="00081977">
      <w:pPr>
        <w:pStyle w:val="FootnoteText"/>
        <w:rPr>
          <w:lang w:val="fr-CH"/>
        </w:rPr>
      </w:pPr>
      <w:r w:rsidRPr="00081977">
        <w:rPr>
          <w:rStyle w:val="FootnoteReference"/>
          <w:lang w:val="fr-CH"/>
        </w:rPr>
        <w:t>*</w:t>
      </w:r>
      <w:r w:rsidRPr="00081977">
        <w:rPr>
          <w:lang w:val="fr-CH"/>
        </w:rPr>
        <w:t xml:space="preserve"> </w:t>
      </w:r>
      <w:r w:rsidRPr="00081977">
        <w:rPr>
          <w:lang w:val="fr-CH"/>
        </w:rPr>
        <w:tab/>
      </w:r>
      <w:r w:rsidRPr="00081977">
        <w:rPr>
          <w:i/>
          <w:iCs/>
          <w:lang w:val="fr-CH"/>
        </w:rPr>
        <w:t>Note du Secrétariat:</w:t>
      </w:r>
      <w:r w:rsidRPr="00081977">
        <w:rPr>
          <w:lang w:val="fr-CH"/>
        </w:rPr>
        <w:t xml:space="preserve"> Cette R</w:t>
      </w:r>
      <w:r>
        <w:rPr>
          <w:lang w:val="fr-CH"/>
        </w:rPr>
        <w:t>ésolution a été abrogée par la CMR</w:t>
      </w:r>
      <w:r w:rsidR="00BC5BEA">
        <w:rPr>
          <w:lang w:val="fr-CH"/>
        </w:rPr>
        <w:t>-</w:t>
      </w:r>
      <w:r>
        <w:rPr>
          <w:lang w:val="fr-CH"/>
        </w:rPr>
        <w:t>03.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54D83">
      <w:trPr>
        <w:cantSplit/>
      </w:trPr>
      <w:tc>
        <w:tcPr>
          <w:tcW w:w="1701" w:type="dxa"/>
          <w:tcBorders>
            <w:top w:val="single" w:sz="6" w:space="0" w:color="auto"/>
            <w:left w:val="single" w:sz="6" w:space="0" w:color="auto"/>
            <w:bottom w:val="single" w:sz="6" w:space="0" w:color="auto"/>
            <w:right w:val="single" w:sz="6" w:space="0" w:color="auto"/>
          </w:tcBorders>
        </w:tcPr>
        <w:p w:rsidR="00954D83" w:rsidRDefault="00954D83">
          <w:pPr>
            <w:pStyle w:val="HeaderRegProc"/>
          </w:pPr>
          <w:proofErr w:type="spellStart"/>
          <w:r>
            <w:t>Partie</w:t>
          </w:r>
          <w:proofErr w:type="spellEnd"/>
          <w:r>
            <w:t xml:space="preserve"> </w:t>
          </w:r>
          <w:r w:rsidR="00BC5BEA">
            <w:fldChar w:fldCharType="begin"/>
          </w:r>
          <w:r w:rsidR="00BC5BEA">
            <w:instrText>styleref href</w:instrText>
          </w:r>
          <w:r w:rsidR="00BC5BEA">
            <w:fldChar w:fldCharType="separate"/>
          </w:r>
          <w:r w:rsidR="00877E9F">
            <w:rPr>
              <w:noProof/>
            </w:rPr>
            <w:t>A9</w:t>
          </w:r>
          <w:r w:rsidR="00BC5BEA">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954D83" w:rsidRDefault="00BC5BEA">
          <w:pPr>
            <w:pStyle w:val="HeaderRegProc"/>
            <w:rPr>
              <w:lang w:val="fr-FR"/>
            </w:rPr>
          </w:pPr>
          <w:r>
            <w:fldChar w:fldCharType="begin"/>
          </w:r>
          <w:r>
            <w:instrText>styleref href2</w:instrText>
          </w:r>
          <w:r>
            <w:fldChar w:fldCharType="separate"/>
          </w:r>
          <w:r w:rsidR="00877E9F">
            <w:rPr>
              <w:noProof/>
            </w:rPr>
            <w:t>GE85-EMA</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954D83" w:rsidRDefault="00954D83">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877E9F">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54D83" w:rsidRDefault="00954D83">
          <w:pPr>
            <w:pStyle w:val="HeaderRegProc"/>
            <w:rPr>
              <w:lang w:val="fr-CH"/>
            </w:rPr>
          </w:pPr>
          <w:proofErr w:type="spellStart"/>
          <w:r>
            <w:rPr>
              <w:lang w:val="fr-CH"/>
            </w:rPr>
            <w:t>rév</w:t>
          </w:r>
          <w:proofErr w:type="spellEnd"/>
          <w:r>
            <w:rPr>
              <w:lang w:val="fr-CH"/>
            </w:rPr>
            <w:t>.</w:t>
          </w:r>
          <w:fldSimple w:instr=" DOCPROPERTY &quot;Header10&quot; \* MERGEFORMAT ">
            <w:r w:rsidR="009C0818">
              <w:rPr>
                <w:lang w:val="fr-CH"/>
              </w:rPr>
              <w:t>-</w:t>
            </w:r>
          </w:fldSimple>
        </w:p>
      </w:tc>
    </w:tr>
  </w:tbl>
  <w:p w:rsidR="00954D83" w:rsidRDefault="00954D83">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54D83">
      <w:trPr>
        <w:cantSplit/>
        <w:jc w:val="right"/>
      </w:trPr>
      <w:tc>
        <w:tcPr>
          <w:tcW w:w="1701" w:type="dxa"/>
          <w:tcBorders>
            <w:top w:val="single" w:sz="6" w:space="0" w:color="auto"/>
            <w:left w:val="single" w:sz="6" w:space="0" w:color="auto"/>
            <w:bottom w:val="single" w:sz="6" w:space="0" w:color="auto"/>
            <w:right w:val="single" w:sz="6" w:space="0" w:color="auto"/>
          </w:tcBorders>
        </w:tcPr>
        <w:p w:rsidR="00954D83" w:rsidRDefault="00954D83">
          <w:pPr>
            <w:pStyle w:val="HeaderRegProc"/>
          </w:pPr>
          <w:proofErr w:type="spellStart"/>
          <w:r>
            <w:t>Partie</w:t>
          </w:r>
          <w:proofErr w:type="spellEnd"/>
          <w:r>
            <w:t xml:space="preserve"> </w:t>
          </w:r>
          <w:r w:rsidR="00BC5BEA">
            <w:fldChar w:fldCharType="begin"/>
          </w:r>
          <w:r w:rsidR="00BC5BEA">
            <w:instrText>styleref href</w:instrText>
          </w:r>
          <w:r w:rsidR="00BC5BEA">
            <w:fldChar w:fldCharType="separate"/>
          </w:r>
          <w:r w:rsidR="00877E9F">
            <w:rPr>
              <w:noProof/>
            </w:rPr>
            <w:t>A9</w:t>
          </w:r>
          <w:r w:rsidR="00BC5BEA">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954D83" w:rsidRDefault="00BC5BEA">
          <w:pPr>
            <w:pStyle w:val="HeaderRegProc"/>
            <w:rPr>
              <w:lang w:val="fr-FR"/>
            </w:rPr>
          </w:pPr>
          <w:r>
            <w:fldChar w:fldCharType="begin"/>
          </w:r>
          <w:r>
            <w:instrText>styleref href2</w:instrText>
          </w:r>
          <w:r>
            <w:fldChar w:fldCharType="separate"/>
          </w:r>
          <w:r w:rsidR="00877E9F">
            <w:rPr>
              <w:noProof/>
            </w:rPr>
            <w:t>GE85-EMA</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954D83" w:rsidRDefault="00954D83">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877E9F">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54D83" w:rsidRDefault="00954D83">
          <w:pPr>
            <w:pStyle w:val="HeaderRegProc"/>
            <w:rPr>
              <w:lang w:val="fr-CH"/>
            </w:rPr>
          </w:pPr>
          <w:proofErr w:type="spellStart"/>
          <w:r>
            <w:rPr>
              <w:lang w:val="fr-CH"/>
            </w:rPr>
            <w:t>rév</w:t>
          </w:r>
          <w:proofErr w:type="spellEnd"/>
          <w:r>
            <w:rPr>
              <w:lang w:val="fr-CH"/>
            </w:rPr>
            <w:t>.</w:t>
          </w:r>
          <w:fldSimple w:instr=" DOCPROPERTY &quot;Header10&quot; \* MERGEFORMAT ">
            <w:r w:rsidR="009C0818">
              <w:rPr>
                <w:lang w:val="fr-CH"/>
              </w:rPr>
              <w:t>-</w:t>
            </w:r>
          </w:fldSimple>
        </w:p>
      </w:tc>
    </w:tr>
  </w:tbl>
  <w:p w:rsidR="00954D83" w:rsidRPr="00877E9F" w:rsidRDefault="00954D83" w:rsidP="00877E9F">
    <w:pPr>
      <w:pStyle w:val="Header"/>
      <w:spacing w:before="0"/>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4D83" w:rsidRDefault="00954D8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mirrorMargin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954D83"/>
    <w:rsid w:val="00081977"/>
    <w:rsid w:val="000D754C"/>
    <w:rsid w:val="00202E19"/>
    <w:rsid w:val="00877E9F"/>
    <w:rsid w:val="00954D83"/>
    <w:rsid w:val="009C0818"/>
    <w:rsid w:val="00BC5BEA"/>
    <w:rsid w:val="00D00412"/>
    <w:rsid w:val="00EF13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3828C4-4DF1-4F91-BDDA-205E65030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Template>
  <TotalTime>3</TotalTime>
  <Pages>5</Pages>
  <Words>1383</Words>
  <Characters>7888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9253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Partie A9 / GE85-EMA du RR</dc:subject>
  <dc:creator>Composition des Publications</dc:creator>
  <cp:keywords>FOLIOS:  1  -  4</cp:keywords>
  <dc:description>Edition 2009:  10.03.2009/DD  (dict. ok)</dc:description>
  <cp:lastModifiedBy>IS / INFRASTRUCTURE</cp:lastModifiedBy>
  <cp:revision>7</cp:revision>
  <cp:lastPrinted>2005-05-11T15:56:00Z</cp:lastPrinted>
  <dcterms:created xsi:type="dcterms:W3CDTF">2012-08-08T15:54:00Z</dcterms:created>
  <dcterms:modified xsi:type="dcterms:W3CDTF">2012-10-08T15:29:00Z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