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D15" w:rsidRPr="008E6DD0" w:rsidRDefault="00861D15" w:rsidP="007545B5">
      <w:pPr>
        <w:pStyle w:val="Heading1"/>
        <w:spacing w:before="300"/>
        <w:ind w:left="0" w:firstLine="0"/>
        <w:jc w:val="center"/>
        <w:rPr>
          <w:lang w:val="fr-FR"/>
        </w:rPr>
      </w:pPr>
      <w:r w:rsidRPr="008E6DD0">
        <w:rPr>
          <w:lang w:val="fr-FR"/>
        </w:rPr>
        <w:t>Règles relatives à</w:t>
      </w:r>
    </w:p>
    <w:p w:rsidR="00861D15" w:rsidRDefault="00861D15">
      <w:pPr>
        <w:pStyle w:val="Heading2"/>
        <w:jc w:val="center"/>
        <w:rPr>
          <w:lang w:val="fr-FR"/>
        </w:rPr>
      </w:pPr>
      <w:r w:rsidRPr="008E6DD0">
        <w:rPr>
          <w:lang w:val="fr-FR"/>
        </w:rPr>
        <w:t xml:space="preserve">l'APPENDICE  </w:t>
      </w:r>
      <w:r w:rsidRPr="008E6DD0">
        <w:rPr>
          <w:rStyle w:val="href2"/>
          <w:lang w:val="fr-FR"/>
        </w:rPr>
        <w:t>27</w:t>
      </w:r>
      <w:r w:rsidRPr="008E6DD0">
        <w:rPr>
          <w:lang w:val="fr-FR"/>
        </w:rPr>
        <w:t xml:space="preserve"> du RR</w:t>
      </w:r>
    </w:p>
    <w:p w:rsidR="001525B5" w:rsidRPr="001525B5" w:rsidRDefault="001525B5" w:rsidP="001525B5">
      <w:pPr>
        <w:rPr>
          <w:lang w:val="fr-FR"/>
        </w:rPr>
      </w:pPr>
    </w:p>
    <w:p w:rsidR="00861D15" w:rsidRPr="008E6DD0" w:rsidRDefault="00861D15">
      <w:pPr>
        <w:pStyle w:val="Heading8"/>
        <w:rPr>
          <w:lang w:val="fr-FR"/>
        </w:rPr>
      </w:pPr>
      <w:r w:rsidRPr="008E6DD0">
        <w:rPr>
          <w:lang w:val="fr-FR"/>
        </w:rPr>
        <w:t>27</w:t>
      </w:r>
      <w:r w:rsidRPr="008E6DD0">
        <w:rPr>
          <w:b w:val="0"/>
          <w:lang w:val="fr-FR"/>
        </w:rPr>
        <w:t>/</w:t>
      </w:r>
      <w:r w:rsidRPr="008E6DD0">
        <w:rPr>
          <w:rStyle w:val="href"/>
          <w:b w:val="0"/>
          <w:bCs/>
          <w:lang w:val="fr-FR"/>
        </w:rPr>
        <w:t>1</w:t>
      </w:r>
      <w:r w:rsidRPr="008E6DD0">
        <w:rPr>
          <w:b w:val="0"/>
          <w:lang w:val="fr-FR"/>
        </w:rPr>
        <w:t>5</w:t>
      </w:r>
    </w:p>
    <w:p w:rsidR="00861D15" w:rsidRPr="008E6DD0" w:rsidRDefault="00861D15" w:rsidP="008E6DD0">
      <w:pPr>
        <w:spacing w:before="240"/>
        <w:rPr>
          <w:lang w:val="fr-FR"/>
        </w:rPr>
      </w:pPr>
      <w:r w:rsidRPr="008E6DD0">
        <w:rPr>
          <w:lang w:val="fr-FR"/>
        </w:rPr>
        <w:t xml:space="preserve">L'utilisation, pour les diverses classes d'émission autres que J3E et H2B, des voies dérivées des fréquences indiquées au numéro </w:t>
      </w:r>
      <w:r w:rsidRPr="008E6DD0">
        <w:rPr>
          <w:rStyle w:val="Artref"/>
          <w:b/>
          <w:bCs/>
          <w:color w:val="000000"/>
          <w:lang w:val="fr-FR"/>
        </w:rPr>
        <w:t>27</w:t>
      </w:r>
      <w:r w:rsidRPr="008E6DD0">
        <w:rPr>
          <w:lang w:val="fr-FR"/>
        </w:rPr>
        <w:t>/18 doit faire l'objet d'arrangements particuliers entre les administrations intéressées et celles dont les services sont susceptibles d'être défavo</w:t>
      </w:r>
      <w:r w:rsidRPr="008E6DD0">
        <w:rPr>
          <w:lang w:val="fr-FR"/>
        </w:rPr>
        <w:softHyphen/>
        <w:t xml:space="preserve">rablement influencées. A cet égard, et compte tenu des principes de la Résolution </w:t>
      </w:r>
      <w:r w:rsidRPr="008E6DD0">
        <w:rPr>
          <w:rStyle w:val="Resref"/>
          <w:b/>
          <w:bCs/>
          <w:color w:val="000000"/>
          <w:lang w:val="fr-FR"/>
        </w:rPr>
        <w:t>713</w:t>
      </w:r>
      <w:r w:rsidRPr="008E6DD0">
        <w:rPr>
          <w:lang w:val="fr-FR"/>
        </w:rPr>
        <w:t xml:space="preserve"> </w:t>
      </w:r>
      <w:r w:rsidRPr="008E6DD0">
        <w:rPr>
          <w:rStyle w:val="Resref"/>
          <w:b/>
          <w:bCs/>
          <w:color w:val="000000"/>
          <w:lang w:val="fr-FR"/>
        </w:rPr>
        <w:t>(CMR</w:t>
      </w:r>
      <w:r w:rsidRPr="008E6DD0">
        <w:rPr>
          <w:rStyle w:val="Resref"/>
          <w:b/>
          <w:bCs/>
          <w:color w:val="000000"/>
          <w:lang w:val="fr-FR"/>
        </w:rPr>
        <w:noBreakHyphen/>
        <w:t>95)</w:t>
      </w:r>
      <w:r w:rsidR="003429BC" w:rsidRPr="00E75BA8">
        <w:rPr>
          <w:rStyle w:val="FootnoteReference"/>
          <w:color w:val="000000"/>
          <w:lang w:val="fr-FR"/>
        </w:rPr>
        <w:footnoteReference w:customMarkFollows="1" w:id="1"/>
        <w:t>*</w:t>
      </w:r>
      <w:r w:rsidRPr="008E6DD0">
        <w:rPr>
          <w:lang w:val="fr-FR"/>
        </w:rPr>
        <w:t xml:space="preserve">, le Comité considère comme un «arrangement particulier entre les administrations intéressées» valable toute mesure officielle prise par l'Organisation de l'aviation civile (OACI) débouchant sur l'établissement de Normes et pratiques recommandées (SARP, </w:t>
      </w:r>
      <w:r w:rsidRPr="008E6DD0">
        <w:rPr>
          <w:i/>
          <w:iCs/>
          <w:lang w:val="fr-FR"/>
        </w:rPr>
        <w:t xml:space="preserve">Standards and </w:t>
      </w:r>
      <w:proofErr w:type="spellStart"/>
      <w:r w:rsidRPr="008E6DD0">
        <w:rPr>
          <w:i/>
          <w:iCs/>
          <w:lang w:val="fr-FR"/>
        </w:rPr>
        <w:t>Recommended</w:t>
      </w:r>
      <w:proofErr w:type="spellEnd"/>
      <w:r w:rsidRPr="008E6DD0">
        <w:rPr>
          <w:i/>
          <w:iCs/>
          <w:lang w:val="fr-FR"/>
        </w:rPr>
        <w:t xml:space="preserve"> Practices</w:t>
      </w:r>
      <w:r w:rsidRPr="008E6DD0">
        <w:rPr>
          <w:lang w:val="fr-FR"/>
        </w:rPr>
        <w:t>) approuvées par cette Organisation conformément à ses procédures et communiquées en conséquence à</w:t>
      </w:r>
      <w:r w:rsidR="008E6DD0" w:rsidRPr="008E6DD0">
        <w:rPr>
          <w:lang w:val="fr-FR"/>
        </w:rPr>
        <w:t> </w:t>
      </w:r>
      <w:r w:rsidRPr="008E6DD0">
        <w:rPr>
          <w:lang w:val="fr-FR"/>
        </w:rPr>
        <w:t>l'UIT.</w:t>
      </w:r>
    </w:p>
    <w:p w:rsidR="00861D15" w:rsidRPr="008E6DD0" w:rsidRDefault="00861D15">
      <w:pPr>
        <w:pStyle w:val="Heading8"/>
        <w:rPr>
          <w:lang w:val="fr-FR"/>
        </w:rPr>
      </w:pPr>
      <w:r w:rsidRPr="008E6DD0">
        <w:rPr>
          <w:lang w:val="fr-FR"/>
        </w:rPr>
        <w:t>27</w:t>
      </w:r>
      <w:r w:rsidRPr="008E6DD0">
        <w:rPr>
          <w:b w:val="0"/>
          <w:bCs/>
          <w:lang w:val="fr-FR"/>
        </w:rPr>
        <w:t>/</w:t>
      </w:r>
      <w:r w:rsidRPr="008E6DD0">
        <w:rPr>
          <w:b w:val="0"/>
          <w:lang w:val="fr-FR"/>
        </w:rPr>
        <w:t>18</w:t>
      </w:r>
    </w:p>
    <w:p w:rsidR="00861D15" w:rsidRPr="008E6DD0" w:rsidRDefault="00861D15" w:rsidP="001525B5">
      <w:pPr>
        <w:rPr>
          <w:lang w:val="fr-FR"/>
        </w:rPr>
      </w:pPr>
      <w:r w:rsidRPr="008E6DD0">
        <w:rPr>
          <w:lang w:val="fr-FR"/>
        </w:rPr>
        <w:t>1</w:t>
      </w:r>
      <w:r w:rsidRPr="008E6DD0">
        <w:rPr>
          <w:lang w:val="fr-FR"/>
        </w:rPr>
        <w:tab/>
        <w:t>La liste des fréquences porteuses (fréquences de référence) visée dans cette disposition comprend cinq fréquences (21</w:t>
      </w:r>
      <w:r w:rsidRPr="008E6DD0">
        <w:rPr>
          <w:rFonts w:ascii="Tms Rmn" w:hAnsi="Tms Rmn"/>
          <w:sz w:val="12"/>
          <w:lang w:val="fr-FR"/>
        </w:rPr>
        <w:t> </w:t>
      </w:r>
      <w:r w:rsidRPr="008E6DD0">
        <w:rPr>
          <w:lang w:val="fr-FR"/>
        </w:rPr>
        <w:t>925 kHz, 21</w:t>
      </w:r>
      <w:r w:rsidRPr="008E6DD0">
        <w:rPr>
          <w:rFonts w:ascii="Tms Rmn" w:hAnsi="Tms Rmn"/>
          <w:sz w:val="12"/>
          <w:lang w:val="fr-FR"/>
        </w:rPr>
        <w:t> </w:t>
      </w:r>
      <w:r w:rsidRPr="008E6DD0">
        <w:rPr>
          <w:lang w:val="fr-FR"/>
        </w:rPr>
        <w:t>928 kHz, 21</w:t>
      </w:r>
      <w:r w:rsidRPr="008E6DD0">
        <w:rPr>
          <w:rFonts w:ascii="Tms Rmn" w:hAnsi="Tms Rmn"/>
          <w:sz w:val="12"/>
          <w:lang w:val="fr-FR"/>
        </w:rPr>
        <w:t> </w:t>
      </w:r>
      <w:r w:rsidRPr="008E6DD0">
        <w:rPr>
          <w:lang w:val="fr-FR"/>
        </w:rPr>
        <w:t>931 kHz, 21</w:t>
      </w:r>
      <w:r w:rsidRPr="008E6DD0">
        <w:rPr>
          <w:rFonts w:ascii="Tms Rmn" w:hAnsi="Tms Rmn"/>
          <w:sz w:val="12"/>
          <w:lang w:val="fr-FR"/>
        </w:rPr>
        <w:t> </w:t>
      </w:r>
      <w:r w:rsidRPr="008E6DD0">
        <w:rPr>
          <w:lang w:val="fr-FR"/>
        </w:rPr>
        <w:t>934 kHz et 21</w:t>
      </w:r>
      <w:r w:rsidRPr="008E6DD0">
        <w:rPr>
          <w:rFonts w:ascii="Tms Rmn" w:hAnsi="Tms Rmn"/>
          <w:sz w:val="12"/>
          <w:lang w:val="fr-FR"/>
        </w:rPr>
        <w:t> </w:t>
      </w:r>
      <w:r w:rsidRPr="008E6DD0">
        <w:rPr>
          <w:lang w:val="fr-FR"/>
        </w:rPr>
        <w:t>937 kHz), qui ne sont alloties à aucune des zones d'allotissement définies dans l'Appendice </w:t>
      </w:r>
      <w:r w:rsidRPr="008E6DD0">
        <w:rPr>
          <w:rStyle w:val="Appref"/>
          <w:b/>
          <w:bCs/>
          <w:color w:val="000000"/>
          <w:lang w:val="fr-FR"/>
        </w:rPr>
        <w:t>27</w:t>
      </w:r>
      <w:r w:rsidRPr="008E6DD0">
        <w:rPr>
          <w:lang w:val="fr-FR"/>
        </w:rPr>
        <w:t>. Le Comité considère que ces fréquences peuvent être utilisées par toute admi</w:t>
      </w:r>
      <w:r w:rsidR="001525B5">
        <w:rPr>
          <w:lang w:val="fr-FR"/>
        </w:rPr>
        <w:softHyphen/>
      </w:r>
      <w:r w:rsidRPr="008E6DD0">
        <w:rPr>
          <w:lang w:val="fr-FR"/>
        </w:rPr>
        <w:t>nistration, aux fins qu'elle juge appropriées, à condition que cette utilisation soit conforme à la définition du service mobile aéronautique (R) figurant au numéro</w:t>
      </w:r>
      <w:r w:rsidR="001525B5">
        <w:rPr>
          <w:lang w:val="fr-FR"/>
        </w:rPr>
        <w:t> </w:t>
      </w:r>
      <w:r w:rsidRPr="008E6DD0">
        <w:rPr>
          <w:rStyle w:val="Artref"/>
          <w:b/>
          <w:bCs/>
          <w:color w:val="000000"/>
          <w:lang w:val="fr-FR"/>
        </w:rPr>
        <w:t>1.33</w:t>
      </w:r>
      <w:r w:rsidRPr="008E6DD0">
        <w:rPr>
          <w:lang w:val="fr-FR"/>
        </w:rPr>
        <w:t>.</w:t>
      </w:r>
    </w:p>
    <w:p w:rsidR="00861D15" w:rsidRPr="008E6DD0" w:rsidRDefault="00861D15">
      <w:pPr>
        <w:rPr>
          <w:lang w:val="fr-FR"/>
        </w:rPr>
      </w:pPr>
      <w:r w:rsidRPr="008E6DD0">
        <w:rPr>
          <w:lang w:val="fr-FR"/>
        </w:rPr>
        <w:t>2</w:t>
      </w:r>
      <w:r w:rsidRPr="008E6DD0">
        <w:rPr>
          <w:lang w:val="fr-FR"/>
        </w:rPr>
        <w:tab/>
        <w:t xml:space="preserve">Dans le cadre de l'examen visé au numéro </w:t>
      </w:r>
      <w:r w:rsidRPr="008E6DD0">
        <w:rPr>
          <w:rStyle w:val="Artref"/>
          <w:b/>
          <w:bCs/>
          <w:color w:val="000000"/>
          <w:lang w:val="fr-FR"/>
        </w:rPr>
        <w:t>11.34</w:t>
      </w:r>
      <w:r w:rsidRPr="008E6DD0">
        <w:rPr>
          <w:lang w:val="fr-FR"/>
        </w:rPr>
        <w:t xml:space="preserve">, le Bureau n'examinera les fiches de notification relatives à chacune de ces fréquences que du point de vue leur conformité avec les principes techniques énoncés dans l'Appendice </w:t>
      </w:r>
      <w:r w:rsidRPr="008E6DD0">
        <w:rPr>
          <w:rStyle w:val="Appref"/>
          <w:b/>
          <w:bCs/>
          <w:color w:val="000000"/>
          <w:lang w:val="fr-FR"/>
        </w:rPr>
        <w:t>27</w:t>
      </w:r>
      <w:r w:rsidRPr="008E6DD0">
        <w:rPr>
          <w:lang w:val="fr-FR"/>
        </w:rPr>
        <w:t xml:space="preserve"> (disposition des voies, largeur de bande, classe d'émission, puissance). Si cet examen aboutit à une conclusion favorable, l'assignation est inscrite dans le Fichier de référence. En cas de conclusion défavorable, la fiche de notifi</w:t>
      </w:r>
      <w:r w:rsidR="008E6DD0" w:rsidRPr="008E6DD0">
        <w:rPr>
          <w:lang w:val="fr-FR"/>
        </w:rPr>
        <w:softHyphen/>
      </w:r>
      <w:r w:rsidRPr="008E6DD0">
        <w:rPr>
          <w:lang w:val="fr-FR"/>
        </w:rPr>
        <w:t xml:space="preserve">cation est renvoyée à l'administration </w:t>
      </w:r>
      <w:proofErr w:type="spellStart"/>
      <w:r w:rsidRPr="008E6DD0">
        <w:rPr>
          <w:lang w:val="fr-FR"/>
        </w:rPr>
        <w:t>notificatrice</w:t>
      </w:r>
      <w:proofErr w:type="spellEnd"/>
      <w:r w:rsidRPr="008E6DD0">
        <w:rPr>
          <w:lang w:val="fr-FR"/>
        </w:rPr>
        <w:t>, accompagnée d'une indication des mesures à prendre.</w:t>
      </w:r>
    </w:p>
    <w:p w:rsidR="00861D15" w:rsidRPr="008E6DD0" w:rsidRDefault="00861D15">
      <w:pPr>
        <w:pStyle w:val="Heading8"/>
        <w:rPr>
          <w:lang w:val="fr-FR"/>
        </w:rPr>
      </w:pPr>
      <w:r w:rsidRPr="008E6DD0">
        <w:rPr>
          <w:lang w:val="fr-FR"/>
        </w:rPr>
        <w:t>27</w:t>
      </w:r>
      <w:r w:rsidRPr="008E6DD0">
        <w:rPr>
          <w:b w:val="0"/>
          <w:lang w:val="fr-FR"/>
        </w:rPr>
        <w:t>/19</w:t>
      </w:r>
    </w:p>
    <w:p w:rsidR="00861D15" w:rsidRPr="008E6DD0" w:rsidRDefault="00861D15">
      <w:pPr>
        <w:rPr>
          <w:lang w:val="fr-FR"/>
        </w:rPr>
      </w:pPr>
      <w:r w:rsidRPr="008E6DD0">
        <w:rPr>
          <w:lang w:val="fr-FR"/>
        </w:rPr>
        <w:t>Cette disposition précise le rôle que joue l'OACI en matière de coordination volontaire («devrait») de l'utilisation opérationnelle des fréquences. Le Comité considère cette coor</w:t>
      </w:r>
      <w:r w:rsidRPr="008E6DD0">
        <w:rPr>
          <w:lang w:val="fr-FR"/>
        </w:rPr>
        <w:softHyphen/>
        <w:t>dination comme une activité interne de l'OACI, visant à conclure des accords d'exploitation entre opérateurs internationaux concernant par exemple l'utilisation en temps partagé. En conséquence, le Bureau ne tiendra pas compte de ces accords entre opérateurs, sauf s'ils lui sont communiqués par leurs administrations nationales des télécommunications.</w:t>
      </w:r>
    </w:p>
    <w:p w:rsidR="00861D15" w:rsidRPr="008E6DD0" w:rsidRDefault="00861D15">
      <w:pPr>
        <w:pStyle w:val="Heading8"/>
        <w:rPr>
          <w:lang w:val="fr-FR"/>
        </w:rPr>
      </w:pPr>
      <w:r w:rsidRPr="008E6DD0">
        <w:rPr>
          <w:lang w:val="fr-FR"/>
        </w:rPr>
        <w:br w:type="page"/>
      </w:r>
      <w:r w:rsidRPr="008E6DD0">
        <w:rPr>
          <w:lang w:val="fr-FR"/>
        </w:rPr>
        <w:lastRenderedPageBreak/>
        <w:t>27</w:t>
      </w:r>
      <w:r w:rsidRPr="008E6DD0">
        <w:rPr>
          <w:b w:val="0"/>
          <w:lang w:val="fr-FR"/>
        </w:rPr>
        <w:t>/58</w:t>
      </w:r>
    </w:p>
    <w:p w:rsidR="00861D15" w:rsidRPr="008E6DD0" w:rsidRDefault="00861D15" w:rsidP="008E6DD0">
      <w:pPr>
        <w:rPr>
          <w:lang w:val="fr-FR"/>
        </w:rPr>
      </w:pPr>
      <w:r w:rsidRPr="008E6DD0">
        <w:rPr>
          <w:lang w:val="fr-FR"/>
        </w:rPr>
        <w:t xml:space="preserve">Cette disposition énumère les classes d'émission permises sur les voies de l'Appendice </w:t>
      </w:r>
      <w:r w:rsidRPr="008E6DD0">
        <w:rPr>
          <w:rStyle w:val="Appref"/>
          <w:b/>
          <w:bCs/>
          <w:color w:val="000000"/>
          <w:lang w:val="fr-FR"/>
        </w:rPr>
        <w:t>27</w:t>
      </w:r>
      <w:r w:rsidRPr="008E6DD0">
        <w:rPr>
          <w:lang w:val="fr-FR"/>
        </w:rPr>
        <w:t xml:space="preserve"> et prévoit notamment la possibilité d'utiliser d'«autres émissions telles que la transmission auto</w:t>
      </w:r>
      <w:r w:rsidR="008E6DD0" w:rsidRPr="008E6DD0">
        <w:rPr>
          <w:lang w:val="fr-FR"/>
        </w:rPr>
        <w:softHyphen/>
      </w:r>
      <w:r w:rsidRPr="008E6DD0">
        <w:rPr>
          <w:lang w:val="fr-FR"/>
        </w:rPr>
        <w:t xml:space="preserve">matique de données, bande latérale unique, porteuse supprimée». Le symbole correspondant à cette dernière classe d'émission est JXX (ex-A9J). A cet égard, le Bureau considère que toute classe d'émission à bande latérale unique (BLU) (à porteuse supprimée) est autorisée sur les voies de l'Appendice </w:t>
      </w:r>
      <w:r w:rsidRPr="008E6DD0">
        <w:rPr>
          <w:rStyle w:val="Appref"/>
          <w:b/>
          <w:bCs/>
          <w:color w:val="000000"/>
          <w:lang w:val="fr-FR"/>
        </w:rPr>
        <w:t>27</w:t>
      </w:r>
      <w:r w:rsidRPr="008E6DD0">
        <w:rPr>
          <w:lang w:val="fr-FR"/>
        </w:rPr>
        <w:t xml:space="preserve"> (par exemple, J2B, J2D, J7B, J7D, J9B, J9D, etc.), sous réserve que les conditions suivantes soient respectées:</w:t>
      </w:r>
    </w:p>
    <w:p w:rsidR="00861D15" w:rsidRPr="008E6DD0" w:rsidRDefault="00861D15" w:rsidP="008E6DD0">
      <w:pPr>
        <w:pStyle w:val="enumlev1"/>
        <w:rPr>
          <w:lang w:val="fr-FR"/>
        </w:rPr>
      </w:pPr>
      <w:r w:rsidRPr="008E6DD0">
        <w:rPr>
          <w:lang w:val="fr-FR"/>
        </w:rPr>
        <w:t>–</w:t>
      </w:r>
      <w:r w:rsidRPr="008E6DD0">
        <w:rPr>
          <w:lang w:val="fr-FR"/>
        </w:rPr>
        <w:tab/>
        <w:t>la fréquence de référence de l'émission concernée coïncide avec une fréquence de référence indiquée dans la liste de fréquences porteuses (fréquences de référence) (numéro</w:t>
      </w:r>
      <w:r w:rsidR="008E6DD0">
        <w:rPr>
          <w:lang w:val="fr-FR"/>
        </w:rPr>
        <w:t> </w:t>
      </w:r>
      <w:r w:rsidRPr="008E6DD0">
        <w:rPr>
          <w:rStyle w:val="Artref"/>
          <w:b/>
          <w:bCs/>
          <w:color w:val="000000"/>
          <w:lang w:val="fr-FR"/>
        </w:rPr>
        <w:t>27</w:t>
      </w:r>
      <w:r w:rsidRPr="008E6DD0">
        <w:rPr>
          <w:lang w:val="fr-FR"/>
        </w:rPr>
        <w:t>/18);</w:t>
      </w:r>
    </w:p>
    <w:p w:rsidR="00861D15" w:rsidRPr="008E6DD0" w:rsidRDefault="00861D15" w:rsidP="008E6DD0">
      <w:pPr>
        <w:pStyle w:val="enumlev1"/>
        <w:rPr>
          <w:lang w:val="fr-FR"/>
        </w:rPr>
      </w:pPr>
      <w:r w:rsidRPr="008E6DD0">
        <w:rPr>
          <w:lang w:val="fr-FR"/>
        </w:rPr>
        <w:t>–</w:t>
      </w:r>
      <w:r w:rsidRPr="008E6DD0">
        <w:rPr>
          <w:lang w:val="fr-FR"/>
        </w:rPr>
        <w:tab/>
        <w:t>la largeur de bande occupée d'autres émissions autorisées ne dépasse pas la limite supé</w:t>
      </w:r>
      <w:r w:rsidR="008E6DD0" w:rsidRPr="008E6DD0">
        <w:rPr>
          <w:lang w:val="fr-FR"/>
        </w:rPr>
        <w:softHyphen/>
      </w:r>
      <w:r w:rsidRPr="008E6DD0">
        <w:rPr>
          <w:lang w:val="fr-FR"/>
        </w:rPr>
        <w:t xml:space="preserve">rieure des émissions de classe J3E (numéro </w:t>
      </w:r>
      <w:r w:rsidRPr="008E6DD0">
        <w:rPr>
          <w:rStyle w:val="Artref"/>
          <w:b/>
          <w:bCs/>
          <w:color w:val="000000"/>
          <w:lang w:val="fr-FR"/>
        </w:rPr>
        <w:t>27</w:t>
      </w:r>
      <w:r w:rsidRPr="008E6DD0">
        <w:rPr>
          <w:lang w:val="fr-FR"/>
        </w:rPr>
        <w:t>/12), c'est-à-dire 2</w:t>
      </w:r>
      <w:r w:rsidRPr="008E6DD0">
        <w:rPr>
          <w:rFonts w:ascii="Tms Rmn" w:hAnsi="Tms Rmn"/>
          <w:sz w:val="12"/>
          <w:lang w:val="fr-FR"/>
        </w:rPr>
        <w:t> </w:t>
      </w:r>
      <w:r w:rsidRPr="008E6DD0">
        <w:rPr>
          <w:lang w:val="fr-FR"/>
        </w:rPr>
        <w:t>800</w:t>
      </w:r>
      <w:r w:rsidR="008E6DD0" w:rsidRPr="008E6DD0">
        <w:rPr>
          <w:lang w:val="fr-FR"/>
        </w:rPr>
        <w:t> </w:t>
      </w:r>
      <w:r w:rsidRPr="008E6DD0">
        <w:rPr>
          <w:lang w:val="fr-FR"/>
        </w:rPr>
        <w:t>Hz;</w:t>
      </w:r>
    </w:p>
    <w:p w:rsidR="00861D15" w:rsidRPr="008E6DD0" w:rsidRDefault="00861D15" w:rsidP="008E6DD0">
      <w:pPr>
        <w:pStyle w:val="enumlev1"/>
        <w:rPr>
          <w:lang w:val="fr-FR"/>
        </w:rPr>
      </w:pPr>
      <w:r w:rsidRPr="008E6DD0">
        <w:rPr>
          <w:lang w:val="fr-FR"/>
        </w:rPr>
        <w:t>–</w:t>
      </w:r>
      <w:r w:rsidRPr="008E6DD0">
        <w:rPr>
          <w:lang w:val="fr-FR"/>
        </w:rPr>
        <w:tab/>
        <w:t>la fréquence assignée est supérieure de 1</w:t>
      </w:r>
      <w:r w:rsidR="008E6DD0" w:rsidRPr="008E6DD0">
        <w:rPr>
          <w:rFonts w:ascii="Tms Rmn" w:hAnsi="Tms Rmn"/>
          <w:sz w:val="12"/>
          <w:lang w:val="fr-FR"/>
        </w:rPr>
        <w:t> </w:t>
      </w:r>
      <w:r w:rsidRPr="008E6DD0">
        <w:rPr>
          <w:lang w:val="fr-FR"/>
        </w:rPr>
        <w:t>400 Hz à la fréquence porteuse (fréquence de référence) (numéro</w:t>
      </w:r>
      <w:r w:rsidR="008E6DD0" w:rsidRPr="008E6DD0">
        <w:rPr>
          <w:lang w:val="fr-FR"/>
        </w:rPr>
        <w:t> </w:t>
      </w:r>
      <w:r w:rsidRPr="008E6DD0">
        <w:rPr>
          <w:rStyle w:val="Artref"/>
          <w:b/>
          <w:bCs/>
          <w:color w:val="000000"/>
          <w:lang w:val="fr-FR"/>
        </w:rPr>
        <w:t>27</w:t>
      </w:r>
      <w:r w:rsidRPr="008E6DD0">
        <w:rPr>
          <w:lang w:val="fr-FR"/>
        </w:rPr>
        <w:t>/75).</w:t>
      </w:r>
    </w:p>
    <w:p w:rsidR="00861D15" w:rsidRPr="008E6DD0" w:rsidRDefault="00861D15">
      <w:pPr>
        <w:rPr>
          <w:lang w:val="fr-FR"/>
        </w:rPr>
      </w:pPr>
    </w:p>
    <w:p w:rsidR="00861D15" w:rsidRPr="008E6DD0" w:rsidRDefault="00861D15">
      <w:pPr>
        <w:jc w:val="center"/>
        <w:rPr>
          <w:lang w:val="fr-FR"/>
        </w:rPr>
      </w:pPr>
      <w:r w:rsidRPr="008E6DD0">
        <w:rPr>
          <w:lang w:val="fr-FR"/>
        </w:rPr>
        <w:t>____________________</w:t>
      </w:r>
    </w:p>
    <w:p w:rsidR="00861D15" w:rsidRPr="008E6DD0" w:rsidRDefault="00861D15" w:rsidP="008E6DD0">
      <w:pPr>
        <w:rPr>
          <w:lang w:val="fr-FR"/>
        </w:rPr>
      </w:pPr>
    </w:p>
    <w:p w:rsidR="00861D15" w:rsidRPr="008E6DD0" w:rsidRDefault="00861D15" w:rsidP="008E6DD0">
      <w:pPr>
        <w:rPr>
          <w:lang w:val="fr-FR"/>
        </w:rPr>
      </w:pPr>
      <w:bookmarkStart w:id="0" w:name="_GoBack"/>
      <w:bookmarkEnd w:id="0"/>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pPr>
    </w:p>
    <w:p w:rsidR="00861D15" w:rsidRPr="008E6DD0" w:rsidRDefault="00861D15" w:rsidP="008E6DD0">
      <w:pPr>
        <w:rPr>
          <w:lang w:val="fr-FR"/>
        </w:rPr>
        <w:sectPr w:rsidR="00861D15" w:rsidRPr="008E6DD0">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861D15" w:rsidRPr="008E6DD0" w:rsidRDefault="00861D15" w:rsidP="008E6DD0">
      <w:pPr>
        <w:rPr>
          <w:lang w:val="fr-FR"/>
        </w:rPr>
      </w:pPr>
    </w:p>
    <w:sectPr w:rsidR="00861D15" w:rsidRPr="008E6DD0" w:rsidSect="008E6DD0">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F36" w:rsidRDefault="00002F36">
      <w:r>
        <w:separator/>
      </w:r>
    </w:p>
  </w:endnote>
  <w:endnote w:type="continuationSeparator" w:id="0">
    <w:p w:rsidR="00002F36" w:rsidRDefault="0000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ms Rmn">
    <w:altName w:val="Times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F36" w:rsidRDefault="00002F36">
      <w:r>
        <w:rPr>
          <w:b/>
        </w:rPr>
        <w:t>_______________</w:t>
      </w:r>
    </w:p>
  </w:footnote>
  <w:footnote w:type="continuationSeparator" w:id="0">
    <w:p w:rsidR="00002F36" w:rsidRDefault="00002F36">
      <w:r>
        <w:continuationSeparator/>
      </w:r>
    </w:p>
  </w:footnote>
  <w:footnote w:id="1">
    <w:p w:rsidR="003429BC" w:rsidRPr="003429BC" w:rsidRDefault="003429BC" w:rsidP="003429BC">
      <w:pPr>
        <w:pStyle w:val="FootnoteText"/>
        <w:rPr>
          <w:lang w:val="fr-CH"/>
        </w:rPr>
      </w:pPr>
      <w:r w:rsidRPr="003429BC">
        <w:rPr>
          <w:rStyle w:val="FootnoteReference"/>
          <w:lang w:val="fr-CH"/>
        </w:rPr>
        <w:t>*</w:t>
      </w:r>
      <w:r w:rsidRPr="003429BC">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6DD0">
      <w:trPr>
        <w:cantSplit/>
      </w:trPr>
      <w:tc>
        <w:tcPr>
          <w:tcW w:w="1701" w:type="dxa"/>
          <w:tcBorders>
            <w:top w:val="single" w:sz="6" w:space="0" w:color="auto"/>
            <w:left w:val="single" w:sz="6" w:space="0" w:color="auto"/>
            <w:bottom w:val="single" w:sz="6" w:space="0" w:color="auto"/>
            <w:right w:val="single" w:sz="6" w:space="0" w:color="auto"/>
          </w:tcBorders>
        </w:tcPr>
        <w:p w:rsidR="008E6DD0" w:rsidRDefault="008E6DD0">
          <w:pPr>
            <w:pStyle w:val="HeaderRegProc"/>
          </w:pPr>
          <w:proofErr w:type="spellStart"/>
          <w:r>
            <w:t>Partie</w:t>
          </w:r>
          <w:proofErr w:type="spellEnd"/>
          <w:r>
            <w:t xml:space="preserve"> A</w:t>
          </w:r>
          <w:r w:rsidR="00E75BA8">
            <w:fldChar w:fldCharType="begin"/>
          </w:r>
          <w:r w:rsidR="00E75BA8">
            <w:instrText>styleref href</w:instrText>
          </w:r>
          <w:r w:rsidR="00E75BA8">
            <w:fldChar w:fldCharType="separate"/>
          </w:r>
          <w:r w:rsidR="002D1F36">
            <w:rPr>
              <w:noProof/>
            </w:rPr>
            <w:t>1</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6DD0" w:rsidRDefault="00E75BA8">
          <w:pPr>
            <w:pStyle w:val="HeaderRegProc"/>
            <w:rPr>
              <w:lang w:val="fr-FR"/>
            </w:rPr>
          </w:pPr>
          <w:fldSimple w:instr=" DOCPROPERTY &quot;Header1&quot; \* MERGEFORMAT ">
            <w:r w:rsidR="008E6DD0">
              <w:t>AP</w:t>
            </w:r>
          </w:fldSimple>
          <w:r>
            <w:fldChar w:fldCharType="begin"/>
          </w:r>
          <w:r>
            <w:instrText>styleref href2</w:instrText>
          </w:r>
          <w:r>
            <w:fldChar w:fldCharType="separate"/>
          </w:r>
          <w:r w:rsidR="002D1F36">
            <w:rPr>
              <w:noProof/>
            </w:rPr>
            <w:t>27</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6DD0" w:rsidRDefault="008E6DD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D1F3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E6DD0" w:rsidRDefault="008E6DD0">
          <w:pPr>
            <w:pStyle w:val="HeaderRegProc"/>
            <w:rPr>
              <w:lang w:val="fr-CH"/>
            </w:rPr>
          </w:pPr>
          <w:proofErr w:type="spellStart"/>
          <w:r>
            <w:rPr>
              <w:lang w:val="fr-CH"/>
            </w:rPr>
            <w:t>rév</w:t>
          </w:r>
          <w:proofErr w:type="spellEnd"/>
          <w:r>
            <w:rPr>
              <w:lang w:val="fr-CH"/>
            </w:rPr>
            <w:t>.</w:t>
          </w:r>
          <w:fldSimple w:instr=" DOCPROPERTY &quot;Header10&quot; \* MERGEFORMAT ">
            <w:r>
              <w:rPr>
                <w:lang w:val="fr-CH"/>
              </w:rPr>
              <w:t>-</w:t>
            </w:r>
          </w:fldSimple>
        </w:p>
      </w:tc>
    </w:tr>
  </w:tbl>
  <w:p w:rsidR="008E6DD0" w:rsidRDefault="008E6DD0">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6DD0">
      <w:trPr>
        <w:cantSplit/>
        <w:jc w:val="right"/>
      </w:trPr>
      <w:tc>
        <w:tcPr>
          <w:tcW w:w="1701" w:type="dxa"/>
          <w:tcBorders>
            <w:top w:val="single" w:sz="6" w:space="0" w:color="auto"/>
            <w:left w:val="single" w:sz="6" w:space="0" w:color="auto"/>
            <w:bottom w:val="single" w:sz="6" w:space="0" w:color="auto"/>
            <w:right w:val="single" w:sz="6" w:space="0" w:color="auto"/>
          </w:tcBorders>
        </w:tcPr>
        <w:p w:rsidR="008E6DD0" w:rsidRDefault="008E6DD0">
          <w:pPr>
            <w:pStyle w:val="HeaderRegProc"/>
          </w:pPr>
          <w:proofErr w:type="spellStart"/>
          <w:r>
            <w:t>Partie</w:t>
          </w:r>
          <w:proofErr w:type="spellEnd"/>
          <w:r>
            <w:t xml:space="preserve"> A</w:t>
          </w:r>
          <w:r w:rsidR="00E75BA8">
            <w:fldChar w:fldCharType="begin"/>
          </w:r>
          <w:r w:rsidR="00E75BA8">
            <w:instrText>styleref href</w:instrText>
          </w:r>
          <w:r w:rsidR="00E75BA8">
            <w:fldChar w:fldCharType="separate"/>
          </w:r>
          <w:r w:rsidR="002D1F36">
            <w:rPr>
              <w:noProof/>
            </w:rPr>
            <w:t>1</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6DD0" w:rsidRDefault="00E75BA8">
          <w:pPr>
            <w:pStyle w:val="HeaderRegProc"/>
            <w:rPr>
              <w:lang w:val="fr-FR"/>
            </w:rPr>
          </w:pPr>
          <w:fldSimple w:instr=" DOCPROPERTY &quot;Header1&quot; \* MERGEFORMAT ">
            <w:r w:rsidR="008E6DD0">
              <w:t>AP</w:t>
            </w:r>
          </w:fldSimple>
          <w:r>
            <w:fldChar w:fldCharType="begin"/>
          </w:r>
          <w:r>
            <w:instrText>styleref href2</w:instrText>
          </w:r>
          <w:r>
            <w:fldChar w:fldCharType="separate"/>
          </w:r>
          <w:r w:rsidR="002D1F36">
            <w:rPr>
              <w:noProof/>
            </w:rPr>
            <w:t>27</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6DD0" w:rsidRDefault="008E6DD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D1F3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E6DD0" w:rsidRDefault="008E6DD0">
          <w:pPr>
            <w:pStyle w:val="HeaderRegProc"/>
            <w:rPr>
              <w:lang w:val="fr-CH"/>
            </w:rPr>
          </w:pPr>
          <w:proofErr w:type="spellStart"/>
          <w:r>
            <w:rPr>
              <w:lang w:val="fr-CH"/>
            </w:rPr>
            <w:t>rév</w:t>
          </w:r>
          <w:proofErr w:type="spellEnd"/>
          <w:r>
            <w:rPr>
              <w:lang w:val="fr-CH"/>
            </w:rPr>
            <w:t>.</w:t>
          </w:r>
          <w:fldSimple w:instr=" DOCPROPERTY &quot;Header10&quot; \* MERGEFORMAT ">
            <w:r>
              <w:rPr>
                <w:lang w:val="fr-CH"/>
              </w:rPr>
              <w:t>-</w:t>
            </w:r>
          </w:fldSimple>
        </w:p>
      </w:tc>
    </w:tr>
  </w:tbl>
  <w:p w:rsidR="008E6DD0" w:rsidRDefault="008E6DD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DD0" w:rsidRDefault="008E6D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861D15"/>
    <w:rsid w:val="00002F36"/>
    <w:rsid w:val="001525B5"/>
    <w:rsid w:val="001B173B"/>
    <w:rsid w:val="002D1F36"/>
    <w:rsid w:val="003429BC"/>
    <w:rsid w:val="007545B5"/>
    <w:rsid w:val="00861D15"/>
    <w:rsid w:val="008E6DD0"/>
    <w:rsid w:val="009522A8"/>
    <w:rsid w:val="00E75B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C964-D457-4B18-935D-3C6E21EC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5</TotalTime>
  <Pages>3</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AP27</dc:subject>
  <dc:creator>Composition des Publications</dc:creator>
  <cp:keywords>FOLIOS:  1  -  2</cp:keywords>
  <dc:description>Edition 2009:  23.02.2009/DD (dict. ok)</dc:description>
  <cp:lastModifiedBy>IS / INFRASTRUCTURE</cp:lastModifiedBy>
  <cp:revision>5</cp:revision>
  <cp:lastPrinted>2009-02-23T10:22:00Z</cp:lastPrinted>
  <dcterms:created xsi:type="dcterms:W3CDTF">2012-08-08T15:51:00Z</dcterms:created>
  <dcterms:modified xsi:type="dcterms:W3CDTF">2012-10-08T11:37:00Z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