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CF4" w:rsidRPr="007A518E" w:rsidRDefault="006A4CF4" w:rsidP="00620522">
      <w:pPr>
        <w:pStyle w:val="Heading1"/>
        <w:spacing w:before="300"/>
        <w:jc w:val="center"/>
        <w:rPr>
          <w:lang w:val="fr-FR"/>
        </w:rPr>
      </w:pPr>
      <w:r w:rsidRPr="007A518E">
        <w:rPr>
          <w:lang w:val="fr-FR"/>
        </w:rPr>
        <w:t>Règles relatives à</w:t>
      </w:r>
    </w:p>
    <w:p w:rsidR="006A4CF4" w:rsidRDefault="006A4CF4">
      <w:pPr>
        <w:pStyle w:val="Heading2"/>
        <w:jc w:val="center"/>
        <w:rPr>
          <w:lang w:val="fr-FR"/>
        </w:rPr>
      </w:pPr>
      <w:proofErr w:type="gramStart"/>
      <w:r w:rsidRPr="007A518E">
        <w:rPr>
          <w:lang w:val="fr-FR"/>
        </w:rPr>
        <w:t>l'ARTICLE</w:t>
      </w:r>
      <w:proofErr w:type="gramEnd"/>
      <w:r w:rsidR="00620522" w:rsidRPr="007A518E">
        <w:rPr>
          <w:lang w:val="fr-FR"/>
        </w:rPr>
        <w:t xml:space="preserve"> </w:t>
      </w:r>
      <w:r w:rsidRPr="007A518E">
        <w:rPr>
          <w:lang w:val="fr-FR"/>
        </w:rPr>
        <w:t xml:space="preserve"> </w:t>
      </w:r>
      <w:r w:rsidRPr="007A518E">
        <w:rPr>
          <w:rStyle w:val="href2"/>
          <w:lang w:val="fr-FR"/>
        </w:rPr>
        <w:t>21</w:t>
      </w:r>
      <w:r w:rsidRPr="007A518E">
        <w:rPr>
          <w:lang w:val="fr-FR"/>
        </w:rPr>
        <w:t xml:space="preserve"> du RR</w:t>
      </w:r>
    </w:p>
    <w:p w:rsidR="002C6D1D" w:rsidRPr="002C6D1D" w:rsidRDefault="002C6D1D" w:rsidP="002C6D1D">
      <w:pPr>
        <w:pStyle w:val="Heading8"/>
        <w:tabs>
          <w:tab w:val="clear" w:pos="1134"/>
        </w:tabs>
        <w:spacing w:before="240"/>
        <w:ind w:right="7795"/>
        <w:rPr>
          <w:lang w:val="fr-CH"/>
        </w:rPr>
      </w:pPr>
      <w:r w:rsidRPr="002C6D1D">
        <w:rPr>
          <w:szCs w:val="24"/>
          <w:lang w:val="fr-CH" w:eastAsia="zh-CN"/>
        </w:rPr>
        <w:t>Table</w:t>
      </w:r>
      <w:r>
        <w:rPr>
          <w:szCs w:val="24"/>
          <w:lang w:val="fr-CH" w:eastAsia="zh-CN"/>
        </w:rPr>
        <w:t xml:space="preserve"> </w:t>
      </w:r>
      <w:r w:rsidRPr="002C6D1D">
        <w:rPr>
          <w:szCs w:val="24"/>
          <w:lang w:val="fr-CH" w:eastAsia="zh-CN"/>
        </w:rPr>
        <w:t xml:space="preserve"> 21-2</w:t>
      </w:r>
      <w:r w:rsidRPr="002C6D1D">
        <w:rPr>
          <w:szCs w:val="24"/>
          <w:lang w:val="fr-CH" w:eastAsia="zh-CN"/>
        </w:rPr>
        <w:tab/>
      </w:r>
      <w:r w:rsidRPr="002C6D1D">
        <w:rPr>
          <w:b w:val="0"/>
          <w:bCs/>
          <w:sz w:val="16"/>
          <w:szCs w:val="16"/>
          <w:lang w:val="fr-CH" w:eastAsia="zh-CN"/>
        </w:rPr>
        <w:t>(ADD RRB13/64)</w:t>
      </w:r>
    </w:p>
    <w:p w:rsidR="002C6D1D" w:rsidRPr="002C6D1D" w:rsidRDefault="002C6D1D" w:rsidP="002C6D1D">
      <w:pPr>
        <w:rPr>
          <w:rFonts w:asciiTheme="majorBidi" w:hAnsiTheme="majorBidi" w:cstheme="majorBidi"/>
          <w:szCs w:val="24"/>
          <w:lang w:val="fr-CH"/>
        </w:rPr>
      </w:pPr>
      <w:r w:rsidRPr="002C6D1D">
        <w:rPr>
          <w:rFonts w:asciiTheme="majorBidi" w:hAnsiTheme="majorBidi" w:cstheme="majorBidi"/>
          <w:szCs w:val="24"/>
          <w:lang w:val="fr-CH"/>
        </w:rPr>
        <w:t xml:space="preserve">Le Tableau </w:t>
      </w:r>
      <w:r w:rsidRPr="002C6D1D">
        <w:rPr>
          <w:rFonts w:asciiTheme="majorBidi" w:hAnsiTheme="majorBidi" w:cstheme="majorBidi"/>
          <w:b/>
          <w:bCs/>
          <w:szCs w:val="24"/>
          <w:lang w:val="fr-CH"/>
        </w:rPr>
        <w:t>21-2</w:t>
      </w:r>
      <w:r w:rsidRPr="002C6D1D">
        <w:rPr>
          <w:rFonts w:asciiTheme="majorBidi" w:hAnsiTheme="majorBidi" w:cstheme="majorBidi"/>
          <w:szCs w:val="24"/>
          <w:lang w:val="fr-CH"/>
        </w:rPr>
        <w:t xml:space="preserve"> précise les bandes de fréquences qui sont utilisées en partage, avec égalité des droits, entre les services spatiaux d'une part et les services fixe et mobile d'autre part, lorsque la station terrestre est assujettie aux limites de puissance indiquées dans les numéros </w:t>
      </w:r>
      <w:r w:rsidRPr="002C6D1D">
        <w:rPr>
          <w:rFonts w:asciiTheme="majorBidi" w:hAnsiTheme="majorBidi" w:cstheme="majorBidi"/>
          <w:b/>
          <w:bCs/>
          <w:szCs w:val="24"/>
          <w:lang w:val="fr-CH"/>
        </w:rPr>
        <w:t xml:space="preserve">21.2 </w:t>
      </w:r>
      <w:r w:rsidRPr="002C6D1D">
        <w:rPr>
          <w:rFonts w:asciiTheme="majorBidi" w:hAnsiTheme="majorBidi" w:cstheme="majorBidi"/>
          <w:szCs w:val="24"/>
          <w:lang w:val="fr-CH"/>
        </w:rPr>
        <w:t xml:space="preserve">à </w:t>
      </w:r>
      <w:r w:rsidRPr="002C6D1D">
        <w:rPr>
          <w:rFonts w:asciiTheme="majorBidi" w:hAnsiTheme="majorBidi" w:cstheme="majorBidi"/>
          <w:b/>
          <w:bCs/>
          <w:szCs w:val="24"/>
          <w:lang w:val="fr-CH"/>
        </w:rPr>
        <w:t>21.5A</w:t>
      </w:r>
      <w:r w:rsidRPr="002C6D1D">
        <w:rPr>
          <w:rFonts w:asciiTheme="majorBidi" w:hAnsiTheme="majorBidi" w:cstheme="majorBidi"/>
          <w:szCs w:val="24"/>
          <w:lang w:val="fr-CH"/>
        </w:rPr>
        <w:t xml:space="preserve">. Ces limites de puissance sont vérifiées pendant le traitement des assignations de fréquence auquel procède le Bureau au titre des «autres dispositions» visées dans le numéro </w:t>
      </w:r>
      <w:r w:rsidRPr="002C6D1D">
        <w:rPr>
          <w:rFonts w:asciiTheme="majorBidi" w:hAnsiTheme="majorBidi" w:cstheme="majorBidi"/>
          <w:b/>
          <w:bCs/>
          <w:szCs w:val="24"/>
          <w:lang w:val="fr-CH"/>
        </w:rPr>
        <w:t xml:space="preserve">11.31 </w:t>
      </w:r>
      <w:r w:rsidRPr="002C6D1D">
        <w:rPr>
          <w:rFonts w:asciiTheme="majorBidi" w:hAnsiTheme="majorBidi" w:cstheme="majorBidi"/>
          <w:szCs w:val="24"/>
          <w:lang w:val="fr-CH"/>
        </w:rPr>
        <w:t>qui doivent être vérifiées pendant l'examen règlementaire</w:t>
      </w:r>
      <w:r w:rsidRPr="002C6D1D">
        <w:rPr>
          <w:rFonts w:asciiTheme="majorBidi" w:hAnsiTheme="majorBidi" w:cstheme="majorBidi"/>
          <w:b/>
          <w:bCs/>
          <w:szCs w:val="24"/>
          <w:lang w:val="fr-CH"/>
        </w:rPr>
        <w:t>.</w:t>
      </w:r>
      <w:r w:rsidRPr="002C6D1D">
        <w:rPr>
          <w:rFonts w:asciiTheme="majorBidi" w:hAnsiTheme="majorBidi" w:cstheme="majorBidi"/>
          <w:szCs w:val="24"/>
          <w:lang w:val="fr-CH"/>
        </w:rPr>
        <w:t xml:space="preserve"> </w:t>
      </w:r>
    </w:p>
    <w:p w:rsidR="002C6D1D" w:rsidRPr="002C6D1D" w:rsidRDefault="002C6D1D" w:rsidP="002C6D1D">
      <w:pPr>
        <w:keepLines/>
        <w:rPr>
          <w:rFonts w:asciiTheme="majorBidi" w:hAnsiTheme="majorBidi" w:cstheme="majorBidi"/>
          <w:szCs w:val="24"/>
          <w:lang w:val="fr-CH"/>
        </w:rPr>
      </w:pPr>
      <w:r w:rsidRPr="002C6D1D">
        <w:rPr>
          <w:rFonts w:asciiTheme="majorBidi" w:hAnsiTheme="majorBidi" w:cstheme="majorBidi"/>
          <w:color w:val="000000"/>
          <w:szCs w:val="24"/>
          <w:lang w:val="fr-CH"/>
        </w:rPr>
        <w:t xml:space="preserve">La CMR-12 a attribué la bande de fréquences 24,75-25,25 GHz au service fixe par satellite dans le sens Terre vers espace dans la Région 1. Par conséquent, cette bande est utilisée en partage, avec égalité des droits, entre le service fixe par satellite (Terre vers espace) et le service fixe; toutefois, cette situation n'est pas reflétée dans le Tableau </w:t>
      </w:r>
      <w:r w:rsidRPr="002C6D1D">
        <w:rPr>
          <w:rFonts w:asciiTheme="majorBidi" w:hAnsiTheme="majorBidi" w:cstheme="majorBidi"/>
          <w:b/>
          <w:bCs/>
          <w:color w:val="000000"/>
          <w:szCs w:val="24"/>
          <w:lang w:val="fr-CH"/>
        </w:rPr>
        <w:t>21-2</w:t>
      </w:r>
      <w:r w:rsidRPr="002C6D1D">
        <w:rPr>
          <w:rFonts w:asciiTheme="majorBidi" w:hAnsiTheme="majorBidi" w:cstheme="majorBidi"/>
          <w:color w:val="000000"/>
          <w:szCs w:val="24"/>
          <w:lang w:val="fr-CH"/>
        </w:rPr>
        <w:t>. Conscient de la nécessité d'appliquer une approche cohérente en ce qui concerne la protection du service fixe par satellite dans les Régions 1 et 3, le Comité a décidé que les limites de puissance indiquées dans les numéros</w:t>
      </w:r>
      <w:r w:rsidRPr="002C6D1D">
        <w:rPr>
          <w:rFonts w:asciiTheme="majorBidi" w:hAnsiTheme="majorBidi" w:cstheme="majorBidi"/>
          <w:szCs w:val="24"/>
          <w:lang w:val="fr-CH"/>
        </w:rPr>
        <w:t xml:space="preserve"> </w:t>
      </w:r>
      <w:r w:rsidRPr="002C6D1D">
        <w:rPr>
          <w:rFonts w:asciiTheme="majorBidi" w:hAnsiTheme="majorBidi" w:cstheme="majorBidi"/>
          <w:b/>
          <w:bCs/>
          <w:szCs w:val="24"/>
          <w:lang w:val="fr-CH"/>
        </w:rPr>
        <w:t>21.3</w:t>
      </w:r>
      <w:r w:rsidRPr="002C6D1D">
        <w:rPr>
          <w:rFonts w:asciiTheme="majorBidi" w:hAnsiTheme="majorBidi" w:cstheme="majorBidi"/>
          <w:szCs w:val="24"/>
          <w:lang w:val="fr-CH"/>
        </w:rPr>
        <w:t xml:space="preserve"> et </w:t>
      </w:r>
      <w:r w:rsidRPr="002C6D1D">
        <w:rPr>
          <w:rFonts w:asciiTheme="majorBidi" w:hAnsiTheme="majorBidi" w:cstheme="majorBidi"/>
          <w:b/>
          <w:bCs/>
          <w:szCs w:val="24"/>
          <w:lang w:val="fr-CH"/>
        </w:rPr>
        <w:t>21.5</w:t>
      </w:r>
      <w:r w:rsidRPr="002C6D1D">
        <w:rPr>
          <w:rFonts w:asciiTheme="majorBidi" w:hAnsiTheme="majorBidi" w:cstheme="majorBidi"/>
          <w:szCs w:val="24"/>
          <w:lang w:val="fr-CH"/>
        </w:rPr>
        <w:t xml:space="preserve"> s'appliqueraient aux assignations de fréquence du service fixe dans la bande </w:t>
      </w:r>
      <w:r w:rsidRPr="002C6D1D">
        <w:rPr>
          <w:rFonts w:asciiTheme="majorBidi" w:hAnsiTheme="majorBidi" w:cstheme="majorBidi"/>
          <w:color w:val="000000"/>
          <w:szCs w:val="24"/>
          <w:lang w:val="fr-CH"/>
        </w:rPr>
        <w:t>24,75</w:t>
      </w:r>
      <w:r w:rsidRPr="002C6D1D">
        <w:rPr>
          <w:rFonts w:asciiTheme="majorBidi" w:hAnsiTheme="majorBidi" w:cstheme="majorBidi"/>
          <w:color w:val="000000"/>
          <w:szCs w:val="24"/>
          <w:lang w:val="fr-CH"/>
        </w:rPr>
        <w:noBreakHyphen/>
        <w:t>25,25 GHz dans la Région 1</w:t>
      </w:r>
      <w:r w:rsidRPr="002C6D1D">
        <w:rPr>
          <w:rFonts w:asciiTheme="majorBidi" w:hAnsiTheme="majorBidi" w:cstheme="majorBidi"/>
          <w:szCs w:val="24"/>
          <w:lang w:val="fr-CH"/>
        </w:rPr>
        <w:t>.</w:t>
      </w:r>
    </w:p>
    <w:p w:rsidR="006A4CF4" w:rsidRPr="007A518E" w:rsidRDefault="006A4CF4">
      <w:pPr>
        <w:pStyle w:val="Heading8"/>
        <w:rPr>
          <w:lang w:val="fr-FR"/>
        </w:rPr>
      </w:pPr>
      <w:r w:rsidRPr="007A518E">
        <w:rPr>
          <w:lang w:val="fr-FR"/>
        </w:rPr>
        <w:t>21.11</w:t>
      </w:r>
    </w:p>
    <w:p w:rsidR="006A4CF4" w:rsidRPr="007A518E" w:rsidRDefault="006A4CF4">
      <w:pPr>
        <w:rPr>
          <w:lang w:val="fr-FR"/>
        </w:rPr>
      </w:pPr>
      <w:r w:rsidRPr="007A518E">
        <w:rPr>
          <w:lang w:val="fr-FR"/>
        </w:rPr>
        <w:t>1</w:t>
      </w:r>
      <w:r w:rsidRPr="007A518E">
        <w:rPr>
          <w:lang w:val="fr-FR"/>
        </w:rPr>
        <w:tab/>
        <w:t>Quand l'accord d'une administration concernée n'est pas obtenu, l'assignation n'est pas en conformité avec le Règlement des radiocommunications. Afin d'identifier les adminis</w:t>
      </w:r>
      <w:r w:rsidR="00620522" w:rsidRPr="007A518E">
        <w:rPr>
          <w:lang w:val="fr-FR"/>
        </w:rPr>
        <w:softHyphen/>
      </w:r>
      <w:r w:rsidRPr="007A518E">
        <w:rPr>
          <w:lang w:val="fr-FR"/>
        </w:rPr>
        <w:t xml:space="preserve">trations concernées, le Bureau calcule un contour nominal basé, dans tous les azimuts, sur les limites spécifiées au numéro </w:t>
      </w:r>
      <w:r w:rsidRPr="007A518E">
        <w:rPr>
          <w:rStyle w:val="Artref0"/>
          <w:b/>
          <w:bCs/>
          <w:color w:val="000000"/>
          <w:lang w:val="fr-FR"/>
        </w:rPr>
        <w:t>21.8</w:t>
      </w:r>
      <w:r w:rsidRPr="007A518E">
        <w:rPr>
          <w:lang w:val="fr-FR"/>
        </w:rPr>
        <w:t xml:space="preserve"> et le compare au contour approprié obtenu d'après la </w:t>
      </w:r>
      <w:proofErr w:type="spellStart"/>
      <w:r w:rsidRPr="007A518E">
        <w:rPr>
          <w:lang w:val="fr-FR"/>
        </w:rPr>
        <w:t>p.i.r.e</w:t>
      </w:r>
      <w:proofErr w:type="spellEnd"/>
      <w:r w:rsidRPr="007A518E">
        <w:rPr>
          <w:lang w:val="fr-FR"/>
        </w:rPr>
        <w:t>. notifiée et le diagramme de rayonnement de l'antenne. Dans tout azimut où le deuxième contour dépasse le premier, un accord aux termes de cette disposition est nécessaire avec toute administration dont le territoire se situe dans les limites du contour. Le Bureau doit être informé de l'accord de cette administration pour formuler une conclusion favorable relati</w:t>
      </w:r>
      <w:r w:rsidR="00620522" w:rsidRPr="007A518E">
        <w:rPr>
          <w:lang w:val="fr-FR"/>
        </w:rPr>
        <w:softHyphen/>
      </w:r>
      <w:r w:rsidRPr="007A518E">
        <w:rPr>
          <w:lang w:val="fr-FR"/>
        </w:rPr>
        <w:t>vement au numéro </w:t>
      </w:r>
      <w:r w:rsidRPr="007A518E">
        <w:rPr>
          <w:rStyle w:val="Artref0"/>
          <w:b/>
          <w:bCs/>
          <w:color w:val="000000"/>
          <w:lang w:val="fr-FR"/>
        </w:rPr>
        <w:t>11.31</w:t>
      </w:r>
      <w:r w:rsidRPr="007A518E">
        <w:rPr>
          <w:lang w:val="fr-FR"/>
        </w:rPr>
        <w:t>.</w:t>
      </w:r>
    </w:p>
    <w:p w:rsidR="006A4CF4" w:rsidRDefault="006A4CF4">
      <w:pPr>
        <w:rPr>
          <w:lang w:val="fr-FR"/>
        </w:rPr>
      </w:pPr>
      <w:r w:rsidRPr="007A518E">
        <w:rPr>
          <w:lang w:val="fr-FR"/>
        </w:rPr>
        <w:t>2</w:t>
      </w:r>
      <w:r w:rsidRPr="007A518E">
        <w:rPr>
          <w:lang w:val="fr-FR"/>
        </w:rPr>
        <w:tab/>
        <w:t xml:space="preserve">Conformément à cette disposition, toute assignation de fréquence dont la </w:t>
      </w:r>
      <w:proofErr w:type="spellStart"/>
      <w:r w:rsidRPr="007A518E">
        <w:rPr>
          <w:lang w:val="fr-FR"/>
        </w:rPr>
        <w:t>p.i.r.e</w:t>
      </w:r>
      <w:proofErr w:type="spellEnd"/>
      <w:r w:rsidRPr="007A518E">
        <w:rPr>
          <w:lang w:val="fr-FR"/>
        </w:rPr>
        <w:t>. dépasse les limites de plus de 10 dB fera l'objet d'une conclusion défavorable relativement au numéro </w:t>
      </w:r>
      <w:r w:rsidRPr="007A518E">
        <w:rPr>
          <w:rStyle w:val="Artref0"/>
          <w:b/>
          <w:bCs/>
          <w:color w:val="000000"/>
          <w:lang w:val="fr-FR"/>
        </w:rPr>
        <w:t>11.31</w:t>
      </w:r>
      <w:r w:rsidRPr="007A518E">
        <w:rPr>
          <w:lang w:val="fr-FR"/>
        </w:rPr>
        <w:t>.</w:t>
      </w:r>
    </w:p>
    <w:p w:rsidR="002C6D1D" w:rsidRDefault="002C6D1D">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6A4CF4" w:rsidRPr="007A518E" w:rsidRDefault="006A4CF4">
      <w:pPr>
        <w:pStyle w:val="Heading8"/>
        <w:rPr>
          <w:lang w:val="fr-FR"/>
        </w:rPr>
      </w:pPr>
      <w:r w:rsidRPr="007A518E">
        <w:rPr>
          <w:lang w:val="fr-FR"/>
        </w:rPr>
        <w:lastRenderedPageBreak/>
        <w:t>21.14</w:t>
      </w:r>
    </w:p>
    <w:p w:rsidR="006A4CF4" w:rsidRPr="007A518E" w:rsidRDefault="006A4CF4" w:rsidP="00C02AC9">
      <w:pPr>
        <w:rPr>
          <w:lang w:val="fr-FR"/>
        </w:rPr>
      </w:pPr>
      <w:r w:rsidRPr="007A518E">
        <w:rPr>
          <w:lang w:val="fr-FR"/>
        </w:rPr>
        <w:t>Des angles de site inférieurs à 3</w:t>
      </w:r>
      <w:r w:rsidRPr="007A518E">
        <w:rPr>
          <w:lang w:val="fr-FR"/>
        </w:rPr>
        <w:sym w:font="Symbol" w:char="F0B0"/>
      </w:r>
      <w:r w:rsidRPr="007A518E">
        <w:rPr>
          <w:lang w:val="fr-FR"/>
        </w:rPr>
        <w:t xml:space="preserve"> entraîneraient une valeur élevée de la </w:t>
      </w:r>
      <w:proofErr w:type="spellStart"/>
      <w:r w:rsidRPr="007A518E">
        <w:rPr>
          <w:lang w:val="fr-FR"/>
        </w:rPr>
        <w:t>p.i.r.e</w:t>
      </w:r>
      <w:proofErr w:type="spellEnd"/>
      <w:r w:rsidRPr="007A518E">
        <w:rPr>
          <w:lang w:val="fr-FR"/>
        </w:rPr>
        <w:t>. en direction de l'horizon. Le Comité interprète cette disposition comme devant être utilisée conjointement avec la Section</w:t>
      </w:r>
      <w:r w:rsidR="00C02AC9">
        <w:rPr>
          <w:lang w:val="fr-FR"/>
        </w:rPr>
        <w:t> </w:t>
      </w:r>
      <w:r w:rsidRPr="007A518E">
        <w:rPr>
          <w:lang w:val="fr-FR"/>
        </w:rPr>
        <w:t>III de l'Article </w:t>
      </w:r>
      <w:r w:rsidRPr="007A518E">
        <w:rPr>
          <w:rStyle w:val="Artref0"/>
          <w:b/>
          <w:bCs/>
          <w:color w:val="000000"/>
          <w:lang w:val="fr-FR"/>
        </w:rPr>
        <w:t>21</w:t>
      </w:r>
      <w:r w:rsidRPr="007A518E">
        <w:rPr>
          <w:lang w:val="fr-FR"/>
        </w:rPr>
        <w:t>. Il s'ensuit que:</w:t>
      </w:r>
    </w:p>
    <w:p w:rsidR="006A4CF4" w:rsidRPr="007A518E" w:rsidRDefault="006A4CF4">
      <w:pPr>
        <w:rPr>
          <w:lang w:val="fr-FR"/>
        </w:rPr>
      </w:pPr>
      <w:r w:rsidRPr="007A518E">
        <w:rPr>
          <w:lang w:val="fr-FR"/>
        </w:rPr>
        <w:t xml:space="preserve">Quelle que soit la </w:t>
      </w:r>
      <w:proofErr w:type="spellStart"/>
      <w:r w:rsidRPr="007A518E">
        <w:rPr>
          <w:lang w:val="fr-FR"/>
        </w:rPr>
        <w:t>p.i.r.e</w:t>
      </w:r>
      <w:proofErr w:type="spellEnd"/>
      <w:r w:rsidRPr="007A518E">
        <w:rPr>
          <w:lang w:val="fr-FR"/>
        </w:rPr>
        <w:t>. de la station terrienne, un angle de site inférieur à 3</w:t>
      </w:r>
      <w:r w:rsidRPr="007A518E">
        <w:rPr>
          <w:lang w:val="fr-FR"/>
        </w:rPr>
        <w:sym w:font="Symbol" w:char="F0B0"/>
      </w:r>
      <w:r w:rsidRPr="007A518E">
        <w:rPr>
          <w:lang w:val="fr-FR"/>
        </w:rPr>
        <w:t xml:space="preserve"> est soumis à l'accord de la ou des administrations concernées. Dans le cas de stations terriennes de réception, pour identifier les administrations concernées, on trace un contour de coordination nominal à un angle de site de 3</w:t>
      </w:r>
      <w:r w:rsidRPr="007A518E">
        <w:rPr>
          <w:lang w:val="fr-FR"/>
        </w:rPr>
        <w:sym w:font="Symbol" w:char="F0B0"/>
      </w:r>
      <w:r w:rsidRPr="007A518E">
        <w:rPr>
          <w:lang w:val="fr-FR"/>
        </w:rPr>
        <w:t xml:space="preserve"> que l'on compare au contour correspondant à l'angle de site notifié. Dans tout azimut où le deuxième contour dépasse le premier, un accord aux termes de cette disposition est nécessaire avec toute administration dont le territoire se situe dans la zone de coordination. Le Bureau ne formule une conclusion favorable relativement au numéro </w:t>
      </w:r>
      <w:r w:rsidRPr="007A518E">
        <w:rPr>
          <w:rStyle w:val="Artref0"/>
          <w:b/>
          <w:bCs/>
          <w:color w:val="000000"/>
          <w:lang w:val="fr-FR"/>
        </w:rPr>
        <w:t>11.31</w:t>
      </w:r>
      <w:r w:rsidRPr="007A518E">
        <w:rPr>
          <w:lang w:val="fr-FR"/>
        </w:rPr>
        <w:t xml:space="preserve"> que lorsqu'il est informé de l'accord officiel de ces administrations.</w:t>
      </w:r>
    </w:p>
    <w:p w:rsidR="006A4CF4" w:rsidRPr="007A518E" w:rsidRDefault="006A4CF4">
      <w:pPr>
        <w:pStyle w:val="Heading8"/>
        <w:rPr>
          <w:lang w:val="fr-FR"/>
        </w:rPr>
      </w:pPr>
      <w:r w:rsidRPr="007A518E">
        <w:rPr>
          <w:lang w:val="fr-FR"/>
        </w:rPr>
        <w:t>21.16</w:t>
      </w:r>
    </w:p>
    <w:p w:rsidR="006A4CF4" w:rsidRPr="007A518E" w:rsidRDefault="006A4CF4">
      <w:pPr>
        <w:pStyle w:val="Headingb"/>
        <w:spacing w:before="240"/>
        <w:rPr>
          <w:lang w:val="fr-FR"/>
        </w:rPr>
      </w:pPr>
      <w:r w:rsidRPr="007A518E">
        <w:rPr>
          <w:lang w:val="fr-FR"/>
        </w:rPr>
        <w:t>Application des limites de puissance surfacique aux faisceaux orientables</w:t>
      </w:r>
    </w:p>
    <w:p w:rsidR="006A4CF4" w:rsidRPr="0002773F" w:rsidRDefault="006A4CF4" w:rsidP="005F633D">
      <w:pPr>
        <w:pStyle w:val="ListParagraph"/>
        <w:numPr>
          <w:ilvl w:val="0"/>
          <w:numId w:val="1"/>
        </w:numPr>
        <w:ind w:left="0" w:firstLine="0"/>
        <w:rPr>
          <w:lang w:val="fr-FR"/>
        </w:rPr>
      </w:pPr>
      <w:r w:rsidRPr="0002773F">
        <w:rPr>
          <w:lang w:val="fr-FR"/>
        </w:rPr>
        <w:t>L'utilisation des faisceaux orientables se généralise. Les valeurs de la puissance surfa</w:t>
      </w:r>
      <w:bookmarkStart w:id="0" w:name="_GoBack"/>
      <w:bookmarkEnd w:id="0"/>
      <w:r w:rsidRPr="0002773F">
        <w:rPr>
          <w:lang w:val="fr-FR"/>
        </w:rPr>
        <w:t>cique produite par les assignations utilisant des faisceaux orientables dépassent souvent les limites de puissance surfacique rigoureuses applicables à certaines ou à la totalité des positions de ces faisceaux. En pareils cas, les administrations indiquent généralement qu'elles respecteront les limites de puissance surfacique et fournissent parfois une description technique appropriée quant aux moyens d'y parvenir.</w:t>
      </w:r>
    </w:p>
    <w:p w:rsidR="0002773F" w:rsidRDefault="0002773F" w:rsidP="0002773F">
      <w:pPr>
        <w:rPr>
          <w:lang w:val="fr-FR"/>
        </w:rPr>
      </w:pPr>
    </w:p>
    <w:p w:rsidR="0002773F" w:rsidRDefault="0002773F" w:rsidP="0002773F">
      <w:pPr>
        <w:rPr>
          <w:lang w:val="fr-FR"/>
        </w:rPr>
      </w:pPr>
    </w:p>
    <w:p w:rsidR="0002773F" w:rsidRDefault="0002773F" w:rsidP="0002773F">
      <w:pPr>
        <w:rPr>
          <w:lang w:val="fr-FR"/>
        </w:rPr>
      </w:pPr>
    </w:p>
    <w:p w:rsidR="0002773F" w:rsidRPr="0002773F" w:rsidRDefault="0002773F" w:rsidP="0002773F">
      <w:pPr>
        <w:rPr>
          <w:lang w:val="fr-FR"/>
        </w:rPr>
      </w:pPr>
    </w:p>
    <w:p w:rsidR="00BE5A9B" w:rsidRDefault="00BE5A9B" w:rsidP="00C02AC9">
      <w:pPr>
        <w:spacing w:before="160"/>
        <w:rPr>
          <w:lang w:val="fr-FR"/>
        </w:rPr>
        <w:sectPr w:rsidR="00BE5A9B">
          <w:headerReference w:type="even" r:id="rId8"/>
          <w:headerReference w:type="default" r:id="rId9"/>
          <w:headerReference w:type="first" r:id="rId10"/>
          <w:footnotePr>
            <w:pos w:val="beneathText"/>
          </w:footnotePr>
          <w:type w:val="oddPage"/>
          <w:pgSz w:w="11907" w:h="16840" w:code="9"/>
          <w:pgMar w:top="1701" w:right="851" w:bottom="1134" w:left="1985" w:header="720" w:footer="482" w:gutter="0"/>
          <w:cols w:space="720"/>
          <w:vAlign w:val="both"/>
          <w:titlePg/>
        </w:sectPr>
      </w:pPr>
    </w:p>
    <w:p w:rsidR="006A4CF4" w:rsidRPr="007A518E" w:rsidRDefault="006A4CF4" w:rsidP="00C02AC9">
      <w:pPr>
        <w:spacing w:before="160"/>
        <w:rPr>
          <w:lang w:val="fr-FR"/>
        </w:rPr>
      </w:pPr>
      <w:r w:rsidRPr="007A518E">
        <w:rPr>
          <w:lang w:val="fr-FR"/>
        </w:rPr>
        <w:lastRenderedPageBreak/>
        <w:t>2</w:t>
      </w:r>
      <w:r w:rsidRPr="007A518E">
        <w:rPr>
          <w:lang w:val="fr-FR"/>
        </w:rPr>
        <w:tab/>
        <w:t>Dans un souci de transparence et afin de fixer une limite supérieure en ce qui concerne le niveau acceptable de régulation de la puissance surfacique, tout en évitant de faire preuve de subjectivité dans l'évaluation de la méthode de régulation de cette puissance, le Comité a conclu qu'il appliquerait provisoirement la Règle suivante tant qu'il n'existe pas de Recommandation UIT-R pertinente.</w:t>
      </w:r>
    </w:p>
    <w:p w:rsidR="006A4CF4" w:rsidRPr="006F14E6" w:rsidRDefault="006A4CF4" w:rsidP="00DC2ED6">
      <w:pPr>
        <w:spacing w:before="160"/>
        <w:rPr>
          <w:sz w:val="16"/>
          <w:szCs w:val="16"/>
          <w:lang w:val="fr-FR"/>
        </w:rPr>
      </w:pPr>
      <w:r w:rsidRPr="007A518E">
        <w:rPr>
          <w:lang w:val="fr-FR"/>
        </w:rPr>
        <w:t>3</w:t>
      </w:r>
      <w:r w:rsidRPr="007A518E">
        <w:rPr>
          <w:lang w:val="fr-FR"/>
        </w:rPr>
        <w:tab/>
      </w:r>
      <w:r w:rsidR="002151F9" w:rsidRPr="00301FD2">
        <w:rPr>
          <w:lang w:val="fr-CH"/>
        </w:rPr>
        <w:t>Dans les cas où les assignations de fréquence d'un réseau à satellite utilisant des</w:t>
      </w:r>
      <w:r w:rsidR="00A36C2E">
        <w:rPr>
          <w:lang w:val="fr-CH"/>
        </w:rPr>
        <w:t> </w:t>
      </w:r>
      <w:r w:rsidR="002151F9" w:rsidRPr="00301FD2">
        <w:rPr>
          <w:lang w:val="fr-CH"/>
        </w:rPr>
        <w:t>faisceaux orientables</w:t>
      </w:r>
      <w:r w:rsidR="00301FD2" w:rsidRPr="00301FD2">
        <w:rPr>
          <w:lang w:val="fr-CH"/>
        </w:rPr>
        <w:t>,</w:t>
      </w:r>
      <w:r w:rsidR="00301FD2">
        <w:rPr>
          <w:lang w:val="fr-CH"/>
        </w:rPr>
        <w:t xml:space="preserve"> </w:t>
      </w:r>
      <w:r w:rsidR="002151F9" w:rsidRPr="00301FD2">
        <w:rPr>
          <w:lang w:val="fr-CH"/>
        </w:rPr>
        <w:t>à l'exception des assignations de fréquence relevant de l'Appendice</w:t>
      </w:r>
      <w:r w:rsidR="00301FD2" w:rsidRPr="00301FD2">
        <w:rPr>
          <w:lang w:val="fr-CH"/>
        </w:rPr>
        <w:t> </w:t>
      </w:r>
      <w:r w:rsidR="002151F9" w:rsidRPr="00301FD2">
        <w:rPr>
          <w:b/>
          <w:lang w:val="fr-CH"/>
        </w:rPr>
        <w:t>30B</w:t>
      </w:r>
      <w:r w:rsidR="002151F9" w:rsidRPr="00301FD2">
        <w:rPr>
          <w:lang w:val="fr-CH"/>
        </w:rPr>
        <w:t>, dépassent les limites de puissance surfacique rigoureuses applicables, le Bureau ne formulera une conclusion favorable que si les conditions suivantes sont remplies:</w:t>
      </w:r>
      <w:r w:rsidR="00DC2ED6" w:rsidRPr="00DC2ED6">
        <w:rPr>
          <w:sz w:val="20"/>
          <w:lang w:val="fr-CH"/>
        </w:rPr>
        <w:t xml:space="preserve"> </w:t>
      </w:r>
      <w:r w:rsidR="00DC2ED6" w:rsidRPr="006F14E6">
        <w:rPr>
          <w:sz w:val="16"/>
          <w:szCs w:val="16"/>
          <w:lang w:val="fr-CH"/>
        </w:rPr>
        <w:t>(MOD RRB12/60)</w:t>
      </w:r>
    </w:p>
    <w:p w:rsidR="006A4CF4" w:rsidRPr="007A518E" w:rsidRDefault="006A4CF4">
      <w:pPr>
        <w:pStyle w:val="enumlev1"/>
        <w:spacing w:before="100"/>
        <w:rPr>
          <w:u w:val="single"/>
          <w:lang w:val="fr-FR"/>
        </w:rPr>
      </w:pPr>
      <w:r w:rsidRPr="007A518E">
        <w:rPr>
          <w:i/>
          <w:lang w:val="fr-FR"/>
        </w:rPr>
        <w:t>a)</w:t>
      </w:r>
      <w:r w:rsidRPr="007A518E">
        <w:rPr>
          <w:lang w:val="fr-FR"/>
        </w:rPr>
        <w:tab/>
        <w:t>il existe au moins une position du faisceau orientable où les limites de puissance surfa</w:t>
      </w:r>
      <w:r w:rsidR="00620522" w:rsidRPr="007A518E">
        <w:rPr>
          <w:lang w:val="fr-FR"/>
        </w:rPr>
        <w:softHyphen/>
      </w:r>
      <w:r w:rsidRPr="007A518E">
        <w:rPr>
          <w:lang w:val="fr-FR"/>
        </w:rPr>
        <w:t>cique applicables sont respectées sans réduction de la densité de puissance notifiée;</w:t>
      </w:r>
    </w:p>
    <w:p w:rsidR="006A4CF4" w:rsidRPr="007A518E" w:rsidRDefault="006A4CF4">
      <w:pPr>
        <w:pStyle w:val="enumlev1"/>
        <w:spacing w:before="80"/>
        <w:rPr>
          <w:lang w:val="fr-FR"/>
        </w:rPr>
      </w:pPr>
      <w:r w:rsidRPr="007A518E">
        <w:rPr>
          <w:i/>
          <w:lang w:val="fr-FR"/>
        </w:rPr>
        <w:t>b)</w:t>
      </w:r>
      <w:r w:rsidRPr="007A518E">
        <w:rPr>
          <w:lang w:val="fr-FR"/>
        </w:rPr>
        <w:tab/>
        <w:t>l'administration indique qu'elle respectera les limites de puissance surfacique applicables à l'aide d'une méthode dont elle devra soumettre la description au Bureau. On trouvera dans l'Annexe à la présente Règle un exemple de méthode possible.</w:t>
      </w:r>
    </w:p>
    <w:p w:rsidR="006A4CF4" w:rsidRPr="007A518E" w:rsidRDefault="006A4CF4">
      <w:pPr>
        <w:pStyle w:val="Annex"/>
        <w:spacing w:before="240"/>
        <w:rPr>
          <w:lang w:val="fr-FR"/>
        </w:rPr>
      </w:pPr>
      <w:r w:rsidRPr="007A518E">
        <w:rPr>
          <w:lang w:val="fr-FR"/>
        </w:rPr>
        <w:t>ANNEXE  1</w:t>
      </w:r>
    </w:p>
    <w:p w:rsidR="006A4CF4" w:rsidRPr="007A518E" w:rsidRDefault="006A4CF4">
      <w:pPr>
        <w:pStyle w:val="AnnexTitle"/>
        <w:rPr>
          <w:lang w:val="fr-FR"/>
        </w:rPr>
      </w:pPr>
      <w:r w:rsidRPr="007A518E">
        <w:rPr>
          <w:lang w:val="fr-FR"/>
        </w:rPr>
        <w:t>Méthode à appliquer pour respecter les limites de puissance surfacique</w:t>
      </w:r>
      <w:r w:rsidRPr="007A518E">
        <w:rPr>
          <w:lang w:val="fr-FR"/>
        </w:rPr>
        <w:br/>
        <w:t>réglementaires en cas d'utilisation de faisceaux orientables</w:t>
      </w:r>
    </w:p>
    <w:p w:rsidR="006A4CF4" w:rsidRPr="007A518E" w:rsidRDefault="006A4CF4" w:rsidP="00620522">
      <w:pPr>
        <w:pStyle w:val="Normalaftertitle"/>
        <w:rPr>
          <w:lang w:val="fr-FR"/>
        </w:rPr>
      </w:pPr>
      <w:r w:rsidRPr="007A518E">
        <w:rPr>
          <w:lang w:val="fr-FR"/>
        </w:rPr>
        <w:t>Lorsque des faisceaux orientables sont utilisés dans des réseaux à satellite, il peut être néces</w:t>
      </w:r>
      <w:r w:rsidR="00620522" w:rsidRPr="007A518E">
        <w:rPr>
          <w:lang w:val="fr-FR"/>
        </w:rPr>
        <w:softHyphen/>
      </w:r>
      <w:r w:rsidRPr="007A518E">
        <w:rPr>
          <w:lang w:val="fr-FR"/>
        </w:rPr>
        <w:t>saire de prendre des mesures opérationnelles pour régler la densité de puissance d'émission de la station spatiale de façon à respecter les limites de puissance surfacique réglementaires applicables à certaines positions de faisceaux. En pareils cas, les administrations peuvent appliquer la méthode ci-après pour chaque position donnée du faisceau orientable et pour chaque assignation utilisant ce faisceau:</w:t>
      </w:r>
    </w:p>
    <w:p w:rsidR="006A4CF4" w:rsidRPr="007A518E" w:rsidRDefault="006A4CF4">
      <w:pPr>
        <w:spacing w:before="160"/>
        <w:rPr>
          <w:lang w:val="fr-FR"/>
        </w:rPr>
      </w:pPr>
      <w:r w:rsidRPr="007A518E">
        <w:rPr>
          <w:i/>
          <w:lang w:val="fr-FR"/>
        </w:rPr>
        <w:t>Etape 1</w:t>
      </w:r>
      <w:r w:rsidRPr="007A518E">
        <w:rPr>
          <w:lang w:val="fr-FR"/>
        </w:rPr>
        <w:t>:</w:t>
      </w:r>
      <w:r w:rsidRPr="007A518E">
        <w:rPr>
          <w:lang w:val="fr-FR"/>
        </w:rPr>
        <w:tab/>
        <w:t>Pour une position donnée du faisceau, tracer une courbe des contours de gain du faisceau sur une carte de la Terre indiquant des courbes d'</w:t>
      </w:r>
      <w:proofErr w:type="spellStart"/>
      <w:r w:rsidRPr="007A518E">
        <w:rPr>
          <w:lang w:val="fr-FR"/>
        </w:rPr>
        <w:t>équi</w:t>
      </w:r>
      <w:proofErr w:type="spellEnd"/>
      <w:r w:rsidRPr="007A518E">
        <w:rPr>
          <w:lang w:val="fr-FR"/>
        </w:rPr>
        <w:t>-élévation.</w:t>
      </w:r>
    </w:p>
    <w:p w:rsidR="006A4CF4" w:rsidRPr="007A518E" w:rsidRDefault="006A4CF4">
      <w:pPr>
        <w:spacing w:before="160"/>
        <w:rPr>
          <w:lang w:val="fr-FR"/>
        </w:rPr>
      </w:pPr>
      <w:r w:rsidRPr="007A518E">
        <w:rPr>
          <w:i/>
          <w:lang w:val="fr-FR"/>
        </w:rPr>
        <w:t>Etape 2</w:t>
      </w:r>
      <w:r w:rsidRPr="007A518E">
        <w:rPr>
          <w:lang w:val="fr-FR"/>
        </w:rPr>
        <w:t>:</w:t>
      </w:r>
      <w:r w:rsidRPr="007A518E">
        <w:rPr>
          <w:lang w:val="fr-FR"/>
        </w:rPr>
        <w:tab/>
        <w:t>A l'aide de la densité de puissance notifiée de l'assignation considérée, déterminer si la puissance surfacique produite au point où le faisceau a sa valeur de crête ou en tout autre point à la surface de la Terre dépasse les limites de puissance surfacique applicables. Dans l'affirmative, déterminer le niveau maximal de dépassement de la puissance surfacique (c'est</w:t>
      </w:r>
      <w:r w:rsidRPr="007A518E">
        <w:rPr>
          <w:lang w:val="fr-FR"/>
        </w:rPr>
        <w:noBreakHyphen/>
        <w:t>à-dire trouver le point où le dépassement de la limite est maximal).</w:t>
      </w:r>
    </w:p>
    <w:p w:rsidR="006A4CF4" w:rsidRPr="007A518E" w:rsidRDefault="006A4CF4" w:rsidP="00620522">
      <w:pPr>
        <w:spacing w:before="160"/>
        <w:rPr>
          <w:lang w:val="fr-FR"/>
        </w:rPr>
      </w:pPr>
      <w:r w:rsidRPr="007A518E">
        <w:rPr>
          <w:i/>
          <w:lang w:val="fr-FR"/>
        </w:rPr>
        <w:t>Etape 3</w:t>
      </w:r>
      <w:r w:rsidRPr="007A518E">
        <w:rPr>
          <w:lang w:val="fr-FR"/>
        </w:rPr>
        <w:t>:</w:t>
      </w:r>
      <w:r w:rsidRPr="007A518E">
        <w:rPr>
          <w:lang w:val="fr-FR"/>
        </w:rPr>
        <w:tab/>
        <w:t>Régler, c'est-à-dire réduire, la densité de puissance opérationnelle de l'assignation d'au moins le niveau maximal déterminé à l'Étape</w:t>
      </w:r>
      <w:r w:rsidR="00620522" w:rsidRPr="007A518E">
        <w:rPr>
          <w:lang w:val="fr-FR"/>
        </w:rPr>
        <w:t xml:space="preserve"> </w:t>
      </w:r>
      <w:r w:rsidRPr="007A518E">
        <w:rPr>
          <w:lang w:val="fr-FR"/>
        </w:rPr>
        <w:t>2 ci-dessus, afin que la puissance surfa</w:t>
      </w:r>
      <w:r w:rsidR="00620522" w:rsidRPr="007A518E">
        <w:rPr>
          <w:lang w:val="fr-FR"/>
        </w:rPr>
        <w:softHyphen/>
      </w:r>
      <w:r w:rsidRPr="007A518E">
        <w:rPr>
          <w:lang w:val="fr-FR"/>
        </w:rPr>
        <w:t>cique produite en un point quelconque à la surface de la Terre soit conforme à la limite de puissance surfacique applicable.</w:t>
      </w:r>
    </w:p>
    <w:p w:rsidR="006A4CF4" w:rsidRPr="007A518E" w:rsidRDefault="006A4CF4">
      <w:pPr>
        <w:spacing w:before="160"/>
        <w:rPr>
          <w:lang w:val="fr-FR"/>
        </w:rPr>
      </w:pPr>
      <w:r w:rsidRPr="007A518E">
        <w:rPr>
          <w:lang w:val="fr-FR"/>
        </w:rPr>
        <w:t>En ce qui concerne les satellites non OSG sur orbite elliptique, leur distance par rapport à des points à la surface de la Terre varie également en fonction du déplacement du satellite le long de l'orbite. Pour déterminer le niveau maximal de dépassement de la puissance surfacique en pareil cas, il faut répéter les Étapes 1 et 2 ci-dessus pour différentes positions orbitales du satellite.</w:t>
      </w:r>
    </w:p>
    <w:p w:rsidR="00BE5A9B" w:rsidRDefault="006A4CF4">
      <w:pPr>
        <w:spacing w:before="160"/>
        <w:rPr>
          <w:lang w:val="fr-FR"/>
        </w:rPr>
      </w:pPr>
      <w:r w:rsidRPr="007A518E">
        <w:rPr>
          <w:lang w:val="fr-FR"/>
        </w:rPr>
        <w:t xml:space="preserve">L'application de cette méthode est illustrée dans l'exemple suivant. On suppose que la position du faisceau orientable est celle indiquée sur la </w:t>
      </w:r>
      <w:r w:rsidR="00C02AC9" w:rsidRPr="007A518E">
        <w:rPr>
          <w:lang w:val="fr-FR"/>
        </w:rPr>
        <w:t>f</w:t>
      </w:r>
      <w:r w:rsidRPr="007A518E">
        <w:rPr>
          <w:lang w:val="fr-FR"/>
        </w:rPr>
        <w:t>igure ci-après.</w:t>
      </w:r>
    </w:p>
    <w:p w:rsidR="00BE5A9B" w:rsidRDefault="00BE5A9B">
      <w:pPr>
        <w:spacing w:before="160"/>
        <w:rPr>
          <w:lang w:val="fr-FR"/>
        </w:rPr>
        <w:sectPr w:rsidR="00BE5A9B" w:rsidSect="00BE5A9B">
          <w:headerReference w:type="first" r:id="rId11"/>
          <w:footnotePr>
            <w:pos w:val="beneathText"/>
          </w:footnotePr>
          <w:pgSz w:w="11907" w:h="16840" w:code="9"/>
          <w:pgMar w:top="1701" w:right="851" w:bottom="1134" w:left="1985" w:header="720" w:footer="482" w:gutter="0"/>
          <w:cols w:space="720"/>
          <w:vAlign w:val="both"/>
          <w:titlePg/>
        </w:sectPr>
      </w:pPr>
    </w:p>
    <w:p w:rsidR="006A4CF4" w:rsidRPr="007A518E" w:rsidRDefault="00F358FB">
      <w:pPr>
        <w:pStyle w:val="Figure"/>
        <w:rPr>
          <w:lang w:val="fr-FR"/>
        </w:rPr>
      </w:pPr>
      <w:r>
        <w:rPr>
          <w:noProof/>
          <w:sz w:val="20"/>
          <w:lang w:val="en-US" w:eastAsia="zh-CN"/>
        </w:rPr>
        <w:lastRenderedPageBreak/>
        <w:drawing>
          <wp:inline distT="0" distB="0" distL="0" distR="0" wp14:anchorId="779369D3" wp14:editId="6D4FAA74">
            <wp:extent cx="3507105" cy="2940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507105" cy="2940050"/>
                    </a:xfrm>
                    <a:prstGeom prst="rect">
                      <a:avLst/>
                    </a:prstGeom>
                    <a:noFill/>
                    <a:ln w="9525">
                      <a:noFill/>
                      <a:miter lim="800000"/>
                      <a:headEnd/>
                      <a:tailEnd/>
                    </a:ln>
                  </pic:spPr>
                </pic:pic>
              </a:graphicData>
            </a:graphic>
          </wp:inline>
        </w:drawing>
      </w:r>
    </w:p>
    <w:p w:rsidR="006A4CF4" w:rsidRPr="007A518E" w:rsidRDefault="006A4CF4" w:rsidP="00620522">
      <w:pPr>
        <w:rPr>
          <w:lang w:val="fr-FR"/>
        </w:rPr>
      </w:pPr>
    </w:p>
    <w:p w:rsidR="006A4CF4" w:rsidRPr="007A518E" w:rsidRDefault="006A4CF4" w:rsidP="00620522">
      <w:pPr>
        <w:spacing w:line="270" w:lineRule="exact"/>
        <w:rPr>
          <w:lang w:val="fr-FR"/>
        </w:rPr>
      </w:pPr>
      <w:r w:rsidRPr="007A518E">
        <w:rPr>
          <w:lang w:val="fr-FR"/>
        </w:rPr>
        <w:t xml:space="preserve">Le faisceau </w:t>
      </w:r>
      <w:proofErr w:type="gramStart"/>
      <w:r w:rsidRPr="007A518E">
        <w:rPr>
          <w:lang w:val="fr-FR"/>
        </w:rPr>
        <w:t>a</w:t>
      </w:r>
      <w:proofErr w:type="gramEnd"/>
      <w:r w:rsidRPr="007A518E">
        <w:rPr>
          <w:lang w:val="fr-FR"/>
        </w:rPr>
        <w:t xml:space="preserve"> sa valeur de crête au point A et son angle d'élévation peut être calculé à l'aide de méthodes géométriques. Le contour </w:t>
      </w:r>
      <w:proofErr w:type="gramStart"/>
      <w:r w:rsidRPr="007A518E">
        <w:rPr>
          <w:lang w:val="fr-FR"/>
        </w:rPr>
        <w:t>à</w:t>
      </w:r>
      <w:proofErr w:type="gramEnd"/>
      <w:r w:rsidRPr="007A518E">
        <w:rPr>
          <w:lang w:val="fr-FR"/>
        </w:rPr>
        <w:t xml:space="preserve"> –3 dB touche la courbe d'élévation à 10</w:t>
      </w:r>
      <w:r w:rsidRPr="007A518E">
        <w:rPr>
          <w:lang w:val="fr-FR"/>
        </w:rPr>
        <w:sym w:font="Symbol" w:char="F0B0"/>
      </w:r>
      <w:r w:rsidRPr="007A518E">
        <w:rPr>
          <w:lang w:val="fr-FR"/>
        </w:rPr>
        <w:t xml:space="preserve"> au point B et le contour à –</w:t>
      </w:r>
      <w:r w:rsidR="00620522" w:rsidRPr="007A518E">
        <w:rPr>
          <w:rFonts w:ascii="Tms Rmn" w:hAnsi="Tms Rmn"/>
          <w:sz w:val="12"/>
          <w:lang w:val="fr-FR"/>
        </w:rPr>
        <w:t> </w:t>
      </w:r>
      <w:r w:rsidRPr="007A518E">
        <w:rPr>
          <w:lang w:val="fr-FR"/>
        </w:rPr>
        <w:t>4 dB touche la courbe d'élévation à 5</w:t>
      </w:r>
      <w:r w:rsidRPr="007A518E">
        <w:rPr>
          <w:lang w:val="fr-FR"/>
        </w:rPr>
        <w:sym w:font="Symbol" w:char="F0B0"/>
      </w:r>
      <w:r w:rsidRPr="007A518E">
        <w:rPr>
          <w:lang w:val="fr-FR"/>
        </w:rPr>
        <w:t xml:space="preserve"> au point C. Pour ces points, les valeurs de puissance surfacique, les limites de puissance surfacique applicables et le dépassement par rapport à ces limites (le cas échéant) sont donnés dans le Tableau ci-dessous. Ces valeurs s'appliquent aux fréquences supérieures à 15 GHz et la largeur de bande de référence est de 1 MHz. Les données figurant dans ce Tableau montrent que, pour cette position du faisceau orientable, il est nécessaire de réduire de 2 dB la densité de puissance notifiée, afin de satis</w:t>
      </w:r>
      <w:r w:rsidR="00620522" w:rsidRPr="007A518E">
        <w:rPr>
          <w:lang w:val="fr-FR"/>
        </w:rPr>
        <w:softHyphen/>
      </w:r>
      <w:r w:rsidRPr="007A518E">
        <w:rPr>
          <w:lang w:val="fr-FR"/>
        </w:rPr>
        <w:t>faire à la limite de puissance surfacique réglementaire.</w:t>
      </w:r>
    </w:p>
    <w:p w:rsidR="006A4CF4" w:rsidRPr="007A518E" w:rsidRDefault="006A4CF4" w:rsidP="00620522">
      <w:pPr>
        <w:spacing w:before="0"/>
        <w:rPr>
          <w:lang w:val="fr-FR"/>
        </w:rPr>
      </w:pPr>
    </w:p>
    <w:p w:rsidR="006A4CF4" w:rsidRPr="007A518E" w:rsidRDefault="006A4CF4">
      <w:pPr>
        <w:tabs>
          <w:tab w:val="left" w:pos="2835"/>
          <w:tab w:val="left" w:pos="5103"/>
        </w:tabs>
        <w:jc w:val="left"/>
        <w:rPr>
          <w:sz w:val="20"/>
          <w:lang w:val="fr-FR"/>
        </w:rPr>
      </w:pPr>
      <w:r w:rsidRPr="007A518E">
        <w:rPr>
          <w:sz w:val="20"/>
          <w:lang w:val="fr-FR"/>
        </w:rPr>
        <w:t>Désignation du faisceau</w:t>
      </w:r>
      <w:proofErr w:type="gramStart"/>
      <w:r w:rsidRPr="007A518E">
        <w:rPr>
          <w:sz w:val="20"/>
          <w:lang w:val="fr-FR"/>
        </w:rPr>
        <w:t xml:space="preserve">:  </w:t>
      </w:r>
      <w:r w:rsidRPr="007A518E">
        <w:rPr>
          <w:b/>
          <w:sz w:val="20"/>
          <w:lang w:val="fr-FR"/>
        </w:rPr>
        <w:t>AAR</w:t>
      </w:r>
      <w:proofErr w:type="gramEnd"/>
      <w:r w:rsidRPr="007A518E">
        <w:rPr>
          <w:sz w:val="20"/>
          <w:lang w:val="fr-FR"/>
        </w:rPr>
        <w:tab/>
        <w:t xml:space="preserve">Emission:  </w:t>
      </w:r>
      <w:r w:rsidRPr="007A518E">
        <w:rPr>
          <w:b/>
          <w:sz w:val="20"/>
          <w:lang w:val="fr-FR"/>
        </w:rPr>
        <w:t>11M7G7W--</w:t>
      </w:r>
      <w:r w:rsidRPr="007A518E">
        <w:rPr>
          <w:b/>
          <w:sz w:val="20"/>
          <w:lang w:val="fr-FR"/>
        </w:rPr>
        <w:tab/>
      </w:r>
      <w:r w:rsidRPr="007A518E">
        <w:rPr>
          <w:sz w:val="20"/>
          <w:lang w:val="fr-FR"/>
        </w:rPr>
        <w:t xml:space="preserve">Densité de puissance notifiée:  </w:t>
      </w:r>
      <w:r w:rsidRPr="007A518E">
        <w:rPr>
          <w:b/>
          <w:sz w:val="20"/>
          <w:lang w:val="fr-FR"/>
        </w:rPr>
        <w:t>–55,7 dB(W/Hz)</w:t>
      </w:r>
    </w:p>
    <w:p w:rsidR="006A4CF4" w:rsidRPr="007A518E" w:rsidRDefault="006A4CF4">
      <w:pPr>
        <w:spacing w:before="0"/>
        <w:rPr>
          <w:sz w:val="12"/>
          <w:szCs w:val="12"/>
          <w:lang w:val="fr-FR"/>
        </w:rPr>
      </w:pPr>
    </w:p>
    <w:tbl>
      <w:tblPr>
        <w:tblW w:w="9130" w:type="dxa"/>
        <w:jc w:val="center"/>
        <w:tblBorders>
          <w:top w:val="single" w:sz="6" w:space="0" w:color="auto"/>
          <w:left w:val="single" w:sz="6" w:space="0" w:color="auto"/>
          <w:bottom w:val="single" w:sz="6" w:space="0" w:color="auto"/>
          <w:right w:val="single" w:sz="6" w:space="0" w:color="auto"/>
          <w:insideH w:val="single" w:sz="6" w:space="0" w:color="auto"/>
          <w:insideV w:val="single" w:sz="4" w:space="0" w:color="auto"/>
        </w:tblBorders>
        <w:tblLayout w:type="fixed"/>
        <w:tblCellMar>
          <w:right w:w="0" w:type="dxa"/>
        </w:tblCellMar>
        <w:tblLook w:val="0000" w:firstRow="0" w:lastRow="0" w:firstColumn="0" w:lastColumn="0" w:noHBand="0" w:noVBand="0"/>
      </w:tblPr>
      <w:tblGrid>
        <w:gridCol w:w="4253"/>
        <w:gridCol w:w="1930"/>
        <w:gridCol w:w="905"/>
        <w:gridCol w:w="1021"/>
        <w:gridCol w:w="1021"/>
      </w:tblGrid>
      <w:tr w:rsidR="006A4CF4" w:rsidRPr="007A518E" w:rsidTr="00620522">
        <w:trPr>
          <w:jc w:val="center"/>
        </w:trPr>
        <w:tc>
          <w:tcPr>
            <w:tcW w:w="4253" w:type="dxa"/>
          </w:tcPr>
          <w:p w:rsidR="006A4CF4" w:rsidRPr="007A518E" w:rsidRDefault="006A4CF4">
            <w:pPr>
              <w:pStyle w:val="TableHead"/>
              <w:framePr w:hSpace="181" w:wrap="notBeside" w:vAnchor="text" w:hAnchor="text" w:xAlign="center" w:y="1"/>
              <w:ind w:left="57" w:right="57"/>
              <w:rPr>
                <w:lang w:val="fr-FR"/>
              </w:rPr>
            </w:pPr>
          </w:p>
        </w:tc>
        <w:tc>
          <w:tcPr>
            <w:tcW w:w="1930" w:type="dxa"/>
          </w:tcPr>
          <w:p w:rsidR="006A4CF4" w:rsidRPr="007A518E" w:rsidRDefault="006A4CF4">
            <w:pPr>
              <w:pStyle w:val="TableHead"/>
              <w:framePr w:hSpace="181" w:wrap="notBeside" w:vAnchor="text" w:hAnchor="text" w:xAlign="center" w:y="1"/>
              <w:jc w:val="right"/>
              <w:rPr>
                <w:lang w:val="fr-FR"/>
              </w:rPr>
            </w:pPr>
          </w:p>
        </w:tc>
        <w:tc>
          <w:tcPr>
            <w:tcW w:w="905" w:type="dxa"/>
          </w:tcPr>
          <w:p w:rsidR="006A4CF4" w:rsidRPr="007A518E" w:rsidRDefault="006A4CF4">
            <w:pPr>
              <w:pStyle w:val="TableHead"/>
              <w:framePr w:hSpace="181" w:wrap="notBeside" w:vAnchor="text" w:hAnchor="text" w:xAlign="center" w:y="1"/>
              <w:ind w:left="57" w:right="57"/>
              <w:rPr>
                <w:lang w:val="fr-FR"/>
              </w:rPr>
            </w:pPr>
            <w:r w:rsidRPr="007A518E">
              <w:rPr>
                <w:lang w:val="fr-FR"/>
              </w:rPr>
              <w:t>Point A</w:t>
            </w:r>
          </w:p>
        </w:tc>
        <w:tc>
          <w:tcPr>
            <w:tcW w:w="1021" w:type="dxa"/>
          </w:tcPr>
          <w:p w:rsidR="006A4CF4" w:rsidRPr="007A518E" w:rsidRDefault="006A4CF4">
            <w:pPr>
              <w:pStyle w:val="TableHead"/>
              <w:framePr w:hSpace="181" w:wrap="notBeside" w:vAnchor="text" w:hAnchor="text" w:xAlign="center" w:y="1"/>
              <w:ind w:left="57" w:right="57"/>
              <w:rPr>
                <w:lang w:val="fr-FR"/>
              </w:rPr>
            </w:pPr>
            <w:r w:rsidRPr="007A518E">
              <w:rPr>
                <w:lang w:val="fr-FR"/>
              </w:rPr>
              <w:t>Point B</w:t>
            </w:r>
          </w:p>
        </w:tc>
        <w:tc>
          <w:tcPr>
            <w:tcW w:w="1021" w:type="dxa"/>
          </w:tcPr>
          <w:p w:rsidR="006A4CF4" w:rsidRPr="007A518E" w:rsidRDefault="006A4CF4">
            <w:pPr>
              <w:pStyle w:val="TableHead"/>
              <w:framePr w:hSpace="181" w:wrap="notBeside" w:vAnchor="text" w:hAnchor="text" w:xAlign="center" w:y="1"/>
              <w:ind w:left="57" w:right="57"/>
              <w:rPr>
                <w:lang w:val="fr-FR"/>
              </w:rPr>
            </w:pPr>
            <w:r w:rsidRPr="007A518E">
              <w:rPr>
                <w:lang w:val="fr-FR"/>
              </w:rPr>
              <w:t>Point C</w:t>
            </w:r>
          </w:p>
        </w:tc>
      </w:tr>
      <w:tr w:rsidR="006A4CF4" w:rsidRPr="007A518E" w:rsidTr="00620522">
        <w:trPr>
          <w:cantSplit/>
          <w:jc w:val="center"/>
        </w:trPr>
        <w:tc>
          <w:tcPr>
            <w:tcW w:w="6183" w:type="dxa"/>
            <w:gridSpan w:val="2"/>
          </w:tcPr>
          <w:p w:rsidR="006A4CF4" w:rsidRPr="007A518E" w:rsidRDefault="006A4CF4">
            <w:pPr>
              <w:pStyle w:val="TableText"/>
              <w:framePr w:hSpace="181" w:wrap="notBeside" w:vAnchor="text" w:hAnchor="text" w:xAlign="center" w:y="1"/>
              <w:ind w:right="57"/>
              <w:jc w:val="left"/>
              <w:rPr>
                <w:lang w:val="fr-FR"/>
              </w:rPr>
            </w:pPr>
            <w:r w:rsidRPr="007A518E">
              <w:rPr>
                <w:lang w:val="fr-FR"/>
              </w:rPr>
              <w:t>Densité de puissance par Hz notifiée (</w:t>
            </w:r>
            <w:proofErr w:type="gramStart"/>
            <w:r w:rsidRPr="007A518E">
              <w:rPr>
                <w:lang w:val="fr-FR"/>
              </w:rPr>
              <w:t>dB(</w:t>
            </w:r>
            <w:proofErr w:type="gramEnd"/>
            <w:r w:rsidRPr="007A518E">
              <w:rPr>
                <w:lang w:val="fr-FR"/>
              </w:rPr>
              <w:t>W/Hz))</w:t>
            </w:r>
          </w:p>
        </w:tc>
        <w:tc>
          <w:tcPr>
            <w:tcW w:w="2947" w:type="dxa"/>
            <w:gridSpan w:val="3"/>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–55,7</w:t>
            </w:r>
          </w:p>
        </w:tc>
      </w:tr>
      <w:tr w:rsidR="006A4CF4" w:rsidRPr="007A518E" w:rsidTr="00620522">
        <w:trPr>
          <w:cantSplit/>
          <w:jc w:val="center"/>
        </w:trPr>
        <w:tc>
          <w:tcPr>
            <w:tcW w:w="6183" w:type="dxa"/>
            <w:gridSpan w:val="2"/>
          </w:tcPr>
          <w:p w:rsidR="006A4CF4" w:rsidRPr="007A518E" w:rsidRDefault="006A4CF4">
            <w:pPr>
              <w:pStyle w:val="TableText"/>
              <w:framePr w:hSpace="181" w:wrap="notBeside" w:vAnchor="text" w:hAnchor="text" w:xAlign="center" w:y="1"/>
              <w:ind w:right="57"/>
              <w:jc w:val="left"/>
              <w:rPr>
                <w:lang w:val="fr-FR"/>
              </w:rPr>
            </w:pPr>
            <w:r w:rsidRPr="007A518E">
              <w:rPr>
                <w:lang w:val="fr-FR"/>
              </w:rPr>
              <w:t>Densité de puissance par MHz notifiée (</w:t>
            </w:r>
            <w:proofErr w:type="gramStart"/>
            <w:r w:rsidRPr="007A518E">
              <w:rPr>
                <w:lang w:val="fr-FR"/>
              </w:rPr>
              <w:t>dB(</w:t>
            </w:r>
            <w:proofErr w:type="gramEnd"/>
            <w:r w:rsidRPr="007A518E">
              <w:rPr>
                <w:lang w:val="fr-FR"/>
              </w:rPr>
              <w:t>W/MHz))</w:t>
            </w:r>
          </w:p>
        </w:tc>
        <w:tc>
          <w:tcPr>
            <w:tcW w:w="2947" w:type="dxa"/>
            <w:gridSpan w:val="3"/>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4,3</w:t>
            </w:r>
          </w:p>
        </w:tc>
      </w:tr>
      <w:tr w:rsidR="006A4CF4" w:rsidRPr="007A518E" w:rsidTr="00620522">
        <w:trPr>
          <w:cantSplit/>
          <w:jc w:val="center"/>
        </w:trPr>
        <w:tc>
          <w:tcPr>
            <w:tcW w:w="6183" w:type="dxa"/>
            <w:gridSpan w:val="2"/>
          </w:tcPr>
          <w:p w:rsidR="006A4CF4" w:rsidRPr="007A518E" w:rsidRDefault="006A4CF4">
            <w:pPr>
              <w:pStyle w:val="TableText"/>
              <w:framePr w:hSpace="181" w:wrap="notBeside" w:vAnchor="text" w:hAnchor="text" w:xAlign="center" w:y="1"/>
              <w:ind w:right="57"/>
              <w:jc w:val="left"/>
              <w:rPr>
                <w:lang w:val="fr-FR"/>
              </w:rPr>
            </w:pPr>
            <w:r w:rsidRPr="007A518E">
              <w:rPr>
                <w:lang w:val="fr-FR"/>
              </w:rPr>
              <w:t>Gain d'antenne en direction d'un point (</w:t>
            </w:r>
            <w:proofErr w:type="spellStart"/>
            <w:r w:rsidRPr="007A518E">
              <w:rPr>
                <w:lang w:val="fr-FR"/>
              </w:rPr>
              <w:t>dBi</w:t>
            </w:r>
            <w:proofErr w:type="spellEnd"/>
            <w:r w:rsidRPr="007A518E">
              <w:rPr>
                <w:lang w:val="fr-FR"/>
              </w:rPr>
              <w:t>)</w:t>
            </w:r>
          </w:p>
        </w:tc>
        <w:tc>
          <w:tcPr>
            <w:tcW w:w="905"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50,0</w:t>
            </w:r>
          </w:p>
        </w:tc>
        <w:tc>
          <w:tcPr>
            <w:tcW w:w="1021"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47,0</w:t>
            </w:r>
          </w:p>
        </w:tc>
        <w:tc>
          <w:tcPr>
            <w:tcW w:w="1021"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46,0</w:t>
            </w:r>
          </w:p>
        </w:tc>
      </w:tr>
      <w:tr w:rsidR="006A4CF4" w:rsidRPr="007A518E" w:rsidTr="00620522">
        <w:trPr>
          <w:cantSplit/>
          <w:jc w:val="center"/>
        </w:trPr>
        <w:tc>
          <w:tcPr>
            <w:tcW w:w="6183" w:type="dxa"/>
            <w:gridSpan w:val="2"/>
          </w:tcPr>
          <w:p w:rsidR="006A4CF4" w:rsidRPr="007A518E" w:rsidRDefault="006A4CF4">
            <w:pPr>
              <w:pStyle w:val="TableText"/>
              <w:framePr w:hSpace="181" w:wrap="notBeside" w:vAnchor="text" w:hAnchor="text" w:xAlign="center" w:y="1"/>
              <w:ind w:right="57"/>
              <w:jc w:val="left"/>
              <w:rPr>
                <w:lang w:val="fr-FR"/>
              </w:rPr>
            </w:pPr>
            <w:proofErr w:type="spellStart"/>
            <w:r w:rsidRPr="007A518E">
              <w:rPr>
                <w:lang w:val="fr-FR"/>
              </w:rPr>
              <w:t>p.i.r.e</w:t>
            </w:r>
            <w:proofErr w:type="spellEnd"/>
            <w:r w:rsidRPr="007A518E">
              <w:rPr>
                <w:lang w:val="fr-FR"/>
              </w:rPr>
              <w:t>. en direction d'un point (</w:t>
            </w:r>
            <w:proofErr w:type="gramStart"/>
            <w:r w:rsidRPr="007A518E">
              <w:rPr>
                <w:lang w:val="fr-FR"/>
              </w:rPr>
              <w:t>dB(</w:t>
            </w:r>
            <w:proofErr w:type="gramEnd"/>
            <w:r w:rsidRPr="007A518E">
              <w:rPr>
                <w:lang w:val="fr-FR"/>
              </w:rPr>
              <w:t>W/1 MHz))</w:t>
            </w:r>
          </w:p>
        </w:tc>
        <w:tc>
          <w:tcPr>
            <w:tcW w:w="905"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54,3</w:t>
            </w:r>
          </w:p>
        </w:tc>
        <w:tc>
          <w:tcPr>
            <w:tcW w:w="1021"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51,3</w:t>
            </w:r>
          </w:p>
        </w:tc>
        <w:tc>
          <w:tcPr>
            <w:tcW w:w="1021"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50,3</w:t>
            </w:r>
          </w:p>
        </w:tc>
      </w:tr>
      <w:tr w:rsidR="006A4CF4" w:rsidRPr="007A518E" w:rsidTr="00620522">
        <w:trPr>
          <w:cantSplit/>
          <w:jc w:val="center"/>
        </w:trPr>
        <w:tc>
          <w:tcPr>
            <w:tcW w:w="6183" w:type="dxa"/>
            <w:gridSpan w:val="2"/>
          </w:tcPr>
          <w:p w:rsidR="006A4CF4" w:rsidRPr="007A518E" w:rsidRDefault="006A4CF4">
            <w:pPr>
              <w:pStyle w:val="TableText"/>
              <w:framePr w:hSpace="181" w:wrap="notBeside" w:vAnchor="text" w:hAnchor="text" w:xAlign="center" w:y="1"/>
              <w:ind w:right="57"/>
              <w:jc w:val="left"/>
              <w:rPr>
                <w:lang w:val="fr-FR"/>
              </w:rPr>
            </w:pPr>
            <w:r w:rsidRPr="007A518E">
              <w:rPr>
                <w:lang w:val="fr-FR"/>
              </w:rPr>
              <w:t>Longueur du trajet (km)</w:t>
            </w:r>
          </w:p>
        </w:tc>
        <w:tc>
          <w:tcPr>
            <w:tcW w:w="905"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39</w:t>
            </w:r>
            <w:r w:rsidRPr="007A518E">
              <w:rPr>
                <w:rFonts w:ascii="Tms Rmn" w:hAnsi="Tms Rmn"/>
                <w:sz w:val="12"/>
                <w:lang w:val="fr-FR"/>
              </w:rPr>
              <w:t> </w:t>
            </w:r>
            <w:r w:rsidRPr="007A518E">
              <w:rPr>
                <w:lang w:val="fr-FR"/>
              </w:rPr>
              <w:t>532</w:t>
            </w:r>
          </w:p>
        </w:tc>
        <w:tc>
          <w:tcPr>
            <w:tcW w:w="1021"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40</w:t>
            </w:r>
            <w:r w:rsidRPr="007A518E">
              <w:rPr>
                <w:rFonts w:ascii="Tms Rmn" w:hAnsi="Tms Rmn"/>
                <w:sz w:val="12"/>
                <w:lang w:val="fr-FR"/>
              </w:rPr>
              <w:t> </w:t>
            </w:r>
            <w:r w:rsidRPr="007A518E">
              <w:rPr>
                <w:lang w:val="fr-FR"/>
              </w:rPr>
              <w:t>584</w:t>
            </w:r>
          </w:p>
        </w:tc>
        <w:tc>
          <w:tcPr>
            <w:tcW w:w="1021"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41</w:t>
            </w:r>
            <w:r w:rsidRPr="007A518E">
              <w:rPr>
                <w:rFonts w:ascii="Tms Rmn" w:hAnsi="Tms Rmn"/>
                <w:sz w:val="12"/>
                <w:lang w:val="fr-FR"/>
              </w:rPr>
              <w:t> </w:t>
            </w:r>
            <w:r w:rsidRPr="007A518E">
              <w:rPr>
                <w:lang w:val="fr-FR"/>
              </w:rPr>
              <w:t>125</w:t>
            </w:r>
          </w:p>
        </w:tc>
      </w:tr>
      <w:tr w:rsidR="006A4CF4" w:rsidRPr="007A518E" w:rsidTr="00620522">
        <w:trPr>
          <w:cantSplit/>
          <w:jc w:val="center"/>
        </w:trPr>
        <w:tc>
          <w:tcPr>
            <w:tcW w:w="6183" w:type="dxa"/>
            <w:gridSpan w:val="2"/>
          </w:tcPr>
          <w:p w:rsidR="006A4CF4" w:rsidRPr="007A518E" w:rsidRDefault="006A4CF4">
            <w:pPr>
              <w:pStyle w:val="TableText"/>
              <w:framePr w:hSpace="181" w:wrap="notBeside" w:vAnchor="text" w:hAnchor="text" w:xAlign="center" w:y="1"/>
              <w:ind w:right="57"/>
              <w:jc w:val="left"/>
              <w:rPr>
                <w:lang w:val="fr-FR"/>
              </w:rPr>
            </w:pPr>
            <w:r w:rsidRPr="007A518E">
              <w:rPr>
                <w:lang w:val="fr-FR"/>
              </w:rPr>
              <w:t>Affaiblissement géométrique (dB)</w:t>
            </w:r>
          </w:p>
        </w:tc>
        <w:tc>
          <w:tcPr>
            <w:tcW w:w="905"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162,9</w:t>
            </w:r>
          </w:p>
        </w:tc>
        <w:tc>
          <w:tcPr>
            <w:tcW w:w="1021"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163,2</w:t>
            </w:r>
          </w:p>
        </w:tc>
        <w:tc>
          <w:tcPr>
            <w:tcW w:w="1021"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163,3</w:t>
            </w:r>
          </w:p>
        </w:tc>
      </w:tr>
      <w:tr w:rsidR="006A4CF4" w:rsidRPr="007A518E" w:rsidTr="00620522">
        <w:trPr>
          <w:cantSplit/>
          <w:jc w:val="center"/>
        </w:trPr>
        <w:tc>
          <w:tcPr>
            <w:tcW w:w="6183" w:type="dxa"/>
            <w:gridSpan w:val="2"/>
          </w:tcPr>
          <w:p w:rsidR="006A4CF4" w:rsidRPr="007A518E" w:rsidRDefault="006A4CF4">
            <w:pPr>
              <w:pStyle w:val="TableText"/>
              <w:framePr w:hSpace="181" w:wrap="notBeside" w:vAnchor="text" w:hAnchor="text" w:xAlign="center" w:y="1"/>
              <w:ind w:right="57"/>
              <w:jc w:val="left"/>
              <w:rPr>
                <w:lang w:val="fr-FR"/>
              </w:rPr>
            </w:pPr>
            <w:r w:rsidRPr="007A518E">
              <w:rPr>
                <w:lang w:val="fr-FR"/>
              </w:rPr>
              <w:t>Puissance surfacique produite en un point (</w:t>
            </w:r>
            <w:proofErr w:type="gramStart"/>
            <w:r w:rsidRPr="007A518E">
              <w:rPr>
                <w:lang w:val="fr-FR"/>
              </w:rPr>
              <w:t>dB(</w:t>
            </w:r>
            <w:proofErr w:type="gramEnd"/>
            <w:r w:rsidRPr="007A518E">
              <w:rPr>
                <w:lang w:val="fr-FR"/>
              </w:rPr>
              <w:t>W/(m</w:t>
            </w:r>
            <w:r w:rsidRPr="007A518E">
              <w:rPr>
                <w:vertAlign w:val="superscript"/>
                <w:lang w:val="fr-FR"/>
              </w:rPr>
              <w:t>2</w:t>
            </w:r>
            <w:r w:rsidRPr="007A518E">
              <w:rPr>
                <w:lang w:val="fr-FR"/>
              </w:rPr>
              <w:t> · 1 MHz)))</w:t>
            </w:r>
          </w:p>
        </w:tc>
        <w:tc>
          <w:tcPr>
            <w:tcW w:w="905"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–108,6</w:t>
            </w:r>
          </w:p>
        </w:tc>
        <w:tc>
          <w:tcPr>
            <w:tcW w:w="1021"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–111,9</w:t>
            </w:r>
          </w:p>
        </w:tc>
        <w:tc>
          <w:tcPr>
            <w:tcW w:w="1021"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–113,0</w:t>
            </w:r>
          </w:p>
        </w:tc>
      </w:tr>
      <w:tr w:rsidR="006A4CF4" w:rsidRPr="007A518E" w:rsidTr="00620522">
        <w:trPr>
          <w:cantSplit/>
          <w:jc w:val="center"/>
        </w:trPr>
        <w:tc>
          <w:tcPr>
            <w:tcW w:w="6183" w:type="dxa"/>
            <w:gridSpan w:val="2"/>
          </w:tcPr>
          <w:p w:rsidR="006A4CF4" w:rsidRPr="007A518E" w:rsidRDefault="006A4CF4">
            <w:pPr>
              <w:pStyle w:val="TableText"/>
              <w:framePr w:hSpace="181" w:wrap="notBeside" w:vAnchor="text" w:hAnchor="text" w:xAlign="center" w:y="1"/>
              <w:ind w:right="57"/>
              <w:jc w:val="left"/>
              <w:rPr>
                <w:lang w:val="fr-FR"/>
              </w:rPr>
            </w:pPr>
            <w:r w:rsidRPr="007A518E">
              <w:rPr>
                <w:rStyle w:val="Artref"/>
                <w:lang w:val="fr-FR"/>
              </w:rPr>
              <w:t>Limite de puissance surfacique en un point conformément au numéro </w:t>
            </w:r>
            <w:r w:rsidRPr="007A518E">
              <w:rPr>
                <w:rStyle w:val="Artref0"/>
                <w:b/>
                <w:bCs/>
                <w:color w:val="000000"/>
                <w:lang w:val="fr-FR"/>
              </w:rPr>
              <w:t>21.16</w:t>
            </w:r>
            <w:r w:rsidRPr="007A518E">
              <w:rPr>
                <w:rStyle w:val="Artref"/>
                <w:b/>
                <w:lang w:val="fr-FR"/>
              </w:rPr>
              <w:t xml:space="preserve"> </w:t>
            </w:r>
            <w:r w:rsidRPr="007A518E">
              <w:rPr>
                <w:lang w:val="fr-FR"/>
              </w:rPr>
              <w:t>(</w:t>
            </w:r>
            <w:proofErr w:type="gramStart"/>
            <w:r w:rsidRPr="007A518E">
              <w:rPr>
                <w:lang w:val="fr-FR"/>
              </w:rPr>
              <w:t>dB(</w:t>
            </w:r>
            <w:proofErr w:type="gramEnd"/>
            <w:r w:rsidRPr="007A518E">
              <w:rPr>
                <w:lang w:val="fr-FR"/>
              </w:rPr>
              <w:t>W/(m</w:t>
            </w:r>
            <w:r w:rsidRPr="007A518E">
              <w:rPr>
                <w:vertAlign w:val="superscript"/>
                <w:lang w:val="fr-FR"/>
              </w:rPr>
              <w:t>2</w:t>
            </w:r>
            <w:r w:rsidRPr="007A518E">
              <w:rPr>
                <w:lang w:val="fr-FR"/>
              </w:rPr>
              <w:t> · 1 MHz)))</w:t>
            </w:r>
          </w:p>
        </w:tc>
        <w:tc>
          <w:tcPr>
            <w:tcW w:w="905"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–108,5</w:t>
            </w:r>
          </w:p>
        </w:tc>
        <w:tc>
          <w:tcPr>
            <w:tcW w:w="1021"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–112,5</w:t>
            </w:r>
          </w:p>
        </w:tc>
        <w:tc>
          <w:tcPr>
            <w:tcW w:w="1021"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–115,0</w:t>
            </w:r>
          </w:p>
        </w:tc>
      </w:tr>
      <w:tr w:rsidR="006A4CF4" w:rsidRPr="007A518E" w:rsidTr="00620522">
        <w:trPr>
          <w:cantSplit/>
          <w:jc w:val="center"/>
        </w:trPr>
        <w:tc>
          <w:tcPr>
            <w:tcW w:w="6183" w:type="dxa"/>
            <w:gridSpan w:val="2"/>
          </w:tcPr>
          <w:p w:rsidR="006A4CF4" w:rsidRPr="007A518E" w:rsidRDefault="006A4CF4">
            <w:pPr>
              <w:pStyle w:val="TableText"/>
              <w:framePr w:hSpace="181" w:wrap="notBeside" w:vAnchor="text" w:hAnchor="text" w:xAlign="center" w:y="1"/>
              <w:ind w:right="57"/>
              <w:jc w:val="left"/>
              <w:rPr>
                <w:lang w:val="fr-FR"/>
              </w:rPr>
            </w:pPr>
            <w:r w:rsidRPr="007A518E">
              <w:rPr>
                <w:lang w:val="fr-FR"/>
              </w:rPr>
              <w:t>Dépassement de la limite de puissance surfacique (dB)</w:t>
            </w:r>
          </w:p>
        </w:tc>
        <w:tc>
          <w:tcPr>
            <w:tcW w:w="905"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w:t>
            </w:r>
          </w:p>
        </w:tc>
        <w:tc>
          <w:tcPr>
            <w:tcW w:w="1021"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0,6</w:t>
            </w:r>
          </w:p>
        </w:tc>
        <w:tc>
          <w:tcPr>
            <w:tcW w:w="1021" w:type="dxa"/>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2,0</w:t>
            </w:r>
          </w:p>
        </w:tc>
      </w:tr>
      <w:tr w:rsidR="006A4CF4" w:rsidRPr="007A518E" w:rsidTr="00620522">
        <w:trPr>
          <w:cantSplit/>
          <w:jc w:val="center"/>
        </w:trPr>
        <w:tc>
          <w:tcPr>
            <w:tcW w:w="6183" w:type="dxa"/>
            <w:gridSpan w:val="2"/>
          </w:tcPr>
          <w:p w:rsidR="006A4CF4" w:rsidRPr="007A518E" w:rsidRDefault="006A4CF4">
            <w:pPr>
              <w:pStyle w:val="TableText"/>
              <w:framePr w:hSpace="181" w:wrap="notBeside" w:vAnchor="text" w:hAnchor="text" w:xAlign="center" w:y="1"/>
              <w:ind w:right="57"/>
              <w:jc w:val="left"/>
              <w:rPr>
                <w:lang w:val="fr-FR"/>
              </w:rPr>
            </w:pPr>
            <w:r w:rsidRPr="007A518E">
              <w:rPr>
                <w:lang w:val="fr-FR"/>
              </w:rPr>
              <w:t>Réduction de densité de puissance requise pour respecter la limite (dB)</w:t>
            </w:r>
          </w:p>
        </w:tc>
        <w:tc>
          <w:tcPr>
            <w:tcW w:w="2947" w:type="dxa"/>
            <w:gridSpan w:val="3"/>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2,0</w:t>
            </w:r>
          </w:p>
        </w:tc>
      </w:tr>
      <w:tr w:rsidR="006A4CF4" w:rsidRPr="007A518E" w:rsidTr="00620522">
        <w:trPr>
          <w:cantSplit/>
          <w:jc w:val="center"/>
        </w:trPr>
        <w:tc>
          <w:tcPr>
            <w:tcW w:w="6183" w:type="dxa"/>
            <w:gridSpan w:val="2"/>
          </w:tcPr>
          <w:p w:rsidR="006A4CF4" w:rsidRPr="007A518E" w:rsidRDefault="006A4CF4">
            <w:pPr>
              <w:pStyle w:val="TableText"/>
              <w:framePr w:hSpace="181" w:wrap="notBeside" w:vAnchor="text" w:hAnchor="text" w:xAlign="center" w:y="1"/>
              <w:ind w:right="57"/>
              <w:jc w:val="left"/>
              <w:rPr>
                <w:lang w:val="fr-FR"/>
              </w:rPr>
            </w:pPr>
            <w:r w:rsidRPr="007A518E">
              <w:rPr>
                <w:lang w:val="fr-FR"/>
              </w:rPr>
              <w:t>Densité de puissance maximale à utiliser en ce point du faisceau (</w:t>
            </w:r>
            <w:proofErr w:type="gramStart"/>
            <w:r w:rsidRPr="007A518E">
              <w:rPr>
                <w:lang w:val="fr-FR"/>
              </w:rPr>
              <w:t>dB(</w:t>
            </w:r>
            <w:proofErr w:type="gramEnd"/>
            <w:r w:rsidRPr="007A518E">
              <w:rPr>
                <w:lang w:val="fr-FR"/>
              </w:rPr>
              <w:t>W/Hz))</w:t>
            </w:r>
          </w:p>
        </w:tc>
        <w:tc>
          <w:tcPr>
            <w:tcW w:w="2947" w:type="dxa"/>
            <w:gridSpan w:val="3"/>
          </w:tcPr>
          <w:p w:rsidR="006A4CF4" w:rsidRPr="007A518E" w:rsidRDefault="006A4CF4">
            <w:pPr>
              <w:pStyle w:val="TableText"/>
              <w:framePr w:hSpace="181" w:wrap="notBeside" w:vAnchor="text" w:hAnchor="text" w:xAlign="center" w:y="1"/>
              <w:ind w:left="57" w:right="57"/>
              <w:jc w:val="center"/>
              <w:rPr>
                <w:lang w:val="fr-FR"/>
              </w:rPr>
            </w:pPr>
            <w:r w:rsidRPr="007A518E">
              <w:rPr>
                <w:lang w:val="fr-FR"/>
              </w:rPr>
              <w:t>–57,7</w:t>
            </w:r>
          </w:p>
        </w:tc>
      </w:tr>
    </w:tbl>
    <w:p w:rsidR="006A4CF4" w:rsidRPr="007A518E" w:rsidRDefault="006A4CF4">
      <w:pPr>
        <w:pStyle w:val="TableFin"/>
        <w:rPr>
          <w:lang w:val="fr-FR"/>
        </w:rPr>
      </w:pPr>
    </w:p>
    <w:p w:rsidR="006A4CF4" w:rsidRPr="007A518E" w:rsidRDefault="006A4CF4" w:rsidP="00620522">
      <w:pPr>
        <w:spacing w:before="0"/>
        <w:jc w:val="center"/>
        <w:rPr>
          <w:lang w:val="fr-FR"/>
        </w:rPr>
      </w:pPr>
      <w:r w:rsidRPr="007A518E">
        <w:rPr>
          <w:lang w:val="fr-FR"/>
        </w:rPr>
        <w:t>____________________</w:t>
      </w:r>
    </w:p>
    <w:p w:rsidR="006A4CF4" w:rsidRPr="007A518E" w:rsidRDefault="006A4CF4">
      <w:pPr>
        <w:rPr>
          <w:lang w:val="fr-FR"/>
        </w:rPr>
        <w:sectPr w:rsidR="006A4CF4" w:rsidRPr="007A518E" w:rsidSect="00BE5A9B">
          <w:headerReference w:type="first" r:id="rId13"/>
          <w:footnotePr>
            <w:pos w:val="beneathText"/>
          </w:footnotePr>
          <w:pgSz w:w="11907" w:h="16840" w:code="9"/>
          <w:pgMar w:top="1701" w:right="851" w:bottom="1134" w:left="1985" w:header="720" w:footer="482" w:gutter="0"/>
          <w:cols w:space="720"/>
          <w:vAlign w:val="both"/>
          <w:titlePg/>
        </w:sectPr>
      </w:pPr>
    </w:p>
    <w:p w:rsidR="006A4CF4" w:rsidRDefault="006A4CF4">
      <w:pPr>
        <w:rPr>
          <w:lang w:val="fr-FR"/>
        </w:rPr>
      </w:pPr>
    </w:p>
    <w:p w:rsidR="00191854" w:rsidRPr="007A518E" w:rsidRDefault="00191854">
      <w:pPr>
        <w:rPr>
          <w:lang w:val="fr-FR"/>
        </w:rPr>
      </w:pPr>
    </w:p>
    <w:sectPr w:rsidR="00191854" w:rsidRPr="007A518E">
      <w:headerReference w:type="first" r:id="rId1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699" w:rsidRDefault="005E3699">
      <w:r>
        <w:separator/>
      </w:r>
    </w:p>
  </w:endnote>
  <w:endnote w:type="continuationSeparator" w:id="0">
    <w:p w:rsidR="005E3699" w:rsidRDefault="005E3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699" w:rsidRDefault="005E3699">
      <w:r>
        <w:rPr>
          <w:b/>
        </w:rPr>
        <w:t>_______________</w:t>
      </w:r>
    </w:p>
    <w:p w:rsidR="005E3699" w:rsidRDefault="005E3699"/>
    <w:p w:rsidR="005E3699" w:rsidRDefault="005E3699"/>
    <w:p w:rsidR="005E3699" w:rsidRDefault="005E3699"/>
  </w:footnote>
  <w:footnote w:type="continuationSeparator" w:id="0">
    <w:p w:rsidR="005E3699" w:rsidRDefault="005E36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A518E">
      <w:trPr>
        <w:cantSplit/>
      </w:trPr>
      <w:tc>
        <w:tcPr>
          <w:tcW w:w="1701" w:type="dxa"/>
          <w:tcBorders>
            <w:top w:val="single" w:sz="6" w:space="0" w:color="auto"/>
            <w:left w:val="single" w:sz="6" w:space="0" w:color="auto"/>
            <w:bottom w:val="single" w:sz="6" w:space="0" w:color="auto"/>
            <w:right w:val="single" w:sz="6" w:space="0" w:color="auto"/>
          </w:tcBorders>
        </w:tcPr>
        <w:p w:rsidR="007A518E" w:rsidRDefault="007A518E">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7A518E" w:rsidRDefault="005F633D">
          <w:pPr>
            <w:pStyle w:val="HeaderRegProc"/>
            <w:rPr>
              <w:lang w:val="fr-FR"/>
            </w:rPr>
          </w:pPr>
          <w:r>
            <w:fldChar w:fldCharType="begin"/>
          </w:r>
          <w:r>
            <w:instrText xml:space="preserve"> DOCPROPERTY "Header" \* MERGEF</w:instrText>
          </w:r>
          <w:r>
            <w:instrText xml:space="preserve">ORMAT </w:instrText>
          </w:r>
          <w:r>
            <w:fldChar w:fldCharType="separate"/>
          </w:r>
          <w:r w:rsidR="007A518E">
            <w:rPr>
              <w:lang w:val="fr-FR"/>
            </w:rPr>
            <w:t>AR</w:t>
          </w:r>
          <w:r>
            <w:rPr>
              <w:lang w:val="fr-FR"/>
            </w:rPr>
            <w:fldChar w:fldCharType="end"/>
          </w:r>
          <w:r w:rsidR="007A518E">
            <w:fldChar w:fldCharType="begin"/>
          </w:r>
          <w:r w:rsidR="007A518E">
            <w:rPr>
              <w:lang w:val="fr-FR"/>
            </w:rPr>
            <w:instrText>styleref href2</w:instrText>
          </w:r>
          <w:r w:rsidR="007A518E">
            <w:fldChar w:fldCharType="separate"/>
          </w:r>
          <w:r>
            <w:rPr>
              <w:noProof/>
            </w:rPr>
            <w:t>21</w:t>
          </w:r>
          <w:r w:rsidR="007A518E">
            <w:fldChar w:fldCharType="end"/>
          </w:r>
        </w:p>
      </w:tc>
      <w:tc>
        <w:tcPr>
          <w:tcW w:w="1701" w:type="dxa"/>
          <w:tcBorders>
            <w:top w:val="single" w:sz="6" w:space="0" w:color="auto"/>
            <w:left w:val="single" w:sz="6" w:space="0" w:color="auto"/>
            <w:bottom w:val="single" w:sz="6" w:space="0" w:color="auto"/>
            <w:right w:val="single" w:sz="6" w:space="0" w:color="auto"/>
          </w:tcBorders>
        </w:tcPr>
        <w:p w:rsidR="007A518E" w:rsidRDefault="007A518E" w:rsidP="005F633D">
          <w:pPr>
            <w:pStyle w:val="HeaderRegProc"/>
            <w:rPr>
              <w:lang w:val="fr-CH"/>
            </w:rPr>
          </w:pPr>
          <w:r>
            <w:rPr>
              <w:lang w:val="fr-FR"/>
            </w:rPr>
            <w:t xml:space="preserve">page </w:t>
          </w:r>
          <w:r w:rsidR="005F633D">
            <w:rPr>
              <w:rStyle w:val="PageNumber"/>
            </w:rPr>
            <w:t>1</w:t>
          </w:r>
          <w:r w:rsidR="005F633D" w:rsidRPr="005F633D">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7A518E" w:rsidRDefault="007A518E" w:rsidP="00A54295">
          <w:pPr>
            <w:pStyle w:val="HeaderRegProc"/>
            <w:rPr>
              <w:lang w:val="fr-CH"/>
            </w:rPr>
          </w:pPr>
          <w:proofErr w:type="spellStart"/>
          <w:r>
            <w:rPr>
              <w:lang w:val="fr-CH"/>
            </w:rPr>
            <w:t>rév</w:t>
          </w:r>
          <w:proofErr w:type="spellEnd"/>
          <w:r>
            <w:rPr>
              <w:lang w:val="fr-CH"/>
            </w:rPr>
            <w:t>.</w:t>
          </w:r>
          <w:r w:rsidR="00A54295">
            <w:t xml:space="preserve"> 5</w:t>
          </w:r>
        </w:p>
      </w:tc>
    </w:tr>
  </w:tbl>
  <w:p w:rsidR="007A518E" w:rsidRDefault="007A518E">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A518E">
      <w:trPr>
        <w:cantSplit/>
        <w:jc w:val="right"/>
      </w:trPr>
      <w:tc>
        <w:tcPr>
          <w:tcW w:w="1701" w:type="dxa"/>
          <w:tcBorders>
            <w:top w:val="single" w:sz="6" w:space="0" w:color="auto"/>
            <w:left w:val="single" w:sz="6" w:space="0" w:color="auto"/>
            <w:bottom w:val="single" w:sz="6" w:space="0" w:color="auto"/>
            <w:right w:val="single" w:sz="6" w:space="0" w:color="auto"/>
          </w:tcBorders>
        </w:tcPr>
        <w:p w:rsidR="007A518E" w:rsidRDefault="007A518E">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7A518E" w:rsidRDefault="005F633D">
          <w:pPr>
            <w:pStyle w:val="HeaderRegProc"/>
            <w:rPr>
              <w:color w:val="000000"/>
              <w:lang w:val="fr-FR"/>
            </w:rPr>
          </w:pPr>
          <w:r>
            <w:fldChar w:fldCharType="begin"/>
          </w:r>
          <w:r>
            <w:instrText xml:space="preserve"> DOCPROPERTY "Header" \* MERGEFORMAT </w:instrText>
          </w:r>
          <w:r>
            <w:fldChar w:fldCharType="separate"/>
          </w:r>
          <w:r w:rsidR="007A518E">
            <w:rPr>
              <w:color w:val="000000"/>
              <w:lang w:val="fr-FR"/>
            </w:rPr>
            <w:t>AR</w:t>
          </w:r>
          <w:r>
            <w:rPr>
              <w:color w:val="000000"/>
              <w:lang w:val="fr-FR"/>
            </w:rPr>
            <w:fldChar w:fldCharType="end"/>
          </w:r>
          <w:r w:rsidR="007A518E">
            <w:rPr>
              <w:color w:val="000000"/>
            </w:rPr>
            <w:fldChar w:fldCharType="begin"/>
          </w:r>
          <w:r w:rsidR="007A518E">
            <w:rPr>
              <w:color w:val="000000"/>
              <w:lang w:val="fr-FR"/>
            </w:rPr>
            <w:instrText>styleref href2</w:instrText>
          </w:r>
          <w:r w:rsidR="007A518E">
            <w:rPr>
              <w:color w:val="000000"/>
            </w:rPr>
            <w:fldChar w:fldCharType="separate"/>
          </w:r>
          <w:r w:rsidR="00BE5A9B">
            <w:rPr>
              <w:noProof/>
              <w:color w:val="000000"/>
            </w:rPr>
            <w:t>21</w:t>
          </w:r>
          <w:r w:rsidR="007A518E">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A518E" w:rsidRDefault="007A518E">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BE5A9B">
            <w:rPr>
              <w:rStyle w:val="PageNumber"/>
              <w:noProof/>
              <w:color w:val="000000"/>
            </w:rPr>
            <w:t>3</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A518E" w:rsidRDefault="007A518E">
          <w:pPr>
            <w:pStyle w:val="HeaderRegProc"/>
            <w:rPr>
              <w:color w:val="000000"/>
              <w:lang w:val="fr-CH"/>
            </w:rPr>
          </w:pPr>
          <w:proofErr w:type="spellStart"/>
          <w:r>
            <w:rPr>
              <w:color w:val="000000"/>
              <w:lang w:val="fr-CH"/>
            </w:rPr>
            <w:t>rév</w:t>
          </w:r>
          <w:proofErr w:type="spellEnd"/>
          <w:r>
            <w:rPr>
              <w:color w:val="000000"/>
              <w:lang w:val="fr-CH"/>
            </w:rPr>
            <w:t>.-</w:t>
          </w:r>
        </w:p>
      </w:tc>
    </w:tr>
  </w:tbl>
  <w:p w:rsidR="007A518E" w:rsidRDefault="007A51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A518E" w:rsidRPr="00A54295">
      <w:trPr>
        <w:cantSplit/>
        <w:jc w:val="right"/>
      </w:trPr>
      <w:tc>
        <w:tcPr>
          <w:tcW w:w="1701" w:type="dxa"/>
          <w:tcBorders>
            <w:top w:val="single" w:sz="6" w:space="0" w:color="auto"/>
            <w:left w:val="single" w:sz="6" w:space="0" w:color="auto"/>
            <w:bottom w:val="single" w:sz="6" w:space="0" w:color="auto"/>
            <w:right w:val="single" w:sz="6" w:space="0" w:color="auto"/>
          </w:tcBorders>
        </w:tcPr>
        <w:p w:rsidR="007A518E" w:rsidRDefault="007A518E">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7A518E" w:rsidRDefault="005F633D">
          <w:pPr>
            <w:pStyle w:val="HeaderRegProc"/>
            <w:rPr>
              <w:color w:val="000000"/>
              <w:lang w:val="fr-FR"/>
            </w:rPr>
          </w:pPr>
          <w:r>
            <w:fldChar w:fldCharType="begin"/>
          </w:r>
          <w:r>
            <w:instrText xml:space="preserve"> DOCPROPERTY "Header" \* MERGEFORMAT </w:instrText>
          </w:r>
          <w:r>
            <w:fldChar w:fldCharType="separate"/>
          </w:r>
          <w:r w:rsidR="007A518E">
            <w:rPr>
              <w:color w:val="000000"/>
              <w:lang w:val="fr-FR"/>
            </w:rPr>
            <w:t>AR</w:t>
          </w:r>
          <w:r>
            <w:rPr>
              <w:color w:val="000000"/>
              <w:lang w:val="fr-FR"/>
            </w:rPr>
            <w:fldChar w:fldCharType="end"/>
          </w:r>
          <w:r w:rsidR="007A518E">
            <w:rPr>
              <w:color w:val="000000"/>
            </w:rPr>
            <w:fldChar w:fldCharType="begin"/>
          </w:r>
          <w:r w:rsidR="007A518E">
            <w:rPr>
              <w:color w:val="000000"/>
              <w:lang w:val="fr-FR"/>
            </w:rPr>
            <w:instrText>styleref href2</w:instrText>
          </w:r>
          <w:r w:rsidR="007A518E">
            <w:rPr>
              <w:color w:val="000000"/>
            </w:rPr>
            <w:fldChar w:fldCharType="separate"/>
          </w:r>
          <w:r>
            <w:rPr>
              <w:noProof/>
              <w:color w:val="000000"/>
            </w:rPr>
            <w:t>21</w:t>
          </w:r>
          <w:r w:rsidR="007A518E">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A518E" w:rsidRDefault="007A518E">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5F633D">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A518E" w:rsidRPr="00A54295" w:rsidRDefault="007A518E">
          <w:pPr>
            <w:pStyle w:val="HeaderRegProc"/>
            <w:rPr>
              <w:color w:val="000000"/>
              <w:lang w:val="fr-CH"/>
            </w:rPr>
          </w:pPr>
          <w:proofErr w:type="spellStart"/>
          <w:r>
            <w:rPr>
              <w:color w:val="000000"/>
              <w:lang w:val="fr-CH"/>
            </w:rPr>
            <w:t>rév</w:t>
          </w:r>
          <w:proofErr w:type="spellEnd"/>
          <w:r>
            <w:rPr>
              <w:color w:val="000000"/>
              <w:lang w:val="fr-CH"/>
            </w:rPr>
            <w:t>.</w:t>
          </w:r>
          <w:r w:rsidR="00A54295" w:rsidRPr="00A54295">
            <w:rPr>
              <w:color w:val="000000"/>
              <w:lang w:val="fr-CH"/>
            </w:rPr>
            <w:t xml:space="preserve"> 5</w:t>
          </w:r>
        </w:p>
      </w:tc>
    </w:tr>
  </w:tbl>
  <w:p w:rsidR="007A518E" w:rsidRPr="00A54295" w:rsidRDefault="007A518E">
    <w:pPr>
      <w:pStyle w:val="Heade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E5A9B">
      <w:trPr>
        <w:cantSplit/>
        <w:jc w:val="right"/>
      </w:trPr>
      <w:tc>
        <w:tcPr>
          <w:tcW w:w="1701" w:type="dxa"/>
          <w:tcBorders>
            <w:top w:val="single" w:sz="6" w:space="0" w:color="auto"/>
            <w:left w:val="single" w:sz="6" w:space="0" w:color="auto"/>
            <w:bottom w:val="single" w:sz="6" w:space="0" w:color="auto"/>
            <w:right w:val="single" w:sz="6" w:space="0" w:color="auto"/>
          </w:tcBorders>
        </w:tcPr>
        <w:p w:rsidR="00BE5A9B" w:rsidRDefault="00BE5A9B">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BE5A9B" w:rsidRDefault="00B62DF5">
          <w:pPr>
            <w:pStyle w:val="HeaderRegProc"/>
            <w:rPr>
              <w:color w:val="000000"/>
              <w:lang w:val="fr-FR"/>
            </w:rPr>
          </w:pPr>
          <w:fldSimple w:instr=" DOCPROPERTY &quot;Header&quot; \* MERGEFORMAT ">
            <w:r w:rsidR="00BE5A9B">
              <w:rPr>
                <w:color w:val="000000"/>
                <w:lang w:val="fr-FR"/>
              </w:rPr>
              <w:t>AR</w:t>
            </w:r>
          </w:fldSimple>
          <w:r w:rsidR="00BE5A9B">
            <w:rPr>
              <w:color w:val="000000"/>
            </w:rPr>
            <w:fldChar w:fldCharType="begin"/>
          </w:r>
          <w:r w:rsidR="00BE5A9B">
            <w:rPr>
              <w:color w:val="000000"/>
              <w:lang w:val="fr-FR"/>
            </w:rPr>
            <w:instrText>styleref href2</w:instrText>
          </w:r>
          <w:r w:rsidR="00BE5A9B">
            <w:rPr>
              <w:color w:val="000000"/>
            </w:rPr>
            <w:fldChar w:fldCharType="separate"/>
          </w:r>
          <w:r w:rsidR="005F633D">
            <w:rPr>
              <w:noProof/>
              <w:color w:val="000000"/>
            </w:rPr>
            <w:t>21</w:t>
          </w:r>
          <w:r w:rsidR="00BE5A9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BE5A9B" w:rsidRDefault="00BE5A9B" w:rsidP="00B62DF5">
          <w:pPr>
            <w:pStyle w:val="HeaderRegProc"/>
            <w:rPr>
              <w:color w:val="000000"/>
              <w:lang w:val="fr-CH"/>
            </w:rPr>
          </w:pPr>
          <w:r>
            <w:rPr>
              <w:color w:val="000000"/>
              <w:lang w:val="fr-FR"/>
            </w:rPr>
            <w:t xml:space="preserve">page </w:t>
          </w:r>
          <w:r w:rsidR="00B62DF5">
            <w:rPr>
              <w:rStyle w:val="PageNumber"/>
              <w:color w:val="000000"/>
            </w:rPr>
            <w:t>2</w:t>
          </w:r>
        </w:p>
      </w:tc>
      <w:tc>
        <w:tcPr>
          <w:tcW w:w="1701" w:type="dxa"/>
          <w:tcBorders>
            <w:top w:val="single" w:sz="6" w:space="0" w:color="auto"/>
            <w:left w:val="single" w:sz="6" w:space="0" w:color="auto"/>
            <w:bottom w:val="single" w:sz="6" w:space="0" w:color="auto"/>
            <w:right w:val="single" w:sz="6" w:space="0" w:color="auto"/>
          </w:tcBorders>
        </w:tcPr>
        <w:p w:rsidR="00BE5A9B" w:rsidRDefault="00BE5A9B">
          <w:pPr>
            <w:pStyle w:val="HeaderRegProc"/>
            <w:rPr>
              <w:color w:val="000000"/>
              <w:lang w:val="fr-CH"/>
            </w:rPr>
          </w:pPr>
          <w:proofErr w:type="spellStart"/>
          <w:r>
            <w:rPr>
              <w:color w:val="000000"/>
              <w:lang w:val="fr-CH"/>
            </w:rPr>
            <w:t>rév</w:t>
          </w:r>
          <w:proofErr w:type="spellEnd"/>
          <w:r>
            <w:rPr>
              <w:color w:val="000000"/>
              <w:lang w:val="fr-CH"/>
            </w:rPr>
            <w:t>.</w:t>
          </w:r>
          <w:r w:rsidR="00E86C95">
            <w:rPr>
              <w:color w:val="000000"/>
            </w:rPr>
            <w:t xml:space="preserve"> 1</w:t>
          </w:r>
        </w:p>
      </w:tc>
    </w:tr>
  </w:tbl>
  <w:p w:rsidR="00BE5A9B" w:rsidRDefault="00BE5A9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E5A9B">
      <w:trPr>
        <w:cantSplit/>
        <w:jc w:val="right"/>
      </w:trPr>
      <w:tc>
        <w:tcPr>
          <w:tcW w:w="1701" w:type="dxa"/>
          <w:tcBorders>
            <w:top w:val="single" w:sz="6" w:space="0" w:color="auto"/>
            <w:left w:val="single" w:sz="6" w:space="0" w:color="auto"/>
            <w:bottom w:val="single" w:sz="6" w:space="0" w:color="auto"/>
            <w:right w:val="single" w:sz="6" w:space="0" w:color="auto"/>
          </w:tcBorders>
        </w:tcPr>
        <w:p w:rsidR="00BE5A9B" w:rsidRDefault="00BE5A9B">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BE5A9B" w:rsidRDefault="00B62DF5">
          <w:pPr>
            <w:pStyle w:val="HeaderRegProc"/>
            <w:rPr>
              <w:color w:val="000000"/>
              <w:lang w:val="fr-FR"/>
            </w:rPr>
          </w:pPr>
          <w:fldSimple w:instr=" DOCPROPERTY &quot;Header&quot; \* MERGEFORMAT ">
            <w:r w:rsidR="00BE5A9B">
              <w:rPr>
                <w:color w:val="000000"/>
                <w:lang w:val="fr-FR"/>
              </w:rPr>
              <w:t>AR</w:t>
            </w:r>
          </w:fldSimple>
          <w:r w:rsidR="00BE5A9B">
            <w:rPr>
              <w:color w:val="000000"/>
            </w:rPr>
            <w:fldChar w:fldCharType="begin"/>
          </w:r>
          <w:r w:rsidR="00BE5A9B">
            <w:rPr>
              <w:color w:val="000000"/>
              <w:lang w:val="fr-FR"/>
            </w:rPr>
            <w:instrText>styleref href2</w:instrText>
          </w:r>
          <w:r w:rsidR="00BE5A9B">
            <w:rPr>
              <w:color w:val="000000"/>
            </w:rPr>
            <w:fldChar w:fldCharType="separate"/>
          </w:r>
          <w:r w:rsidR="005F633D">
            <w:rPr>
              <w:noProof/>
              <w:color w:val="000000"/>
            </w:rPr>
            <w:t>21</w:t>
          </w:r>
          <w:r w:rsidR="00BE5A9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BE5A9B" w:rsidRDefault="00BE5A9B">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5F633D">
            <w:rPr>
              <w:rStyle w:val="PageNumber"/>
              <w:noProof/>
              <w:color w:val="000000"/>
            </w:rPr>
            <w:t>4</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BE5A9B" w:rsidRDefault="00BE5A9B">
          <w:pPr>
            <w:pStyle w:val="HeaderRegProc"/>
            <w:rPr>
              <w:color w:val="000000"/>
              <w:lang w:val="fr-CH"/>
            </w:rPr>
          </w:pPr>
          <w:proofErr w:type="spellStart"/>
          <w:r>
            <w:rPr>
              <w:color w:val="000000"/>
              <w:lang w:val="fr-CH"/>
            </w:rPr>
            <w:t>rév</w:t>
          </w:r>
          <w:proofErr w:type="spellEnd"/>
          <w:r>
            <w:rPr>
              <w:color w:val="000000"/>
              <w:lang w:val="fr-CH"/>
            </w:rPr>
            <w:t>.</w:t>
          </w:r>
          <w:r>
            <w:rPr>
              <w:color w:val="000000"/>
            </w:rPr>
            <w:t>-</w:t>
          </w:r>
        </w:p>
      </w:tc>
    </w:tr>
  </w:tbl>
  <w:p w:rsidR="00BE5A9B" w:rsidRDefault="00BE5A9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18E" w:rsidRDefault="007A51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205C0"/>
    <w:multiLevelType w:val="hybridMultilevel"/>
    <w:tmpl w:val="911EBD7E"/>
    <w:lvl w:ilvl="0" w:tplc="6B24B53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pos w:val="beneathText"/>
    <w:footnote w:id="-1"/>
    <w:footnote w:id="0"/>
  </w:footnotePr>
  <w:endnotePr>
    <w:endnote w:id="-1"/>
    <w:endnote w:id="0"/>
  </w:endnotePr>
  <w:compat>
    <w:compatSetting w:name="compatibilityMode" w:uri="http://schemas.microsoft.com/office/word" w:val="12"/>
  </w:compat>
  <w:rsids>
    <w:rsidRoot w:val="00620522"/>
    <w:rsid w:val="0002773F"/>
    <w:rsid w:val="00191854"/>
    <w:rsid w:val="002151F9"/>
    <w:rsid w:val="002C6D1D"/>
    <w:rsid w:val="00301FD2"/>
    <w:rsid w:val="00343B7A"/>
    <w:rsid w:val="004C2053"/>
    <w:rsid w:val="00557975"/>
    <w:rsid w:val="005E3699"/>
    <w:rsid w:val="005F633D"/>
    <w:rsid w:val="00620522"/>
    <w:rsid w:val="006A4CF4"/>
    <w:rsid w:val="006F14E6"/>
    <w:rsid w:val="007A518E"/>
    <w:rsid w:val="00A36C2E"/>
    <w:rsid w:val="00A54295"/>
    <w:rsid w:val="00A94FEF"/>
    <w:rsid w:val="00AB1A91"/>
    <w:rsid w:val="00B62DF5"/>
    <w:rsid w:val="00B721FF"/>
    <w:rsid w:val="00BE5A9B"/>
    <w:rsid w:val="00C02AC9"/>
    <w:rsid w:val="00DC2ED6"/>
    <w:rsid w:val="00DE4252"/>
    <w:rsid w:val="00DE44E8"/>
    <w:rsid w:val="00E86C95"/>
    <w:rsid w:val="00F358FB"/>
    <w:rsid w:val="00F64004"/>
    <w:rsid w:val="00F828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BalloonText">
    <w:name w:val="Balloon Text"/>
    <w:basedOn w:val="Normal"/>
    <w:link w:val="BalloonTextChar"/>
    <w:rsid w:val="00191854"/>
    <w:pPr>
      <w:spacing w:before="0"/>
    </w:pPr>
    <w:rPr>
      <w:rFonts w:ascii="Tahoma" w:hAnsi="Tahoma" w:cs="Tahoma"/>
      <w:sz w:val="16"/>
      <w:szCs w:val="16"/>
    </w:rPr>
  </w:style>
  <w:style w:type="character" w:customStyle="1" w:styleId="BalloonTextChar">
    <w:name w:val="Balloon Text Char"/>
    <w:basedOn w:val="DefaultParagraphFont"/>
    <w:link w:val="BalloonText"/>
    <w:rsid w:val="00191854"/>
    <w:rPr>
      <w:rFonts w:ascii="Tahoma" w:hAnsi="Tahoma" w:cs="Tahoma"/>
      <w:sz w:val="16"/>
      <w:szCs w:val="16"/>
      <w:lang w:val="en-GB" w:eastAsia="en-US"/>
    </w:rPr>
  </w:style>
  <w:style w:type="paragraph" w:styleId="ListParagraph">
    <w:name w:val="List Paragraph"/>
    <w:basedOn w:val="Normal"/>
    <w:uiPriority w:val="34"/>
    <w:qFormat/>
    <w:rsid w:val="000277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34</TotalTime>
  <Pages>5</Pages>
  <Words>1324</Words>
  <Characters>7550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CP--3344/DD</Manager>
  <Company>ITU</Company>
  <LinksUpToDate>false</LinksUpToDate>
  <CharactersWithSpaces>8857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21</dc:subject>
  <dc:creator>Composition des Publications</dc:creator>
  <cp:keywords>Folios: 1 -4 (blanc)</cp:keywords>
  <dc:description>Edition 2009:   23.02.2009/DD (dict. ok)</dc:description>
  <cp:lastModifiedBy>Clausel, Magali</cp:lastModifiedBy>
  <cp:revision>25</cp:revision>
  <cp:lastPrinted>2009-02-23T09:16:00Z</cp:lastPrinted>
  <dcterms:created xsi:type="dcterms:W3CDTF">2012-08-08T15:31:00Z</dcterms:created>
  <dcterms:modified xsi:type="dcterms:W3CDTF">2013-12-24T09:36:00Z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