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D7D" w:rsidRPr="00883D85" w:rsidRDefault="00286D7D" w:rsidP="00883D85">
      <w:pPr>
        <w:pStyle w:val="Heading1"/>
        <w:spacing w:before="300"/>
        <w:jc w:val="center"/>
        <w:rPr>
          <w:lang w:val="fr-FR"/>
        </w:rPr>
      </w:pPr>
      <w:r w:rsidRPr="00883D85">
        <w:rPr>
          <w:lang w:val="fr-FR"/>
        </w:rPr>
        <w:t>Règles relatives à</w:t>
      </w:r>
    </w:p>
    <w:p w:rsidR="00286D7D" w:rsidRPr="00883D85" w:rsidRDefault="00286D7D">
      <w:pPr>
        <w:pStyle w:val="Heading2"/>
        <w:jc w:val="center"/>
        <w:rPr>
          <w:lang w:val="fr-FR"/>
        </w:rPr>
      </w:pPr>
      <w:r w:rsidRPr="00883D85">
        <w:rPr>
          <w:lang w:val="fr-FR"/>
        </w:rPr>
        <w:t xml:space="preserve">l'ARTICLE </w:t>
      </w:r>
      <w:r w:rsidR="00883D85" w:rsidRPr="00883D85">
        <w:rPr>
          <w:lang w:val="fr-FR"/>
        </w:rPr>
        <w:t xml:space="preserve"> </w:t>
      </w:r>
      <w:r w:rsidRPr="00883D85">
        <w:rPr>
          <w:lang w:val="fr-FR"/>
        </w:rPr>
        <w:t>4 du RR</w:t>
      </w:r>
    </w:p>
    <w:p w:rsidR="00286D7D" w:rsidRPr="00883D85" w:rsidRDefault="00286D7D" w:rsidP="00883D85">
      <w:pPr>
        <w:pStyle w:val="Heading8"/>
        <w:spacing w:before="600"/>
        <w:rPr>
          <w:lang w:val="fr-FR"/>
        </w:rPr>
      </w:pPr>
      <w:r w:rsidRPr="00883D85">
        <w:rPr>
          <w:rStyle w:val="href2"/>
          <w:lang w:val="fr-FR"/>
        </w:rPr>
        <w:t>4</w:t>
      </w:r>
      <w:r w:rsidRPr="00883D85">
        <w:rPr>
          <w:lang w:val="fr-FR"/>
        </w:rPr>
        <w:t>.4</w:t>
      </w:r>
    </w:p>
    <w:p w:rsidR="00237343" w:rsidRPr="00883D85" w:rsidRDefault="00237343" w:rsidP="00237343">
      <w:pPr>
        <w:pStyle w:val="Heading1"/>
        <w:spacing w:before="240"/>
        <w:rPr>
          <w:lang w:val="fr-FR"/>
        </w:rPr>
      </w:pPr>
      <w:r w:rsidRPr="00883D85">
        <w:rPr>
          <w:lang w:val="fr-FR"/>
        </w:rPr>
        <w:t>1</w:t>
      </w:r>
      <w:r w:rsidRPr="00883D85">
        <w:rPr>
          <w:lang w:val="fr-FR"/>
        </w:rPr>
        <w:tab/>
        <w:t>Utilisation d'une fréquence selon le numéro 4.4</w:t>
      </w:r>
    </w:p>
    <w:p w:rsidR="00237343" w:rsidRPr="00883D85" w:rsidRDefault="00237343" w:rsidP="00237343">
      <w:pPr>
        <w:rPr>
          <w:lang w:val="fr-FR"/>
        </w:rPr>
      </w:pPr>
      <w:r w:rsidRPr="00883D85">
        <w:rPr>
          <w:lang w:val="fr-FR"/>
        </w:rPr>
        <w:t>1.1</w:t>
      </w:r>
      <w:r w:rsidRPr="00883D85">
        <w:rPr>
          <w:lang w:val="fr-FR"/>
        </w:rPr>
        <w:tab/>
        <w:t>Cette disposition autorise les administrations à utiliser une partie quelconque du spectre en dérogation au Règlement des radiocommunications, sous réserve que la station qui utilise cette portion de spectre ne cause pas de brouillage préjudiciable aux stations des autres services exploités conformément aux dispositions de la Constitution, de la Convention et du Règlement des radiocommunications, et qu'elle ne demande pas de protection contre les brouillages préjudiciables causés par ces stations.</w:t>
      </w:r>
    </w:p>
    <w:p w:rsidR="00237343" w:rsidRPr="00883D85" w:rsidRDefault="00237343" w:rsidP="00237343">
      <w:pPr>
        <w:rPr>
          <w:lang w:val="fr-FR"/>
        </w:rPr>
      </w:pPr>
      <w:r w:rsidRPr="00883D85">
        <w:rPr>
          <w:lang w:val="fr-FR"/>
        </w:rPr>
        <w:t>1.2</w:t>
      </w:r>
      <w:r w:rsidRPr="00883D85">
        <w:rPr>
          <w:lang w:val="fr-FR"/>
        </w:rPr>
        <w:tab/>
        <w:t xml:space="preserve">Il ressort des numéros </w:t>
      </w:r>
      <w:r w:rsidRPr="00883D85">
        <w:rPr>
          <w:rStyle w:val="Artref"/>
          <w:b/>
          <w:color w:val="000000"/>
          <w:lang w:val="fr-FR"/>
        </w:rPr>
        <w:t>8.5</w:t>
      </w:r>
      <w:r w:rsidRPr="00883D85">
        <w:rPr>
          <w:lang w:val="fr-FR"/>
        </w:rPr>
        <w:t xml:space="preserve"> et </w:t>
      </w:r>
      <w:r w:rsidRPr="00883D85">
        <w:rPr>
          <w:rStyle w:val="Artref"/>
          <w:b/>
          <w:color w:val="000000"/>
          <w:lang w:val="fr-FR"/>
        </w:rPr>
        <w:t>11.36</w:t>
      </w:r>
      <w:r w:rsidRPr="00883D85">
        <w:rPr>
          <w:lang w:val="fr-FR"/>
        </w:rPr>
        <w:t xml:space="preserve"> que pour l'inscription d'une assignation comportant une référence au numéro </w:t>
      </w:r>
      <w:r w:rsidRPr="00883D85">
        <w:rPr>
          <w:rStyle w:val="Artref"/>
          <w:b/>
          <w:color w:val="000000"/>
          <w:lang w:val="fr-FR"/>
        </w:rPr>
        <w:t>4.4,</w:t>
      </w:r>
      <w:r w:rsidRPr="00883D85">
        <w:rPr>
          <w:lang w:val="fr-FR"/>
        </w:rPr>
        <w:t xml:space="preserve"> l'administration notificatrice s'engage à éliminer, dès qu'il est signalé, tout brouillage préjudiciable qui est effectivement causé à d'autres utilisations conformes au Règlement des radiocommunications. Cette limite imposée à l'utilisation d'une assignation notifiée avec une référence au numéro </w:t>
      </w:r>
      <w:r w:rsidRPr="00883D85">
        <w:rPr>
          <w:rStyle w:val="Artref"/>
          <w:b/>
          <w:color w:val="000000"/>
          <w:lang w:val="fr-FR"/>
        </w:rPr>
        <w:t>4.4</w:t>
      </w:r>
      <w:r w:rsidRPr="00883D85">
        <w:rPr>
          <w:lang w:val="fr-FR"/>
        </w:rPr>
        <w:t xml:space="preserve"> n'est valable que dans le cas où les deux catégories d'assignations énumérées au numéro </w:t>
      </w:r>
      <w:r w:rsidRPr="00883D85">
        <w:rPr>
          <w:rStyle w:val="Artref"/>
          <w:b/>
          <w:color w:val="000000"/>
          <w:lang w:val="fr-FR"/>
        </w:rPr>
        <w:t>8.5</w:t>
      </w:r>
      <w:r w:rsidRPr="00883D85">
        <w:rPr>
          <w:lang w:val="fr-FR"/>
        </w:rPr>
        <w:t xml:space="preserve"> sont utilisées.</w:t>
      </w:r>
    </w:p>
    <w:p w:rsidR="00237343" w:rsidRPr="00883D85" w:rsidRDefault="00237343" w:rsidP="00883D85">
      <w:pPr>
        <w:rPr>
          <w:lang w:val="fr-FR"/>
        </w:rPr>
      </w:pPr>
      <w:r w:rsidRPr="00883D85">
        <w:rPr>
          <w:lang w:val="fr-FR"/>
        </w:rPr>
        <w:t>1.3</w:t>
      </w:r>
      <w:r w:rsidRPr="00883D85">
        <w:rPr>
          <w:lang w:val="fr-FR"/>
        </w:rPr>
        <w:tab/>
        <w:t xml:space="preserve">Parallèlement, et compte tenu des numéros </w:t>
      </w:r>
      <w:r w:rsidRPr="00883D85">
        <w:rPr>
          <w:rStyle w:val="Artref"/>
          <w:b/>
          <w:color w:val="000000"/>
          <w:lang w:val="fr-FR"/>
        </w:rPr>
        <w:t>4.4</w:t>
      </w:r>
      <w:r w:rsidRPr="00883D85">
        <w:rPr>
          <w:lang w:val="fr-FR"/>
        </w:rPr>
        <w:t xml:space="preserve">, </w:t>
      </w:r>
      <w:r w:rsidRPr="00883D85">
        <w:rPr>
          <w:rStyle w:val="Artref"/>
          <w:b/>
          <w:color w:val="000000"/>
          <w:lang w:val="fr-FR"/>
        </w:rPr>
        <w:t>5.43</w:t>
      </w:r>
      <w:r w:rsidRPr="00883D85">
        <w:rPr>
          <w:lang w:val="fr-FR"/>
        </w:rPr>
        <w:t xml:space="preserve"> et </w:t>
      </w:r>
      <w:r w:rsidRPr="00883D85">
        <w:rPr>
          <w:rStyle w:val="Artref"/>
          <w:b/>
          <w:color w:val="000000"/>
          <w:lang w:val="fr-FR"/>
        </w:rPr>
        <w:t>5.43A</w:t>
      </w:r>
      <w:r w:rsidRPr="00883D85">
        <w:rPr>
          <w:lang w:val="fr-FR"/>
        </w:rPr>
        <w:t>, les fréquences de réception non conformes au Règlement des radiocommunications sont inscrites avec un symbole indiquant que l'administration notificatrice ne peut demander à être protégée contre des brouillages préjudiciables qui pourraient être causés par des assignations de fréquence utilisées conformément au Règlement des radiocommunications.</w:t>
      </w:r>
    </w:p>
    <w:p w:rsidR="00237343" w:rsidRPr="00883D85" w:rsidRDefault="00237343" w:rsidP="00237343">
      <w:pPr>
        <w:pStyle w:val="Heading1"/>
        <w:rPr>
          <w:lang w:val="fr-FR"/>
        </w:rPr>
      </w:pPr>
      <w:r w:rsidRPr="00883D85">
        <w:rPr>
          <w:lang w:val="fr-FR"/>
        </w:rPr>
        <w:t>2</w:t>
      </w:r>
      <w:r w:rsidRPr="00883D85">
        <w:rPr>
          <w:lang w:val="fr-FR"/>
        </w:rPr>
        <w:tab/>
        <w:t>Emissions dans des bandes où des utilisations autres que celles autorisées sont interdites</w:t>
      </w:r>
    </w:p>
    <w:p w:rsidR="00237343" w:rsidRPr="00883D85" w:rsidRDefault="00237343" w:rsidP="00237343">
      <w:pPr>
        <w:rPr>
          <w:lang w:val="fr-FR"/>
        </w:rPr>
      </w:pPr>
      <w:r w:rsidRPr="00883D85">
        <w:rPr>
          <w:lang w:val="fr-FR"/>
        </w:rPr>
        <w:t>2.1</w:t>
      </w:r>
      <w:r w:rsidRPr="00883D85">
        <w:rPr>
          <w:lang w:val="fr-FR"/>
        </w:rPr>
        <w:tab/>
        <w:t>Les dispositions citées ci-dessous qui ont trait aux fréquences ou aux bandes de fréquences employées pour les communications de détresse et de sécurité ou attribuées en vue d'une utilisation passive interdisent toute autre utilisation:</w:t>
      </w:r>
    </w:p>
    <w:p w:rsidR="00237343" w:rsidRPr="00883D85" w:rsidRDefault="00237343" w:rsidP="00237343">
      <w:pPr>
        <w:pStyle w:val="enumlev1"/>
        <w:rPr>
          <w:lang w:val="fr-FR"/>
        </w:rPr>
      </w:pPr>
      <w:r w:rsidRPr="00883D85">
        <w:rPr>
          <w:i/>
          <w:lang w:val="fr-FR"/>
        </w:rPr>
        <w:t>a)</w:t>
      </w:r>
      <w:r w:rsidRPr="00883D85">
        <w:rPr>
          <w:lang w:val="fr-FR"/>
        </w:rPr>
        <w:tab/>
      </w:r>
      <w:r w:rsidRPr="00883D85">
        <w:rPr>
          <w:i/>
          <w:lang w:val="fr-FR"/>
        </w:rPr>
        <w:t>Dispositions relatives aux communications de détresse et de sécurité:</w:t>
      </w:r>
    </w:p>
    <w:p w:rsidR="00237343" w:rsidRPr="00883D85" w:rsidRDefault="00883D85" w:rsidP="00883D85">
      <w:pPr>
        <w:pStyle w:val="enumlev1"/>
        <w:rPr>
          <w:lang w:val="fr-FR"/>
        </w:rPr>
      </w:pPr>
      <w:r w:rsidRPr="00883D85">
        <w:rPr>
          <w:lang w:val="fr-FR"/>
        </w:rPr>
        <w:tab/>
      </w:r>
      <w:r w:rsidR="00237343" w:rsidRPr="00883D85">
        <w:rPr>
          <w:lang w:val="fr-FR"/>
        </w:rPr>
        <w:t xml:space="preserve">Appendice </w:t>
      </w:r>
      <w:r w:rsidR="00237343" w:rsidRPr="00883D85">
        <w:rPr>
          <w:rStyle w:val="Appref0"/>
          <w:b/>
          <w:color w:val="000000"/>
          <w:lang w:val="fr-FR"/>
        </w:rPr>
        <w:t>15</w:t>
      </w:r>
      <w:r w:rsidR="00237343" w:rsidRPr="00883D85">
        <w:rPr>
          <w:lang w:val="fr-FR"/>
        </w:rPr>
        <w:t xml:space="preserve"> (SMDSM), Tableaux </w:t>
      </w:r>
      <w:r w:rsidR="00237343" w:rsidRPr="00883D85">
        <w:rPr>
          <w:b/>
          <w:bCs/>
          <w:lang w:val="fr-FR"/>
        </w:rPr>
        <w:t>15-1</w:t>
      </w:r>
      <w:r w:rsidR="00237343" w:rsidRPr="00883D85">
        <w:rPr>
          <w:lang w:val="fr-FR"/>
        </w:rPr>
        <w:t xml:space="preserve"> et </w:t>
      </w:r>
      <w:r w:rsidR="00237343" w:rsidRPr="00883D85">
        <w:rPr>
          <w:b/>
          <w:bCs/>
          <w:lang w:val="fr-FR"/>
        </w:rPr>
        <w:t>15-2</w:t>
      </w:r>
      <w:r w:rsidR="00405CAE" w:rsidRPr="00883D85">
        <w:rPr>
          <w:b/>
          <w:bCs/>
          <w:lang w:val="fr-FR"/>
        </w:rPr>
        <w:t>:</w:t>
      </w:r>
      <w:r w:rsidR="00237343" w:rsidRPr="00883D85">
        <w:rPr>
          <w:lang w:val="fr-FR"/>
        </w:rPr>
        <w:t xml:space="preserve"> fréquences avec un astérisque </w:t>
      </w:r>
      <w:r w:rsidR="00940636">
        <w:rPr>
          <w:lang w:val="fr-FR"/>
        </w:rPr>
        <w:t xml:space="preserve">(*) </w:t>
      </w:r>
      <w:r w:rsidR="00237343" w:rsidRPr="00883D85">
        <w:rPr>
          <w:lang w:val="fr-FR"/>
        </w:rPr>
        <w:t>pour signaler que toute émission pouvant causer un brouillage préjudiciable aux communi</w:t>
      </w:r>
      <w:r w:rsidRPr="00883D85">
        <w:rPr>
          <w:lang w:val="fr-FR"/>
        </w:rPr>
        <w:softHyphen/>
      </w:r>
      <w:r w:rsidR="00237343" w:rsidRPr="00883D85">
        <w:rPr>
          <w:lang w:val="fr-FR"/>
        </w:rPr>
        <w:t>cations de détresse et de sécurité est interdite.</w:t>
      </w:r>
    </w:p>
    <w:p w:rsidR="00237343" w:rsidRPr="00883D85" w:rsidRDefault="00237343" w:rsidP="00237343">
      <w:pPr>
        <w:pStyle w:val="enumlev1"/>
        <w:rPr>
          <w:lang w:val="fr-FR"/>
        </w:rPr>
      </w:pPr>
      <w:r w:rsidRPr="00883D85">
        <w:rPr>
          <w:i/>
          <w:lang w:val="fr-FR"/>
        </w:rPr>
        <w:t>b)</w:t>
      </w:r>
      <w:r w:rsidRPr="00883D85">
        <w:rPr>
          <w:lang w:val="fr-FR"/>
        </w:rPr>
        <w:tab/>
      </w:r>
      <w:r w:rsidRPr="00883D85">
        <w:rPr>
          <w:i/>
          <w:lang w:val="fr-FR"/>
        </w:rPr>
        <w:t>Dispositions relatives à l'utilisation passive:</w:t>
      </w:r>
    </w:p>
    <w:p w:rsidR="00237343" w:rsidRPr="00883D85" w:rsidRDefault="00237343" w:rsidP="00883D85">
      <w:pPr>
        <w:pStyle w:val="enumlev2"/>
        <w:rPr>
          <w:bCs/>
          <w:lang w:val="fr-FR"/>
        </w:rPr>
      </w:pPr>
      <w:r w:rsidRPr="00883D85">
        <w:rPr>
          <w:lang w:val="fr-FR"/>
        </w:rPr>
        <w:t xml:space="preserve">numéro </w:t>
      </w:r>
      <w:r w:rsidRPr="00883D85">
        <w:rPr>
          <w:rStyle w:val="Artref"/>
          <w:b/>
          <w:color w:val="000000"/>
          <w:lang w:val="fr-FR"/>
        </w:rPr>
        <w:t>5.340</w:t>
      </w:r>
      <w:r w:rsidR="00883D85" w:rsidRPr="00883D85">
        <w:rPr>
          <w:lang w:val="fr-FR"/>
        </w:rPr>
        <w:t>.</w:t>
      </w:r>
    </w:p>
    <w:p w:rsidR="00237343" w:rsidRPr="00883D85" w:rsidRDefault="00237343" w:rsidP="00237343">
      <w:pPr>
        <w:spacing w:after="240"/>
        <w:rPr>
          <w:lang w:val="fr-FR"/>
        </w:rPr>
      </w:pPr>
      <w:r w:rsidRPr="00883D85">
        <w:rPr>
          <w:lang w:val="fr-FR"/>
        </w:rPr>
        <w:br w:type="page"/>
      </w:r>
      <w:r w:rsidRPr="00883D85">
        <w:rPr>
          <w:lang w:val="fr-FR"/>
        </w:rPr>
        <w:lastRenderedPageBreak/>
        <w:t>2.2</w:t>
      </w:r>
      <w:r w:rsidRPr="00883D85">
        <w:rPr>
          <w:lang w:val="fr-FR"/>
        </w:rPr>
        <w:tab/>
        <w:t xml:space="preserve">Le Comité considère que, eu égard à cette interdiction, les notifications portant sur toute autre utilisation que celles qui sont autorisées dans la bande ou aux fréquences considérées ne peuvent être acceptées, même si elles font référence au numéro </w:t>
      </w:r>
      <w:r w:rsidRPr="00883D85">
        <w:rPr>
          <w:rStyle w:val="Artref"/>
          <w:b/>
          <w:color w:val="000000"/>
          <w:lang w:val="fr-FR"/>
        </w:rPr>
        <w:t>4.4</w:t>
      </w:r>
      <w:r w:rsidRPr="00883D85">
        <w:rPr>
          <w:lang w:val="fr-FR"/>
        </w:rPr>
        <w:t>; en outre les administrations présentant de telles fiches de notification sont instamment priées de s'abstenir de cette utilisation.</w:t>
      </w:r>
    </w:p>
    <w:p w:rsidR="00883D85" w:rsidRPr="00883D85" w:rsidRDefault="00883D85" w:rsidP="00883D85">
      <w:pPr>
        <w:pStyle w:val="Heading8"/>
        <w:rPr>
          <w:lang w:val="fr-FR"/>
        </w:rPr>
      </w:pPr>
      <w:r w:rsidRPr="00883D85">
        <w:rPr>
          <w:lang w:val="fr-FR"/>
        </w:rPr>
        <w:t>4.5</w:t>
      </w:r>
    </w:p>
    <w:p w:rsidR="00237343" w:rsidRPr="00883D85" w:rsidRDefault="00237343" w:rsidP="00237343">
      <w:pPr>
        <w:rPr>
          <w:lang w:val="fr-FR"/>
        </w:rPr>
      </w:pPr>
      <w:r w:rsidRPr="00883D85">
        <w:rPr>
          <w:lang w:val="fr-FR"/>
        </w:rPr>
        <w:t>1</w:t>
      </w:r>
      <w:r w:rsidRPr="00883D85">
        <w:rPr>
          <w:lang w:val="fr-FR"/>
        </w:rPr>
        <w:tab/>
        <w:t>L'application de cette disposition concerne le cas d'une bande adjacente non attribuée au service considéré, ainsi que celui d'une bande adjacente attribuée à ce service avec une catégorie d'attribution différente.</w:t>
      </w:r>
    </w:p>
    <w:p w:rsidR="00237343" w:rsidRPr="00883D85" w:rsidRDefault="00237343" w:rsidP="00237343">
      <w:pPr>
        <w:rPr>
          <w:lang w:val="fr-FR"/>
        </w:rPr>
      </w:pPr>
      <w:r w:rsidRPr="00883D85">
        <w:rPr>
          <w:lang w:val="fr-FR"/>
        </w:rPr>
        <w:t>1.1</w:t>
      </w:r>
      <w:r w:rsidRPr="00883D85">
        <w:rPr>
          <w:lang w:val="fr-FR"/>
        </w:rPr>
        <w:tab/>
        <w:t>Une assignation de fréquence dont la bande de fréquences assignée chevauche une bande non attribuée au service considéré fait l'objet d'une conclusion réglementaire défavo</w:t>
      </w:r>
      <w:r w:rsidR="00883D85" w:rsidRPr="00883D85">
        <w:rPr>
          <w:lang w:val="fr-FR"/>
        </w:rPr>
        <w:softHyphen/>
      </w:r>
      <w:r w:rsidRPr="00883D85">
        <w:rPr>
          <w:lang w:val="fr-FR"/>
        </w:rPr>
        <w:t>rable relativement au numéro </w:t>
      </w:r>
      <w:r w:rsidRPr="00883D85">
        <w:rPr>
          <w:rStyle w:val="Artref"/>
          <w:b/>
          <w:color w:val="000000"/>
          <w:lang w:val="fr-FR"/>
        </w:rPr>
        <w:t>11.31</w:t>
      </w:r>
      <w:r w:rsidRPr="00883D85">
        <w:rPr>
          <w:lang w:val="fr-FR"/>
        </w:rPr>
        <w:t>.</w:t>
      </w:r>
    </w:p>
    <w:p w:rsidR="00237343" w:rsidRPr="00883D85" w:rsidRDefault="00237343" w:rsidP="00883D85">
      <w:pPr>
        <w:rPr>
          <w:lang w:val="fr-FR"/>
        </w:rPr>
      </w:pPr>
      <w:r w:rsidRPr="00883D85">
        <w:rPr>
          <w:lang w:val="fr-FR"/>
        </w:rPr>
        <w:t>1.2</w:t>
      </w:r>
      <w:r w:rsidRPr="00883D85">
        <w:rPr>
          <w:lang w:val="fr-FR"/>
        </w:rPr>
        <w:tab/>
        <w:t>Une assignation de fréquence dont la bande de fréquences assignée chevauche une bande attribuée à une catégorie de service inférieure est considérée comme entrant dans cette catégorie de service inférieure et sera donc inscrite assortie d'un symbole en ce sens. (Voir les symboles</w:t>
      </w:r>
      <w:r w:rsidR="00883D85" w:rsidRPr="00883D85">
        <w:rPr>
          <w:lang w:val="fr-FR"/>
        </w:rPr>
        <w:t> </w:t>
      </w:r>
      <w:r w:rsidRPr="00883D85">
        <w:rPr>
          <w:lang w:val="fr-FR"/>
        </w:rPr>
        <w:t>R et S du Tableau 13B, colonne 13B2, de la Préface à la</w:t>
      </w:r>
      <w:r w:rsidR="00883D85" w:rsidRPr="00883D85">
        <w:rPr>
          <w:lang w:val="fr-FR"/>
        </w:rPr>
        <w:t> </w:t>
      </w:r>
      <w:r w:rsidRPr="00883D85">
        <w:rPr>
          <w:lang w:val="fr-FR"/>
        </w:rPr>
        <w:t>LIF.)</w:t>
      </w:r>
    </w:p>
    <w:p w:rsidR="00237343" w:rsidRPr="00883D85" w:rsidRDefault="00237343" w:rsidP="00883D85">
      <w:pPr>
        <w:rPr>
          <w:color w:val="000000"/>
          <w:lang w:val="fr-FR"/>
        </w:rPr>
      </w:pPr>
      <w:r w:rsidRPr="00883D85">
        <w:rPr>
          <w:lang w:val="fr-FR"/>
        </w:rPr>
        <w:t>2</w:t>
      </w:r>
      <w:r w:rsidRPr="00883D85">
        <w:rPr>
          <w:lang w:val="fr-FR"/>
        </w:rPr>
        <w:tab/>
        <w:t>Pour résoudre les cas de brouillage préjudiciable entre services dans des bandes adjacentes, il a été décidé, quels que soient les phénomènes à l'origine du brouillage (émission hors bande, produits d'intermodulation, etc.) que l'administration responsable de l'émission chevauchant une bande non attribuée fera le nécessaire pour éliminer le brouillage.</w:t>
      </w:r>
    </w:p>
    <w:p w:rsidR="00237343" w:rsidRPr="00883D85" w:rsidRDefault="00237343" w:rsidP="00883D85">
      <w:pPr>
        <w:rPr>
          <w:lang w:val="fr-FR"/>
        </w:rPr>
      </w:pPr>
    </w:p>
    <w:p w:rsidR="00237343" w:rsidRPr="00883D85" w:rsidRDefault="00237343" w:rsidP="00883D85">
      <w:pPr>
        <w:jc w:val="center"/>
        <w:rPr>
          <w:lang w:val="fr-FR"/>
        </w:rPr>
      </w:pPr>
      <w:r w:rsidRPr="00883D85">
        <w:rPr>
          <w:lang w:val="fr-FR"/>
        </w:rPr>
        <w:t>______________</w:t>
      </w:r>
      <w:r w:rsidR="00883D85" w:rsidRPr="00883D85">
        <w:rPr>
          <w:lang w:val="fr-FR"/>
        </w:rPr>
        <w:t>______</w:t>
      </w:r>
    </w:p>
    <w:p w:rsidR="00237343" w:rsidRPr="00883D85" w:rsidRDefault="00237343" w:rsidP="00883D85">
      <w:pPr>
        <w:rPr>
          <w:lang w:val="fr-FR"/>
        </w:rPr>
      </w:pPr>
    </w:p>
    <w:p w:rsidR="00302F04" w:rsidRPr="00883D85" w:rsidRDefault="00302F04" w:rsidP="00883D85">
      <w:pPr>
        <w:rPr>
          <w:lang w:val="fr-FR"/>
        </w:rPr>
      </w:pPr>
    </w:p>
    <w:p w:rsidR="00302F04" w:rsidRPr="00883D85" w:rsidRDefault="00302F04" w:rsidP="00883D85">
      <w:pPr>
        <w:rPr>
          <w:lang w:val="fr-FR"/>
        </w:rPr>
      </w:pPr>
    </w:p>
    <w:p w:rsidR="00302F04" w:rsidRPr="00883D85" w:rsidRDefault="00302F04" w:rsidP="00883D85">
      <w:pPr>
        <w:rPr>
          <w:lang w:val="fr-FR"/>
        </w:rPr>
      </w:pPr>
    </w:p>
    <w:p w:rsidR="00302F04" w:rsidRPr="00883D85" w:rsidRDefault="00302F04" w:rsidP="00883D85">
      <w:pPr>
        <w:rPr>
          <w:lang w:val="fr-FR"/>
        </w:rPr>
      </w:pPr>
    </w:p>
    <w:p w:rsidR="00302F04" w:rsidRPr="00883D85" w:rsidRDefault="00302F04" w:rsidP="00883D85">
      <w:pPr>
        <w:rPr>
          <w:lang w:val="fr-FR"/>
        </w:rPr>
      </w:pPr>
    </w:p>
    <w:p w:rsidR="00302F04" w:rsidRPr="00883D85" w:rsidRDefault="00302F04" w:rsidP="00883D85">
      <w:pPr>
        <w:rPr>
          <w:lang w:val="fr-FR"/>
        </w:rPr>
      </w:pPr>
    </w:p>
    <w:p w:rsidR="00883D85" w:rsidRPr="00883D85" w:rsidRDefault="00883D85" w:rsidP="00883D85">
      <w:pPr>
        <w:rPr>
          <w:lang w:val="fr-FR"/>
        </w:rPr>
      </w:pPr>
    </w:p>
    <w:p w:rsidR="00883D85" w:rsidRPr="00883D85" w:rsidRDefault="00883D85" w:rsidP="00883D85">
      <w:pPr>
        <w:rPr>
          <w:lang w:val="fr-FR"/>
        </w:rPr>
      </w:pPr>
    </w:p>
    <w:p w:rsidR="00883D85" w:rsidRPr="00883D85" w:rsidRDefault="00883D85" w:rsidP="00883D85">
      <w:pPr>
        <w:rPr>
          <w:lang w:val="fr-FR"/>
        </w:rPr>
      </w:pPr>
    </w:p>
    <w:p w:rsidR="00286D7D" w:rsidRPr="00883D85" w:rsidRDefault="00286D7D" w:rsidP="00883D85">
      <w:pPr>
        <w:rPr>
          <w:lang w:val="fr-FR"/>
        </w:rPr>
        <w:sectPr w:rsidR="00286D7D" w:rsidRPr="00883D85">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rsidR="00286D7D" w:rsidRPr="00883D85" w:rsidRDefault="00286D7D" w:rsidP="00883D85">
      <w:pPr>
        <w:rPr>
          <w:lang w:val="fr-FR"/>
        </w:rPr>
      </w:pPr>
    </w:p>
    <w:sectPr w:rsidR="00286D7D" w:rsidRPr="00883D85">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125" w:rsidRDefault="00863125">
      <w:r>
        <w:separator/>
      </w:r>
    </w:p>
  </w:endnote>
  <w:endnote w:type="continuationSeparator" w:id="0">
    <w:p w:rsidR="00863125" w:rsidRDefault="00863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125" w:rsidRDefault="00863125">
      <w:r>
        <w:rPr>
          <w:b/>
        </w:rPr>
        <w:t>_______________</w:t>
      </w:r>
    </w:p>
    <w:p w:rsidR="00863125" w:rsidRDefault="00863125"/>
    <w:p w:rsidR="00863125" w:rsidRDefault="00863125"/>
    <w:p w:rsidR="00863125" w:rsidRDefault="00863125"/>
  </w:footnote>
  <w:footnote w:type="continuationSeparator" w:id="0">
    <w:p w:rsidR="00863125" w:rsidRDefault="00863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4647E8">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fldSimple w:instr=" DOCPROPERTY &quot;Header&quot; \* MERGEFORMAT ">
            <w:r w:rsidR="00883D85">
              <w:rPr>
                <w:lang w:val="fr-FR"/>
              </w:rPr>
              <w:t>AR</w:t>
            </w:r>
          </w:fldSimple>
          <w:r>
            <w:fldChar w:fldCharType="begin"/>
          </w:r>
          <w:r>
            <w:rPr>
              <w:lang w:val="fr-FR"/>
            </w:rPr>
            <w:instrText>styleref href2</w:instrText>
          </w:r>
          <w:r w:rsidR="00883D85">
            <w:fldChar w:fldCharType="separate"/>
          </w:r>
          <w:r w:rsidR="0001053B">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1053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CH"/>
            </w:rPr>
            <w:t>rév.</w:t>
          </w:r>
          <w:r w:rsidR="00883D85">
            <w:rPr>
              <w:lang w:val="fr-CH"/>
            </w:rPr>
            <w:t>-</w:t>
          </w:r>
        </w:p>
      </w:tc>
    </w:tr>
  </w:tbl>
  <w:p w:rsidR="004647E8" w:rsidRDefault="004647E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4647E8">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r>
            <w:rPr>
              <w:lang w:val="fr-FR"/>
            </w:rPr>
            <w:t>Partie A</w:t>
          </w:r>
          <w:r>
            <w:fldChar w:fldCharType="begin"/>
          </w:r>
          <w:r>
            <w:rPr>
              <w:lang w:val="fr-FR"/>
            </w:rPr>
            <w:instrText>styleref href</w:instrText>
          </w:r>
          <w:r>
            <w:fldChar w:fldCharType="separate"/>
          </w:r>
          <w:r w:rsidR="00883D8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fldSimple w:instr=" DOCPROPERTY &quot;Header&quot; \* MERGEFORMAT ">
            <w:r w:rsidR="00883D85">
              <w:rPr>
                <w:lang w:val="fr-FR"/>
              </w:rPr>
              <w:t>AR</w:t>
            </w:r>
          </w:fldSimple>
          <w:r>
            <w:fldChar w:fldCharType="begin"/>
          </w:r>
          <w:r>
            <w:rPr>
              <w:lang w:val="fr-FR"/>
            </w:rPr>
            <w:instrText>styleref href2</w:instrText>
          </w:r>
          <w:r>
            <w:fldChar w:fldCharType="separate"/>
          </w:r>
          <w:r w:rsidR="00883D85">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CH"/>
            </w:rPr>
            <w:t>rév.</w:t>
          </w:r>
          <w:fldSimple w:instr=" DOCPROPERTY &quot;Header10&quot; \* MERGEFORMAT ">
            <w:r w:rsidR="00883D85">
              <w:rPr>
                <w:lang w:val="fr-CH"/>
              </w:rPr>
              <w:t>-</w:t>
            </w:r>
          </w:fldSimple>
        </w:p>
      </w:tc>
    </w:tr>
  </w:tbl>
  <w:p w:rsidR="004647E8" w:rsidRDefault="004647E8">
    <w:pPr>
      <w:pStyle w:val="Header"/>
    </w:pPr>
  </w:p>
  <w:p w:rsidR="004647E8" w:rsidRDefault="004647E8"/>
  <w:p w:rsidR="004647E8" w:rsidRDefault="004647E8"/>
  <w:p w:rsidR="004647E8" w:rsidRDefault="004647E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4647E8">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fldSimple w:instr=" DOCPROPERTY &quot;Header&quot; \* MERGEFORMAT ">
            <w:r w:rsidR="00883D85">
              <w:rPr>
                <w:lang w:val="fr-FR"/>
              </w:rPr>
              <w:t>AR</w:t>
            </w:r>
          </w:fldSimple>
          <w:r>
            <w:fldChar w:fldCharType="begin"/>
          </w:r>
          <w:r>
            <w:rPr>
              <w:lang w:val="fr-FR"/>
            </w:rPr>
            <w:instrText>styleref href2</w:instrText>
          </w:r>
          <w:r>
            <w:fldChar w:fldCharType="separate"/>
          </w:r>
          <w:r w:rsidR="0001053B">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1053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CH"/>
            </w:rPr>
            <w:t>rév.</w:t>
          </w:r>
          <w:r w:rsidR="00883D85">
            <w:rPr>
              <w:lang w:val="fr-CH"/>
            </w:rPr>
            <w:t>-</w:t>
          </w:r>
        </w:p>
      </w:tc>
    </w:tr>
  </w:tbl>
  <w:p w:rsidR="004647E8" w:rsidRDefault="004647E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7E8" w:rsidRDefault="004647E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237343"/>
    <w:rsid w:val="0001053B"/>
    <w:rsid w:val="00237343"/>
    <w:rsid w:val="00286D7D"/>
    <w:rsid w:val="00302F04"/>
    <w:rsid w:val="00317FF6"/>
    <w:rsid w:val="00405CAE"/>
    <w:rsid w:val="004647E8"/>
    <w:rsid w:val="007D790E"/>
    <w:rsid w:val="00852A90"/>
    <w:rsid w:val="00863125"/>
    <w:rsid w:val="00883D85"/>
    <w:rsid w:val="00940636"/>
    <w:rsid w:val="00A65E6F"/>
    <w:rsid w:val="00EF28A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table" w:styleId="TableGrid">
    <w:name w:val="Table Grid"/>
    <w:basedOn w:val="TableNormal"/>
    <w:rsid w:val="00237343"/>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18.02.2009/DD (dict. ok)</dc:description>
  <cp:lastModifiedBy>simon denicola</cp:lastModifiedBy>
  <cp:revision>2</cp:revision>
  <cp:lastPrinted>2009-02-18T11:25:00Z</cp:lastPrinted>
  <dcterms:created xsi:type="dcterms:W3CDTF">2012-08-08T15:07:00Z</dcterms:created>
  <dcterms:modified xsi:type="dcterms:W3CDTF">2012-08-08T15:07:00Z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