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204" w:rsidRPr="005909E8" w:rsidRDefault="00DB3204" w:rsidP="009970C1">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1D56EA">
        <w:t xml:space="preserve">     </w:t>
      </w:r>
      <w:r w:rsidR="001D56EA" w:rsidRPr="001D56EA">
        <w:rPr>
          <w:b w:val="0"/>
          <w:bCs/>
          <w:sz w:val="16"/>
          <w:szCs w:val="16"/>
        </w:rPr>
        <w:t>(MOD RRB12/60)</w:t>
      </w:r>
    </w:p>
    <w:p w:rsidR="005909E8" w:rsidRPr="005909E8" w:rsidRDefault="005909E8" w:rsidP="005909E8"/>
    <w:p w:rsidR="00910747" w:rsidRPr="005909E8" w:rsidRDefault="00910747" w:rsidP="00E36754">
      <w:pPr>
        <w:pStyle w:val="Heading1"/>
      </w:pPr>
      <w:r w:rsidRPr="005909E8">
        <w:t>1</w:t>
      </w:r>
      <w:r w:rsidRPr="005909E8">
        <w:tab/>
        <w:t>Submission of information in electronic format</w:t>
      </w:r>
    </w:p>
    <w:p w:rsidR="00A20629" w:rsidRDefault="00A20629" w:rsidP="001D56EA">
      <w:pPr>
        <w:tabs>
          <w:tab w:val="clear" w:pos="1134"/>
          <w:tab w:val="clear" w:pos="1871"/>
          <w:tab w:val="clear" w:pos="2268"/>
          <w:tab w:val="left" w:pos="794"/>
          <w:tab w:val="left" w:pos="1191"/>
          <w:tab w:val="left" w:pos="1588"/>
          <w:tab w:val="left" w:pos="1985"/>
        </w:tabs>
      </w:pPr>
      <w:r>
        <w:rPr>
          <w:lang w:val="en-US"/>
        </w:rPr>
        <w:t>1.1</w:t>
      </w:r>
      <w:r>
        <w:rPr>
          <w:lang w:val="en-US"/>
        </w:rPr>
        <w:tab/>
        <w:t>Space services</w:t>
      </w:r>
      <w:r w:rsidR="001D56EA">
        <w:t xml:space="preserve">     </w:t>
      </w:r>
      <w:r w:rsidR="001D56EA" w:rsidRPr="00404E18">
        <w:rPr>
          <w:sz w:val="16"/>
          <w:szCs w:val="16"/>
        </w:rPr>
        <w:t>(</w:t>
      </w:r>
      <w:r w:rsidR="001D56EA">
        <w:rPr>
          <w:sz w:val="16"/>
          <w:szCs w:val="16"/>
        </w:rPr>
        <w:t>AD</w:t>
      </w:r>
      <w:r w:rsidR="001D56EA" w:rsidRPr="00404E18">
        <w:rPr>
          <w:sz w:val="16"/>
          <w:szCs w:val="16"/>
        </w:rPr>
        <w:t>D RRB12/</w:t>
      </w:r>
      <w:r w:rsidR="001D56EA">
        <w:rPr>
          <w:sz w:val="16"/>
          <w:szCs w:val="16"/>
        </w:rPr>
        <w:t>60</w:t>
      </w:r>
      <w:r w:rsidR="001D56EA" w:rsidRPr="00404E18">
        <w:rPr>
          <w:sz w:val="16"/>
          <w:szCs w:val="16"/>
        </w:rPr>
        <w:t>)</w:t>
      </w:r>
    </w:p>
    <w:p w:rsidR="00910747" w:rsidRPr="005909E8" w:rsidRDefault="00A20629" w:rsidP="009970C1">
      <w:pPr>
        <w:tabs>
          <w:tab w:val="clear" w:pos="1134"/>
          <w:tab w:val="clear" w:pos="1871"/>
          <w:tab w:val="clear" w:pos="2268"/>
          <w:tab w:val="left" w:pos="794"/>
          <w:tab w:val="left" w:pos="1191"/>
          <w:tab w:val="left" w:pos="1588"/>
          <w:tab w:val="left" w:pos="1985"/>
        </w:tabs>
      </w:pPr>
      <w:r w:rsidRPr="00A20629">
        <w:t xml:space="preserve">The Board noted the requirement for mandatory electronic filing and submission of comments/objections and requests for inclusion or exclusion specified in the </w:t>
      </w:r>
      <w:r w:rsidRPr="00A20629">
        <w:rPr>
          <w:i/>
          <w:iCs/>
        </w:rPr>
        <w:t xml:space="preserve">resolves </w:t>
      </w:r>
      <w:r w:rsidRPr="00A20629">
        <w:t>of</w:t>
      </w:r>
      <w:r w:rsidRPr="00A20629">
        <w:rPr>
          <w:i/>
        </w:rPr>
        <w:t xml:space="preserve"> </w:t>
      </w:r>
      <w:r w:rsidRPr="00A20629">
        <w:t xml:space="preserve">Resolution </w:t>
      </w:r>
      <w:r w:rsidRPr="00A20629">
        <w:rPr>
          <w:b/>
          <w:bCs/>
          <w:color w:val="000000"/>
        </w:rPr>
        <w:t>55</w:t>
      </w:r>
      <w:r w:rsidRPr="00A20629">
        <w:rPr>
          <w:b/>
          <w:bCs/>
        </w:rPr>
        <w:t xml:space="preserve"> (Rev.WRC-12)</w:t>
      </w:r>
      <w:r w:rsidRPr="00A20629">
        <w:t xml:space="preserve">.  It noted also that capture and validation software had been made available to administrations by the Bureau, including software to submit information required in Annex 2 of Resolution </w:t>
      </w:r>
      <w:r w:rsidRPr="00A20629">
        <w:rPr>
          <w:b/>
          <w:bCs/>
        </w:rPr>
        <w:t>552 (WRC-12)</w:t>
      </w:r>
      <w:r w:rsidRPr="00A20629">
        <w:t xml:space="preserve">.  Accordingly, all information indicated in the </w:t>
      </w:r>
      <w:r w:rsidRPr="00A20629">
        <w:rPr>
          <w:i/>
          <w:iCs/>
        </w:rPr>
        <w:t xml:space="preserve">resolves </w:t>
      </w:r>
      <w:r w:rsidRPr="00A20629">
        <w:t>of</w:t>
      </w:r>
      <w:r w:rsidRPr="00A20629">
        <w:rPr>
          <w:i/>
        </w:rPr>
        <w:t xml:space="preserve"> </w:t>
      </w:r>
      <w:r w:rsidRPr="00A20629">
        <w:t xml:space="preserve">Resolution </w:t>
      </w:r>
      <w:r w:rsidRPr="00A20629">
        <w:rPr>
          <w:b/>
          <w:bCs/>
          <w:color w:val="000000"/>
        </w:rPr>
        <w:t>55</w:t>
      </w:r>
      <w:r w:rsidRPr="00A20629">
        <w:rPr>
          <w:b/>
          <w:bCs/>
        </w:rPr>
        <w:t xml:space="preserve"> (Rev.WRC-12)</w:t>
      </w:r>
      <w:r w:rsidRPr="00A20629">
        <w:t xml:space="preserve"> and in</w:t>
      </w:r>
      <w:r w:rsidRPr="00E8606A">
        <w:rPr>
          <w:szCs w:val="24"/>
        </w:rPr>
        <w:t xml:space="preserve"> the</w:t>
      </w:r>
      <w:r w:rsidRPr="00A20629">
        <w:t xml:space="preserve"> Annex 2 of the Resolution </w:t>
      </w:r>
      <w:r w:rsidRPr="00A20629">
        <w:rPr>
          <w:b/>
          <w:bCs/>
        </w:rPr>
        <w:t>552 (WRC-12)</w:t>
      </w:r>
      <w:r w:rsidRPr="00A20629">
        <w:t xml:space="preserve"> </w:t>
      </w:r>
      <w:r w:rsidRPr="00E8606A">
        <w:rPr>
          <w:szCs w:val="24"/>
        </w:rPr>
        <w:t>and in</w:t>
      </w:r>
      <w:r w:rsidRPr="00A20629">
        <w:rPr>
          <w:szCs w:val="24"/>
        </w:rPr>
        <w:t xml:space="preserve"> the</w:t>
      </w:r>
      <w:r w:rsidRPr="00E8606A">
        <w:rPr>
          <w:szCs w:val="24"/>
        </w:rPr>
        <w:t xml:space="preserve"> </w:t>
      </w:r>
      <w:r w:rsidRPr="00E8606A">
        <w:rPr>
          <w:szCs w:val="24"/>
          <w:lang w:val="en-US" w:eastAsia="zh-CN"/>
        </w:rPr>
        <w:t>A</w:t>
      </w:r>
      <w:r w:rsidRPr="00A20629">
        <w:rPr>
          <w:szCs w:val="24"/>
          <w:lang w:val="en-US" w:eastAsia="zh-CN"/>
        </w:rPr>
        <w:t>ttachment to</w:t>
      </w:r>
      <w:r w:rsidRPr="00E8606A">
        <w:rPr>
          <w:szCs w:val="24"/>
          <w:lang w:val="en-US" w:eastAsia="zh-CN"/>
        </w:rPr>
        <w:t xml:space="preserve"> R</w:t>
      </w:r>
      <w:r w:rsidRPr="00A20629">
        <w:rPr>
          <w:szCs w:val="24"/>
          <w:lang w:val="en-US" w:eastAsia="zh-CN"/>
        </w:rPr>
        <w:t>esolution</w:t>
      </w:r>
      <w:r w:rsidRPr="00E8606A">
        <w:rPr>
          <w:szCs w:val="24"/>
          <w:lang w:val="en-US" w:eastAsia="zh-CN"/>
        </w:rPr>
        <w:t xml:space="preserve"> </w:t>
      </w:r>
      <w:r w:rsidRPr="00E8606A">
        <w:rPr>
          <w:b/>
          <w:bCs/>
          <w:szCs w:val="24"/>
          <w:lang w:val="en-US" w:eastAsia="zh-CN"/>
        </w:rPr>
        <w:t>553 (WRC-12)</w:t>
      </w:r>
      <w:r w:rsidRPr="00E8606A">
        <w:rPr>
          <w:szCs w:val="24"/>
          <w:lang w:val="en-US" w:eastAsia="zh-CN"/>
        </w:rPr>
        <w:t xml:space="preserve"> under §8 and §9,</w:t>
      </w:r>
      <w:r w:rsidRPr="00A20629">
        <w:rPr>
          <w:szCs w:val="24"/>
          <w:lang w:val="en-US" w:eastAsia="zh-CN"/>
        </w:rPr>
        <w:t xml:space="preserve"> </w:t>
      </w:r>
      <w:r w:rsidRPr="00A20629">
        <w:t xml:space="preserve">shall be submitted to the Bureau in electronic format </w:t>
      </w:r>
      <w:r w:rsidRPr="00E8606A">
        <w:rPr>
          <w:szCs w:val="24"/>
        </w:rPr>
        <w:t>(except graphical data which can still be submitted in paper form)</w:t>
      </w:r>
      <w:r w:rsidRPr="00A20629">
        <w:rPr>
          <w:szCs w:val="24"/>
        </w:rPr>
        <w:t xml:space="preserve"> </w:t>
      </w:r>
      <w:r w:rsidRPr="00A20629">
        <w:t>which is compatible with the BR electronic notice form capture software (SpaceCap)</w:t>
      </w:r>
      <w:r w:rsidRPr="00E8606A">
        <w:t xml:space="preserve"> and comments/objections software (SpaceCom)</w:t>
      </w:r>
      <w:r w:rsidRPr="00A20629">
        <w:t>.</w:t>
      </w:r>
      <w:r w:rsidR="00404E18">
        <w:t xml:space="preserve">     </w:t>
      </w:r>
      <w:r w:rsidR="00404E18" w:rsidRPr="00404E18">
        <w:rPr>
          <w:sz w:val="16"/>
          <w:szCs w:val="16"/>
        </w:rPr>
        <w:t>(MOD RRB12/</w:t>
      </w:r>
      <w:r w:rsidR="007054AB">
        <w:rPr>
          <w:sz w:val="16"/>
          <w:szCs w:val="16"/>
        </w:rPr>
        <w:t>60</w:t>
      </w:r>
      <w:r w:rsidR="00404E18" w:rsidRPr="00404E18">
        <w:rPr>
          <w:sz w:val="16"/>
          <w:szCs w:val="16"/>
        </w:rPr>
        <w:t>)</w:t>
      </w:r>
    </w:p>
    <w:p w:rsidR="001D56EA" w:rsidRDefault="001D56EA" w:rsidP="001D56EA">
      <w:pPr>
        <w:spacing w:before="360"/>
      </w:pPr>
      <w:r w:rsidRPr="00404E18">
        <w:rPr>
          <w:sz w:val="16"/>
          <w:szCs w:val="16"/>
        </w:rPr>
        <w:t>(</w:t>
      </w:r>
      <w:r>
        <w:rPr>
          <w:sz w:val="16"/>
          <w:szCs w:val="16"/>
        </w:rPr>
        <w:t>ADD</w:t>
      </w:r>
      <w:r w:rsidRPr="00404E18">
        <w:rPr>
          <w:sz w:val="16"/>
          <w:szCs w:val="16"/>
        </w:rPr>
        <w:t xml:space="preserve"> RRB12/</w:t>
      </w:r>
      <w:r>
        <w:rPr>
          <w:sz w:val="16"/>
          <w:szCs w:val="16"/>
        </w:rPr>
        <w:t>60</w:t>
      </w:r>
      <w:r w:rsidRPr="00404E18">
        <w:rPr>
          <w:sz w:val="16"/>
          <w:szCs w:val="16"/>
        </w:rPr>
        <w:t>)</w:t>
      </w:r>
    </w:p>
    <w:p w:rsidR="005909E8" w:rsidRDefault="00E8606A" w:rsidP="005909E8">
      <w:r>
        <w:t>1.2</w:t>
      </w:r>
      <w:r>
        <w:tab/>
        <w:t>Terrestrial services</w:t>
      </w:r>
    </w:p>
    <w:p w:rsidR="00E8606A" w:rsidRDefault="00E8606A" w:rsidP="001D56EA">
      <w:pPr>
        <w:rPr>
          <w:sz w:val="16"/>
          <w:szCs w:val="16"/>
        </w:rPr>
      </w:pPr>
      <w:r w:rsidRPr="00C47ABE">
        <w:rPr>
          <w:color w:val="000000"/>
          <w:szCs w:val="24"/>
          <w:lang w:val="en-US" w:eastAsia="zh-CN"/>
          <w:rPrChange w:id="0" w:author="Vassiliev, Nikolai" w:date="2012-06-14T15:51:00Z">
            <w:rPr/>
          </w:rPrChange>
        </w:rPr>
        <w:t>Submission of  frequency assignment/allotment notices for terrestrial services in the context of Article</w:t>
      </w:r>
      <w:r w:rsidRPr="00C47ABE">
        <w:t xml:space="preserve">s </w:t>
      </w:r>
      <w:r w:rsidRPr="002F7F47">
        <w:rPr>
          <w:b/>
          <w:bCs/>
        </w:rPr>
        <w:t>9</w:t>
      </w:r>
      <w:r w:rsidRPr="009970C1">
        <w:t>,</w:t>
      </w:r>
      <w:r w:rsidRPr="002F7F47">
        <w:rPr>
          <w:b/>
          <w:bCs/>
          <w:color w:val="000000"/>
          <w:szCs w:val="24"/>
          <w:lang w:val="en-US" w:eastAsia="zh-CN"/>
          <w:rPrChange w:id="1" w:author="Vassiliev, Nikolai" w:date="2012-06-14T15:51:00Z">
            <w:rPr/>
          </w:rPrChange>
        </w:rPr>
        <w:t xml:space="preserve"> 11</w:t>
      </w:r>
      <w:r w:rsidRPr="009970C1">
        <w:t>,</w:t>
      </w:r>
      <w:r w:rsidRPr="002F7F47">
        <w:rPr>
          <w:b/>
          <w:bCs/>
        </w:rPr>
        <w:t xml:space="preserve"> 12</w:t>
      </w:r>
      <w:r w:rsidRPr="00C47ABE">
        <w:rPr>
          <w:color w:val="000000"/>
          <w:szCs w:val="24"/>
          <w:lang w:val="en-US" w:eastAsia="zh-CN"/>
          <w:rPrChange w:id="2" w:author="Vassiliev, Nikolai" w:date="2012-06-14T15:51:00Z">
            <w:rPr/>
          </w:rPrChange>
        </w:rPr>
        <w:t xml:space="preserve"> </w:t>
      </w:r>
      <w:r>
        <w:t xml:space="preserve">and Appendix </w:t>
      </w:r>
      <w:r w:rsidRPr="002F7F47">
        <w:rPr>
          <w:b/>
          <w:bCs/>
        </w:rPr>
        <w:t>25</w:t>
      </w:r>
      <w:r>
        <w:t xml:space="preserve"> </w:t>
      </w:r>
      <w:r w:rsidRPr="00C47ABE">
        <w:rPr>
          <w:color w:val="000000"/>
          <w:szCs w:val="24"/>
          <w:lang w:val="en-US" w:eastAsia="zh-CN"/>
          <w:rPrChange w:id="3" w:author="Vassiliev, Nikolai" w:date="2012-06-14T15:51:00Z">
            <w:rPr/>
          </w:rPrChange>
        </w:rPr>
        <w:t xml:space="preserve">of the Radio Regulations and various regional agreements shall be made exclusively via the </w:t>
      </w:r>
      <w:r>
        <w:t xml:space="preserve">ITU </w:t>
      </w:r>
      <w:r w:rsidRPr="00C47ABE">
        <w:rPr>
          <w:color w:val="000000"/>
          <w:szCs w:val="24"/>
          <w:lang w:val="en-US" w:eastAsia="zh-CN"/>
          <w:rPrChange w:id="4" w:author="Vassiliev, Nikolai" w:date="2012-06-14T15:51:00Z">
            <w:rPr/>
          </w:rPrChange>
        </w:rPr>
        <w:t xml:space="preserve">web interface </w:t>
      </w:r>
      <w:r w:rsidRPr="00C47ABE">
        <w:rPr>
          <w:i/>
          <w:iCs/>
          <w:color w:val="000000"/>
          <w:szCs w:val="24"/>
          <w:lang w:val="en-US" w:eastAsia="zh-CN"/>
          <w:rPrChange w:id="5" w:author="Vassiliev, Nikolai" w:date="2012-06-14T15:51:00Z">
            <w:rPr>
              <w:i/>
              <w:iCs/>
              <w:sz w:val="20"/>
            </w:rPr>
          </w:rPrChange>
        </w:rPr>
        <w:t xml:space="preserve">WISFAT </w:t>
      </w:r>
      <w:r w:rsidRPr="00C47ABE">
        <w:rPr>
          <w:color w:val="000000"/>
          <w:szCs w:val="24"/>
          <w:lang w:val="en-US" w:eastAsia="zh-CN"/>
          <w:rPrChange w:id="6" w:author="Vassiliev, Nikolai" w:date="2012-06-14T15:51:00Z">
            <w:rPr>
              <w:i/>
              <w:iCs/>
            </w:rPr>
          </w:rPrChange>
        </w:rPr>
        <w:t>(</w:t>
      </w:r>
      <w:r w:rsidRPr="00C47ABE">
        <w:rPr>
          <w:b/>
          <w:bCs/>
          <w:color w:val="000000"/>
          <w:szCs w:val="24"/>
          <w:lang w:val="en-US" w:eastAsia="zh-CN"/>
          <w:rPrChange w:id="7" w:author="Vassiliev, Nikolai" w:date="2012-06-14T15:51:00Z">
            <w:rPr>
              <w:b/>
              <w:bCs/>
              <w:sz w:val="20"/>
            </w:rPr>
          </w:rPrChange>
        </w:rPr>
        <w:t>W</w:t>
      </w:r>
      <w:r w:rsidRPr="00C47ABE">
        <w:rPr>
          <w:color w:val="000000"/>
          <w:szCs w:val="24"/>
          <w:lang w:val="en-US" w:eastAsia="zh-CN"/>
          <w:rPrChange w:id="8" w:author="Vassiliev, Nikolai" w:date="2012-06-14T15:51:00Z">
            <w:rPr>
              <w:sz w:val="20"/>
            </w:rPr>
          </w:rPrChange>
        </w:rPr>
        <w:t xml:space="preserve">eb </w:t>
      </w:r>
      <w:r w:rsidRPr="00C47ABE">
        <w:rPr>
          <w:b/>
          <w:bCs/>
          <w:color w:val="000000"/>
          <w:szCs w:val="24"/>
          <w:lang w:val="en-US" w:eastAsia="zh-CN"/>
          <w:rPrChange w:id="9" w:author="Vassiliev, Nikolai" w:date="2012-06-14T15:51:00Z">
            <w:rPr>
              <w:b/>
              <w:bCs/>
              <w:sz w:val="20"/>
            </w:rPr>
          </w:rPrChange>
        </w:rPr>
        <w:t>I</w:t>
      </w:r>
      <w:r w:rsidRPr="00C47ABE">
        <w:rPr>
          <w:color w:val="000000"/>
          <w:szCs w:val="24"/>
          <w:lang w:val="en-US" w:eastAsia="zh-CN"/>
          <w:rPrChange w:id="10" w:author="Vassiliev, Nikolai" w:date="2012-06-14T15:51:00Z">
            <w:rPr>
              <w:sz w:val="20"/>
            </w:rPr>
          </w:rPrChange>
        </w:rPr>
        <w:t xml:space="preserve">nterface for </w:t>
      </w:r>
      <w:r w:rsidRPr="00C47ABE">
        <w:rPr>
          <w:b/>
          <w:bCs/>
          <w:color w:val="000000"/>
          <w:szCs w:val="24"/>
          <w:lang w:val="en-US" w:eastAsia="zh-CN"/>
          <w:rPrChange w:id="11" w:author="Vassiliev, Nikolai" w:date="2012-06-14T15:51:00Z">
            <w:rPr>
              <w:b/>
              <w:bCs/>
              <w:sz w:val="20"/>
            </w:rPr>
          </w:rPrChange>
        </w:rPr>
        <w:t>S</w:t>
      </w:r>
      <w:r w:rsidRPr="00C47ABE">
        <w:rPr>
          <w:color w:val="000000"/>
          <w:szCs w:val="24"/>
          <w:lang w:val="en-US" w:eastAsia="zh-CN"/>
          <w:rPrChange w:id="12" w:author="Vassiliev, Nikolai" w:date="2012-06-14T15:51:00Z">
            <w:rPr>
              <w:sz w:val="20"/>
            </w:rPr>
          </w:rPrChange>
        </w:rPr>
        <w:t xml:space="preserve">ubmission of </w:t>
      </w:r>
      <w:r w:rsidRPr="00C47ABE">
        <w:rPr>
          <w:b/>
          <w:bCs/>
          <w:color w:val="000000"/>
          <w:szCs w:val="24"/>
          <w:lang w:val="en-US" w:eastAsia="zh-CN"/>
          <w:rPrChange w:id="13" w:author="Vassiliev, Nikolai" w:date="2012-06-14T15:51:00Z">
            <w:rPr>
              <w:b/>
              <w:bCs/>
              <w:sz w:val="20"/>
            </w:rPr>
          </w:rPrChange>
        </w:rPr>
        <w:t>F</w:t>
      </w:r>
      <w:r w:rsidRPr="00C47ABE">
        <w:rPr>
          <w:color w:val="000000"/>
          <w:szCs w:val="24"/>
          <w:lang w:val="en-US" w:eastAsia="zh-CN"/>
          <w:rPrChange w:id="14" w:author="Vassiliev, Nikolai" w:date="2012-06-14T15:51:00Z">
            <w:rPr>
              <w:sz w:val="20"/>
            </w:rPr>
          </w:rPrChange>
        </w:rPr>
        <w:t xml:space="preserve">requency </w:t>
      </w:r>
      <w:r w:rsidRPr="00C47ABE">
        <w:rPr>
          <w:b/>
          <w:bCs/>
          <w:color w:val="000000"/>
          <w:szCs w:val="24"/>
          <w:lang w:val="en-US" w:eastAsia="zh-CN"/>
          <w:rPrChange w:id="15" w:author="Vassiliev, Nikolai" w:date="2012-06-14T15:51:00Z">
            <w:rPr>
              <w:b/>
              <w:bCs/>
              <w:sz w:val="20"/>
            </w:rPr>
          </w:rPrChange>
        </w:rPr>
        <w:t>A</w:t>
      </w:r>
      <w:r w:rsidRPr="00C47ABE">
        <w:rPr>
          <w:color w:val="000000"/>
          <w:szCs w:val="24"/>
          <w:lang w:val="en-US" w:eastAsia="zh-CN"/>
          <w:rPrChange w:id="16" w:author="Vassiliev, Nikolai" w:date="2012-06-14T15:51:00Z">
            <w:rPr>
              <w:sz w:val="20"/>
            </w:rPr>
          </w:rPrChange>
        </w:rPr>
        <w:t xml:space="preserve">ssignments/allotments) available at </w:t>
      </w:r>
      <w:r w:rsidR="00404E18">
        <w:rPr>
          <w:color w:val="000000"/>
          <w:szCs w:val="24"/>
          <w:lang w:val="en-US" w:eastAsia="zh-CN"/>
        </w:rPr>
        <w:fldChar w:fldCharType="begin"/>
      </w:r>
      <w:r w:rsidR="00404E18">
        <w:rPr>
          <w:color w:val="000000"/>
          <w:szCs w:val="24"/>
          <w:lang w:val="en-US" w:eastAsia="zh-CN"/>
        </w:rPr>
        <w:instrText xml:space="preserve"> HYPERLINK "</w:instrText>
      </w:r>
      <w:r w:rsidR="00404E18" w:rsidRPr="00C47ABE">
        <w:rPr>
          <w:color w:val="000000"/>
          <w:szCs w:val="24"/>
          <w:lang w:val="en-US" w:eastAsia="zh-CN"/>
          <w:rPrChange w:id="17" w:author="Vassiliev, Nikolai" w:date="2012-06-14T15:51:00Z">
            <w:rPr>
              <w:i/>
              <w:iCs/>
            </w:rPr>
          </w:rPrChange>
        </w:rPr>
        <w:instrText>http://www.itu.int/ITU-R/go/wisfat/en</w:instrText>
      </w:r>
      <w:r w:rsidR="00404E18">
        <w:rPr>
          <w:color w:val="000000"/>
          <w:szCs w:val="24"/>
          <w:lang w:val="en-US" w:eastAsia="zh-CN"/>
        </w:rPr>
        <w:instrText xml:space="preserve">" </w:instrText>
      </w:r>
      <w:r w:rsidR="00404E18">
        <w:rPr>
          <w:color w:val="000000"/>
          <w:szCs w:val="24"/>
          <w:lang w:val="en-US" w:eastAsia="zh-CN"/>
        </w:rPr>
        <w:fldChar w:fldCharType="separate"/>
      </w:r>
      <w:r w:rsidR="00404E18" w:rsidRPr="00EC504B">
        <w:rPr>
          <w:rStyle w:val="Hyperlink"/>
          <w:szCs w:val="24"/>
          <w:lang w:val="en-US" w:eastAsia="zh-CN"/>
          <w:rPrChange w:id="18" w:author="Vassiliev, Nikolai" w:date="2012-06-14T15:51:00Z">
            <w:rPr>
              <w:i/>
              <w:iCs/>
            </w:rPr>
          </w:rPrChange>
        </w:rPr>
        <w:t>http://www.itu.int/ITU-R/go/wisfat/en</w:t>
      </w:r>
      <w:r w:rsidR="00404E18">
        <w:rPr>
          <w:color w:val="000000"/>
          <w:szCs w:val="24"/>
          <w:lang w:val="en-US" w:eastAsia="zh-CN"/>
        </w:rPr>
        <w:fldChar w:fldCharType="end"/>
      </w:r>
      <w:r w:rsidRPr="00C47ABE">
        <w:t>.</w:t>
      </w:r>
      <w:bookmarkStart w:id="19" w:name="_GoBack"/>
      <w:bookmarkEnd w:id="19"/>
    </w:p>
    <w:p w:rsidR="00404E18" w:rsidRDefault="00404E18" w:rsidP="00404E18">
      <w:pPr>
        <w:rPr>
          <w:sz w:val="16"/>
          <w:szCs w:val="16"/>
        </w:rPr>
      </w:pPr>
    </w:p>
    <w:p w:rsidR="001D56EA" w:rsidRDefault="001D56EA" w:rsidP="00404E18">
      <w:pPr>
        <w:rPr>
          <w:sz w:val="16"/>
          <w:szCs w:val="16"/>
        </w:rPr>
      </w:pPr>
    </w:p>
    <w:p w:rsidR="001D56EA" w:rsidRDefault="001D56EA" w:rsidP="00404E18">
      <w:pPr>
        <w:rPr>
          <w:sz w:val="16"/>
          <w:szCs w:val="16"/>
        </w:rPr>
      </w:pPr>
    </w:p>
    <w:p w:rsidR="00404E18" w:rsidRDefault="00404E18" w:rsidP="00404E18">
      <w:pPr>
        <w:rPr>
          <w:sz w:val="16"/>
          <w:szCs w:val="16"/>
        </w:rPr>
      </w:pPr>
    </w:p>
    <w:p w:rsidR="001D56EA" w:rsidRDefault="001D56EA" w:rsidP="00404E18">
      <w:pPr>
        <w:rPr>
          <w:sz w:val="16"/>
          <w:szCs w:val="16"/>
        </w:rPr>
      </w:pPr>
    </w:p>
    <w:p w:rsidR="001D56EA" w:rsidRDefault="001D56EA" w:rsidP="00404E18">
      <w:pPr>
        <w:rPr>
          <w:sz w:val="16"/>
          <w:szCs w:val="16"/>
        </w:rPr>
      </w:pPr>
    </w:p>
    <w:p w:rsidR="00404E18" w:rsidRPr="005909E8" w:rsidRDefault="00404E18" w:rsidP="00404E18"/>
    <w:p w:rsidR="00910747" w:rsidRPr="005909E8" w:rsidRDefault="00910747" w:rsidP="007054AB">
      <w:pPr>
        <w:pStyle w:val="Heading1"/>
        <w:rPr>
          <w:sz w:val="24"/>
        </w:rPr>
      </w:pPr>
      <w:r w:rsidRPr="005909E8">
        <w:br w:type="page"/>
      </w:r>
      <w:r w:rsidRPr="005909E8">
        <w:rPr>
          <w:szCs w:val="28"/>
        </w:rPr>
        <w:lastRenderedPageBreak/>
        <w:t>2</w:t>
      </w:r>
      <w:r w:rsidRPr="005909E8">
        <w:rPr>
          <w:szCs w:val="28"/>
        </w:rPr>
        <w:tab/>
        <w:t>Receipt of notices</w:t>
      </w:r>
      <w:r w:rsidR="00404E18">
        <w:rPr>
          <w:szCs w:val="28"/>
        </w:rPr>
        <w:t xml:space="preserve">     </w:t>
      </w:r>
      <w:r w:rsidR="00404E18" w:rsidRPr="003809B6">
        <w:rPr>
          <w:b w:val="0"/>
          <w:bCs/>
          <w:sz w:val="16"/>
          <w:szCs w:val="16"/>
        </w:rPr>
        <w:t>(MOD RRB12/</w:t>
      </w:r>
      <w:r w:rsidR="007054AB" w:rsidRPr="003809B6">
        <w:rPr>
          <w:b w:val="0"/>
          <w:bCs/>
          <w:sz w:val="16"/>
          <w:szCs w:val="16"/>
        </w:rPr>
        <w:t>60</w:t>
      </w:r>
      <w:r w:rsidR="00404E18" w:rsidRPr="003809B6">
        <w:rPr>
          <w:b w:val="0"/>
          <w:bCs/>
          <w:sz w:val="16"/>
          <w:szCs w:val="16"/>
        </w:rPr>
        <w:t>)</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9970C1">
        <w:rPr>
          <w:rStyle w:val="FootnoteReference"/>
        </w:rPr>
        <w:footnoteReference w:customMarkFollows="1" w:id="1"/>
        <w:t>1</w:t>
      </w:r>
      <w:r w:rsidRPr="005909E8">
        <w:t>.</w:t>
      </w:r>
    </w:p>
    <w:p w:rsidR="00910747" w:rsidRPr="005909E8" w:rsidRDefault="00910747" w:rsidP="00910747">
      <w:pPr>
        <w:tabs>
          <w:tab w:val="clear" w:pos="1134"/>
          <w:tab w:val="clear" w:pos="1871"/>
          <w:tab w:val="clear" w:pos="2268"/>
          <w:tab w:val="left" w:pos="794"/>
          <w:tab w:val="left" w:pos="1191"/>
          <w:tab w:val="left" w:pos="1588"/>
          <w:tab w:val="left" w:pos="1985"/>
        </w:tabs>
      </w:pPr>
      <w:r w:rsidRPr="005909E8">
        <w:t>Having regard to the various means available for transmission and delivery of notices and other related correspondence, the Board has decided that:</w:t>
      </w:r>
    </w:p>
    <w:p w:rsidR="00910747" w:rsidRPr="005909E8" w:rsidRDefault="00910747" w:rsidP="00E36754">
      <w:pPr>
        <w:pStyle w:val="enumlev1"/>
      </w:pPr>
      <w:r w:rsidRPr="005909E8">
        <w:rPr>
          <w:i/>
          <w:iCs/>
        </w:rPr>
        <w:t>a)</w:t>
      </w:r>
      <w:r w:rsidRPr="005909E8">
        <w:tab/>
        <w:t>Mail received through the postal service</w:t>
      </w:r>
      <w:r w:rsidR="009970C1">
        <w:rPr>
          <w:rStyle w:val="FootnoteReference"/>
        </w:rPr>
        <w:footnoteReference w:customMarkFollows="1" w:id="2"/>
        <w:t>2</w:t>
      </w:r>
      <w:r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rsidR="00910747" w:rsidRPr="005909E8" w:rsidRDefault="00910747" w:rsidP="007054AB">
      <w:pPr>
        <w:pStyle w:val="enumlev1"/>
      </w:pPr>
      <w:r w:rsidRPr="005909E8">
        <w:rPr>
          <w:i/>
          <w:iCs/>
        </w:rPr>
        <w:t>b)</w:t>
      </w:r>
      <w:r w:rsidRPr="005909E8">
        <w:tab/>
      </w:r>
      <w:r w:rsidR="00404E18">
        <w:t xml:space="preserve">E-mail, telefax documents or WISFAT submissions shall be recorded as received on the actual date of receipt, irrespective of whether or not that is a working day at the ITU/BR’s offices in Geneva.    </w:t>
      </w:r>
      <w:r w:rsidR="00404E18" w:rsidRPr="00404E18">
        <w:rPr>
          <w:sz w:val="16"/>
          <w:szCs w:val="16"/>
        </w:rPr>
        <w:t>(MOD RRB12/</w:t>
      </w:r>
      <w:r w:rsidR="007054AB">
        <w:rPr>
          <w:sz w:val="16"/>
          <w:szCs w:val="16"/>
        </w:rPr>
        <w:t>60</w:t>
      </w:r>
      <w:r w:rsidR="00404E18" w:rsidRPr="00404E18">
        <w:rPr>
          <w:sz w:val="16"/>
          <w:szCs w:val="16"/>
        </w:rPr>
        <w:t>)</w:t>
      </w:r>
    </w:p>
    <w:p w:rsidR="00910747" w:rsidRPr="005909E8" w:rsidRDefault="00910747" w:rsidP="00E36754">
      <w:pPr>
        <w:pStyle w:val="enumlev1"/>
        <w:rPr>
          <w:i/>
          <w:iCs/>
        </w:rPr>
      </w:pPr>
      <w:r w:rsidRPr="005909E8">
        <w:rPr>
          <w:i/>
          <w:iCs/>
        </w:rPr>
        <w:t>c)</w:t>
      </w:r>
      <w:r w:rsidRPr="005909E8">
        <w:tab/>
        <w:t>In the case of e-mails (except those to which electronic forms created using SpaceCom are attached), an administration is required to send, within 7 days of the date of the e-mail, a confirmation by either telefax or mail, which shall be regarded as being received on the same date as the original e</w:t>
      </w:r>
      <w:r w:rsidRPr="005909E8">
        <w:noBreakHyphen/>
        <w:t>mail.</w:t>
      </w:r>
    </w:p>
    <w:p w:rsidR="00910747" w:rsidRPr="005909E8" w:rsidRDefault="00910747" w:rsidP="00E36754">
      <w:pPr>
        <w:pStyle w:val="enumlev1"/>
      </w:pPr>
      <w:r w:rsidRPr="005909E8">
        <w:rPr>
          <w:i/>
          <w:iCs/>
        </w:rPr>
        <w:t>d)</w:t>
      </w:r>
      <w:r w:rsidRPr="005909E8">
        <w:tab/>
        <w:t>All mail must be sent to the following address:</w:t>
      </w:r>
    </w:p>
    <w:p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rsidR="00910747" w:rsidRPr="005909E8" w:rsidRDefault="00910747" w:rsidP="00E36754">
      <w:pPr>
        <w:pStyle w:val="enumlev1"/>
      </w:pPr>
      <w:r w:rsidRPr="005909E8">
        <w:rPr>
          <w:i/>
          <w:iCs/>
        </w:rPr>
        <w:t>e)</w:t>
      </w:r>
      <w:r w:rsidRPr="005909E8">
        <w:tab/>
        <w:t>All telefaxes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rsidR="00910747" w:rsidRPr="005909E8" w:rsidRDefault="00910747" w:rsidP="00E36754">
      <w:pPr>
        <w:pStyle w:val="enumlev1"/>
      </w:pPr>
      <w:r w:rsidRPr="005909E8">
        <w:rPr>
          <w:i/>
          <w:iCs/>
        </w:rPr>
        <w:t>f</w:t>
      </w:r>
      <w:r w:rsidRPr="005909E8">
        <w:rPr>
          <w:rFonts w:ascii="Tms Rmn" w:hAnsi="Tms Rmn"/>
          <w:sz w:val="12"/>
        </w:rPr>
        <w:t> </w:t>
      </w:r>
      <w:r w:rsidRPr="005909E8">
        <w:rPr>
          <w:i/>
          <w:iCs/>
        </w:rPr>
        <w:t>)</w:t>
      </w:r>
      <w:r w:rsidRPr="005909E8">
        <w:tab/>
        <w:t>All e-mails must be sent to:</w:t>
      </w:r>
    </w:p>
    <w:p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rsidR="00910747" w:rsidRPr="005909E8" w:rsidRDefault="00910747" w:rsidP="00E36754">
      <w:pPr>
        <w:pStyle w:val="enumlev1"/>
      </w:pPr>
      <w:r w:rsidRPr="005909E8">
        <w:rPr>
          <w:i/>
          <w:iCs/>
        </w:rPr>
        <w:t>g)</w:t>
      </w:r>
      <w:r w:rsidRPr="005909E8">
        <w:tab/>
        <w:t>Information received in the ITU/BR by e-mail shall be acknowledged immediately by e</w:t>
      </w:r>
      <w:r w:rsidR="00E36754" w:rsidRPr="005909E8">
        <w:noBreakHyphen/>
      </w:r>
      <w:r w:rsidRPr="005909E8">
        <w:t>mail by the ITU/BR.</w:t>
      </w:r>
    </w:p>
    <w:p w:rsidR="003809B6" w:rsidRDefault="003809B6" w:rsidP="00E36754">
      <w:r>
        <w:br w:type="page"/>
      </w:r>
    </w:p>
    <w:p w:rsidR="00910747" w:rsidRPr="005909E8" w:rsidRDefault="00910747" w:rsidP="00E36754">
      <w:pPr>
        <w:pStyle w:val="Heading1"/>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rsidR="00910747" w:rsidRPr="005909E8" w:rsidRDefault="00910747" w:rsidP="004B0044">
      <w:pPr>
        <w:rPr>
          <w:sz w:val="16"/>
          <w:szCs w:val="16"/>
        </w:rPr>
      </w:pPr>
      <w:r w:rsidRPr="005909E8">
        <w:t>3.1</w:t>
      </w:r>
      <w:r w:rsidRPr="005909E8">
        <w:tab/>
        <w:t>According to provisions Nos. </w:t>
      </w:r>
      <w:r w:rsidRPr="005909E8">
        <w:rPr>
          <w:b/>
          <w:bCs/>
          <w:color w:val="000000"/>
        </w:rPr>
        <w:t>11.28</w:t>
      </w:r>
      <w:r w:rsidR="00E36754" w:rsidRPr="005909E8">
        <w:rPr>
          <w:rFonts w:ascii="Tms Rmn" w:hAnsi="Tms Rmn"/>
          <w:b/>
          <w:bCs/>
          <w:color w:val="000000"/>
          <w:sz w:val="12"/>
        </w:rPr>
        <w:t> </w:t>
      </w:r>
      <w:r w:rsidR="009970C1">
        <w:rPr>
          <w:rStyle w:val="FootnoteReference"/>
        </w:rPr>
        <w:footnoteReference w:customMarkFollows="1" w:id="3"/>
        <w:t>3</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rsidR="00910747" w:rsidRPr="005909E8" w:rsidRDefault="00910747" w:rsidP="004B0044">
      <w:r w:rsidRPr="005909E8">
        <w:t>3.2</w:t>
      </w:r>
      <w:r w:rsidRPr="005909E8">
        <w:tab/>
        <w:t xml:space="preserve">In order to establish a formal date of receipt for the purpose of treatment of the submissions (notices for advance publication, request for coordination, modification to the Region 2 Plan or proposed new or modified assignments in the Regions 1 and 3 Lists under Article 4 of Appendices </w:t>
      </w:r>
      <w:r w:rsidRPr="005909E8">
        <w:rPr>
          <w:b/>
          <w:bCs/>
          <w:color w:val="000000"/>
        </w:rPr>
        <w:t>30</w:t>
      </w:r>
      <w:r w:rsidRPr="005909E8">
        <w:t xml:space="preserve"> or </w:t>
      </w:r>
      <w:r w:rsidRPr="005909E8">
        <w:rPr>
          <w:b/>
          <w:bCs/>
          <w:color w:val="000000"/>
        </w:rPr>
        <w:t>30A</w:t>
      </w:r>
      <w:r w:rsidRPr="005909E8">
        <w:t xml:space="preserve">, proposed new or modified assignments in the guardbands to provide space operation functions under Article 2A of Appendices </w:t>
      </w:r>
      <w:r w:rsidRPr="005909E8">
        <w:rPr>
          <w:b/>
          <w:bCs/>
          <w:color w:val="000000"/>
        </w:rPr>
        <w:t>30</w:t>
      </w:r>
      <w:r w:rsidRPr="005909E8">
        <w:t xml:space="preserve"> or </w:t>
      </w:r>
      <w:r w:rsidRPr="005909E8">
        <w:rPr>
          <w:b/>
          <w:bCs/>
          <w:color w:val="000000"/>
        </w:rPr>
        <w:t>30A</w:t>
      </w:r>
      <w:r w:rsidRPr="005909E8">
        <w:t xml:space="preserve">, or request for application of Articles 6 or 7 of Appendix </w:t>
      </w:r>
      <w:r w:rsidRPr="005909E8">
        <w:rPr>
          <w:b/>
          <w:bCs/>
          <w:color w:val="000000"/>
        </w:rPr>
        <w:t>30B</w:t>
      </w:r>
      <w:r w:rsidRPr="005909E8">
        <w:t xml:space="preserve">, and notifications for recording in the Master International Frequency Register (Master Register)), the Bureau shall examine </w:t>
      </w:r>
      <w:r w:rsidRPr="005909E8">
        <w:rPr>
          <w:i/>
        </w:rPr>
        <w:t>inter alia</w:t>
      </w:r>
      <w:r w:rsidRPr="005909E8">
        <w:t xml:space="preserve"> the completeness and correctness of the information submitted by administrations. It shall also take account of the requirements of No. </w:t>
      </w:r>
      <w:r w:rsidRPr="005909E8">
        <w:rPr>
          <w:b/>
          <w:bCs/>
          <w:color w:val="000000"/>
        </w:rPr>
        <w:t>9.1</w:t>
      </w:r>
      <w:r w:rsidRPr="005909E8">
        <w:t xml:space="preserve"> when establishing the formal date of receipt of coordination information and notification information with respect to the date of receipt (when the coordination procedure of Section II of Article </w:t>
      </w:r>
      <w:r w:rsidRPr="005909E8">
        <w:rPr>
          <w:b/>
          <w:bCs/>
          <w:color w:val="000000"/>
        </w:rPr>
        <w:t>9</w:t>
      </w:r>
      <w:r w:rsidRPr="005909E8">
        <w:t xml:space="preserve"> is applicable) and the date of publication (when coordination is not required by Section II of Article </w:t>
      </w:r>
      <w:r w:rsidRPr="005909E8">
        <w:rPr>
          <w:b/>
          <w:bCs/>
          <w:color w:val="000000"/>
        </w:rPr>
        <w:t>9</w:t>
      </w:r>
      <w:r w:rsidRPr="005909E8">
        <w:t>) of advance information, respectively.</w:t>
      </w:r>
    </w:p>
    <w:p w:rsidR="00910747" w:rsidRPr="005909E8" w:rsidRDefault="00910747" w:rsidP="004B0044">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w:t>
      </w:r>
      <w:r w:rsidR="004B0044" w:rsidRPr="005909E8">
        <w:t> </w:t>
      </w:r>
      <w:r w:rsidRPr="005909E8">
        <w:t>below).</w:t>
      </w:r>
    </w:p>
    <w:p w:rsidR="004B0044" w:rsidRPr="005909E8" w:rsidRDefault="004B0044" w:rsidP="004B0044"/>
    <w:p w:rsidR="003809B6" w:rsidRDefault="003809B6" w:rsidP="004B0044">
      <w:pPr>
        <w:sectPr w:rsidR="003809B6">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rsidR="00910747" w:rsidRPr="005909E8" w:rsidRDefault="00910747" w:rsidP="004B0044">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rsidR="00910747" w:rsidRPr="005909E8" w:rsidRDefault="00910747" w:rsidP="004B0044">
      <w:r w:rsidRPr="005909E8">
        <w:t>3.</w:t>
      </w:r>
      <w:r w:rsidR="002C18EA" w:rsidRPr="005909E8">
        <w:t>5</w:t>
      </w:r>
      <w:r w:rsidRPr="005909E8">
        <w:tab/>
        <w:t xml:space="preserve">After processing the Appendix </w:t>
      </w:r>
      <w:r w:rsidRPr="005909E8">
        <w:rPr>
          <w:b/>
          <w:bCs/>
          <w:color w:val="000000"/>
        </w:rPr>
        <w:t>4</w:t>
      </w:r>
      <w:r w:rsidRPr="005909E8">
        <w:t xml:space="preserve"> Form of Notice as set out in §</w:t>
      </w:r>
      <w:r w:rsidR="004B0044" w:rsidRPr="005909E8">
        <w:t> </w:t>
      </w:r>
      <w:r w:rsidRPr="005909E8">
        <w:t>3.3, if the Bureau finds that further clarification is required concerning the correctness of the mandatory data submitted, it shall request the administration responsible for the station or network to provide the clarification within 30</w:t>
      </w:r>
      <w:r w:rsidR="004B0044" w:rsidRPr="005909E8">
        <w:t xml:space="preserve"> </w:t>
      </w:r>
      <w:r w:rsidRPr="005909E8">
        <w:t>days, otherwise it shall establish the formal date of receipt as that recorded in accordance with § 2 and § 3.2 above.</w:t>
      </w:r>
    </w:p>
    <w:p w:rsidR="00910747" w:rsidRPr="005909E8" w:rsidRDefault="00910747" w:rsidP="004B0044">
      <w:pPr>
        <w:rPr>
          <w:i/>
          <w:sz w:val="20"/>
        </w:rPr>
      </w:pPr>
      <w:r w:rsidRPr="005909E8">
        <w:t>3.</w:t>
      </w:r>
      <w:r w:rsidR="002C18EA" w:rsidRPr="005909E8">
        <w:t>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rsidR="00910747" w:rsidRPr="005909E8" w:rsidRDefault="00910747" w:rsidP="004B0044">
      <w:r w:rsidRPr="005909E8">
        <w:t>3.</w:t>
      </w:r>
      <w:r w:rsidR="002C18EA" w:rsidRPr="005909E8">
        <w:t>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w:t>
      </w:r>
      <w:r w:rsidR="002C18EA" w:rsidRPr="005909E8">
        <w:t>5</w:t>
      </w:r>
      <w:r w:rsidRPr="005909E8">
        <w:t xml:space="preserve">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rsidR="00910747" w:rsidRPr="005909E8" w:rsidRDefault="00910747" w:rsidP="004B0044">
      <w:r w:rsidRPr="005909E8">
        <w:t>3.</w:t>
      </w:r>
      <w:r w:rsidR="002C18EA" w:rsidRPr="005909E8">
        <w:t>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rsidR="00910747" w:rsidRPr="005909E8" w:rsidRDefault="00910747" w:rsidP="004B0044">
      <w:r w:rsidRPr="005909E8">
        <w:t>3.</w:t>
      </w:r>
      <w:r w:rsidR="002C18EA" w:rsidRPr="005909E8">
        <w:t>9</w:t>
      </w:r>
      <w:r w:rsidRPr="005909E8">
        <w:tab/>
        <w:t>One year after the Bureau sought information under § 3.3 or 3.</w:t>
      </w:r>
      <w:r w:rsidR="002C18EA" w:rsidRPr="005909E8">
        <w:t>5</w:t>
      </w:r>
      <w:r w:rsidRPr="005909E8">
        <w:t>, as appropriate, unless otherwise specified in the relevant procedure, any pending submissions containing incomplete information shall be returned to the notifying administration.</w:t>
      </w:r>
    </w:p>
    <w:p w:rsidR="00910747" w:rsidRPr="005909E8" w:rsidRDefault="00910747" w:rsidP="004B0044">
      <w:r w:rsidRPr="005909E8">
        <w:t>3.1</w:t>
      </w:r>
      <w:r w:rsidR="002C18EA" w:rsidRPr="005909E8">
        <w:t>0</w:t>
      </w:r>
      <w:r w:rsidRPr="005909E8">
        <w:tab/>
        <w:t>In case of the request for deletion of an assignment, a group of assignments, an  emission, beams or other characteristics of a satellite network or satellite system, two situations may arise:</w:t>
      </w:r>
    </w:p>
    <w:p w:rsidR="00910747" w:rsidRPr="005909E8" w:rsidRDefault="00910747" w:rsidP="004B0044">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rsidR="00910747" w:rsidRPr="005909E8" w:rsidRDefault="00910747" w:rsidP="004B0044">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rsidR="007A126D" w:rsidRDefault="007A126D" w:rsidP="004B0044">
      <w:pPr>
        <w:pStyle w:val="Heading1"/>
      </w:pPr>
      <w:r>
        <w:br w:type="page"/>
      </w:r>
    </w:p>
    <w:p w:rsidR="00910747" w:rsidRPr="005909E8" w:rsidRDefault="00910747" w:rsidP="004B0044">
      <w:pPr>
        <w:pStyle w:val="Heading1"/>
      </w:pPr>
      <w:r w:rsidRPr="005909E8">
        <w:lastRenderedPageBreak/>
        <w:t>4</w:t>
      </w:r>
      <w:r w:rsidRPr="005909E8">
        <w:tab/>
        <w:t>Other non-receivable submissions</w:t>
      </w:r>
    </w:p>
    <w:p w:rsidR="00910747" w:rsidRPr="005909E8" w:rsidRDefault="00910747" w:rsidP="007A126D">
      <w:pPr>
        <w:tabs>
          <w:tab w:val="clear" w:pos="1134"/>
          <w:tab w:val="clear" w:pos="1871"/>
          <w:tab w:val="clear" w:pos="2268"/>
          <w:tab w:val="left" w:pos="794"/>
          <w:tab w:val="left" w:pos="1191"/>
          <w:tab w:val="left" w:pos="1588"/>
          <w:tab w:val="left" w:pos="1985"/>
        </w:tabs>
      </w:pPr>
      <w:r w:rsidRPr="005909E8">
        <w:t>There are, in addition to the above cas of incomplete notice, other circumstances when a notice is not receivable. These cases are described in the following non-exhaustive paragraphs.</w:t>
      </w:r>
    </w:p>
    <w:p w:rsidR="00910747" w:rsidRPr="005909E8" w:rsidRDefault="00910747" w:rsidP="004B0044">
      <w:r w:rsidRPr="005909E8">
        <w:t>4.1</w:t>
      </w:r>
      <w:r w:rsidRPr="005909E8">
        <w:tab/>
        <w:t>An advance publication notice sent to the Bureau earlier than 7 years before the planned date of bringing into use of the satellite network is not receivable and shall be returned to the administration responsible for the network. (No. </w:t>
      </w:r>
      <w:r w:rsidRPr="005909E8">
        <w:rPr>
          <w:b/>
          <w:bCs/>
          <w:color w:val="000000"/>
        </w:rPr>
        <w:t>9.1</w:t>
      </w:r>
      <w:r w:rsidRPr="005909E8">
        <w:t xml:space="preserve"> refers.)</w:t>
      </w:r>
    </w:p>
    <w:p w:rsidR="00910747" w:rsidRPr="005909E8" w:rsidRDefault="00910747" w:rsidP="004B0044">
      <w:r w:rsidRPr="005909E8">
        <w:t>4.2</w:t>
      </w:r>
      <w:r w:rsidRPr="005909E8">
        <w:tab/>
        <w:t>A notification received by the Bureau earlier than the date limits prescribed in provisions No. </w:t>
      </w:r>
      <w:r w:rsidRPr="005909E8">
        <w:rPr>
          <w:b/>
          <w:bCs/>
          <w:color w:val="000000"/>
        </w:rPr>
        <w:t>11.25</w:t>
      </w:r>
      <w:r w:rsidRPr="005909E8">
        <w:t xml:space="preserve"> (date limits relate to the date of bringing into use of a station in a space service) is not receivable and shall be returned to the administration responsible for the network.</w:t>
      </w:r>
    </w:p>
    <w:p w:rsidR="00910747" w:rsidRPr="005909E8" w:rsidRDefault="00910747" w:rsidP="004B0044">
      <w:r w:rsidRPr="005909E8">
        <w:t>4.3</w:t>
      </w:r>
      <w:r w:rsidRPr="005909E8">
        <w:tab/>
        <w:t>One coordination request of satellite network and possible subsequent modifi</w:t>
      </w:r>
      <w:r w:rsidR="004B0044" w:rsidRPr="005909E8">
        <w:softHyphen/>
      </w:r>
      <w:r w:rsidRPr="005909E8">
        <w:t>cations can only correspond to one API, including its possible modifications and vice</w:t>
      </w:r>
      <w:r w:rsidRPr="005909E8">
        <w:noBreakHyphen/>
        <w:t>versa. In accordance with the Rule of Procedure concerning the definition of a satellite network contained in No. </w:t>
      </w:r>
      <w:r w:rsidRPr="005909E8">
        <w:rPr>
          <w:b/>
          <w:bCs/>
          <w:color w:val="000000"/>
        </w:rPr>
        <w:t>1.112</w:t>
      </w:r>
      <w:r w:rsidRPr="005909E8">
        <w:t xml:space="preserve">, this coordination request would thus have only one set of orbital characteristics, i.e. those specified in Section A4 of Appendix </w:t>
      </w:r>
      <w:r w:rsidRPr="005909E8">
        <w:rPr>
          <w:b/>
          <w:bCs/>
          <w:color w:val="000000"/>
        </w:rPr>
        <w:t>4</w:t>
      </w:r>
      <w:r w:rsidRPr="005909E8">
        <w:t>. A further coordination request making reference to the same API will only be receivable if the set of orbital characteristics included in that submission are unchanged relative to those in the earlier coordination request submission or are intended to replace that earlier set of orbital characteristics. In all other cases a new API is required as the submission then pertains to a new satellite network.</w:t>
      </w:r>
    </w:p>
    <w:p w:rsidR="00910747" w:rsidRPr="005909E8" w:rsidRDefault="00910747" w:rsidP="004B0044">
      <w:r w:rsidRPr="005909E8">
        <w:t>4.4</w:t>
      </w:r>
      <w:r w:rsidRPr="005909E8">
        <w:tab/>
        <w:t>The Radio Regulations prescribe, in some cases, the application of multiple procedures, which have to be applied, for the same stations or satellite network, one after another. A typical example of such a case of multiple procedures is a geostationary satellite network to which the application of the advance publication, the coordination (in some cases more than one form of coordination) and the notification procedures, in this order, are mandatory. In such cases, a notice for a particular procedure is receivable only if the previously applicable procedure has been effected. A notice for a request for coordination is not receivable if the advance publication information was not submitted to the Bureau (see also the Rule of Procedure on No. </w:t>
      </w:r>
      <w:r w:rsidRPr="005909E8">
        <w:rPr>
          <w:b/>
          <w:bCs/>
          <w:color w:val="000000"/>
        </w:rPr>
        <w:t>9.5D</w:t>
      </w:r>
      <w:r w:rsidRPr="005909E8">
        <w:t xml:space="preserve">). A notification under Article </w:t>
      </w:r>
      <w:r w:rsidRPr="005909E8">
        <w:rPr>
          <w:b/>
          <w:bCs/>
          <w:color w:val="000000"/>
        </w:rPr>
        <w:t>11</w:t>
      </w:r>
      <w:r w:rsidRPr="005909E8">
        <w:t xml:space="preserve"> is not receivable if the advance publication information and coordination request, where applicable, were not received for the satellite network, and shall be returned to the notifying administration. The same shall also apply for the notification of an earth station whose associated space station is not yet notified.</w:t>
      </w:r>
    </w:p>
    <w:p w:rsidR="00910747" w:rsidRPr="005909E8" w:rsidRDefault="00910747" w:rsidP="004B0044">
      <w:r w:rsidRPr="005909E8">
        <w:t>4.5</w:t>
      </w:r>
      <w:r w:rsidRPr="005909E8">
        <w:tab/>
        <w:t xml:space="preserve">A notification, received under Article 8 of Appendix </w:t>
      </w:r>
      <w:r w:rsidRPr="005909E8">
        <w:rPr>
          <w:b/>
          <w:bCs/>
          <w:color w:val="000000"/>
        </w:rPr>
        <w:t>30B</w:t>
      </w:r>
      <w:r w:rsidRPr="005909E8">
        <w:t xml:space="preserve"> and Article </w:t>
      </w:r>
      <w:r w:rsidRPr="005909E8">
        <w:rPr>
          <w:b/>
          <w:bCs/>
          <w:color w:val="000000"/>
        </w:rPr>
        <w:t>11</w:t>
      </w:r>
      <w:r w:rsidRPr="005909E8">
        <w:t xml:space="preserve"> relating to a satellite network/system for which the regulatory time limit (8 or 7 years, as appropriate) has expired, is not receivable and shall be returned to the notifying administration.</w:t>
      </w:r>
    </w:p>
    <w:p w:rsidR="00DB3204" w:rsidRPr="005909E8" w:rsidRDefault="00910747" w:rsidP="004B0044">
      <w:r w:rsidRPr="005909E8">
        <w:rPr>
          <w:b/>
          <w:bCs/>
        </w:rPr>
        <w:t>5</w:t>
      </w:r>
      <w:r w:rsidRPr="005909E8">
        <w:tab/>
        <w:t>Whenever the Bureau returns a form of notice, the necessary justification for such an action shall be provided to the notifying administration.</w:t>
      </w:r>
    </w:p>
    <w:p w:rsidR="004B0044" w:rsidRPr="005909E8" w:rsidRDefault="004B0044" w:rsidP="004B0044"/>
    <w:p w:rsidR="004B0044" w:rsidRPr="005909E8" w:rsidRDefault="00DB3204" w:rsidP="003D5CCB">
      <w:pPr>
        <w:jc w:val="center"/>
      </w:pPr>
      <w:r w:rsidRPr="005909E8">
        <w:t>____________________</w:t>
      </w:r>
    </w:p>
    <w:p w:rsidR="00DB3204" w:rsidRPr="005909E8" w:rsidRDefault="00DB3204" w:rsidP="004B0044">
      <w:pPr>
        <w:sectPr w:rsidR="00DB3204" w:rsidRPr="005909E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DB3204" w:rsidRPr="005909E8" w:rsidRDefault="00DB3204" w:rsidP="004B0044"/>
    <w:sectPr w:rsidR="00DB3204" w:rsidRPr="005909E8">
      <w:headerReference w:type="even" r:id="rId16"/>
      <w:headerReference w:type="first" r:id="rId17"/>
      <w:footerReference w:type="first" r:id="rId1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26D" w:rsidRDefault="007A12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26D" w:rsidRDefault="007A12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26D" w:rsidRDefault="007A126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4F" w:rsidRDefault="000F264F">
      <w:r>
        <w:rPr>
          <w:b/>
        </w:rPr>
        <w:t>_______________</w:t>
      </w:r>
    </w:p>
  </w:footnote>
  <w:footnote w:type="continuationSeparator" w:id="0">
    <w:p w:rsidR="000F264F" w:rsidRDefault="000F264F">
      <w:r>
        <w:continuationSeparator/>
      </w:r>
    </w:p>
  </w:footnote>
  <w:footnote w:id="1">
    <w:p w:rsidR="009970C1" w:rsidRPr="00F3765A" w:rsidRDefault="009970C1" w:rsidP="004B0044">
      <w:pPr>
        <w:pStyle w:val="FootnoteText"/>
      </w:pPr>
      <w:r>
        <w:rPr>
          <w:rStyle w:val="FootnoteReference"/>
        </w:rPr>
        <w:t>1</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2">
    <w:p w:rsidR="009970C1" w:rsidRPr="00F3765A" w:rsidRDefault="009970C1" w:rsidP="004B0044">
      <w:pPr>
        <w:pStyle w:val="FootnoteText"/>
      </w:pPr>
      <w:r>
        <w:rPr>
          <w:rStyle w:val="FootnoteReference"/>
        </w:rPr>
        <w:t>2</w:t>
      </w:r>
      <w:r>
        <w:t xml:space="preserve"> </w:t>
      </w:r>
      <w:r>
        <w:rPr>
          <w:lang w:val="en-US"/>
        </w:rPr>
        <w:tab/>
      </w:r>
      <w:r w:rsidRPr="00F3765A">
        <w:rPr>
          <w:lang w:val="en-US"/>
        </w:rPr>
        <w:t>Includes courier, messenger or other services.</w:t>
      </w:r>
    </w:p>
  </w:footnote>
  <w:footnote w:id="3">
    <w:p w:rsidR="009970C1" w:rsidRPr="00F3765A" w:rsidRDefault="009970C1" w:rsidP="004B0044">
      <w:pPr>
        <w:pStyle w:val="FootnoteText"/>
      </w:pPr>
      <w:r>
        <w:rPr>
          <w:rStyle w:val="FootnoteReference"/>
        </w:rPr>
        <w:t>3</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“it shall be examined in the date order of their receipt”, the French text stipulates that “… il les examinera dans l</w:t>
      </w:r>
      <w:r>
        <w:rPr>
          <w:lang w:val="en-US"/>
        </w:rPr>
        <w:t>'</w:t>
      </w:r>
      <w:r w:rsidRPr="00F3765A">
        <w:rPr>
          <w:lang w:val="en-US"/>
        </w:rPr>
        <w:t>ordre ou il les re</w:t>
      </w:r>
      <w:r>
        <w:rPr>
          <w:lang w:val="en-US"/>
        </w:rPr>
        <w:t>ç</w:t>
      </w:r>
      <w:r w:rsidRPr="00F3765A">
        <w:rPr>
          <w:lang w:val="en-US"/>
        </w:rPr>
        <w:t>oit”. There is no mention of “date”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B0706">
      <w:trPr>
        <w:cantSplit/>
      </w:trPr>
      <w:tc>
        <w:tcPr>
          <w:tcW w:w="1701" w:type="dxa"/>
          <w:tcBorders>
            <w:top w:val="single" w:sz="6" w:space="0" w:color="auto"/>
            <w:left w:val="single" w:sz="6" w:space="0" w:color="auto"/>
            <w:bottom w:val="single" w:sz="6" w:space="0" w:color="auto"/>
            <w:right w:val="single" w:sz="6" w:space="0" w:color="auto"/>
          </w:tcBorders>
        </w:tcPr>
        <w:p w:rsidR="002B0706" w:rsidRDefault="002B070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2B0706" w:rsidRDefault="002B0706">
          <w:pPr>
            <w:pStyle w:val="HeaderRegProc"/>
            <w:rPr>
              <w:lang w:val="en-US"/>
            </w:rPr>
          </w:pPr>
          <w:r>
            <w:fldChar w:fldCharType="begin"/>
          </w:r>
          <w:r>
            <w:rPr>
              <w:lang w:val="en-US"/>
            </w:rPr>
            <w:instrText>styleref href2</w:instrText>
          </w:r>
          <w:r>
            <w:fldChar w:fldCharType="separate"/>
          </w:r>
          <w:r w:rsidR="001D56EA">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B0706" w:rsidRDefault="002B0706">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1D56E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B0706" w:rsidRDefault="002B0706" w:rsidP="007A126D">
          <w:pPr>
            <w:pStyle w:val="HeaderRegProc"/>
            <w:rPr>
              <w:lang w:val="fr-CH"/>
            </w:rPr>
          </w:pPr>
          <w:r>
            <w:rPr>
              <w:lang w:val="fr-CH"/>
            </w:rPr>
            <w:t>rev.</w:t>
          </w:r>
          <w:r w:rsidR="007A126D">
            <w:t xml:space="preserve"> 1</w:t>
          </w:r>
        </w:p>
      </w:tc>
    </w:tr>
  </w:tbl>
  <w:p w:rsidR="002B0706" w:rsidRDefault="002B0706">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B0706">
      <w:trPr>
        <w:cantSplit/>
        <w:jc w:val="right"/>
      </w:trPr>
      <w:tc>
        <w:tcPr>
          <w:tcW w:w="1701" w:type="dxa"/>
          <w:tcBorders>
            <w:top w:val="single" w:sz="6" w:space="0" w:color="auto"/>
            <w:left w:val="single" w:sz="6" w:space="0" w:color="auto"/>
            <w:bottom w:val="single" w:sz="6" w:space="0" w:color="auto"/>
            <w:right w:val="single" w:sz="6" w:space="0" w:color="auto"/>
          </w:tcBorders>
        </w:tcPr>
        <w:p w:rsidR="002B0706" w:rsidRDefault="002B070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2B0706" w:rsidRDefault="002B0706">
          <w:pPr>
            <w:pStyle w:val="HeaderRegProc"/>
            <w:rPr>
              <w:lang w:val="en-US"/>
            </w:rPr>
          </w:pPr>
          <w:r>
            <w:fldChar w:fldCharType="begin"/>
          </w:r>
          <w:r>
            <w:rPr>
              <w:lang w:val="en-US"/>
            </w:rPr>
            <w:instrText>styleref href2</w:instrText>
          </w:r>
          <w:r>
            <w:fldChar w:fldCharType="separate"/>
          </w:r>
          <w:r w:rsidR="001D56EA">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B0706" w:rsidRDefault="002B070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D56E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B0706" w:rsidRDefault="002B0706" w:rsidP="007A126D">
          <w:pPr>
            <w:pStyle w:val="HeaderRegProc"/>
            <w:rPr>
              <w:lang w:val="fr-CH"/>
            </w:rPr>
          </w:pPr>
          <w:r>
            <w:rPr>
              <w:lang w:val="fr-CH"/>
            </w:rPr>
            <w:t>rev</w:t>
          </w:r>
          <w:r w:rsidR="008E7106">
            <w:rPr>
              <w:lang w:val="fr-CH"/>
            </w:rPr>
            <w:t>.</w:t>
          </w:r>
          <w:r w:rsidR="007A126D">
            <w:rPr>
              <w:lang w:val="fr-CH"/>
            </w:rPr>
            <w:t xml:space="preserve"> 1</w:t>
          </w:r>
        </w:p>
      </w:tc>
    </w:tr>
  </w:tbl>
  <w:p w:rsidR="002B0706" w:rsidRDefault="002B07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26D" w:rsidRDefault="007A126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A126D">
      <w:trPr>
        <w:cantSplit/>
      </w:trPr>
      <w:tc>
        <w:tcPr>
          <w:tcW w:w="1701" w:type="dxa"/>
          <w:tcBorders>
            <w:top w:val="single" w:sz="6" w:space="0" w:color="auto"/>
            <w:left w:val="single" w:sz="6" w:space="0" w:color="auto"/>
            <w:bottom w:val="single" w:sz="6" w:space="0" w:color="auto"/>
            <w:right w:val="single" w:sz="6" w:space="0" w:color="auto"/>
          </w:tcBorders>
        </w:tcPr>
        <w:p w:rsidR="007A126D" w:rsidRDefault="007A126D">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7A126D" w:rsidRDefault="007A126D">
          <w:pPr>
            <w:pStyle w:val="HeaderRegProc"/>
            <w:rPr>
              <w:lang w:val="en-US"/>
            </w:rPr>
          </w:pPr>
          <w:r>
            <w:fldChar w:fldCharType="begin"/>
          </w:r>
          <w:r>
            <w:rPr>
              <w:lang w:val="en-US"/>
            </w:rPr>
            <w:instrText>styleref href2</w:instrText>
          </w:r>
          <w:r>
            <w:fldChar w:fldCharType="separate"/>
          </w:r>
          <w:r w:rsidR="001D56EA">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A126D" w:rsidRDefault="007A126D">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1D56EA">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A126D" w:rsidRDefault="007A126D">
          <w:pPr>
            <w:pStyle w:val="HeaderRegProc"/>
            <w:rPr>
              <w:lang w:val="fr-CH"/>
            </w:rPr>
          </w:pPr>
          <w:r>
            <w:rPr>
              <w:lang w:val="fr-CH"/>
            </w:rPr>
            <w:t>rev.</w:t>
          </w:r>
          <w:r>
            <w:t>-</w:t>
          </w:r>
        </w:p>
      </w:tc>
    </w:tr>
  </w:tbl>
  <w:p w:rsidR="007A126D" w:rsidRDefault="007A126D">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70C1">
      <w:trPr>
        <w:cantSplit/>
        <w:jc w:val="right"/>
      </w:trPr>
      <w:tc>
        <w:tcPr>
          <w:tcW w:w="1701" w:type="dxa"/>
          <w:tcBorders>
            <w:top w:val="single" w:sz="6" w:space="0" w:color="auto"/>
            <w:left w:val="single" w:sz="6" w:space="0" w:color="auto"/>
            <w:bottom w:val="single" w:sz="6" w:space="0" w:color="auto"/>
            <w:right w:val="single" w:sz="6" w:space="0" w:color="auto"/>
          </w:tcBorders>
        </w:tcPr>
        <w:p w:rsidR="009970C1" w:rsidRDefault="009970C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970C1" w:rsidRDefault="009970C1">
          <w:pPr>
            <w:pStyle w:val="HeaderRegProc"/>
            <w:rPr>
              <w:lang w:val="en-US"/>
            </w:rPr>
          </w:pPr>
          <w:r>
            <w:fldChar w:fldCharType="begin"/>
          </w:r>
          <w:r>
            <w:rPr>
              <w:lang w:val="en-US"/>
            </w:rPr>
            <w:instrText>styleref href2</w:instrText>
          </w:r>
          <w:r>
            <w:fldChar w:fldCharType="separate"/>
          </w:r>
          <w:r w:rsidR="001D56EA">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9970C1" w:rsidRDefault="009970C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D56EA">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970C1" w:rsidRDefault="009970C1">
          <w:pPr>
            <w:pStyle w:val="HeaderRegProc"/>
            <w:rPr>
              <w:lang w:val="fr-CH"/>
            </w:rPr>
          </w:pPr>
          <w:r>
            <w:rPr>
              <w:lang w:val="fr-CH"/>
            </w:rPr>
            <w:t>rev.</w:t>
          </w:r>
          <w:r>
            <w:t>-</w:t>
          </w:r>
        </w:p>
      </w:tc>
    </w:tr>
  </w:tbl>
  <w:p w:rsidR="009970C1" w:rsidRDefault="009970C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2"/>
  </w:compat>
  <w:rsids>
    <w:rsidRoot w:val="00910747"/>
    <w:rsid w:val="000F264F"/>
    <w:rsid w:val="001D56EA"/>
    <w:rsid w:val="002B0706"/>
    <w:rsid w:val="002C18EA"/>
    <w:rsid w:val="003809B6"/>
    <w:rsid w:val="003D5CCB"/>
    <w:rsid w:val="003E610A"/>
    <w:rsid w:val="00404E18"/>
    <w:rsid w:val="00450730"/>
    <w:rsid w:val="004B0044"/>
    <w:rsid w:val="00503E9E"/>
    <w:rsid w:val="005909E8"/>
    <w:rsid w:val="00642765"/>
    <w:rsid w:val="006C4065"/>
    <w:rsid w:val="007054AB"/>
    <w:rsid w:val="007A126D"/>
    <w:rsid w:val="007C70D7"/>
    <w:rsid w:val="00814A83"/>
    <w:rsid w:val="008E7106"/>
    <w:rsid w:val="00910747"/>
    <w:rsid w:val="009970C1"/>
    <w:rsid w:val="00A20629"/>
    <w:rsid w:val="00C80872"/>
    <w:rsid w:val="00DB3204"/>
    <w:rsid w:val="00E36754"/>
    <w:rsid w:val="00E860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82F13-8E4A-4EA6-A6BD-C437B4A6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TotalTime>
  <Pages>7</Pages>
  <Words>1935</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14</cp:revision>
  <cp:lastPrinted>2005-04-29T09:55:00Z</cp:lastPrinted>
  <dcterms:created xsi:type="dcterms:W3CDTF">2012-08-08T06:48:00Z</dcterms:created>
  <dcterms:modified xsi:type="dcterms:W3CDTF">2012-11-07T15:42:00Z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