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784" w:rsidRDefault="00334784" w:rsidP="005B01CC">
      <w:pPr>
        <w:tabs>
          <w:tab w:val="clear" w:pos="794"/>
          <w:tab w:val="clear" w:pos="1191"/>
          <w:tab w:val="clear" w:pos="1588"/>
          <w:tab w:val="clear" w:pos="1985"/>
        </w:tabs>
        <w:spacing w:before="200"/>
        <w:jc w:val="center"/>
        <w:rPr>
          <w:rFonts w:ascii="Times New Roman Bold" w:hAnsi="Times New Roman Bold"/>
          <w:b/>
          <w:bCs/>
          <w:rtl/>
          <w:lang w:val="en-US" w:bidi="ar-EG"/>
        </w:rPr>
      </w:pPr>
      <w:r>
        <w:rPr>
          <w:rFonts w:hint="cs"/>
          <w:b/>
          <w:bCs/>
          <w:sz w:val="28"/>
          <w:szCs w:val="40"/>
          <w:rtl/>
          <w:lang w:bidi="ar-EG"/>
        </w:rPr>
        <w:t xml:space="preserve">الجزء </w:t>
      </w:r>
      <w:r>
        <w:rPr>
          <w:b/>
          <w:bCs/>
          <w:sz w:val="28"/>
          <w:szCs w:val="40"/>
          <w:lang w:val="en-US" w:bidi="ar-EG"/>
        </w:rPr>
        <w:t>10A</w:t>
      </w:r>
    </w:p>
    <w:p w:rsidR="00334784" w:rsidRDefault="00334784">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القواعد المتعلقة بالاتفاق الإقليمي المعني بتخطيط </w:t>
      </w:r>
      <w:r>
        <w:rPr>
          <w:b/>
          <w:bCs/>
          <w:sz w:val="28"/>
          <w:szCs w:val="40"/>
          <w:rtl/>
          <w:lang w:bidi="ar-EG"/>
        </w:rPr>
        <w:br/>
      </w:r>
      <w:r>
        <w:rPr>
          <w:rFonts w:hint="cs"/>
          <w:b/>
          <w:bCs/>
          <w:sz w:val="28"/>
          <w:szCs w:val="40"/>
          <w:rtl/>
          <w:lang w:bidi="ar-EG"/>
        </w:rPr>
        <w:t xml:space="preserve">الخدمة الإذاعية الرقمية للأرض في أجزاء من الإقليمين </w:t>
      </w:r>
      <w:r>
        <w:rPr>
          <w:b/>
          <w:bCs/>
          <w:sz w:val="28"/>
          <w:szCs w:val="40"/>
          <w:lang w:val="en-US" w:bidi="ar-EG"/>
        </w:rPr>
        <w:t>1</w:t>
      </w:r>
      <w:r>
        <w:rPr>
          <w:rFonts w:hint="cs"/>
          <w:b/>
          <w:bCs/>
          <w:sz w:val="28"/>
          <w:szCs w:val="40"/>
          <w:rtl/>
          <w:lang w:val="en-US" w:bidi="ar-EG"/>
        </w:rPr>
        <w:t xml:space="preserve"> و</w:t>
      </w:r>
      <w:r>
        <w:rPr>
          <w:b/>
          <w:bCs/>
          <w:sz w:val="28"/>
          <w:szCs w:val="40"/>
          <w:lang w:val="en-US" w:bidi="ar-EG"/>
        </w:rPr>
        <w:t>3</w:t>
      </w:r>
      <w:r>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في نطاقي الترددات </w:t>
      </w:r>
      <w:r>
        <w:rPr>
          <w:b/>
          <w:bCs/>
          <w:sz w:val="28"/>
          <w:szCs w:val="40"/>
          <w:lang w:val="en-US" w:bidi="ar-EG"/>
        </w:rPr>
        <w:t>MHz 230-174</w:t>
      </w:r>
      <w:r>
        <w:rPr>
          <w:rFonts w:hint="cs"/>
          <w:b/>
          <w:bCs/>
          <w:sz w:val="28"/>
          <w:szCs w:val="40"/>
          <w:rtl/>
          <w:lang w:val="en-US" w:bidi="ar-EG"/>
        </w:rPr>
        <w:t xml:space="preserve"> و</w:t>
      </w:r>
      <w:r>
        <w:rPr>
          <w:b/>
          <w:bCs/>
          <w:sz w:val="28"/>
          <w:szCs w:val="40"/>
          <w:lang w:val="en-US" w:bidi="ar-EG"/>
        </w:rPr>
        <w:t>MHz 862-470</w:t>
      </w:r>
      <w:r w:rsidR="005B01CC">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(جنيف، </w:t>
      </w:r>
      <w:r>
        <w:rPr>
          <w:b/>
          <w:bCs/>
          <w:sz w:val="28"/>
          <w:szCs w:val="40"/>
          <w:lang w:val="en-US" w:bidi="ar-EG"/>
        </w:rPr>
        <w:t>2006</w:t>
      </w:r>
      <w:r>
        <w:rPr>
          <w:rFonts w:hint="cs"/>
          <w:b/>
          <w:bCs/>
          <w:sz w:val="28"/>
          <w:szCs w:val="40"/>
          <w:rtl/>
          <w:lang w:val="en-US" w:bidi="ar-EG"/>
        </w:rPr>
        <w:t xml:space="preserve">) </w:t>
      </w:r>
      <w:r>
        <w:rPr>
          <w:b/>
          <w:bCs/>
          <w:sz w:val="28"/>
          <w:szCs w:val="40"/>
          <w:lang w:val="en-US" w:bidi="ar-EG"/>
        </w:rPr>
        <w:t>(GE06)</w:t>
      </w:r>
    </w:p>
    <w:p w:rsidR="00334784" w:rsidRDefault="00334784" w:rsidP="00056035">
      <w:pPr>
        <w:spacing w:before="0"/>
        <w:rPr>
          <w:rtl/>
          <w:lang w:val="en-US" w:bidi="ar-EG"/>
        </w:rPr>
      </w:pPr>
    </w:p>
    <w:p w:rsidR="00334784" w:rsidRDefault="00334784" w:rsidP="00E9550A">
      <w:pPr>
        <w:pStyle w:val="StyleHeading1ComplexBold"/>
        <w:rPr>
          <w:rtl/>
          <w:lang w:val="en-US" w:bidi="ar-EG"/>
        </w:rPr>
      </w:pPr>
      <w:r>
        <w:rPr>
          <w:lang w:val="en-US" w:bidi="ar-EG"/>
        </w:rPr>
        <w:t>1</w:t>
      </w:r>
      <w:r>
        <w:rPr>
          <w:rFonts w:hint="cs"/>
          <w:rtl/>
          <w:lang w:val="en-US" w:bidi="ar-EG"/>
        </w:rPr>
        <w:tab/>
        <w:t>قبول بطاقات التبليغ</w:t>
      </w:r>
    </w:p>
    <w:p w:rsidR="00334784" w:rsidRDefault="00334784" w:rsidP="00A54132">
      <w:pPr>
        <w:spacing w:before="240"/>
        <w:rPr>
          <w:lang w:val="en-US" w:bidi="ar-EG"/>
        </w:rPr>
      </w:pPr>
      <w:r>
        <w:rPr>
          <w:rFonts w:hint="cs"/>
          <w:rtl/>
          <w:lang w:val="en-US" w:bidi="ar-EG"/>
        </w:rPr>
        <w:t xml:space="preserve">عند تطبيق الاتفاق الإقليمي المعني بتخطيط الخدمة الإذاعية الرقمية للأرض في الإقليم </w:t>
      </w:r>
      <w:r>
        <w:rPr>
          <w:lang w:val="en-US" w:bidi="ar-EG"/>
        </w:rPr>
        <w:t>1</w:t>
      </w:r>
      <w:r>
        <w:rPr>
          <w:rFonts w:hint="cs"/>
          <w:rtl/>
          <w:lang w:val="en-US" w:bidi="ar-EG"/>
        </w:rPr>
        <w:t xml:space="preserve"> (أجزاء من الإقليم </w:t>
      </w:r>
      <w:r>
        <w:rPr>
          <w:lang w:val="en-US" w:bidi="ar-EG"/>
        </w:rPr>
        <w:t>1</w:t>
      </w:r>
      <w:r>
        <w:rPr>
          <w:rFonts w:hint="cs"/>
          <w:rtl/>
          <w:lang w:val="en-US" w:bidi="ar-EG"/>
        </w:rPr>
        <w:t xml:space="preserve"> الواقعة غرب دائرة الطول </w:t>
      </w:r>
      <w:r>
        <w:rPr>
          <w:rFonts w:cs="Times New Roman"/>
          <w:lang w:val="en-US" w:bidi="ar-EG"/>
        </w:rPr>
        <w:t>°</w:t>
      </w:r>
      <w:r>
        <w:rPr>
          <w:lang w:val="en-US" w:bidi="ar-EG"/>
        </w:rPr>
        <w:t>170</w:t>
      </w:r>
      <w:r>
        <w:rPr>
          <w:rFonts w:hint="cs"/>
          <w:rtl/>
          <w:lang w:val="en-US" w:bidi="ar-EG"/>
        </w:rPr>
        <w:t xml:space="preserve"> شرقاً وشمال دائرة العرض </w:t>
      </w:r>
      <w:r>
        <w:rPr>
          <w:rFonts w:cs="Times New Roman"/>
          <w:lang w:val="en-US" w:bidi="ar-EG"/>
        </w:rPr>
        <w:t>°</w:t>
      </w:r>
      <w:r>
        <w:rPr>
          <w:lang w:val="en-US" w:bidi="ar-EG"/>
        </w:rPr>
        <w:t>40</w:t>
      </w:r>
      <w:r>
        <w:rPr>
          <w:rFonts w:hint="cs"/>
          <w:rtl/>
          <w:lang w:val="en-US" w:bidi="ar-EG"/>
        </w:rPr>
        <w:t xml:space="preserve"> </w:t>
      </w:r>
      <w:r w:rsidR="00A54132">
        <w:rPr>
          <w:rFonts w:hint="cs"/>
          <w:rtl/>
          <w:lang w:val="en-US" w:bidi="ar-EG"/>
        </w:rPr>
        <w:t>جنوباً</w:t>
      </w:r>
      <w:r>
        <w:rPr>
          <w:rFonts w:hint="cs"/>
          <w:rtl/>
          <w:lang w:val="en-US" w:bidi="ar-EG"/>
        </w:rPr>
        <w:t xml:space="preserve"> باستثناء أراضي منغوليا) وفي جمهورية إيران الإسلامية، في نطاقي الترددات </w:t>
      </w:r>
      <w:r>
        <w:rPr>
          <w:lang w:val="en-US" w:bidi="ar-EG"/>
        </w:rPr>
        <w:t>MHz 230-174</w:t>
      </w:r>
      <w:r>
        <w:rPr>
          <w:rFonts w:hint="cs"/>
          <w:rtl/>
          <w:lang w:val="en-US" w:bidi="ar-EG"/>
        </w:rPr>
        <w:t xml:space="preserve"> و</w:t>
      </w:r>
      <w:r>
        <w:rPr>
          <w:lang w:val="en-US" w:bidi="ar-EG"/>
        </w:rPr>
        <w:t>MHz 862-470</w:t>
      </w:r>
      <w:r>
        <w:rPr>
          <w:rFonts w:hint="cs"/>
          <w:rtl/>
          <w:lang w:val="en-US" w:bidi="ar-EG"/>
        </w:rPr>
        <w:t xml:space="preserve"> (جنيف، </w:t>
      </w:r>
      <w:r>
        <w:rPr>
          <w:lang w:val="en-US" w:bidi="ar-EG"/>
        </w:rPr>
        <w:t>2006</w:t>
      </w:r>
      <w:r>
        <w:rPr>
          <w:rFonts w:hint="cs"/>
          <w:rtl/>
          <w:lang w:val="en-US" w:bidi="ar-EG"/>
        </w:rPr>
        <w:t xml:space="preserve">)، يطبق المكتب الإجراءات الواردة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بشأن بطاقات التبليغ من جميع الإدارات التي لها أراضي في منطقة التخطيط شريطة أن تكون المحطة المعنية (أو منطقة التعيين المعنية) واقعة داخل منطقة التخطيط.</w:t>
      </w:r>
    </w:p>
    <w:p w:rsidR="00334784" w:rsidRDefault="00334784">
      <w:pPr>
        <w:rPr>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4</w:t>
            </w:r>
          </w:p>
        </w:tc>
      </w:tr>
    </w:tbl>
    <w:p w:rsidR="00334784" w:rsidRPr="00D7203A" w:rsidRDefault="00334784" w:rsidP="00056035">
      <w:pPr>
        <w:pStyle w:val="Arttitle"/>
        <w:spacing w:before="360"/>
        <w:rPr>
          <w:b w:val="0"/>
          <w:bCs/>
          <w:rtl/>
          <w:lang w:bidi="ar-EG"/>
        </w:rPr>
      </w:pPr>
      <w:r w:rsidRPr="00D7203A">
        <w:rPr>
          <w:rFonts w:hint="cs"/>
          <w:b w:val="0"/>
          <w:bCs/>
          <w:rtl/>
          <w:lang w:bidi="ar-EG"/>
        </w:rPr>
        <w:t>إجراء تعديل الخطتين وإجراء تنسيق الخدمات الأولية الأخرى للأرض</w:t>
      </w:r>
    </w:p>
    <w:p w:rsidR="00334784" w:rsidRDefault="00334784" w:rsidP="00056035">
      <w:pPr>
        <w:pStyle w:val="Normalaftertitle"/>
        <w:spacing w:before="120"/>
        <w:rPr>
          <w:rtl/>
          <w:lang w:bidi="ar-EG"/>
        </w:rPr>
      </w:pPr>
    </w:p>
    <w:tbl>
      <w:tblPr>
        <w:bidiVisual/>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rPr>
                <w:b/>
                <w:bCs/>
                <w:lang w:val="en-US"/>
              </w:rPr>
            </w:pPr>
            <w:r>
              <w:rPr>
                <w:b/>
                <w:bCs/>
                <w:lang w:val="en-US"/>
              </w:rPr>
              <w:t>1.1.4</w:t>
            </w:r>
          </w:p>
        </w:tc>
      </w:tr>
    </w:tbl>
    <w:p w:rsidR="00334784" w:rsidRDefault="00334784" w:rsidP="00E9550A">
      <w:pPr>
        <w:tabs>
          <w:tab w:val="clear" w:pos="794"/>
        </w:tabs>
        <w:spacing w:before="240"/>
        <w:rPr>
          <w:lang w:val="en-US" w:bidi="ar-EG"/>
        </w:rPr>
      </w:pPr>
      <w:r>
        <w:rPr>
          <w:lang w:val="en-US" w:bidi="ar-EG"/>
        </w:rPr>
        <w:t xml:space="preserve"> (1</w:t>
      </w:r>
      <w:r>
        <w:rPr>
          <w:rFonts w:hint="cs"/>
          <w:rtl/>
          <w:lang w:val="en-US" w:bidi="ar-EG"/>
        </w:rPr>
        <w:tab/>
        <w:t xml:space="preserve">يذكر هذا الحكم مختلف الحالات المتوخاة في إجراء تعديل في </w:t>
      </w:r>
      <w:r>
        <w:rPr>
          <w:rFonts w:hint="cs"/>
          <w:i/>
          <w:iCs/>
          <w:rtl/>
        </w:rPr>
        <w:t>الخطتين</w:t>
      </w:r>
      <w:r>
        <w:rPr>
          <w:rFonts w:hint="cs"/>
          <w:rtl/>
        </w:rPr>
        <w:t xml:space="preserve">. والإجراء في جوهره ينص على نهج مرحلي إذا رغبت أي إدارة أن تضيف إلى الخطة الرقمية تعييناً وتخصيصات ناشئة عن </w:t>
      </w:r>
      <w:r>
        <w:rPr>
          <w:rFonts w:hint="cs"/>
          <w:i/>
          <w:iCs/>
          <w:rtl/>
          <w:lang w:val="en-US" w:bidi="ar-EG"/>
        </w:rPr>
        <w:t>هذا</w:t>
      </w:r>
      <w:r>
        <w:rPr>
          <w:rFonts w:hint="cs"/>
          <w:rtl/>
        </w:rPr>
        <w:t xml:space="preserve"> التعيين: إذ يتعين على الإدارة أولاً أن تستكمل بنجاح إجراء تعديل الخطة فيما يتعلق بالتعيين؛ وبعد دخول التعيين في الخطة الرقمية تستطيع الإدارة أن تطبق الإجراء المشار إليه في الرقم </w:t>
      </w:r>
      <w:r>
        <w:rPr>
          <w:lang w:val="en-US"/>
        </w:rPr>
        <w:t>1.1.4</w:t>
      </w:r>
      <w:r>
        <w:rPr>
          <w:rFonts w:hint="cs"/>
          <w:rtl/>
          <w:lang w:val="en-US" w:bidi="ar-EG"/>
        </w:rPr>
        <w:t xml:space="preserve"> </w:t>
      </w:r>
      <w:r w:rsidRPr="00DC147B">
        <w:rPr>
          <w:rFonts w:hint="cs"/>
          <w:i/>
          <w:iCs/>
          <w:rtl/>
          <w:lang w:val="en-US" w:bidi="ar-EG"/>
        </w:rPr>
        <w:t>ج)</w:t>
      </w:r>
      <w:r>
        <w:rPr>
          <w:rFonts w:hint="cs"/>
          <w:rtl/>
          <w:lang w:val="en-US" w:bidi="ar-EG"/>
        </w:rPr>
        <w:t>. ولذلك خلصت اللجنة إلى أنه ليس من الممكن القيام في وقت واحد بتطبيق إجراء إضافة تعيين في الخطة وإجراء إضافة تخصيصات ناشئة عن ذلك التعيين وكلّفت المكتب بأن يعمل بناءً على ذلك.</w:t>
      </w:r>
    </w:p>
    <w:p w:rsidR="00334784" w:rsidRDefault="00D672EC" w:rsidP="007E6810">
      <w:pPr>
        <w:tabs>
          <w:tab w:val="clear" w:pos="794"/>
        </w:tabs>
        <w:rPr>
          <w:rtl/>
          <w:lang w:val="en-US" w:bidi="ar-EG"/>
        </w:rPr>
      </w:pPr>
      <w:r>
        <w:rPr>
          <w:lang w:val="en-US" w:bidi="ar-EG"/>
        </w:rPr>
        <w:br w:type="page"/>
      </w:r>
      <w:r w:rsidR="00334784">
        <w:rPr>
          <w:lang w:val="en-US" w:bidi="ar-EG"/>
        </w:rPr>
        <w:lastRenderedPageBreak/>
        <w:t>(2</w:t>
      </w:r>
      <w:r w:rsidR="00334784">
        <w:rPr>
          <w:rFonts w:hint="cs"/>
          <w:rtl/>
          <w:lang w:val="en-US" w:bidi="ar-EG"/>
        </w:rPr>
        <w:tab/>
        <w:t>في حالة التغييرات المقترحة لخصائص تعيين مدرج فعلاً في الخطة ويشمل أيضاً تخصيصاً واحداً أو عدة تخصيصات ناشئة عن التعيين الموجود فعلاً في الخطة يتبع المكتب الإجراء التالي:</w:t>
      </w:r>
    </w:p>
    <w:p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عند تطبيق الرقم </w:t>
      </w:r>
      <w:r>
        <w:rPr>
          <w:lang w:val="en-US" w:bidi="ar-EG"/>
        </w:rPr>
        <w:t>1.1.4</w:t>
      </w:r>
      <w:r>
        <w:rPr>
          <w:rFonts w:hint="cs"/>
          <w:rtl/>
          <w:lang w:val="en-US" w:bidi="ar-EG"/>
        </w:rPr>
        <w:t xml:space="preserve"> </w:t>
      </w:r>
      <w:r w:rsidRPr="00DC147B">
        <w:rPr>
          <w:rFonts w:hint="cs"/>
          <w:i/>
          <w:iCs/>
          <w:rtl/>
          <w:lang w:val="en-US" w:bidi="ar-EG"/>
        </w:rPr>
        <w:t>أ)</w:t>
      </w:r>
      <w:r>
        <w:rPr>
          <w:rFonts w:hint="cs"/>
          <w:rtl/>
          <w:lang w:val="en-US" w:bidi="ar-EG"/>
        </w:rPr>
        <w:t xml:space="preserve"> ينشر المكتب خصائص التعيين المعدّل؛ ولهذا الغرض يدرج المكتب ما قد يلزم من ملاحظات في القسم الخاص المعني للإشارة إلى الحالة المنطبقة، أي: </w:t>
      </w:r>
      <w:r>
        <w:rPr>
          <w:lang w:val="en-US" w:bidi="ar-EG"/>
        </w:rPr>
        <w:t>(1)</w:t>
      </w:r>
      <w:r>
        <w:rPr>
          <w:rFonts w:hint="cs"/>
          <w:rtl/>
          <w:lang w:val="en-US" w:bidi="ar-EG"/>
        </w:rPr>
        <w:t xml:space="preserve"> أن الخطة تتضمن واحداً أو أكثر من التخصيصات الناشئة عن التعيين الأصلي والتي سيتم استعراضها بعد استكمال إجراء تعديل الخطة بنجاح فيما يتعلق بالتعيين المعني، و</w:t>
      </w:r>
      <w:r>
        <w:rPr>
          <w:lang w:val="en-US" w:bidi="ar-EG"/>
        </w:rPr>
        <w:t>(2)</w:t>
      </w:r>
      <w:r>
        <w:rPr>
          <w:rFonts w:hint="cs"/>
          <w:rtl/>
          <w:lang w:val="en-US" w:bidi="ar-EG"/>
        </w:rPr>
        <w:t xml:space="preserve"> أن الإدارة المعنية أعلنت عن تقديمها معلومات بشأن تخصيصات أخرى ناشئة عن التعيين المعدل، وسيتم تفحصها بعد استكمال إجراء تعديل الخطة بنجاح فيما يتعلق بالتعيين المعدل وتوضيحها بالشكل المناسب في قسم خاص آخر؛</w:t>
      </w:r>
    </w:p>
    <w:p w:rsidR="00334784" w:rsidRDefault="00334784" w:rsidP="00056035">
      <w:pPr>
        <w:pStyle w:val="Styleenumlev1After0cmBefore6pt"/>
        <w:rPr>
          <w:rtl/>
          <w:lang w:val="en-US" w:bidi="ar-EG"/>
        </w:rPr>
      </w:pPr>
      <w:r>
        <w:rPr>
          <w:rFonts w:hint="cs"/>
          <w:rtl/>
          <w:lang w:val="en-US" w:bidi="ar-EG"/>
        </w:rPr>
        <w:t>-</w:t>
      </w:r>
      <w:r>
        <w:rPr>
          <w:rFonts w:hint="cs"/>
          <w:rtl/>
          <w:lang w:val="en-US" w:bidi="ar-EG"/>
        </w:rPr>
        <w:tab/>
        <w:t>إلى أن يتم استكمال إجراء تعديل الخطة بنجاح فيما يتعلق بالتعيين المعدّل، يحتفظ المكتب بالتعيين السابق (مع التخصيصات الناشئة عن ذلك التعيين)؛</w:t>
      </w:r>
    </w:p>
    <w:p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بعد استكمال إجراء تعديل الخطة بنجاح فيما يتعلق بالتعيين المعدّل، يدرجه المكتب في الخطة (كبديل للتعيين السابق) ويتفحص جميع التخصيصات الناشئة عن التعيين السابق، في حالة وجودها، من حيث توافقها مع التعيين البديل. فإذا كانت التخصيصات متوافقة مع التعيين البديل، تبقى في الخطة، وإلا يتم حذفها من الخطة وإعلام الإدارة المعنية بذلك. ويجوز للإدارة المبلغة إذا رغبت أن تقدّم تخصيصات أخرى ناشئة عن التعيين المعدّل بموجب الحكم </w:t>
      </w:r>
      <w:r>
        <w:rPr>
          <w:lang w:val="en-US" w:bidi="ar-EG"/>
        </w:rPr>
        <w:t>1.1.4</w:t>
      </w:r>
      <w:r>
        <w:rPr>
          <w:rFonts w:hint="cs"/>
          <w:rtl/>
          <w:lang w:val="en-US" w:bidi="ar-EG"/>
        </w:rPr>
        <w:t xml:space="preserve"> </w:t>
      </w:r>
      <w:r w:rsidRPr="00DC147B">
        <w:rPr>
          <w:rFonts w:hint="cs"/>
          <w:i/>
          <w:iCs/>
          <w:rtl/>
          <w:lang w:val="en-US" w:bidi="ar-EG"/>
        </w:rPr>
        <w:t>ج)</w:t>
      </w:r>
      <w:r>
        <w:rPr>
          <w:rFonts w:hint="cs"/>
          <w:rtl/>
          <w:lang w:val="en-US" w:bidi="ar-EG"/>
        </w:rPr>
        <w:t xml:space="preserve">؛ وبعد استلام هذه التخصيصات الأخرى الناشئة عن التعيين المعدّل يتفحصها المكتب بموجب الرقم </w:t>
      </w:r>
      <w:r>
        <w:rPr>
          <w:lang w:val="en-US" w:bidi="ar-EG"/>
        </w:rPr>
        <w:t>7.2.1.4</w:t>
      </w:r>
      <w:r>
        <w:rPr>
          <w:rFonts w:hint="cs"/>
          <w:rtl/>
          <w:lang w:val="en-US" w:bidi="ar-EG"/>
        </w:rPr>
        <w:t xml:space="preserve"> ويتصرف بناءً على ذلك.</w:t>
      </w:r>
    </w:p>
    <w:p w:rsidR="00334784" w:rsidRDefault="00334784">
      <w:pPr>
        <w:tabs>
          <w:tab w:val="clear" w:pos="794"/>
          <w:tab w:val="clear" w:pos="1191"/>
          <w:tab w:val="clear" w:pos="1588"/>
          <w:tab w:val="clear" w:pos="1985"/>
        </w:tabs>
        <w:spacing w:before="4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rPr>
                <w:b/>
                <w:bCs/>
                <w:rtl/>
                <w:lang w:val="en-US" w:bidi="ar-EG"/>
              </w:rPr>
            </w:pPr>
            <w:r>
              <w:rPr>
                <w:rFonts w:hint="cs"/>
                <w:b/>
                <w:bCs/>
                <w:rtl/>
                <w:lang w:val="en-US" w:bidi="ar-EG"/>
              </w:rPr>
              <w:t xml:space="preserve">المادة </w:t>
            </w:r>
            <w:r>
              <w:rPr>
                <w:b/>
                <w:bCs/>
                <w:lang w:val="en-US" w:bidi="ar-EG"/>
              </w:rPr>
              <w:t>5</w:t>
            </w:r>
          </w:p>
        </w:tc>
      </w:tr>
    </w:tbl>
    <w:p w:rsidR="00334784" w:rsidRDefault="00334784">
      <w:pPr>
        <w:pStyle w:val="Arttitle"/>
        <w:rPr>
          <w:b w:val="0"/>
          <w:bCs/>
          <w:lang w:val="en-US" w:bidi="ar-EG"/>
        </w:rPr>
      </w:pPr>
      <w:r>
        <w:rPr>
          <w:rFonts w:hint="cs"/>
          <w:b w:val="0"/>
          <w:bCs/>
          <w:rtl/>
          <w:lang w:val="en-US" w:bidi="ar-EG"/>
        </w:rPr>
        <w:t>التبليغ عن تخصيصات التردد</w:t>
      </w:r>
    </w:p>
    <w:p w:rsidR="00334784" w:rsidRDefault="00334784">
      <w:pPr>
        <w:tabs>
          <w:tab w:val="clear" w:pos="794"/>
          <w:tab w:val="clear" w:pos="1191"/>
          <w:tab w:val="clear" w:pos="1588"/>
          <w:tab w:val="clear" w:pos="1985"/>
        </w:tabs>
        <w:spacing w:before="44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rPr>
                <w:b/>
                <w:bCs/>
                <w:rtl/>
                <w:lang w:val="en-US" w:bidi="ar-EG"/>
              </w:rPr>
            </w:pPr>
            <w:r>
              <w:rPr>
                <w:b/>
                <w:bCs/>
                <w:lang w:val="en-US" w:bidi="ar-EG"/>
              </w:rPr>
              <w:t>2.1.5</w:t>
            </w:r>
          </w:p>
        </w:tc>
      </w:tr>
    </w:tbl>
    <w:p w:rsidR="00334784" w:rsidRDefault="00334784" w:rsidP="00E9550A">
      <w:pPr>
        <w:tabs>
          <w:tab w:val="clear" w:pos="794"/>
        </w:tabs>
        <w:spacing w:before="480"/>
        <w:rPr>
          <w:lang w:val="en-US" w:bidi="ar-EG"/>
        </w:rPr>
      </w:pPr>
      <w:r>
        <w:rPr>
          <w:lang w:val="en-US" w:bidi="ar-EG"/>
        </w:rPr>
        <w:t>(1</w:t>
      </w:r>
      <w:r>
        <w:rPr>
          <w:rFonts w:hint="cs"/>
          <w:rtl/>
          <w:lang w:val="en-US" w:bidi="ar-EG"/>
        </w:rPr>
        <w:tab/>
        <w:t xml:space="preserve">يتناول هذا الحكم فحص التخصيص الذي يجريه المكتب فيما يتعلق بالرقم </w:t>
      </w:r>
      <w:r>
        <w:rPr>
          <w:b/>
          <w:bCs/>
          <w:lang w:val="en-US" w:bidi="ar-EG"/>
        </w:rPr>
        <w:t>34.11</w:t>
      </w:r>
      <w:r>
        <w:rPr>
          <w:rFonts w:hint="cs"/>
          <w:b/>
          <w:bCs/>
          <w:rtl/>
          <w:lang w:val="en-US" w:bidi="ar-EG"/>
        </w:rPr>
        <w:t xml:space="preserve"> </w:t>
      </w:r>
      <w:r>
        <w:rPr>
          <w:rFonts w:hint="cs"/>
          <w:rtl/>
        </w:rPr>
        <w:t xml:space="preserve">من لوائح الراديو، أي امتثاله للخطتين والأحكام المرتبطة بهما. وفي حالة تخصيص للتلفزيون التماثلي تنطبق الفقرة الفرعية </w:t>
      </w:r>
      <w:r>
        <w:rPr>
          <w:rFonts w:hint="cs"/>
          <w:rtl/>
          <w:lang w:val="en-US" w:bidi="ar-EG"/>
        </w:rPr>
        <w:t xml:space="preserve">أ) وهي تتطلب الوفاء بشروط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ومع ذلك فإن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لا يتناول سوى فحص الامتثال للبند المدرج في الخطة الرقمية. وخلصت اللجنة، قياساً على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xml:space="preserve"> (الذي يتناول مدخلاً في الخطة الرقمية يتألف من تخصيص واحد فقط)</w:t>
      </w:r>
      <w:r w:rsidR="00307FE4">
        <w:rPr>
          <w:rFonts w:hint="cs"/>
          <w:rtl/>
          <w:lang w:val="en-US" w:bidi="ar-EG"/>
        </w:rPr>
        <w:t>،</w:t>
      </w:r>
      <w:r>
        <w:rPr>
          <w:rFonts w:hint="cs"/>
          <w:rtl/>
          <w:lang w:val="en-US" w:bidi="ar-EG"/>
        </w:rPr>
        <w:t xml:space="preserve"> إلى أن تخصيص ا</w:t>
      </w:r>
      <w:r w:rsidR="00307FE4">
        <w:rPr>
          <w:rFonts w:hint="cs"/>
          <w:rtl/>
          <w:lang w:val="en-US" w:bidi="ar-EG"/>
        </w:rPr>
        <w:t>لتردد المبلغ عنه لتخصيص تلفزيون</w:t>
      </w:r>
      <w:r>
        <w:rPr>
          <w:rFonts w:hint="cs"/>
          <w:rtl/>
          <w:lang w:val="en-US" w:bidi="ar-EG"/>
        </w:rPr>
        <w:t xml:space="preserve"> تماثلي سيعتبر ممتثلاً للخطة التلفزيونية التماثلية إذا كان يفي بالشروط المحددة في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بعد تكييفها لحالة تخصيص التلفزيون التماثلي.</w:t>
      </w:r>
    </w:p>
    <w:p w:rsidR="003B4DA4" w:rsidRDefault="003B4DA4" w:rsidP="003B4DA4">
      <w:pPr>
        <w:spacing w:after="120"/>
        <w:rPr>
          <w:lang w:val="en-US" w:bidi="ar-EG"/>
        </w:rPr>
      </w:pPr>
      <w:r>
        <w:rPr>
          <w:lang w:val="en-US" w:bidi="ar-EG"/>
        </w:rPr>
        <w:br w:type="page"/>
      </w:r>
      <w:r>
        <w:rPr>
          <w:lang w:val="en-US" w:bidi="ar-EG"/>
        </w:rPr>
        <w:lastRenderedPageBreak/>
        <w:t>(2</w:t>
      </w:r>
      <w:r>
        <w:rPr>
          <w:rtl/>
          <w:lang w:val="en-US" w:bidi="ar-EG"/>
        </w:rPr>
        <w:tab/>
        <w:t xml:space="preserve">وبالإضافة إلى ذلك، خلصت اللجنة إلى أن تخصيصات التلفزيون التماثلي في النطاقين </w:t>
      </w:r>
      <w:r>
        <w:rPr>
          <w:lang w:val="en-US" w:bidi="ar-EG"/>
        </w:rPr>
        <w:t>MHz 230-174</w:t>
      </w:r>
      <w:r>
        <w:rPr>
          <w:rtl/>
          <w:lang w:val="en-US" w:bidi="ar-EG"/>
        </w:rPr>
        <w:t xml:space="preserve"> (النطاق </w:t>
      </w:r>
      <w:r>
        <w:rPr>
          <w:lang w:val="en-US" w:bidi="ar-EG"/>
        </w:rPr>
        <w:t>MHz 230-170</w:t>
      </w:r>
      <w:r>
        <w:rPr>
          <w:rtl/>
          <w:lang w:val="en-US" w:bidi="ar-EG"/>
        </w:rPr>
        <w:t xml:space="preserve"> في حالة المغرب) و</w:t>
      </w:r>
      <w:r>
        <w:rPr>
          <w:lang w:val="en-US" w:bidi="ar-EG"/>
        </w:rPr>
        <w:t>MHz 862-470</w:t>
      </w:r>
      <w:r>
        <w:rPr>
          <w:rtl/>
          <w:lang w:val="en-US" w:bidi="ar-EG"/>
        </w:rPr>
        <w:t xml:space="preserve">، التي سجلت في السجل الأساسي في وقت وضع الخطة التماثلية للاتفاق </w:t>
      </w:r>
      <w:r>
        <w:rPr>
          <w:lang w:val="en-US" w:bidi="ar-EG"/>
        </w:rPr>
        <w:t>GE06</w:t>
      </w:r>
      <w:r>
        <w:rPr>
          <w:rtl/>
          <w:lang w:val="en-US" w:bidi="ar-EG"/>
        </w:rPr>
        <w:t xml:space="preserve"> بنتائج مؤاتية بموجب الرقم </w:t>
      </w:r>
      <w:r>
        <w:rPr>
          <w:b/>
          <w:bCs/>
          <w:lang w:val="en-US" w:bidi="ar-EG"/>
        </w:rPr>
        <w:t>34.11</w:t>
      </w:r>
      <w:r>
        <w:rPr>
          <w:rtl/>
          <w:lang w:bidi="ar-EG"/>
        </w:rPr>
        <w:t xml:space="preserve"> من لوائح الراديو، تحتفظ بهذه النتائج الإيجابية طالما ظلت خصائصها وخصائص البند المناظر في خطة التلفزيون التماثلي في الاتفاق </w:t>
      </w:r>
      <w:r>
        <w:rPr>
          <w:lang w:val="en-US" w:bidi="ar-EG"/>
        </w:rPr>
        <w:t>GE06</w:t>
      </w:r>
      <w:r>
        <w:rPr>
          <w:rtl/>
          <w:lang w:val="en-US" w:bidi="ar-EG"/>
        </w:rPr>
        <w:t xml:space="preserve"> </w:t>
      </w:r>
      <w:r>
        <w:rPr>
          <w:rtl/>
          <w:lang w:bidi="ar-EG"/>
        </w:rPr>
        <w:t>بدون تغيير</w:t>
      </w:r>
      <w:r>
        <w:rPr>
          <w:rtl/>
          <w:lang w:val="en-US" w:bidi="ar-EG"/>
        </w:rPr>
        <w:t>.</w:t>
      </w:r>
    </w:p>
    <w:tbl>
      <w:tblPr>
        <w:bidiVisual/>
        <w:tblW w:w="0" w:type="auto"/>
        <w:tblInd w:w="108" w:type="dxa"/>
        <w:tblLayout w:type="fixed"/>
        <w:tblLook w:val="0000" w:firstRow="0" w:lastRow="0" w:firstColumn="0" w:lastColumn="0" w:noHBand="0" w:noVBand="0"/>
      </w:tblPr>
      <w:tblGrid>
        <w:gridCol w:w="1275"/>
        <w:gridCol w:w="7139"/>
      </w:tblGrid>
      <w:tr w:rsidR="003B4DA4" w:rsidRPr="0090579D" w:rsidTr="00A74442">
        <w:tc>
          <w:tcPr>
            <w:tcW w:w="1275" w:type="dxa"/>
            <w:tcBorders>
              <w:top w:val="single" w:sz="6" w:space="0" w:color="auto"/>
              <w:left w:val="single" w:sz="6" w:space="0" w:color="auto"/>
              <w:bottom w:val="single" w:sz="6" w:space="0" w:color="auto"/>
              <w:right w:val="single" w:sz="6" w:space="0" w:color="auto"/>
            </w:tcBorders>
          </w:tcPr>
          <w:p w:rsidR="003B4DA4" w:rsidRPr="00547E2D" w:rsidRDefault="003B4DA4" w:rsidP="00A74442">
            <w:pPr>
              <w:rPr>
                <w:b/>
                <w:bCs/>
                <w:rtl/>
                <w:lang w:bidi="ar-EG"/>
              </w:rPr>
            </w:pPr>
            <w:r w:rsidRPr="00547E2D">
              <w:rPr>
                <w:b/>
                <w:bCs/>
                <w:lang w:bidi="ar-EG"/>
              </w:rPr>
              <w:t>2.1.5</w:t>
            </w:r>
            <w:r w:rsidRPr="00547E2D">
              <w:rPr>
                <w:b/>
                <w:bCs/>
                <w:rtl/>
                <w:lang w:bidi="ar-EG"/>
              </w:rPr>
              <w:t xml:space="preserve"> </w:t>
            </w:r>
            <w:r w:rsidRPr="00547E2D">
              <w:rPr>
                <w:b/>
                <w:bCs/>
                <w:i/>
                <w:iCs/>
                <w:rtl/>
                <w:lang w:bidi="ar-EG"/>
              </w:rPr>
              <w:t>ﻫ)</w:t>
            </w:r>
          </w:p>
        </w:tc>
        <w:tc>
          <w:tcPr>
            <w:tcW w:w="7139" w:type="dxa"/>
            <w:tcBorders>
              <w:left w:val="single" w:sz="6" w:space="0" w:color="auto"/>
            </w:tcBorders>
          </w:tcPr>
          <w:p w:rsidR="003B4DA4" w:rsidRPr="002C1873" w:rsidRDefault="003B4DA4" w:rsidP="00A74442">
            <w:pPr>
              <w:spacing w:before="0"/>
              <w:rPr>
                <w:rtl/>
                <w:lang w:bidi="ar-EG"/>
              </w:rPr>
            </w:pPr>
          </w:p>
        </w:tc>
      </w:tr>
    </w:tbl>
    <w:p w:rsidR="003B4DA4" w:rsidRDefault="003B4DA4" w:rsidP="005D66C7">
      <w:pPr>
        <w:spacing w:before="240"/>
        <w:rPr>
          <w:rtl/>
          <w:lang w:val="en-US" w:bidi="ar-EG"/>
        </w:rPr>
      </w:pPr>
      <w:r>
        <w:rPr>
          <w:lang w:val="en-US" w:bidi="ar-EG"/>
        </w:rPr>
        <w:t>(1</w:t>
      </w:r>
      <w:r>
        <w:rPr>
          <w:lang w:val="en-US" w:bidi="ar-EG"/>
        </w:rPr>
        <w:tab/>
      </w:r>
      <w:r>
        <w:rPr>
          <w:rtl/>
          <w:lang w:val="en-US" w:bidi="ar-EG"/>
        </w:rPr>
        <w:t xml:space="preserve">إذا كان مدخل الخطة الرقمية يحتوي على ملاحظة تتعلق بتخصيصات في الخطة التماثلية أو تخصيصات حالية لخدمات أولية أخرى للأرض، فإن نتيجة تخصيص التردد المبلّغ عنه والذي يشير إلى مدخل الخطة الرقمية هذا ويندرج في نطاق الحكم </w:t>
      </w:r>
      <w:r>
        <w:rPr>
          <w:lang w:val="en-US" w:bidi="ar-EG"/>
        </w:rPr>
        <w:t>2.1.5</w:t>
      </w:r>
      <w:r>
        <w:rPr>
          <w:rtl/>
          <w:lang w:val="en-US" w:bidi="ar-EG"/>
        </w:rPr>
        <w:t xml:space="preserve"> </w:t>
      </w:r>
      <w:r w:rsidRPr="009C6178">
        <w:rPr>
          <w:i/>
          <w:iCs/>
          <w:rtl/>
          <w:lang w:val="en-US" w:bidi="ar-EG"/>
        </w:rPr>
        <w:t>ﻫ)</w:t>
      </w:r>
      <w:r>
        <w:rPr>
          <w:rtl/>
          <w:lang w:val="en-US" w:bidi="ar-EG"/>
        </w:rPr>
        <w:t xml:space="preserve"> تكون مؤاتية إذا تم الحصول على جميع الموافقات الضرورية وأمكن تلبية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w:t>
      </w:r>
    </w:p>
    <w:p w:rsidR="003B4DA4" w:rsidRPr="003458F8" w:rsidRDefault="003B4DA4" w:rsidP="005D66C7">
      <w:pPr>
        <w:rPr>
          <w:spacing w:val="4"/>
          <w:rtl/>
          <w:lang w:val="en-US" w:bidi="ar-EG"/>
        </w:rPr>
      </w:pPr>
      <w:r w:rsidRPr="003458F8">
        <w:rPr>
          <w:spacing w:val="4"/>
          <w:lang w:val="en-US" w:bidi="ar-EG"/>
        </w:rPr>
        <w:t>(2</w:t>
      </w:r>
      <w:r w:rsidRPr="003458F8">
        <w:rPr>
          <w:spacing w:val="4"/>
          <w:lang w:val="en-US" w:bidi="ar-EG"/>
        </w:rPr>
        <w:tab/>
      </w:r>
      <w:r w:rsidRPr="003458F8">
        <w:rPr>
          <w:spacing w:val="4"/>
          <w:rtl/>
          <w:lang w:val="en-US" w:bidi="ar-EG"/>
        </w:rPr>
        <w:t xml:space="preserve">وإذا كان مدخل الخطة الرقمية يحتوي على ملاحظة تتعلق بمدخلات في الخطة الرقمية، فإن نتيجة تخصيص التردد المبلغ عنه والذي يشير إلى مدخل الخطة الرقمية هذا ويندرج في نطاق الحكم </w:t>
      </w:r>
      <w:r w:rsidRPr="003458F8">
        <w:rPr>
          <w:spacing w:val="4"/>
          <w:lang w:val="fr-FR" w:bidi="ar-EG"/>
        </w:rPr>
        <w:t>2.1.5</w:t>
      </w:r>
      <w:r w:rsidRPr="003458F8">
        <w:rPr>
          <w:spacing w:val="4"/>
          <w:rtl/>
          <w:lang w:val="fr-FR" w:bidi="ar-EG"/>
        </w:rPr>
        <w:t xml:space="preserve"> </w:t>
      </w:r>
      <w:r w:rsidRPr="003458F8">
        <w:rPr>
          <w:i/>
          <w:iCs/>
          <w:spacing w:val="4"/>
          <w:rtl/>
          <w:lang w:val="en-US" w:bidi="ar-EG"/>
        </w:rPr>
        <w:t>ﻫ)</w:t>
      </w:r>
      <w:r w:rsidRPr="003458F8">
        <w:rPr>
          <w:spacing w:val="4"/>
          <w:rtl/>
          <w:lang w:val="fr-FR" w:bidi="ar-EG"/>
        </w:rPr>
        <w:t xml:space="preserve"> تكون مؤاتية إذا بينت الإدارة المبلغة أنه تم الوفاء بجميع الشروط ذات الصلة بالملاحظة على أكمل وجه وبالشروط المنصوص عليها في القسم</w:t>
      </w:r>
      <w:r>
        <w:rPr>
          <w:spacing w:val="4"/>
          <w:rtl/>
          <w:lang w:val="fr-FR" w:bidi="ar-EG"/>
        </w:rPr>
        <w:t> </w:t>
      </w:r>
      <w:r w:rsidRPr="003458F8">
        <w:rPr>
          <w:spacing w:val="4"/>
          <w:lang w:val="fr-FR" w:bidi="ar-EG"/>
        </w:rPr>
        <w:t>II</w:t>
      </w:r>
      <w:r w:rsidRPr="003458F8">
        <w:rPr>
          <w:spacing w:val="4"/>
          <w:rtl/>
          <w:lang w:val="fr-FR" w:bidi="ar-EG"/>
        </w:rPr>
        <w:t xml:space="preserve"> من الملحق </w:t>
      </w:r>
      <w:r w:rsidRPr="003458F8">
        <w:rPr>
          <w:spacing w:val="4"/>
          <w:lang w:val="fr-FR" w:bidi="ar-EG"/>
        </w:rPr>
        <w:t>4</w:t>
      </w:r>
      <w:r w:rsidRPr="003458F8">
        <w:rPr>
          <w:spacing w:val="4"/>
          <w:rtl/>
          <w:lang w:val="fr-FR" w:bidi="ar-EG"/>
        </w:rPr>
        <w:t>.</w:t>
      </w:r>
    </w:p>
    <w:p w:rsidR="003B4DA4" w:rsidRPr="007028DC" w:rsidRDefault="003B4DA4" w:rsidP="005D66C7">
      <w:pPr>
        <w:spacing w:before="240"/>
        <w:rPr>
          <w:rtl/>
          <w:lang w:val="en-US" w:bidi="ar-EG"/>
        </w:rPr>
      </w:pPr>
      <w:r w:rsidRPr="007028DC">
        <w:rPr>
          <w:lang w:val="en-US" w:bidi="ar-EG"/>
        </w:rPr>
        <w:t>(3</w:t>
      </w:r>
      <w:r w:rsidRPr="007028DC">
        <w:rPr>
          <w:rtl/>
          <w:lang w:val="en-US" w:bidi="ar-EG"/>
        </w:rPr>
        <w:tab/>
        <w:t xml:space="preserve">في حالة تخصيص تردد للإذاعة السمعية الرقمية للأرض، مبلغ عنه بموجب الرقم </w:t>
      </w:r>
      <w:r w:rsidRPr="007028DC">
        <w:rPr>
          <w:lang w:val="en-US" w:bidi="ar-EG"/>
        </w:rPr>
        <w:t>2.1.5</w:t>
      </w:r>
      <w:r w:rsidRPr="007028DC">
        <w:rPr>
          <w:rtl/>
          <w:lang w:val="en-US" w:bidi="ar-EG"/>
        </w:rPr>
        <w:t xml:space="preserve"> </w:t>
      </w:r>
      <w:r w:rsidRPr="007028DC">
        <w:rPr>
          <w:i/>
          <w:iCs/>
          <w:rtl/>
          <w:lang w:val="en-US" w:bidi="ar-EG"/>
        </w:rPr>
        <w:t>ﻫ</w:t>
      </w:r>
      <w:r w:rsidRPr="007028DC">
        <w:rPr>
          <w:rtl/>
          <w:lang w:val="en-US" w:bidi="ar-EG"/>
        </w:rPr>
        <w:t xml:space="preserve">) من الاتفاق الإقليمي </w:t>
      </w:r>
      <w:r w:rsidRPr="007028DC">
        <w:rPr>
          <w:lang w:val="en-US" w:bidi="ar-EG"/>
        </w:rPr>
        <w:t>GE06</w:t>
      </w:r>
      <w:r w:rsidRPr="007028DC">
        <w:rPr>
          <w:rtl/>
          <w:lang w:val="en-US" w:bidi="ar-EG"/>
        </w:rPr>
        <w:t xml:space="preserve"> باستعمال مدخل وحيد للتخصيص في خطة الإذاعة التلفزيونية الرقمية للأرض ضمن الخطة الرقمية، إذا كان تخصيص التردد المبلغ عنه يستعمل نفس الطيف الترددي لتخصيص خطة الإذاعة التلفزيونية الرقمية للأرض </w:t>
      </w:r>
      <w:r w:rsidRPr="007028DC">
        <w:rPr>
          <w:lang w:val="en-US" w:bidi="ar-EG"/>
        </w:rPr>
        <w:t>(DVB-T)</w:t>
      </w:r>
      <w:r w:rsidRPr="007028DC">
        <w:rPr>
          <w:rtl/>
          <w:lang w:val="en-US" w:bidi="ar-EG"/>
        </w:rPr>
        <w:t xml:space="preserve"> أكثر من مرة واحدة، تكون نتيجة التخصيص المبلغ عنه غير مؤاتية وتعاد بطاقة التبليغ إلى الإدارة المبلغة.</w:t>
      </w:r>
    </w:p>
    <w:p w:rsidR="003B4DA4" w:rsidRDefault="003B4DA4" w:rsidP="003B4DA4">
      <w:pPr>
        <w:rPr>
          <w:lang w:val="en-US" w:bidi="ar-EG"/>
        </w:rPr>
      </w:pPr>
      <w:r>
        <w:rPr>
          <w:lang w:val="en-US" w:bidi="ar-EG"/>
        </w:rPr>
        <w:t>(4</w:t>
      </w:r>
      <w:r>
        <w:rPr>
          <w:rtl/>
          <w:lang w:val="en-US" w:bidi="ar-EG"/>
        </w:rPr>
        <w:tab/>
        <w:t xml:space="preserve">في حالة تخصيص تردد للإذاعة السمعية الرقمية للأرض، مبلغ عنه بموجب الرقم </w:t>
      </w:r>
      <w:r>
        <w:rPr>
          <w:lang w:val="en-US" w:bidi="ar-EG"/>
        </w:rPr>
        <w:t>2.1.5</w:t>
      </w:r>
      <w:r>
        <w:rPr>
          <w:rtl/>
          <w:lang w:val="en-US" w:bidi="ar-EG"/>
        </w:rPr>
        <w:t xml:space="preserve"> </w:t>
      </w:r>
      <w:r w:rsidRPr="00811211">
        <w:rPr>
          <w:i/>
          <w:iCs/>
          <w:rtl/>
          <w:lang w:val="en-US" w:bidi="ar-EG"/>
        </w:rPr>
        <w:t>ﻫ)</w:t>
      </w:r>
      <w:r>
        <w:rPr>
          <w:rtl/>
          <w:lang w:val="en-US" w:bidi="ar-EG"/>
        </w:rPr>
        <w:t xml:space="preserve"> من الاتفاق الإقليمي </w:t>
      </w:r>
      <w:r>
        <w:rPr>
          <w:lang w:val="en-US" w:bidi="ar-EG"/>
        </w:rPr>
        <w:t>GE06</w:t>
      </w:r>
      <w:r>
        <w:rPr>
          <w:rtl/>
          <w:lang w:val="en-US" w:bidi="ar-EG"/>
        </w:rPr>
        <w:t xml:space="preserve"> باستعمال مدخل (تخصيص أو تعيين) في خطة الإذاعة التلفزيونية الرقمية للأرض، عند تفحص مدى استيفاء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 xml:space="preserve"> بالاتفاق </w:t>
      </w:r>
      <w:r>
        <w:rPr>
          <w:lang w:val="en-US" w:bidi="ar-EG"/>
        </w:rPr>
        <w:t>GE06</w:t>
      </w:r>
      <w:r>
        <w:rPr>
          <w:rtl/>
          <w:lang w:val="en-US" w:bidi="ar-EG"/>
        </w:rPr>
        <w:t xml:space="preserve">، سيزيد المكتب القدرة </w:t>
      </w:r>
      <w:r>
        <w:rPr>
          <w:lang w:val="en-US" w:bidi="ar-EG"/>
        </w:rPr>
        <w:t>e.r.p.</w:t>
      </w:r>
      <w:r>
        <w:rPr>
          <w:rtl/>
          <w:lang w:val="en-US" w:bidi="ar-EG"/>
        </w:rPr>
        <w:t xml:space="preserve"> المبلغ عنها للتخصيص في الإذاعة السمعية الرقمية للأرض بعامل تصحيح مقابل مبين في الجدول أدناه، بحيث يراعى الفارق في كثافتي القدرة الطيفية من جراء اختلاف عرضي النطاق لتخصيص الإذاعة السمعية الرقمية للأرض </w:t>
      </w:r>
      <w:r>
        <w:rPr>
          <w:lang w:val="en-US" w:bidi="ar-EG"/>
        </w:rPr>
        <w:t>(T-DAB)</w:t>
      </w:r>
      <w:r>
        <w:rPr>
          <w:rtl/>
          <w:lang w:val="en-US" w:bidi="ar-EG"/>
        </w:rPr>
        <w:t xml:space="preserve"> ومدخل خطة الإذاعة التلفزيونية الرقمية للأرض </w:t>
      </w:r>
      <w:r>
        <w:rPr>
          <w:lang w:val="en-US" w:bidi="ar-EG"/>
        </w:rPr>
        <w:t>(DVB-T)</w:t>
      </w:r>
      <w:r>
        <w:rPr>
          <w:rtl/>
          <w:lang w:val="en-US" w:bidi="ar-EG"/>
        </w:rPr>
        <w:t>. وتحسب قيم عامل التصحيح كنسبة بين عرض نطاق مدخل خطة الإذاعة التلفزيونية الرقمية وعرض النطاق اللازم للتخصيص المبلغ عنه.</w:t>
      </w:r>
    </w:p>
    <w:p w:rsidR="00780392" w:rsidRDefault="00780392" w:rsidP="003B4DA4">
      <w:pPr>
        <w:pStyle w:val="TableNotitle"/>
        <w:rPr>
          <w:rFonts w:ascii="Times New Roman Bold" w:hAnsi="Times New Roman Bold"/>
          <w:bCs/>
          <w:rtl/>
          <w:lang w:val="en-US" w:bidi="ar-EG"/>
        </w:rPr>
      </w:pPr>
      <w:r>
        <w:rPr>
          <w:rFonts w:ascii="Times New Roman Bold" w:hAnsi="Times New Roman Bold"/>
          <w:bCs/>
          <w:rtl/>
          <w:lang w:val="en-US" w:bidi="ar-EG"/>
        </w:rPr>
        <w:br w:type="page"/>
      </w:r>
    </w:p>
    <w:p w:rsidR="003B4DA4" w:rsidRPr="00FD09EB" w:rsidRDefault="003B4DA4" w:rsidP="003B4DA4">
      <w:pPr>
        <w:pStyle w:val="TableNotitle"/>
        <w:rPr>
          <w:rFonts w:ascii="Times New Roman Bold" w:hAnsi="Times New Roman Bold"/>
          <w:bCs/>
          <w:rtl/>
          <w:lang w:val="en-US" w:bidi="ar-EG"/>
        </w:rPr>
      </w:pPr>
      <w:r w:rsidRPr="00FD09EB">
        <w:rPr>
          <w:rFonts w:ascii="Times New Roman Bold" w:hAnsi="Times New Roman Bold"/>
          <w:bCs/>
          <w:rtl/>
          <w:lang w:val="en-US" w:bidi="ar-EG"/>
        </w:rPr>
        <w:lastRenderedPageBreak/>
        <w:t xml:space="preserve">عامل التصحيح الذي يطبَّق على القدرة المشعة الفعالة للتخصيصات </w:t>
      </w:r>
      <w:r>
        <w:rPr>
          <w:rFonts w:ascii="Times New Roman Bold" w:hAnsi="Times New Roman Bold"/>
          <w:bCs/>
          <w:rtl/>
          <w:lang w:val="en-US" w:bidi="ar-EG"/>
        </w:rPr>
        <w:br/>
      </w:r>
      <w:r w:rsidRPr="00FD09EB">
        <w:rPr>
          <w:rFonts w:ascii="Times New Roman Bold" w:hAnsi="Times New Roman Bold"/>
          <w:bCs/>
          <w:rtl/>
          <w:lang w:val="en-US" w:bidi="ar-EG"/>
        </w:rPr>
        <w:t>المبلغ عنها للإذاعة السمعية الرقمية للأرض</w:t>
      </w:r>
    </w:p>
    <w:tbl>
      <w:tblPr>
        <w:tblStyle w:val="TableGrid"/>
        <w:bidiVisual/>
        <w:tblW w:w="5000" w:type="pct"/>
        <w:jc w:val="center"/>
        <w:tblLook w:val="01E0" w:firstRow="1" w:lastRow="1" w:firstColumn="1" w:lastColumn="1" w:noHBand="0" w:noVBand="0"/>
      </w:tblPr>
      <w:tblGrid>
        <w:gridCol w:w="2811"/>
        <w:gridCol w:w="3107"/>
        <w:gridCol w:w="3369"/>
      </w:tblGrid>
      <w:tr w:rsidR="003B4DA4" w:rsidTr="00780392">
        <w:trPr>
          <w:jc w:val="center"/>
        </w:trPr>
        <w:tc>
          <w:tcPr>
            <w:tcW w:w="2693" w:type="dxa"/>
          </w:tcPr>
          <w:p w:rsidR="003B4DA4" w:rsidRDefault="003B4DA4" w:rsidP="00943943">
            <w:pPr>
              <w:framePr w:hSpace="180" w:wrap="around" w:vAnchor="text" w:hAnchor="text" w:xAlign="right" w:y="1"/>
              <w:spacing w:before="60" w:after="60" w:line="280" w:lineRule="exact"/>
              <w:jc w:val="center"/>
              <w:rPr>
                <w:rtl/>
                <w:lang w:val="en-US" w:bidi="ar-EG"/>
              </w:rPr>
            </w:pPr>
          </w:p>
        </w:tc>
        <w:tc>
          <w:tcPr>
            <w:tcW w:w="6205" w:type="dxa"/>
            <w:gridSpan w:val="2"/>
          </w:tcPr>
          <w:p w:rsidR="003B4DA4" w:rsidRDefault="003B4DA4" w:rsidP="00943943">
            <w:pPr>
              <w:framePr w:hSpace="180" w:wrap="around" w:vAnchor="text" w:hAnchor="text" w:xAlign="right" w:y="1"/>
              <w:spacing w:before="60" w:after="60" w:line="280" w:lineRule="exact"/>
              <w:jc w:val="center"/>
              <w:rPr>
                <w:lang w:val="en-US" w:bidi="ar-EG"/>
              </w:rPr>
            </w:pPr>
            <w:r>
              <w:rPr>
                <w:rtl/>
                <w:lang w:val="en-US" w:bidi="ar-EG"/>
              </w:rPr>
              <w:t>ترتيب القنوات لمدخل خطة الإذاعة التلفزيونية الرقمية للأرض</w:t>
            </w:r>
          </w:p>
        </w:tc>
      </w:tr>
      <w:tr w:rsidR="003B4DA4" w:rsidTr="00780392">
        <w:trPr>
          <w:jc w:val="center"/>
        </w:trPr>
        <w:tc>
          <w:tcPr>
            <w:tcW w:w="2693" w:type="dxa"/>
          </w:tcPr>
          <w:p w:rsidR="003B4DA4" w:rsidRDefault="003B4DA4" w:rsidP="00943943">
            <w:pPr>
              <w:framePr w:hSpace="180" w:wrap="around" w:vAnchor="text" w:hAnchor="text" w:xAlign="right" w:y="1"/>
              <w:spacing w:before="60" w:after="60" w:line="280" w:lineRule="exact"/>
              <w:jc w:val="center"/>
              <w:rPr>
                <w:rtl/>
                <w:lang w:val="en-US" w:bidi="ar-EG"/>
              </w:rPr>
            </w:pPr>
          </w:p>
        </w:tc>
        <w:tc>
          <w:tcPr>
            <w:tcW w:w="2977" w:type="dxa"/>
          </w:tcPr>
          <w:p w:rsidR="003B4DA4" w:rsidRDefault="003B4DA4" w:rsidP="00943943">
            <w:pPr>
              <w:framePr w:hSpace="180" w:wrap="around" w:vAnchor="text" w:hAnchor="text" w:xAlign="right" w:y="1"/>
              <w:spacing w:before="60" w:after="60" w:line="280" w:lineRule="exact"/>
              <w:jc w:val="center"/>
              <w:rPr>
                <w:rtl/>
                <w:lang w:val="en-US" w:bidi="ar-EG"/>
              </w:rPr>
            </w:pPr>
            <w:r>
              <w:rPr>
                <w:lang w:val="en-US" w:bidi="ar-EG"/>
              </w:rPr>
              <w:t>MHz 7</w:t>
            </w:r>
          </w:p>
        </w:tc>
        <w:tc>
          <w:tcPr>
            <w:tcW w:w="3228" w:type="dxa"/>
          </w:tcPr>
          <w:p w:rsidR="003B4DA4" w:rsidRDefault="003B4DA4" w:rsidP="00943943">
            <w:pPr>
              <w:framePr w:hSpace="180" w:wrap="around" w:vAnchor="text" w:hAnchor="text" w:xAlign="right" w:y="1"/>
              <w:spacing w:before="60" w:after="60" w:line="280" w:lineRule="exact"/>
              <w:jc w:val="center"/>
              <w:rPr>
                <w:lang w:val="en-US" w:bidi="ar-EG"/>
              </w:rPr>
            </w:pPr>
            <w:r>
              <w:rPr>
                <w:lang w:val="en-US" w:bidi="ar-EG"/>
              </w:rPr>
              <w:t>MHz 8</w:t>
            </w:r>
          </w:p>
        </w:tc>
      </w:tr>
      <w:tr w:rsidR="003B4DA4" w:rsidTr="00780392">
        <w:trPr>
          <w:jc w:val="center"/>
        </w:trPr>
        <w:tc>
          <w:tcPr>
            <w:tcW w:w="2693" w:type="dxa"/>
            <w:tcBorders>
              <w:bottom w:val="single" w:sz="4" w:space="0" w:color="auto"/>
            </w:tcBorders>
          </w:tcPr>
          <w:p w:rsidR="003B4DA4" w:rsidRDefault="003B4DA4" w:rsidP="00943943">
            <w:pPr>
              <w:framePr w:hSpace="180" w:wrap="around" w:vAnchor="text" w:hAnchor="text" w:xAlign="right" w:y="1"/>
              <w:spacing w:before="60" w:after="60" w:line="280" w:lineRule="exact"/>
              <w:jc w:val="center"/>
              <w:rPr>
                <w:rtl/>
                <w:lang w:val="en-US" w:bidi="ar-EG"/>
              </w:rPr>
            </w:pPr>
            <w:r>
              <w:rPr>
                <w:rtl/>
                <w:lang w:val="en-US" w:bidi="ar-EG"/>
              </w:rPr>
              <w:t>عامل التصحيح</w:t>
            </w:r>
          </w:p>
        </w:tc>
        <w:tc>
          <w:tcPr>
            <w:tcW w:w="2977" w:type="dxa"/>
            <w:tcBorders>
              <w:bottom w:val="single" w:sz="4" w:space="0" w:color="auto"/>
            </w:tcBorders>
          </w:tcPr>
          <w:p w:rsidR="003B4DA4" w:rsidRDefault="003B4DA4" w:rsidP="00943943">
            <w:pPr>
              <w:framePr w:hSpace="180" w:wrap="around" w:vAnchor="text" w:hAnchor="text" w:xAlign="right" w:y="1"/>
              <w:spacing w:before="60" w:after="60" w:line="280" w:lineRule="exact"/>
              <w:jc w:val="center"/>
              <w:rPr>
                <w:lang w:val="en-US" w:bidi="ar-EG"/>
              </w:rPr>
            </w:pPr>
            <w:r>
              <w:rPr>
                <w:lang w:val="en-US" w:bidi="ar-EG"/>
              </w:rPr>
              <w:t>dB 6,371</w:t>
            </w:r>
          </w:p>
        </w:tc>
        <w:tc>
          <w:tcPr>
            <w:tcW w:w="3228" w:type="dxa"/>
            <w:tcBorders>
              <w:bottom w:val="single" w:sz="4" w:space="0" w:color="auto"/>
            </w:tcBorders>
          </w:tcPr>
          <w:p w:rsidR="003B4DA4" w:rsidRDefault="003B4DA4" w:rsidP="00943943">
            <w:pPr>
              <w:framePr w:hSpace="180" w:wrap="around" w:vAnchor="text" w:hAnchor="text" w:xAlign="right" w:y="1"/>
              <w:spacing w:before="60" w:after="60" w:line="280" w:lineRule="exact"/>
              <w:jc w:val="center"/>
              <w:rPr>
                <w:lang w:val="en-US" w:bidi="ar-EG"/>
              </w:rPr>
            </w:pPr>
            <w:r>
              <w:rPr>
                <w:lang w:val="en-US" w:bidi="ar-EG"/>
              </w:rPr>
              <w:t>dB 6,950</w:t>
            </w:r>
          </w:p>
        </w:tc>
      </w:tr>
      <w:tr w:rsidR="003B4DA4" w:rsidTr="00780392">
        <w:trPr>
          <w:jc w:val="center"/>
        </w:trPr>
        <w:tc>
          <w:tcPr>
            <w:tcW w:w="8898" w:type="dxa"/>
            <w:gridSpan w:val="3"/>
            <w:tcBorders>
              <w:left w:val="nil"/>
              <w:bottom w:val="nil"/>
              <w:right w:val="nil"/>
            </w:tcBorders>
          </w:tcPr>
          <w:p w:rsidR="003B4DA4" w:rsidRPr="00A40023" w:rsidRDefault="00780392" w:rsidP="00780392">
            <w:pPr>
              <w:framePr w:hSpace="180" w:wrap="around" w:vAnchor="text" w:hAnchor="text" w:xAlign="right" w:y="1"/>
              <w:spacing w:before="100" w:after="100"/>
              <w:rPr>
                <w:sz w:val="20"/>
                <w:szCs w:val="26"/>
                <w:lang w:val="en-US" w:bidi="ar-EG"/>
              </w:rPr>
            </w:pPr>
            <w:r w:rsidRPr="008841B1">
              <w:rPr>
                <w:b/>
                <w:bCs/>
                <w:rtl/>
                <w:lang w:val="en-US" w:bidi="ar-EG"/>
              </w:rPr>
              <w:t>ملاحظة</w:t>
            </w:r>
            <w:r w:rsidRPr="008841B1">
              <w:rPr>
                <w:rtl/>
                <w:lang w:val="en-US" w:bidi="ar-EG"/>
              </w:rPr>
              <w:t xml:space="preserve"> - إذا كان هناك مدخل واحد أو أكثر من مدخلات خطة الإذاعة التلفزيونية الرقمية للأرض يستعمل متغيراً قدره </w:t>
            </w:r>
            <w:r w:rsidRPr="008841B1">
              <w:rPr>
                <w:lang w:val="en-US" w:bidi="ar-EG"/>
              </w:rPr>
              <w:t>64QAM 7/8</w:t>
            </w:r>
            <w:r w:rsidRPr="008841B1">
              <w:rPr>
                <w:rtl/>
                <w:lang w:val="en-US" w:bidi="ar-EG"/>
              </w:rPr>
              <w:t xml:space="preserve"> يقع ضمن </w:t>
            </w:r>
            <w:r w:rsidRPr="008841B1">
              <w:rPr>
                <w:lang w:val="en-US" w:bidi="ar-EG"/>
              </w:rPr>
              <w:t>km 1 000</w:t>
            </w:r>
            <w:r w:rsidRPr="008841B1">
              <w:rPr>
                <w:rtl/>
                <w:lang w:val="en-US" w:bidi="ar-EG"/>
              </w:rPr>
              <w:t xml:space="preserve"> (حدود نموذج الانتشار الوارد وصفه في الملحق </w:t>
            </w:r>
            <w:r w:rsidRPr="008841B1">
              <w:rPr>
                <w:lang w:val="en-US" w:bidi="ar-EG"/>
              </w:rPr>
              <w:t>2</w:t>
            </w:r>
            <w:r w:rsidRPr="008841B1">
              <w:rPr>
                <w:rtl/>
                <w:lang w:val="en-US" w:bidi="ar-EG"/>
              </w:rPr>
              <w:t xml:space="preserve"> من الاتفاق) من موقع المرسل للتخصيص </w:t>
            </w:r>
            <w:r w:rsidRPr="008841B1">
              <w:rPr>
                <w:lang w:val="en-US" w:bidi="ar-EG"/>
              </w:rPr>
              <w:t>T-DAB</w:t>
            </w:r>
            <w:r w:rsidRPr="008841B1">
              <w:rPr>
                <w:rtl/>
                <w:lang w:val="en-US" w:bidi="ar-EG"/>
              </w:rPr>
              <w:t xml:space="preserve"> المبلغ عنه، سوف يستعمل عامل تصحيح يبلغ </w:t>
            </w:r>
            <w:r w:rsidRPr="008841B1">
              <w:rPr>
                <w:lang w:val="en-US" w:bidi="ar-EG"/>
              </w:rPr>
              <w:t>dB 8,1</w:t>
            </w:r>
            <w:r w:rsidRPr="008841B1">
              <w:rPr>
                <w:rtl/>
                <w:lang w:val="en-US" w:bidi="ar-EG"/>
              </w:rPr>
              <w:t>.</w:t>
            </w:r>
            <w:r w:rsidRPr="008841B1">
              <w:rPr>
                <w:sz w:val="16"/>
                <w:szCs w:val="16"/>
                <w:lang w:val="en-US" w:bidi="ar-EG"/>
              </w:rPr>
              <w:t> </w:t>
            </w:r>
          </w:p>
        </w:tc>
      </w:tr>
    </w:tbl>
    <w:p w:rsidR="008841B1" w:rsidRDefault="008841B1" w:rsidP="008841B1">
      <w:pPr>
        <w:spacing w:before="240"/>
        <w:rPr>
          <w:rtl/>
          <w:lang w:val="en-US" w:bidi="ar-EG"/>
        </w:rPr>
      </w:pPr>
    </w:p>
    <w:tbl>
      <w:tblPr>
        <w:tblStyle w:val="TableGrid"/>
        <w:bidiVisual/>
        <w:tblW w:w="0" w:type="auto"/>
        <w:tblInd w:w="108" w:type="dxa"/>
        <w:tblLayout w:type="fixed"/>
        <w:tblLook w:val="01E0" w:firstRow="1" w:lastRow="1" w:firstColumn="1" w:lastColumn="1" w:noHBand="0" w:noVBand="0"/>
      </w:tblPr>
      <w:tblGrid>
        <w:gridCol w:w="1134"/>
      </w:tblGrid>
      <w:tr w:rsidR="003B4DA4" w:rsidRPr="0046711B" w:rsidTr="00A74442">
        <w:tc>
          <w:tcPr>
            <w:tcW w:w="1134" w:type="dxa"/>
            <w:tcBorders>
              <w:top w:val="single" w:sz="4" w:space="0" w:color="auto"/>
              <w:left w:val="single" w:sz="4" w:space="0" w:color="auto"/>
              <w:bottom w:val="single" w:sz="4" w:space="0" w:color="auto"/>
              <w:right w:val="single" w:sz="4" w:space="0" w:color="auto"/>
            </w:tcBorders>
          </w:tcPr>
          <w:p w:rsidR="003B4DA4" w:rsidRPr="0046711B" w:rsidRDefault="003B4DA4" w:rsidP="00A74442">
            <w:pPr>
              <w:keepNext/>
              <w:keepLines/>
              <w:tabs>
                <w:tab w:val="clear" w:pos="794"/>
                <w:tab w:val="clear" w:pos="1191"/>
                <w:tab w:val="clear" w:pos="1588"/>
                <w:tab w:val="clear" w:pos="1985"/>
              </w:tabs>
              <w:spacing w:before="0"/>
              <w:rPr>
                <w:bCs/>
                <w:rtl/>
                <w:lang w:val="en-US" w:bidi="ar-EG"/>
              </w:rPr>
            </w:pPr>
            <w:r w:rsidRPr="00613709">
              <w:rPr>
                <w:rFonts w:ascii="Times New Roman Bold" w:hAnsi="Times New Roman Bold"/>
                <w:b/>
                <w:bCs/>
                <w:lang w:val="en-US" w:bidi="ar-EG"/>
              </w:rPr>
              <w:t>3.1.5</w:t>
            </w:r>
            <w:r>
              <w:rPr>
                <w:bCs/>
                <w:rtl/>
                <w:lang w:val="en-US" w:bidi="ar-EG"/>
              </w:rPr>
              <w:t xml:space="preserve"> </w:t>
            </w:r>
            <w:r>
              <w:rPr>
                <w:rFonts w:hint="eastAsia"/>
                <w:bCs/>
                <w:rtl/>
                <w:lang w:val="en-US" w:bidi="ar-EG"/>
              </w:rPr>
              <w:t> </w:t>
            </w:r>
          </w:p>
        </w:tc>
      </w:tr>
    </w:tbl>
    <w:p w:rsidR="003B4DA4" w:rsidRDefault="003B4DA4" w:rsidP="003B4DA4">
      <w:pPr>
        <w:spacing w:before="240"/>
        <w:rPr>
          <w:rtl/>
          <w:lang w:val="en-US" w:bidi="ar-EG"/>
        </w:rPr>
      </w:pPr>
      <w:r>
        <w:rPr>
          <w:lang w:val="en-US" w:bidi="ar-EG"/>
        </w:rPr>
        <w:t>(1</w:t>
      </w:r>
      <w:r>
        <w:rPr>
          <w:rtl/>
          <w:lang w:val="en-US" w:bidi="ar-EG"/>
        </w:rPr>
        <w:tab/>
        <w:t xml:space="preserve">يتناول هذا الحكم التبليغ عن مدخل إذاعي رقمي في الخطة بخصائص تختلف عن الخصائص التي تظهر في الخطة. وتعريف "مدخل الخطة الرقمية" كما يرد في الرقم </w:t>
      </w:r>
      <w:r>
        <w:rPr>
          <w:lang w:val="en-US" w:bidi="ar-EG"/>
        </w:rPr>
        <w:t>18.3.1</w:t>
      </w:r>
      <w:r>
        <w:rPr>
          <w:rtl/>
          <w:lang w:val="en-US" w:bidi="ar-EG"/>
        </w:rPr>
        <w:t xml:space="preserve"> من الملحق </w:t>
      </w:r>
      <w:r>
        <w:rPr>
          <w:lang w:val="en-US" w:bidi="ar-EG"/>
        </w:rPr>
        <w:t>1</w:t>
      </w:r>
      <w:r>
        <w:rPr>
          <w:rtl/>
          <w:lang w:val="en-US" w:bidi="ar-EG"/>
        </w:rPr>
        <w:t xml:space="preserve"> للاتفاق </w:t>
      </w:r>
      <w:r>
        <w:rPr>
          <w:lang w:val="en-US" w:bidi="ar-EG"/>
        </w:rPr>
        <w:t>GE06</w:t>
      </w:r>
      <w:r>
        <w:rPr>
          <w:rtl/>
          <w:lang w:val="en-US" w:bidi="ar-EG"/>
        </w:rPr>
        <w:t xml:space="preserve"> يشمل كلا التخصيصات والتعيينات. ومع ذلك وفي ضوء صياغة الرقم </w:t>
      </w:r>
      <w:r>
        <w:rPr>
          <w:lang w:val="en-US" w:bidi="ar-EG"/>
        </w:rPr>
        <w:t>1.5</w:t>
      </w:r>
      <w:r>
        <w:rPr>
          <w:rtl/>
          <w:lang w:val="en-US" w:bidi="ar-EG"/>
        </w:rPr>
        <w:t xml:space="preserve"> من الاتفاق </w:t>
      </w:r>
      <w:r>
        <w:rPr>
          <w:lang w:val="en-US" w:bidi="ar-EG"/>
        </w:rPr>
        <w:t>GE06</w:t>
      </w:r>
      <w:r>
        <w:rPr>
          <w:rtl/>
          <w:lang w:val="en-US" w:bidi="ar-EG"/>
        </w:rPr>
        <w:t xml:space="preserve">، خلصت اللجنة إلى أن الإدارات، عند تطبيق الرقم </w:t>
      </w:r>
      <w:r>
        <w:rPr>
          <w:lang w:val="en-US" w:bidi="ar-EG"/>
        </w:rPr>
        <w:t>3.1.5</w:t>
      </w:r>
      <w:r>
        <w:rPr>
          <w:rtl/>
          <w:lang w:val="en-US" w:bidi="ar-EG"/>
        </w:rPr>
        <w:t xml:space="preserve"> من الاتفاق، تستطيع أن تبلغ فقط عن تخصيصات التردد.</w:t>
      </w:r>
    </w:p>
    <w:p w:rsidR="003B4DA4" w:rsidRDefault="003B4DA4" w:rsidP="003B4DA4">
      <w:pPr>
        <w:rPr>
          <w:rtl/>
          <w:lang w:val="en-US" w:bidi="ar-EG"/>
        </w:rPr>
      </w:pPr>
      <w:r>
        <w:rPr>
          <w:lang w:val="en-US" w:bidi="ar-EG"/>
        </w:rPr>
        <w:t>(2</w:t>
      </w:r>
      <w:r>
        <w:rPr>
          <w:rtl/>
          <w:lang w:val="en-US" w:bidi="ar-EG"/>
        </w:rPr>
        <w:tab/>
        <w:t xml:space="preserve">ولفحص تطابق تخصيص التردد في الخدمة الإذاعية أو في الخدمات الأولية الأخرى المبلغة بموجب الرقم </w:t>
      </w:r>
      <w:r>
        <w:rPr>
          <w:lang w:val="en-US" w:bidi="ar-EG"/>
        </w:rPr>
        <w:t>3.1.5</w:t>
      </w:r>
      <w:r>
        <w:rPr>
          <w:rtl/>
          <w:lang w:val="en-US" w:bidi="ar-EG"/>
        </w:rPr>
        <w:t xml:space="preserve"> من الاتفاق مع "مدخل رقمي في الخطة" مناظر، سيحتاج المكتب إلى التأكد من أن تخصيص التردد المبلغ عنه لا يتجاوز إمكانات التداخل المنطبقة على مُدخل الإذاعة الرقمية المناظر في الخطة. ويشير الحكم </w:t>
      </w:r>
      <w:r>
        <w:rPr>
          <w:lang w:val="en-US" w:bidi="ar-EG"/>
        </w:rPr>
        <w:t>3.1.5</w:t>
      </w:r>
      <w:r>
        <w:rPr>
          <w:rtl/>
          <w:lang w:val="en-US" w:bidi="ar-EG"/>
        </w:rPr>
        <w:t xml:space="preserve"> فقط إلى شرط عدم تجاوز كثافة قدرة الذروة في أي </w:t>
      </w:r>
      <w:r>
        <w:rPr>
          <w:lang w:val="en-US" w:bidi="ar-EG"/>
        </w:rPr>
        <w:t>kHz 4</w:t>
      </w:r>
      <w:r>
        <w:rPr>
          <w:rtl/>
          <w:lang w:val="en-US" w:bidi="ar-EG"/>
        </w:rPr>
        <w:t xml:space="preserve"> للتخصيص المبلغ عنه كثافة القدرة الطيفية في نفس النطاق </w:t>
      </w:r>
      <w:r>
        <w:rPr>
          <w:lang w:val="en-US" w:bidi="ar-EG"/>
        </w:rPr>
        <w:t>4</w:t>
      </w:r>
      <w:r>
        <w:rPr>
          <w:rtl/>
          <w:lang w:val="en-US" w:bidi="ar-EG"/>
        </w:rPr>
        <w:t xml:space="preserve"> </w:t>
      </w:r>
      <w:r>
        <w:rPr>
          <w:lang w:val="en-US" w:bidi="ar-EG"/>
        </w:rPr>
        <w:t>kHz</w:t>
      </w:r>
      <w:r>
        <w:rPr>
          <w:rtl/>
          <w:lang w:val="en-US" w:bidi="ar-EG"/>
        </w:rPr>
        <w:t xml:space="preserve"> من مدخل الإذاعة الرقمية في الخطة. ويشير البند </w:t>
      </w:r>
      <w:r>
        <w:rPr>
          <w:lang w:val="en-US" w:bidi="ar-EG"/>
        </w:rPr>
        <w:t>6.5</w:t>
      </w:r>
      <w:r>
        <w:rPr>
          <w:rtl/>
          <w:lang w:val="en-US" w:bidi="ar-EG"/>
        </w:rPr>
        <w:t xml:space="preserve"> من الجدول </w:t>
      </w:r>
      <w:r>
        <w:rPr>
          <w:lang w:val="en-US" w:bidi="ar-EG"/>
        </w:rPr>
        <w:t>3</w:t>
      </w:r>
      <w:r>
        <w:rPr>
          <w:rtl/>
          <w:lang w:val="en-US" w:bidi="ar-EG"/>
        </w:rPr>
        <w:t xml:space="preserve"> في الملحق </w:t>
      </w:r>
      <w:r>
        <w:rPr>
          <w:lang w:val="en-US" w:bidi="ar-EG"/>
        </w:rPr>
        <w:t>3</w:t>
      </w:r>
      <w:r>
        <w:rPr>
          <w:rtl/>
          <w:lang w:val="en-US" w:bidi="ar-EG"/>
        </w:rPr>
        <w:t xml:space="preserve"> بالاتفاق إلى أن كثافة القدرة الطيفية المذكورة هي الكثافة الواصلة إلى خط إرسال الهوائي. وتفهم اللجنة أن 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 </w:t>
      </w:r>
      <w:r w:rsidRPr="001F7171">
        <w:rPr>
          <w:b/>
          <w:bCs/>
          <w:lang w:val="en-US" w:bidi="ar-EG"/>
        </w:rPr>
        <w:t>4</w:t>
      </w:r>
      <w:r>
        <w:rPr>
          <w:lang w:val="en-US" w:bidi="ar-EG"/>
        </w:rPr>
        <w:t> (Rev.WRC-07)</w:t>
      </w:r>
      <w:r>
        <w:rPr>
          <w:rtl/>
          <w:lang w:val="en-US" w:bidi="ar-EG"/>
        </w:rPr>
        <w:t xml:space="preserve">) والمحسوب متوسطها عبر النطاق </w:t>
      </w:r>
      <w:r>
        <w:rPr>
          <w:lang w:val="en-US" w:bidi="ar-EG"/>
        </w:rPr>
        <w:t>kHz 4</w:t>
      </w:r>
      <w:r>
        <w:rPr>
          <w:rtl/>
          <w:lang w:val="en-US" w:bidi="ar-EG"/>
        </w:rPr>
        <w:t xml:space="preserve"> الأسوأ تستند إلى القدرة المشعة الفعالة القصوى. وسيراعي المكتب كثافة القدرة الطيفية للتخصيص المبلغ عنه بأن يحسب بداية القدرة المشعة الفعالة القصوى المكافئة لتخصيص التردد المبلغ عنه والتي سيطبق عليها عامل تصحيح يراعي الفرق بين كثافتي القدرة الطيفية من جراء اختلاف عرضي النطاق اللازمين لتخصيص التردد والمدخل المقابل في الخطة. وتُشتق القدرة المشعة الفعالة المكافئة من عرض النطاق اللازم وكثافة القدرة الطيفية للذروة للتخصيص المبلغ عنه وعرض نطاق مدخل خطة الإذاعة الرقمية على النحو المحدد في المعادلة أدناه:</w:t>
      </w:r>
    </w:p>
    <w:p w:rsidR="003B4DA4" w:rsidRDefault="003B4DA4" w:rsidP="003B4DA4">
      <w:pPr>
        <w:tabs>
          <w:tab w:val="clear" w:pos="794"/>
          <w:tab w:val="clear" w:pos="1191"/>
          <w:tab w:val="clear" w:pos="1588"/>
          <w:tab w:val="clear" w:pos="1985"/>
        </w:tabs>
        <w:jc w:val="center"/>
        <w:rPr>
          <w:rtl/>
          <w:lang w:val="en-US" w:bidi="ar-EG"/>
        </w:rPr>
      </w:pPr>
      <w:r w:rsidRPr="00C9661D">
        <w:rPr>
          <w:b/>
          <w:bCs/>
          <w:position w:val="-32"/>
          <w:lang w:bidi="ar-EG"/>
        </w:rPr>
        <w:object w:dxaOrig="66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38.05pt" o:ole="">
            <v:imagedata r:id="rId8" o:title=""/>
          </v:shape>
          <o:OLEObject Type="Embed" ProgID="Equation.3" ShapeID="_x0000_i1025" DrawAspect="Content" ObjectID="_1448720402" r:id="rId9"/>
        </w:object>
      </w:r>
    </w:p>
    <w:p w:rsidR="00780392" w:rsidRDefault="00780392" w:rsidP="003B4DA4">
      <w:pPr>
        <w:rPr>
          <w:rtl/>
          <w:lang w:val="en-US" w:bidi="ar-EG"/>
        </w:rPr>
      </w:pPr>
      <w:r>
        <w:rPr>
          <w:rtl/>
          <w:lang w:val="en-US" w:bidi="ar-EG"/>
        </w:rPr>
        <w:br w:type="page"/>
      </w:r>
    </w:p>
    <w:p w:rsidR="003B4DA4" w:rsidRDefault="003B4DA4" w:rsidP="003B4DA4">
      <w:pPr>
        <w:rPr>
          <w:rtl/>
          <w:lang w:val="en-US" w:bidi="ar-EG"/>
        </w:rPr>
      </w:pPr>
      <w:r>
        <w:rPr>
          <w:rtl/>
          <w:lang w:val="en-US" w:bidi="ar-EG"/>
        </w:rPr>
        <w:lastRenderedPageBreak/>
        <w:t>حيث:</w:t>
      </w:r>
    </w:p>
    <w:p w:rsidR="003B4DA4" w:rsidRDefault="003B4DA4" w:rsidP="003B4DA4">
      <w:pPr>
        <w:pStyle w:val="Equation"/>
        <w:tabs>
          <w:tab w:val="clear" w:pos="794"/>
          <w:tab w:val="right" w:pos="992"/>
          <w:tab w:val="left" w:pos="1275"/>
        </w:tabs>
        <w:ind w:left="1275" w:hanging="1275"/>
        <w:rPr>
          <w:rtl/>
          <w:lang w:val="en-US" w:bidi="ar-EG"/>
        </w:rPr>
      </w:pPr>
      <w:r>
        <w:rPr>
          <w:i/>
          <w:rtl/>
          <w:lang w:bidi="ar-EG"/>
        </w:rPr>
        <w:tab/>
      </w:r>
      <w:r w:rsidRPr="00080D8C">
        <w:rPr>
          <w:i/>
          <w:lang w:bidi="ar-EG"/>
        </w:rPr>
        <w:t>SPD</w:t>
      </w:r>
      <w:r w:rsidRPr="00450D09">
        <w:rPr>
          <w:i/>
          <w:iCs/>
          <w:vertAlign w:val="subscript"/>
          <w:lang w:bidi="ar-EG"/>
        </w:rPr>
        <w:t>max</w:t>
      </w:r>
      <w:r>
        <w:rPr>
          <w:rtl/>
          <w:lang w:val="en-US" w:bidi="ar-EG"/>
        </w:rPr>
        <w:t>:</w:t>
      </w:r>
      <w:r>
        <w:rPr>
          <w:rtl/>
          <w:lang w:val="en-US" w:bidi="ar-EG"/>
        </w:rPr>
        <w:tab/>
        <w:t xml:space="preserve">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 </w:t>
      </w:r>
      <w:r w:rsidRPr="00B92636">
        <w:rPr>
          <w:b/>
          <w:bCs/>
          <w:lang w:val="en-US" w:bidi="ar-EG"/>
        </w:rPr>
        <w:t>4</w:t>
      </w:r>
      <w:r>
        <w:rPr>
          <w:lang w:val="en-US" w:bidi="ar-EG"/>
        </w:rPr>
        <w:t> (Rev.WRC-07)</w:t>
      </w:r>
      <w:r>
        <w:rPr>
          <w:rtl/>
          <w:lang w:val="en-US" w:bidi="ar-EG"/>
        </w:rPr>
        <w:t xml:space="preserve">) والمحسوب متوسطها عبر النطاق </w:t>
      </w:r>
      <w:r>
        <w:rPr>
          <w:lang w:val="en-US" w:bidi="ar-EG"/>
        </w:rPr>
        <w:t>kHz 4</w:t>
      </w:r>
      <w:r>
        <w:rPr>
          <w:rtl/>
          <w:lang w:val="en-US" w:bidi="ar-EG"/>
        </w:rPr>
        <w:t xml:space="preserve"> الأسوأ واستناداً إلى الكثافة المشعة الفعالة القصوى؛</w:t>
      </w:r>
    </w:p>
    <w:p w:rsidR="003B4DA4" w:rsidRDefault="003B4DA4" w:rsidP="003B4DA4">
      <w:pPr>
        <w:pStyle w:val="Equation"/>
        <w:tabs>
          <w:tab w:val="clear" w:pos="794"/>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NA</w:t>
      </w:r>
      <w:r>
        <w:rPr>
          <w:rtl/>
          <w:lang w:val="en-US" w:bidi="ar-EG"/>
        </w:rPr>
        <w:t>:</w:t>
      </w:r>
      <w:r>
        <w:rPr>
          <w:rtl/>
          <w:lang w:val="en-US" w:bidi="ar-EG"/>
        </w:rPr>
        <w:tab/>
        <w:t xml:space="preserve">عرض النطاق اللازم المبلغ عنه (البند </w:t>
      </w:r>
      <w:r>
        <w:rPr>
          <w:lang w:val="en-US" w:bidi="ar-EG"/>
        </w:rPr>
        <w:t>7AB</w:t>
      </w:r>
      <w:r>
        <w:rPr>
          <w:rtl/>
          <w:lang w:val="en-US" w:bidi="ar-EG"/>
        </w:rPr>
        <w:t xml:space="preserve">، الملحق </w:t>
      </w:r>
      <w:r>
        <w:rPr>
          <w:lang w:val="en-US" w:bidi="ar-EG"/>
        </w:rPr>
        <w:t>1</w:t>
      </w:r>
      <w:r>
        <w:rPr>
          <w:rtl/>
          <w:lang w:val="en-US" w:bidi="ar-EG"/>
        </w:rPr>
        <w:t xml:space="preserve"> بالتذييل </w:t>
      </w:r>
      <w:r w:rsidRPr="00B92636">
        <w:rPr>
          <w:b/>
          <w:bCs/>
          <w:lang w:val="en-US" w:bidi="ar-EG"/>
        </w:rPr>
        <w:t>4</w:t>
      </w:r>
      <w:r>
        <w:rPr>
          <w:lang w:val="en-US" w:bidi="ar-EG"/>
        </w:rPr>
        <w:t> (Rev.WRC-07)</w:t>
      </w:r>
      <w:r>
        <w:rPr>
          <w:rtl/>
          <w:lang w:val="en-US" w:bidi="ar-EG"/>
        </w:rPr>
        <w:t xml:space="preserve">) بوحدة </w:t>
      </w:r>
      <w:r>
        <w:rPr>
          <w:lang w:val="en-US" w:bidi="ar-EG"/>
        </w:rPr>
        <w:t>Hz</w:t>
      </w:r>
      <w:r>
        <w:rPr>
          <w:rtl/>
          <w:lang w:val="en-US" w:bidi="ar-EG"/>
        </w:rPr>
        <w:t>؛</w:t>
      </w:r>
    </w:p>
    <w:p w:rsidR="003B4DA4" w:rsidRDefault="003B4DA4" w:rsidP="003B4DA4">
      <w:pPr>
        <w:pStyle w:val="Equation"/>
        <w:tabs>
          <w:tab w:val="clear" w:pos="794"/>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PE</w:t>
      </w:r>
      <w:r>
        <w:rPr>
          <w:rtl/>
          <w:lang w:val="en-US" w:bidi="ar-EG"/>
        </w:rPr>
        <w:t>:</w:t>
      </w:r>
      <w:r>
        <w:rPr>
          <w:rtl/>
          <w:lang w:val="en-US" w:bidi="ar-EG"/>
        </w:rPr>
        <w:tab/>
        <w:t xml:space="preserve">عرض النطاق بوحدة </w:t>
      </w:r>
      <w:r>
        <w:rPr>
          <w:lang w:val="en-US" w:bidi="ar-EG"/>
        </w:rPr>
        <w:t>Hz</w:t>
      </w:r>
      <w:r>
        <w:rPr>
          <w:rtl/>
          <w:lang w:val="en-US" w:bidi="ar-EG"/>
        </w:rPr>
        <w:t xml:space="preserve"> للنظام ذي الصلة لمدخل الإذاعة الرقمية بالخطة. وبالنسبة لمدخلات خطة الإذاعة التلفزيونية الرقمية للأرض </w:t>
      </w:r>
      <w:r>
        <w:rPr>
          <w:lang w:val="en-US" w:bidi="ar-EG"/>
        </w:rPr>
        <w:t>(DVB-T)</w:t>
      </w:r>
      <w:r>
        <w:rPr>
          <w:rtl/>
          <w:lang w:val="en-US" w:bidi="ar-EG"/>
        </w:rPr>
        <w:t xml:space="preserve">، فإن عرض النطاق يساوي </w:t>
      </w:r>
      <w:r>
        <w:rPr>
          <w:lang w:val="en-US" w:bidi="ar-EG"/>
        </w:rPr>
        <w:t>7,61</w:t>
      </w:r>
      <w:r>
        <w:rPr>
          <w:rtl/>
          <w:lang w:val="en-US" w:bidi="ar-EG"/>
        </w:rPr>
        <w:t xml:space="preserve"> × </w:t>
      </w:r>
      <w:r>
        <w:rPr>
          <w:lang w:val="en-US" w:bidi="ar-EG"/>
        </w:rPr>
        <w:t>Hz </w:t>
      </w:r>
      <w:r>
        <w:rPr>
          <w:vertAlign w:val="superscript"/>
          <w:lang w:val="en-US" w:bidi="ar-EG"/>
        </w:rPr>
        <w:t>6</w:t>
      </w:r>
      <w:r>
        <w:rPr>
          <w:lang w:val="en-US" w:bidi="ar-EG"/>
        </w:rPr>
        <w:t>10</w:t>
      </w:r>
      <w:r>
        <w:rPr>
          <w:rtl/>
          <w:lang w:val="en-US" w:bidi="ar-EG"/>
        </w:rPr>
        <w:t xml:space="preserve"> بالنسبة للأنظمة </w:t>
      </w:r>
      <w:r>
        <w:rPr>
          <w:lang w:val="en-US" w:bidi="ar-EG"/>
        </w:rPr>
        <w:t>MHz 8</w:t>
      </w:r>
      <w:r>
        <w:rPr>
          <w:rtl/>
          <w:lang w:val="en-US" w:bidi="ar-EG"/>
        </w:rPr>
        <w:t xml:space="preserve"> ويساوي </w:t>
      </w:r>
      <w:r>
        <w:rPr>
          <w:lang w:val="en-US" w:bidi="ar-EG"/>
        </w:rPr>
        <w:t>6,66</w:t>
      </w:r>
      <w:r>
        <w:rPr>
          <w:rtl/>
          <w:lang w:val="en-US" w:bidi="ar-EG"/>
        </w:rPr>
        <w:t> ×</w:t>
      </w:r>
      <w:r>
        <w:rPr>
          <w:lang w:val="en-US" w:bidi="ar-EG"/>
        </w:rPr>
        <w:t>Hz </w:t>
      </w:r>
      <w:r w:rsidRPr="001D189B">
        <w:rPr>
          <w:vertAlign w:val="superscript"/>
          <w:lang w:val="en-US" w:bidi="ar-EG"/>
        </w:rPr>
        <w:t>6</w:t>
      </w:r>
      <w:r>
        <w:rPr>
          <w:lang w:val="en-US" w:bidi="ar-EG"/>
        </w:rPr>
        <w:t xml:space="preserve">10 </w:t>
      </w:r>
      <w:r>
        <w:rPr>
          <w:rtl/>
          <w:lang w:val="en-US" w:bidi="ar-EG"/>
        </w:rPr>
        <w:t xml:space="preserve"> بالنسبة إلى الأنظمة </w:t>
      </w:r>
      <w:r>
        <w:rPr>
          <w:lang w:val="en-US" w:bidi="ar-EG"/>
        </w:rPr>
        <w:t>MHz 7</w:t>
      </w:r>
      <w:r>
        <w:rPr>
          <w:rtl/>
          <w:lang w:val="en-US" w:bidi="ar-EG"/>
        </w:rPr>
        <w:t xml:space="preserve"> وبالنسبة إلى مدخلات خطة الإذاعة السمعية الرقمية للأرض </w:t>
      </w:r>
      <w:r>
        <w:rPr>
          <w:lang w:val="en-US" w:bidi="ar-EG"/>
        </w:rPr>
        <w:t>T-</w:t>
      </w:r>
      <w:smartTag w:uri="urn:schemas-microsoft-com:office:smarttags" w:element="stockticker">
        <w:r>
          <w:rPr>
            <w:lang w:val="en-US" w:bidi="ar-EG"/>
          </w:rPr>
          <w:t>DAB</w:t>
        </w:r>
      </w:smartTag>
      <w:r>
        <w:rPr>
          <w:rtl/>
          <w:lang w:val="en-US" w:bidi="ar-EG"/>
        </w:rPr>
        <w:t xml:space="preserve">، فإن عرض النطاق يساوي </w:t>
      </w:r>
      <w:r>
        <w:rPr>
          <w:lang w:val="en-US" w:bidi="ar-EG"/>
        </w:rPr>
        <w:t>1,536</w:t>
      </w:r>
      <w:r>
        <w:rPr>
          <w:rtl/>
          <w:lang w:val="en-US" w:bidi="ar-EG"/>
        </w:rPr>
        <w:t xml:space="preserve"> × </w:t>
      </w:r>
      <w:r>
        <w:rPr>
          <w:lang w:val="en-US" w:bidi="ar-EG"/>
        </w:rPr>
        <w:t>Hz </w:t>
      </w:r>
      <w:r w:rsidRPr="001D189B">
        <w:rPr>
          <w:vertAlign w:val="superscript"/>
          <w:lang w:val="en-US" w:bidi="ar-EG"/>
        </w:rPr>
        <w:t>6</w:t>
      </w:r>
      <w:r>
        <w:rPr>
          <w:lang w:val="en-US" w:bidi="ar-EG"/>
        </w:rPr>
        <w:t>10</w:t>
      </w:r>
      <w:r>
        <w:rPr>
          <w:rtl/>
          <w:lang w:val="en-US" w:bidi="ar-EG"/>
        </w:rPr>
        <w:t>.</w:t>
      </w:r>
    </w:p>
    <w:p w:rsidR="00EC2801" w:rsidRDefault="003B4DA4" w:rsidP="005D66C7">
      <w:pPr>
        <w:rPr>
          <w:rtl/>
          <w:lang w:bidi="ar-EG"/>
        </w:rPr>
      </w:pPr>
      <w:r>
        <w:rPr>
          <w:rtl/>
          <w:lang w:val="en-US" w:bidi="ar-EG"/>
        </w:rPr>
        <w:t xml:space="preserve">وللتأكد من أن شدة المجال الناتجة عن تخصيص (تخصيصات) التردد المبلغ عنه (عنها) لا تولد في أي اتجاه تداخلاً يزيد عما يولده مدخل الإذاعة الرقمية المقابل في الخطة، سيحتاج المكتب إلى الخصائص الكاملة لتخصيص التردد المبلغ عنه مثل المعلومات الجغرافية (ارتفاعات الهوائي الفعلية في </w:t>
      </w:r>
      <w:r>
        <w:rPr>
          <w:lang w:val="en-US" w:bidi="ar-EG"/>
        </w:rPr>
        <w:t>36</w:t>
      </w:r>
      <w:r>
        <w:rPr>
          <w:rtl/>
          <w:lang w:val="en-US" w:bidi="ar-EG"/>
        </w:rPr>
        <w:t xml:space="preserve"> سمتاً) ومعلومات الإرسال (الاستقطاب و</w:t>
      </w:r>
      <w:r>
        <w:rPr>
          <w:lang w:val="en-US" w:bidi="ar-EG"/>
        </w:rPr>
        <w:t>e.r.p</w:t>
      </w:r>
      <w:r>
        <w:rPr>
          <w:rtl/>
          <w:lang w:val="en-US" w:bidi="ar-EG"/>
        </w:rPr>
        <w:t xml:space="preserve">، بما في ذلك توهين الهوائي على المستويين الأفقي والعمودي إذا كان لمدخل الإذاعة الرقمية في الخطة مثلاً نمط هوائي اتجاهي). </w:t>
      </w:r>
      <w:r w:rsidR="00EC2801">
        <w:rPr>
          <w:rtl/>
          <w:lang w:val="en-US" w:bidi="ar-EG"/>
        </w:rPr>
        <w:t xml:space="preserve">ولذلك تحتاج الإدارات عند التبليغ عن تخصيصات التردد بموجب الرقم </w:t>
      </w:r>
      <w:r w:rsidR="00EC2801">
        <w:rPr>
          <w:lang w:val="en-US" w:bidi="ar-EG"/>
        </w:rPr>
        <w:t>3.1.5</w:t>
      </w:r>
      <w:r w:rsidR="00EC2801">
        <w:rPr>
          <w:rtl/>
          <w:lang w:val="en-US" w:bidi="ar-EG"/>
        </w:rPr>
        <w:t xml:space="preserve"> من الاتفاق </w:t>
      </w:r>
      <w:r w:rsidR="00EC2801">
        <w:rPr>
          <w:lang w:val="en-US" w:bidi="ar-EG"/>
        </w:rPr>
        <w:t>GE06</w:t>
      </w:r>
      <w:r w:rsidR="00EC2801">
        <w:rPr>
          <w:rtl/>
          <w:lang w:val="en-US" w:bidi="ar-EG"/>
        </w:rPr>
        <w:t xml:space="preserve"> إلى تقديم جميع الخصائص ذات الصلة واللازمة لكي يتأكد المكتب من أن التخصيص المبلغ يندرج في غلاف مُدخل الإذاعة الرقمية في الخطة.</w:t>
      </w:r>
    </w:p>
    <w:p w:rsidR="003B4DA4" w:rsidRDefault="003B4DA4" w:rsidP="003B4DA4">
      <w:pPr>
        <w:rPr>
          <w:sz w:val="16"/>
          <w:szCs w:val="24"/>
          <w:rtl/>
          <w:lang w:val="en-US" w:bidi="ar-EG"/>
        </w:rPr>
      </w:pPr>
      <w:r w:rsidRPr="00641027">
        <w:rPr>
          <w:lang w:bidi="ar-EG"/>
        </w:rPr>
        <w:t>3</w:t>
      </w:r>
      <w:r w:rsidRPr="00641027">
        <w:rPr>
          <w:rtl/>
          <w:lang w:bidi="ar-EG"/>
        </w:rPr>
        <w:t>)</w:t>
      </w:r>
      <w:r w:rsidRPr="00641027">
        <w:rPr>
          <w:rtl/>
          <w:lang w:bidi="ar-EG"/>
        </w:rPr>
        <w:tab/>
        <w:t xml:space="preserve">إذا كان مدخل الخطة الرقمية يحتوي على ملاحظة تتعلق بتخصيصات في الخطة التماثلية أو تخصيصات حالية لخدمات أولية أخرى للأرض، فإن نتائج تخصيص التردد المبلّغ عنه والذي يشير إلى مدخل الخطة الرقمية هذا ويندرج في نطاق الحكم </w:t>
      </w:r>
      <w:r w:rsidRPr="00641027">
        <w:rPr>
          <w:lang w:val="en-US" w:bidi="ar-EG"/>
        </w:rPr>
        <w:t>3.1.5</w:t>
      </w:r>
      <w:r w:rsidRPr="00641027">
        <w:rPr>
          <w:rtl/>
          <w:lang w:val="en-US" w:bidi="ar-EG"/>
        </w:rPr>
        <w:t xml:space="preserve"> تكون مؤاتية إذا تم الحصول على جميع الموافقات الضرورية وإذا كانت نتائج جميع الفحوص المطلوبة مؤاتية.</w:t>
      </w:r>
    </w:p>
    <w:p w:rsidR="003B4DA4" w:rsidRDefault="003B4DA4" w:rsidP="003B4DA4">
      <w:pPr>
        <w:spacing w:before="240"/>
        <w:rPr>
          <w:lang w:val="fr-FR" w:bidi="ar-EG"/>
        </w:rPr>
      </w:pPr>
      <w:r>
        <w:rPr>
          <w:rtl/>
          <w:lang w:val="en-US" w:bidi="ar-EG"/>
        </w:rPr>
        <w:t xml:space="preserve">وإذا كان مدخل الخطة الرقمية يحتوي على ملاحظة تتعلق بمدخلات في الخطة الرقمية، فإن نتائج تخصيص التردد المبلغ عنه والذي يشير إلى مدخل الخطة الرقمية هذا ويندرج في نطاق الحكم </w:t>
      </w:r>
      <w:r>
        <w:rPr>
          <w:lang w:val="fr-FR" w:bidi="ar-EG"/>
        </w:rPr>
        <w:t>3.1.5</w:t>
      </w:r>
      <w:r>
        <w:rPr>
          <w:rtl/>
          <w:lang w:val="fr-FR" w:bidi="ar-EG"/>
        </w:rPr>
        <w:t xml:space="preserve"> تكون مؤاتية إذا بينت الإدارة المبلغة أنه تم الوفاء بجميع الشروط ذات الصلة بالملاحظة على أكمل وجه وإذا كانت نتائج جميع الفحوص المطلوبة مؤاتية.</w:t>
      </w:r>
    </w:p>
    <w:p w:rsidR="00780392" w:rsidRDefault="00780392" w:rsidP="003B4DA4">
      <w:pPr>
        <w:spacing w:before="240"/>
        <w:rPr>
          <w:lang w:val="en-US" w:bidi="ar-EG"/>
        </w:rPr>
      </w:pPr>
    </w:p>
    <w:p w:rsidR="00780392" w:rsidRDefault="00780392" w:rsidP="003B4DA4">
      <w:pPr>
        <w:spacing w:before="240"/>
        <w:rPr>
          <w:lang w:val="en-US" w:bidi="ar-EG"/>
        </w:rPr>
      </w:pPr>
    </w:p>
    <w:p w:rsidR="00780392" w:rsidRDefault="00780392" w:rsidP="003B4DA4">
      <w:pPr>
        <w:spacing w:before="240"/>
        <w:rPr>
          <w:lang w:val="en-US" w:bidi="ar-EG"/>
        </w:rPr>
      </w:pPr>
    </w:p>
    <w:p w:rsidR="00780392" w:rsidRDefault="00780392" w:rsidP="003B4DA4">
      <w:pPr>
        <w:spacing w:before="240"/>
        <w:rPr>
          <w:rtl/>
          <w:lang w:val="en-US" w:bidi="ar-EG"/>
        </w:rPr>
      </w:pPr>
      <w:r>
        <w:rPr>
          <w:rtl/>
          <w:lang w:val="en-US" w:bidi="ar-EG"/>
        </w:rPr>
        <w:br w:type="page"/>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B4DA4" w:rsidTr="00A74442">
        <w:tc>
          <w:tcPr>
            <w:tcW w:w="1275" w:type="dxa"/>
          </w:tcPr>
          <w:p w:rsidR="003B4DA4" w:rsidRDefault="003B4DA4" w:rsidP="00A74442">
            <w:pPr>
              <w:tabs>
                <w:tab w:val="clear" w:pos="794"/>
                <w:tab w:val="clear" w:pos="1191"/>
                <w:tab w:val="clear" w:pos="1588"/>
                <w:tab w:val="clear" w:pos="1985"/>
              </w:tabs>
              <w:spacing w:before="0" w:after="40" w:line="280" w:lineRule="exact"/>
              <w:rPr>
                <w:b/>
                <w:bCs/>
                <w:lang w:val="en-US" w:bidi="ar-EG"/>
              </w:rPr>
            </w:pPr>
            <w:r>
              <w:rPr>
                <w:b/>
                <w:bCs/>
                <w:rtl/>
                <w:lang w:val="en-US" w:bidi="ar-EG"/>
              </w:rPr>
              <w:lastRenderedPageBreak/>
              <w:t xml:space="preserve">المادة </w:t>
            </w:r>
            <w:r>
              <w:rPr>
                <w:b/>
                <w:bCs/>
                <w:lang w:val="en-US" w:bidi="ar-EG"/>
              </w:rPr>
              <w:t>12</w:t>
            </w:r>
          </w:p>
        </w:tc>
      </w:tr>
    </w:tbl>
    <w:p w:rsidR="003B4DA4" w:rsidRPr="00D7203A" w:rsidRDefault="003B4DA4" w:rsidP="003B4DA4">
      <w:pPr>
        <w:pStyle w:val="Arttitle"/>
        <w:spacing w:after="240"/>
        <w:rPr>
          <w:b w:val="0"/>
          <w:bCs/>
          <w:rtl/>
          <w:lang w:bidi="ar-EG"/>
        </w:rPr>
      </w:pPr>
      <w:r w:rsidRPr="00D7203A">
        <w:rPr>
          <w:b w:val="0"/>
          <w:bCs/>
          <w:rtl/>
          <w:lang w:bidi="ar-EG"/>
        </w:rPr>
        <w:t>دخول الاتفاق حيز النفاذ ومدته وتطبيقه مؤقتاً</w:t>
      </w:r>
    </w:p>
    <w:tbl>
      <w:tblPr>
        <w:bidiVisual/>
        <w:tblW w:w="0" w:type="auto"/>
        <w:tblInd w:w="108"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275"/>
      </w:tblGrid>
      <w:tr w:rsidR="003B4DA4" w:rsidTr="00A74442">
        <w:tc>
          <w:tcPr>
            <w:tcW w:w="1275" w:type="dxa"/>
          </w:tcPr>
          <w:p w:rsidR="003B4DA4" w:rsidRDefault="003B4DA4" w:rsidP="00A74442">
            <w:pPr>
              <w:tabs>
                <w:tab w:val="clear" w:pos="794"/>
                <w:tab w:val="clear" w:pos="1191"/>
                <w:tab w:val="clear" w:pos="1588"/>
                <w:tab w:val="clear" w:pos="1985"/>
              </w:tabs>
              <w:spacing w:before="0" w:after="40" w:line="280" w:lineRule="exact"/>
              <w:rPr>
                <w:b/>
                <w:bCs/>
                <w:lang w:val="en-US" w:bidi="ar-EG"/>
              </w:rPr>
            </w:pPr>
            <w:r>
              <w:rPr>
                <w:b/>
                <w:bCs/>
                <w:lang w:val="en-US" w:bidi="ar-EG"/>
              </w:rPr>
              <w:t>6.12</w:t>
            </w:r>
          </w:p>
        </w:tc>
      </w:tr>
    </w:tbl>
    <w:p w:rsidR="003B4DA4" w:rsidRDefault="003B4DA4" w:rsidP="003B4DA4">
      <w:pPr>
        <w:spacing w:before="240"/>
        <w:rPr>
          <w:rtl/>
          <w:lang w:val="en-US" w:bidi="ar-EG"/>
        </w:rPr>
      </w:pPr>
      <w:r>
        <w:rPr>
          <w:rtl/>
          <w:lang w:bidi="ar-EG"/>
        </w:rPr>
        <w:t xml:space="preserve">تتضمن الحاشية </w:t>
      </w:r>
      <w:r>
        <w:rPr>
          <w:lang w:val="en-US" w:bidi="ar-EG"/>
        </w:rPr>
        <w:t>7</w:t>
      </w:r>
      <w:r>
        <w:rPr>
          <w:rtl/>
          <w:lang w:val="en-US" w:bidi="ar-EG"/>
        </w:rPr>
        <w:t xml:space="preserve"> المصاحبة لهذا الحكم قائمة بالبلدان التي تنتهي بالنسبة لها الفترة الانتقالية للنطاق </w:t>
      </w:r>
      <w:r>
        <w:rPr>
          <w:lang w:val="en-US" w:bidi="ar-EG"/>
        </w:rPr>
        <w:t>VHF</w:t>
      </w:r>
      <w:r>
        <w:rPr>
          <w:rtl/>
          <w:lang w:val="en-US" w:bidi="ar-EG"/>
        </w:rPr>
        <w:t xml:space="preserve"> </w:t>
      </w:r>
      <w:r>
        <w:rPr>
          <w:rtl/>
          <w:lang w:val="en-US" w:bidi="ar-EG"/>
        </w:rPr>
        <w:br/>
        <w:t>(</w:t>
      </w:r>
      <w:r>
        <w:rPr>
          <w:lang w:val="en-US" w:bidi="ar-EG"/>
        </w:rPr>
        <w:t>MHz 230-174</w:t>
      </w:r>
      <w:r>
        <w:rPr>
          <w:rtl/>
          <w:lang w:val="en-US" w:bidi="ar-EG"/>
        </w:rPr>
        <w:t xml:space="preserve">؛ والنطاق </w:t>
      </w:r>
      <w:r>
        <w:rPr>
          <w:lang w:val="en-US" w:bidi="ar-EG"/>
        </w:rPr>
        <w:t>MHz 230-170</w:t>
      </w:r>
      <w:r>
        <w:rPr>
          <w:rtl/>
          <w:lang w:val="en-US" w:bidi="ar-EG"/>
        </w:rPr>
        <w:t xml:space="preserve"> بالنسبة للمغرب) في الساعة </w:t>
      </w:r>
      <w:r>
        <w:rPr>
          <w:lang w:val="en-US" w:bidi="ar-EG"/>
        </w:rPr>
        <w:t>0001</w:t>
      </w:r>
      <w:r>
        <w:rPr>
          <w:rtl/>
          <w:lang w:val="en-US" w:bidi="ar-EG"/>
        </w:rPr>
        <w:t xml:space="preserve"> بالتوقيت العالمي المنسق </w:t>
      </w:r>
      <w:r>
        <w:rPr>
          <w:lang w:val="en-US" w:bidi="ar-EG"/>
        </w:rPr>
        <w:t>(UTC)</w:t>
      </w:r>
      <w:r>
        <w:rPr>
          <w:rtl/>
          <w:lang w:val="en-US" w:bidi="ar-EG"/>
        </w:rPr>
        <w:t xml:space="preserve"> يوم </w:t>
      </w:r>
      <w:r>
        <w:rPr>
          <w:lang w:val="en-US" w:bidi="ar-EG"/>
        </w:rPr>
        <w:t>17</w:t>
      </w:r>
      <w:r>
        <w:rPr>
          <w:rtl/>
          <w:lang w:val="en-US" w:bidi="ar-EG"/>
        </w:rPr>
        <w:t xml:space="preserve"> يونيو </w:t>
      </w:r>
      <w:r>
        <w:rPr>
          <w:lang w:val="en-US" w:bidi="ar-EG"/>
        </w:rPr>
        <w:t>2020</w:t>
      </w:r>
      <w:r>
        <w:rPr>
          <w:rtl/>
          <w:lang w:val="en-US" w:bidi="ar-EG"/>
        </w:rPr>
        <w:t xml:space="preserve">. وتنص هذه الحاشية أيضاً على خيار للإدارات التي لم تكن حاضرة في المؤتمر </w:t>
      </w:r>
      <w:r>
        <w:rPr>
          <w:lang w:val="en-US" w:bidi="ar-EG"/>
        </w:rPr>
        <w:t>RRC-06</w:t>
      </w:r>
      <w:r>
        <w:rPr>
          <w:rtl/>
          <w:lang w:val="en-US" w:bidi="ar-EG"/>
        </w:rPr>
        <w:t xml:space="preserve"> وترد أسماؤها في الحاشية </w:t>
      </w:r>
      <w:r>
        <w:rPr>
          <w:lang w:val="en-US" w:bidi="ar-EG"/>
        </w:rPr>
        <w:t>7</w:t>
      </w:r>
      <w:r>
        <w:rPr>
          <w:rtl/>
          <w:lang w:val="en-US" w:bidi="ar-EG"/>
        </w:rPr>
        <w:t xml:space="preserve"> لكي تختار تاريخاً آخر لنهاية الفترة الانتقالية في النطاق </w:t>
      </w:r>
      <w:r>
        <w:rPr>
          <w:lang w:val="en-US" w:bidi="ar-EG"/>
        </w:rPr>
        <w:t>VHF</w:t>
      </w:r>
      <w:r>
        <w:rPr>
          <w:rtl/>
          <w:lang w:val="en-US" w:bidi="ar-EG"/>
        </w:rPr>
        <w:t xml:space="preserve"> (أي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2015</w:t>
      </w:r>
      <w:r>
        <w:rPr>
          <w:rtl/>
          <w:lang w:val="en-US" w:bidi="ar-EG"/>
        </w:rPr>
        <w:t xml:space="preserve">) شريطة أن تبلّغ هذه الإدارات قرارها في المكتب في غضون </w:t>
      </w:r>
      <w:r>
        <w:rPr>
          <w:lang w:val="en-US" w:bidi="ar-EG"/>
        </w:rPr>
        <w:t>90</w:t>
      </w:r>
      <w:r>
        <w:rPr>
          <w:rtl/>
          <w:lang w:val="en-US" w:bidi="ar-EG"/>
        </w:rPr>
        <w:t xml:space="preserve"> يوماً من نهاية المؤتمر </w:t>
      </w:r>
      <w:r>
        <w:rPr>
          <w:lang w:val="en-US" w:bidi="ar-EG"/>
        </w:rPr>
        <w:t>RRC-06</w:t>
      </w:r>
      <w:r>
        <w:rPr>
          <w:rtl/>
          <w:lang w:val="en-US" w:bidi="ar-EG"/>
        </w:rPr>
        <w:t>.</w:t>
      </w:r>
    </w:p>
    <w:p w:rsidR="003B4DA4" w:rsidRDefault="003B4DA4" w:rsidP="003B4DA4">
      <w:pPr>
        <w:rPr>
          <w:sz w:val="16"/>
          <w:szCs w:val="24"/>
          <w:rtl/>
          <w:lang w:val="en-US" w:bidi="ar-EG"/>
        </w:rPr>
      </w:pPr>
      <w:r>
        <w:rPr>
          <w:rtl/>
          <w:lang w:val="en-US" w:bidi="ar-EG"/>
        </w:rPr>
        <w:t xml:space="preserve">وبعد نهاية المؤتمر </w:t>
      </w:r>
      <w:r>
        <w:rPr>
          <w:lang w:val="en-US" w:bidi="ar-EG"/>
        </w:rPr>
        <w:t>RRC-06</w:t>
      </w:r>
      <w:r>
        <w:rPr>
          <w:rtl/>
          <w:lang w:val="en-US" w:bidi="ar-EG"/>
        </w:rPr>
        <w:t xml:space="preserve">، اتصل المكتب بإدارات الدول الأعضاء المذكورة في الحاشية </w:t>
      </w:r>
      <w:r>
        <w:rPr>
          <w:lang w:val="en-US" w:bidi="ar-EG"/>
        </w:rPr>
        <w:t>7</w:t>
      </w:r>
      <w:r>
        <w:rPr>
          <w:rtl/>
          <w:lang w:val="en-US" w:bidi="ar-EG"/>
        </w:rPr>
        <w:t xml:space="preserve"> من هذا الحكم التي لم تكن حاضرة في المؤتمر وأبلغها بقرارات المؤتمر في هذا الصدد. ولم تبلغ أي إدارة من إدارات الدول الأعضاء المعنية المكتب في غضون الفترة المنصوص عليها بأنها اختارت </w:t>
      </w:r>
      <w:r>
        <w:rPr>
          <w:lang w:val="en-US" w:bidi="ar-EG"/>
        </w:rPr>
        <w:t>17</w:t>
      </w:r>
      <w:r>
        <w:rPr>
          <w:rtl/>
          <w:lang w:val="en-US" w:bidi="ar-EG"/>
        </w:rPr>
        <w:t xml:space="preserve"> يونيو </w:t>
      </w:r>
      <w:r>
        <w:rPr>
          <w:lang w:val="en-US" w:bidi="ar-EG"/>
        </w:rPr>
        <w:t>2015</w:t>
      </w:r>
      <w:r>
        <w:rPr>
          <w:rtl/>
          <w:lang w:val="en-US" w:bidi="ar-EG"/>
        </w:rPr>
        <w:t xml:space="preserve"> تاريخاً لنهاية الفترة الانتقالية. ولذلك فإن الفترة الانتقالية في النطاق </w:t>
      </w:r>
      <w:r>
        <w:rPr>
          <w:lang w:val="en-US" w:bidi="ar-EG"/>
        </w:rPr>
        <w:t>VHF</w:t>
      </w:r>
      <w:r>
        <w:rPr>
          <w:rtl/>
          <w:lang w:val="en-US" w:bidi="ar-EG"/>
        </w:rPr>
        <w:t xml:space="preserve"> سوف تنتهي بالنسبة لجميع البلدان المذكورة في الحاشية </w:t>
      </w:r>
      <w:r>
        <w:rPr>
          <w:lang w:val="en-US" w:bidi="ar-EG"/>
        </w:rPr>
        <w:t>7</w:t>
      </w:r>
      <w:r>
        <w:rPr>
          <w:rtl/>
          <w:lang w:val="en-US" w:bidi="ar-EG"/>
        </w:rPr>
        <w:t xml:space="preserve">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2020</w:t>
      </w:r>
      <w:r>
        <w:rPr>
          <w:rtl/>
          <w:lang w:val="en-US" w:bidi="ar-EG"/>
        </w:rPr>
        <w:t>.</w:t>
      </w:r>
    </w:p>
    <w:p w:rsidR="00334784" w:rsidRDefault="00334784" w:rsidP="00764F75">
      <w:pPr>
        <w:spacing w:before="240"/>
        <w:rPr>
          <w:lang w:val="en-US" w:bidi="ar-EG"/>
        </w:rPr>
      </w:pPr>
    </w:p>
    <w:p w:rsidR="00723E5F" w:rsidRDefault="00723E5F" w:rsidP="00764F75">
      <w:pPr>
        <w:spacing w:before="240"/>
        <w:rPr>
          <w:lang w:val="en-US" w:bidi="ar-EG"/>
        </w:rPr>
      </w:pPr>
    </w:p>
    <w:p w:rsidR="00AC180E" w:rsidRPr="00AC180E" w:rsidRDefault="00AC180E" w:rsidP="00764F75">
      <w:pPr>
        <w:spacing w:before="240"/>
        <w:rPr>
          <w:lang w:val="en-US" w:bidi="ar-EG"/>
        </w:rPr>
      </w:pPr>
    </w:p>
    <w:p w:rsidR="00723E5F" w:rsidRDefault="00723E5F" w:rsidP="00764F75">
      <w:pPr>
        <w:spacing w:before="240"/>
        <w:rPr>
          <w:lang w:val="en-US" w:bidi="ar-EG"/>
        </w:rPr>
      </w:pPr>
    </w:p>
    <w:p w:rsidR="00723E5F" w:rsidRDefault="00723E5F" w:rsidP="00764F75">
      <w:pPr>
        <w:spacing w:before="240"/>
        <w:rPr>
          <w:lang w:val="en-US" w:bidi="ar-EG"/>
        </w:rPr>
      </w:pPr>
    </w:p>
    <w:p w:rsidR="00723E5F" w:rsidRDefault="00723E5F" w:rsidP="00764F75">
      <w:pPr>
        <w:spacing w:before="240"/>
        <w:rPr>
          <w:lang w:val="en-US" w:bidi="ar-EG"/>
        </w:rPr>
      </w:pPr>
    </w:p>
    <w:p w:rsidR="00723E5F" w:rsidRDefault="00723E5F" w:rsidP="00764F75">
      <w:pPr>
        <w:spacing w:before="240"/>
        <w:rPr>
          <w:lang w:val="en-US" w:bidi="ar-EG"/>
        </w:rPr>
      </w:pPr>
    </w:p>
    <w:p w:rsidR="00723E5F" w:rsidRDefault="00723E5F" w:rsidP="00764F75">
      <w:pPr>
        <w:spacing w:before="240"/>
        <w:rPr>
          <w:lang w:val="en-US" w:bidi="ar-EG"/>
        </w:rPr>
      </w:pPr>
    </w:p>
    <w:p w:rsidR="00723E5F" w:rsidRDefault="00723E5F" w:rsidP="00764F75">
      <w:pPr>
        <w:spacing w:before="240"/>
        <w:rPr>
          <w:lang w:val="en-US" w:bidi="ar-EG"/>
        </w:rPr>
      </w:pPr>
    </w:p>
    <w:p w:rsidR="00723E5F" w:rsidRDefault="00723E5F" w:rsidP="00764F75">
      <w:pPr>
        <w:spacing w:before="240"/>
        <w:rPr>
          <w:rtl/>
          <w:lang w:val="en-US" w:bidi="ar-EG"/>
        </w:rPr>
      </w:pPr>
    </w:p>
    <w:p w:rsidR="00764F75" w:rsidRDefault="00764F75" w:rsidP="00056035">
      <w:pPr>
        <w:tabs>
          <w:tab w:val="clear" w:pos="794"/>
          <w:tab w:val="clear" w:pos="1191"/>
          <w:tab w:val="clear" w:pos="1588"/>
          <w:tab w:val="clear" w:pos="1985"/>
        </w:tabs>
        <w:spacing w:before="240"/>
        <w:rPr>
          <w:rtl/>
          <w:lang w:val="en-US" w:bidi="ar-EG"/>
        </w:rPr>
      </w:pPr>
    </w:p>
    <w:p w:rsidR="00B14FFA" w:rsidRDefault="00B14FFA" w:rsidP="00292287">
      <w:pPr>
        <w:tabs>
          <w:tab w:val="clear" w:pos="794"/>
          <w:tab w:val="clear" w:pos="1191"/>
          <w:tab w:val="clear" w:pos="1588"/>
          <w:tab w:val="clear" w:pos="1985"/>
        </w:tabs>
        <w:spacing w:before="0" w:line="80" w:lineRule="exact"/>
        <w:rPr>
          <w:rtl/>
          <w:lang w:val="en-US" w:bidi="ar-EG"/>
        </w:rPr>
        <w:sectPr w:rsidR="00B14FFA" w:rsidSect="00910A1D">
          <w:headerReference w:type="even" r:id="rId10"/>
          <w:headerReference w:type="default" r:id="rId11"/>
          <w:pgSz w:w="11907" w:h="16834" w:code="9"/>
          <w:pgMar w:top="1701" w:right="1985" w:bottom="1134" w:left="851" w:header="720" w:footer="482" w:gutter="0"/>
          <w:paperSrc w:first="15" w:other="15"/>
          <w:pgNumType w:start="1"/>
          <w:cols w:space="720"/>
          <w:vAlign w:val="both"/>
          <w:bidi/>
          <w:rtlGutter/>
        </w:sectPr>
      </w:pPr>
    </w:p>
    <w:p w:rsidR="00334784" w:rsidRDefault="00334784" w:rsidP="00292287">
      <w:pPr>
        <w:tabs>
          <w:tab w:val="clear" w:pos="794"/>
          <w:tab w:val="clear" w:pos="1191"/>
          <w:tab w:val="clear" w:pos="1588"/>
          <w:tab w:val="clear" w:pos="1985"/>
        </w:tabs>
        <w:spacing w:before="0" w:line="80" w:lineRule="exact"/>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rPr>
                <w:b/>
                <w:bCs/>
                <w:rtl/>
                <w:lang w:val="en-US" w:bidi="ar-EG"/>
              </w:rPr>
            </w:pPr>
            <w:r>
              <w:rPr>
                <w:rFonts w:hint="cs"/>
                <w:b/>
                <w:bCs/>
                <w:rtl/>
                <w:lang w:val="en-US" w:bidi="ar-EG"/>
              </w:rPr>
              <w:t xml:space="preserve">الملحق </w:t>
            </w:r>
            <w:r>
              <w:rPr>
                <w:b/>
                <w:bCs/>
                <w:lang w:val="en-US" w:bidi="ar-EG"/>
              </w:rPr>
              <w:t>2</w:t>
            </w:r>
          </w:p>
        </w:tc>
      </w:tr>
    </w:tbl>
    <w:p w:rsidR="00334784" w:rsidRDefault="00334784" w:rsidP="00292287">
      <w:pPr>
        <w:pStyle w:val="AnnexNotitle"/>
        <w:spacing w:before="360"/>
        <w:rPr>
          <w:b w:val="0"/>
          <w:bCs/>
          <w:rtl/>
          <w:lang w:val="en-US" w:bidi="ar-EG"/>
        </w:rPr>
      </w:pPr>
      <w:r>
        <w:rPr>
          <w:rFonts w:hint="cs"/>
          <w:b w:val="0"/>
          <w:bCs/>
          <w:rtl/>
          <w:lang w:val="en-US" w:bidi="ar-EG"/>
        </w:rPr>
        <w:t>العناصر والمعايير التقنية المستعملة في صياغة الخطة</w:t>
      </w:r>
      <w:r>
        <w:rPr>
          <w:rFonts w:hint="cs"/>
          <w:b w:val="0"/>
          <w:bCs/>
          <w:rtl/>
          <w:lang w:val="en-US" w:bidi="ar-EG"/>
        </w:rPr>
        <w:br/>
        <w:t>وتنفيذ الاتفاق</w:t>
      </w:r>
    </w:p>
    <w:p w:rsidR="00B14FFA" w:rsidRDefault="00B14FFA" w:rsidP="00B14FFA">
      <w:pPr>
        <w:tabs>
          <w:tab w:val="clear" w:pos="794"/>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2154"/>
      </w:tblGrid>
      <w:tr w:rsidR="00B14FFA" w:rsidTr="00B14FFA">
        <w:tc>
          <w:tcPr>
            <w:tcW w:w="1672" w:type="dxa"/>
          </w:tcPr>
          <w:p w:rsidR="00B14FFA" w:rsidRDefault="00B14FFA" w:rsidP="00B14FFA">
            <w:pPr>
              <w:tabs>
                <w:tab w:val="clear" w:pos="794"/>
                <w:tab w:val="clear" w:pos="1191"/>
                <w:tab w:val="clear" w:pos="1588"/>
                <w:tab w:val="clear" w:pos="1985"/>
              </w:tabs>
              <w:spacing w:before="0" w:after="40" w:line="280" w:lineRule="exact"/>
              <w:jc w:val="left"/>
              <w:rPr>
                <w:rFonts w:ascii="Times New Roman Bold" w:hAnsi="Times New Roman Bold"/>
                <w:b/>
                <w:bCs/>
                <w:spacing w:val="-2"/>
                <w:rtl/>
                <w:lang w:val="en-US" w:bidi="ar-EG"/>
              </w:rPr>
            </w:pPr>
            <w:r>
              <w:rPr>
                <w:rFonts w:ascii="Times New Roman Bold" w:hAnsi="Times New Roman Bold" w:hint="cs"/>
                <w:b/>
                <w:bCs/>
                <w:spacing w:val="-2"/>
                <w:rtl/>
                <w:lang w:val="en-US" w:bidi="ar-EG"/>
              </w:rPr>
              <w:t xml:space="preserve">التذييل </w:t>
            </w:r>
            <w:r>
              <w:rPr>
                <w:rFonts w:ascii="Times New Roman Bold" w:hAnsi="Times New Roman Bold"/>
                <w:b/>
                <w:bCs/>
                <w:spacing w:val="-2"/>
                <w:lang w:val="en-US" w:bidi="ar-EG"/>
              </w:rPr>
              <w:t>1.2</w:t>
            </w:r>
            <w:r>
              <w:rPr>
                <w:rFonts w:ascii="Times New Roman Bold" w:hAnsi="Times New Roman Bold"/>
                <w:b/>
                <w:bCs/>
                <w:spacing w:val="-2"/>
                <w:rtl/>
                <w:lang w:val="en-US" w:bidi="ar-EG"/>
              </w:rPr>
              <w:br/>
            </w:r>
            <w:r>
              <w:rPr>
                <w:rFonts w:ascii="Times New Roman Bold" w:hAnsi="Times New Roman Bold" w:hint="cs"/>
                <w:b/>
                <w:bCs/>
                <w:spacing w:val="-2"/>
                <w:rtl/>
                <w:lang w:val="en-US" w:bidi="ar-EG"/>
              </w:rPr>
              <w:t xml:space="preserve">الفقرة </w:t>
            </w:r>
            <w:r>
              <w:rPr>
                <w:rFonts w:eastAsia="SimSun"/>
                <w:b/>
                <w:color w:val="000000"/>
                <w:sz w:val="24"/>
                <w:lang w:bidi="ar-SY"/>
              </w:rPr>
              <w:t>1.8.1.2.A</w:t>
            </w:r>
          </w:p>
        </w:tc>
        <w:tc>
          <w:tcPr>
            <w:tcW w:w="2154" w:type="dxa"/>
            <w:tcBorders>
              <w:top w:val="nil"/>
              <w:bottom w:val="nil"/>
              <w:right w:val="nil"/>
            </w:tcBorders>
          </w:tcPr>
          <w:p w:rsidR="00B14FFA" w:rsidRPr="00B14FFA" w:rsidRDefault="00B14FFA" w:rsidP="00B14FFA">
            <w:pPr>
              <w:tabs>
                <w:tab w:val="clear" w:pos="794"/>
                <w:tab w:val="clear" w:pos="1191"/>
                <w:tab w:val="clear" w:pos="1588"/>
                <w:tab w:val="clear" w:pos="1985"/>
              </w:tabs>
              <w:spacing w:before="0" w:after="40" w:line="280" w:lineRule="exact"/>
              <w:jc w:val="left"/>
              <w:rPr>
                <w:rFonts w:hAnsi="Times New Roman Bold"/>
                <w:bCs/>
                <w:spacing w:val="-2"/>
                <w:sz w:val="16"/>
                <w:szCs w:val="16"/>
                <w:lang w:val="en-US" w:bidi="ar-EG"/>
              </w:rPr>
            </w:pPr>
            <w:r>
              <w:rPr>
                <w:rFonts w:ascii="Times New Roman Bold" w:hAnsi="Times New Roman Bold"/>
                <w:b/>
                <w:bCs/>
                <w:spacing w:val="-2"/>
                <w:rtl/>
                <w:lang w:val="en-US" w:bidi="ar-EG"/>
              </w:rPr>
              <w:br/>
            </w:r>
            <w:r w:rsidRPr="00B14FFA">
              <w:rPr>
                <w:rFonts w:hAnsi="Times New Roman Bold"/>
                <w:bCs/>
                <w:spacing w:val="-2"/>
                <w:sz w:val="16"/>
                <w:szCs w:val="16"/>
                <w:lang w:val="en-US" w:bidi="ar-EG"/>
              </w:rPr>
              <w:t>(ADD RRB13/64)</w:t>
            </w:r>
            <w:r>
              <w:rPr>
                <w:rFonts w:hAnsi="Times New Roman Bold"/>
                <w:bCs/>
                <w:spacing w:val="-2"/>
                <w:sz w:val="16"/>
                <w:szCs w:val="16"/>
                <w:lang w:val="en-US" w:bidi="ar-EG"/>
              </w:rPr>
              <w:t xml:space="preserve">  </w:t>
            </w:r>
            <w:r w:rsidR="00734DDC">
              <w:rPr>
                <w:rFonts w:hAnsi="Times New Roman Bold"/>
                <w:bCs/>
                <w:spacing w:val="-2"/>
                <w:sz w:val="16"/>
                <w:szCs w:val="16"/>
                <w:lang w:val="en-US" w:bidi="ar-EG"/>
              </w:rPr>
              <w:t xml:space="preserve">  </w:t>
            </w:r>
            <w:r>
              <w:rPr>
                <w:rFonts w:hAnsi="Times New Roman Bold"/>
                <w:bCs/>
                <w:spacing w:val="-2"/>
                <w:sz w:val="16"/>
                <w:szCs w:val="16"/>
                <w:lang w:val="en-US" w:bidi="ar-EG"/>
              </w:rPr>
              <w:t xml:space="preserve">    </w:t>
            </w:r>
          </w:p>
        </w:tc>
      </w:tr>
    </w:tbl>
    <w:p w:rsidR="00B14FFA" w:rsidRDefault="00B14FFA" w:rsidP="00910A1D">
      <w:pPr>
        <w:tabs>
          <w:tab w:val="clear" w:pos="794"/>
          <w:tab w:val="clear" w:pos="1191"/>
          <w:tab w:val="clear" w:pos="1588"/>
          <w:tab w:val="clear" w:pos="1985"/>
        </w:tabs>
        <w:spacing w:before="0"/>
        <w:rPr>
          <w:lang w:val="en-US" w:bidi="ar-EG"/>
        </w:rPr>
      </w:pPr>
    </w:p>
    <w:p w:rsidR="00B14FFA" w:rsidRPr="00626DB1" w:rsidRDefault="00B14FFA" w:rsidP="00B14FFA">
      <w:pPr>
        <w:spacing w:before="240"/>
        <w:rPr>
          <w:rFonts w:eastAsia="SimSun"/>
          <w:rtl/>
          <w:lang w:bidi="ar-SY"/>
        </w:rPr>
      </w:pPr>
      <w:r w:rsidRPr="00626DB1">
        <w:rPr>
          <w:rFonts w:eastAsia="SimSun" w:hint="cs"/>
          <w:rtl/>
          <w:lang w:bidi="ar-SY"/>
        </w:rPr>
        <w:t xml:space="preserve">يتناول هذا القسم عامل الاستكمال الداخلي </w:t>
      </w:r>
      <w:r w:rsidRPr="00626DB1">
        <w:rPr>
          <w:rFonts w:eastAsia="SimSun"/>
          <w:i/>
          <w:iCs/>
          <w:lang w:bidi="ar-SY"/>
        </w:rPr>
        <w:t>A</w:t>
      </w:r>
      <w:r w:rsidRPr="00626DB1">
        <w:rPr>
          <w:rFonts w:eastAsia="SimSun" w:hint="cs"/>
          <w:rtl/>
          <w:lang w:bidi="ar-SY"/>
        </w:rPr>
        <w:t xml:space="preserve"> للمسير المختلط المستعمل في حساب شدة المجال لمسير يقطع مناطق انتشار متعددة. والعامل </w:t>
      </w:r>
      <w:r w:rsidRPr="00626DB1">
        <w:rPr>
          <w:rFonts w:eastAsia="SimSun"/>
          <w:i/>
          <w:iCs/>
          <w:lang w:bidi="ar-SY"/>
        </w:rPr>
        <w:t>A</w:t>
      </w:r>
      <w:r w:rsidRPr="00626DB1">
        <w:rPr>
          <w:rFonts w:eastAsia="SimSun" w:hint="cs"/>
          <w:rtl/>
          <w:lang w:bidi="ar-SY"/>
        </w:rPr>
        <w:t xml:space="preserve"> عبارة عن دالة على عامل الاستكمال الداخلي الأساسي </w:t>
      </w:r>
      <w:r w:rsidRPr="00626DB1">
        <w:rPr>
          <w:rFonts w:eastAsia="SimSun"/>
          <w:i/>
          <w:iCs/>
          <w:lang w:bidi="ar-SY"/>
        </w:rPr>
        <w:t>A</w:t>
      </w:r>
      <w:r w:rsidRPr="00626DB1">
        <w:rPr>
          <w:rFonts w:eastAsia="SimSun"/>
          <w:i/>
          <w:iCs/>
          <w:vertAlign w:val="subscript"/>
          <w:lang w:bidi="ar-SY"/>
        </w:rPr>
        <w:t>0</w:t>
      </w:r>
      <w:r w:rsidRPr="00626DB1">
        <w:rPr>
          <w:rFonts w:eastAsia="SimSun" w:hint="cs"/>
          <w:rtl/>
        </w:rPr>
        <w:t xml:space="preserve"> الذي تتحدد قيمته بقراءة من المنحنى المبين في</w:t>
      </w:r>
      <w:r w:rsidRPr="00626DB1">
        <w:rPr>
          <w:rFonts w:eastAsia="SimSun" w:hint="eastAsia"/>
          <w:rtl/>
        </w:rPr>
        <w:t> </w:t>
      </w:r>
      <w:r w:rsidRPr="00626DB1">
        <w:rPr>
          <w:rFonts w:eastAsia="SimSun" w:hint="cs"/>
          <w:rtl/>
        </w:rPr>
        <w:t xml:space="preserve">الشكل </w:t>
      </w:r>
      <w:r w:rsidRPr="00626DB1">
        <w:rPr>
          <w:rFonts w:eastAsia="SimSun"/>
        </w:rPr>
        <w:t>2</w:t>
      </w:r>
      <w:r w:rsidRPr="00626DB1">
        <w:rPr>
          <w:rFonts w:eastAsia="SimSun"/>
        </w:rPr>
        <w:noBreakHyphen/>
        <w:t>1.2.A</w:t>
      </w:r>
      <w:r w:rsidRPr="00626DB1">
        <w:rPr>
          <w:rFonts w:eastAsia="SimSun" w:hint="cs"/>
          <w:rtl/>
          <w:lang w:bidi="ar-SY"/>
        </w:rPr>
        <w:t xml:space="preserve">. وقد يؤدي هذا الأمر إلى تأويلات مختلفة لقيم العامل </w:t>
      </w:r>
      <w:r w:rsidRPr="00626DB1">
        <w:rPr>
          <w:rFonts w:eastAsia="SimSun"/>
          <w:i/>
          <w:iCs/>
          <w:lang w:bidi="ar-SY"/>
        </w:rPr>
        <w:t>A</w:t>
      </w:r>
      <w:r w:rsidRPr="00626DB1">
        <w:rPr>
          <w:rFonts w:eastAsia="SimSun"/>
          <w:i/>
          <w:iCs/>
          <w:vertAlign w:val="subscript"/>
          <w:lang w:bidi="ar-SY"/>
        </w:rPr>
        <w:t>0</w:t>
      </w:r>
      <w:r w:rsidRPr="00626DB1">
        <w:rPr>
          <w:rFonts w:eastAsia="SimSun" w:hint="cs"/>
          <w:rtl/>
          <w:lang w:bidi="ar-SY"/>
        </w:rPr>
        <w:t xml:space="preserve">. ووضع كهذا يمكن أن يفضي إلى قيم مختلفة لشدة المجال المحسوبة لمسير يقطع مناطق انتشار متعددة ومن ثم قائمة مختلفة بالإدارات التي يحتمل تأثرها من التعديلات المقترحة على الخطة. ولذا، خلصت اللجنة إلى أن عامل الاستكمال الداخلي الأساسي </w:t>
      </w:r>
      <w:r w:rsidRPr="00626DB1">
        <w:rPr>
          <w:rFonts w:eastAsia="SimSun"/>
          <w:i/>
          <w:iCs/>
          <w:lang w:bidi="ar-SY"/>
        </w:rPr>
        <w:t>A</w:t>
      </w:r>
      <w:r w:rsidRPr="00626DB1">
        <w:rPr>
          <w:rFonts w:eastAsia="SimSun"/>
          <w:i/>
          <w:iCs/>
          <w:vertAlign w:val="subscript"/>
          <w:lang w:bidi="ar-SY"/>
        </w:rPr>
        <w:t>0 </w:t>
      </w:r>
      <w:r w:rsidRPr="00626DB1">
        <w:rPr>
          <w:rFonts w:eastAsia="SimSun"/>
          <w:i/>
          <w:iCs/>
          <w:lang w:bidi="ar-SY"/>
        </w:rPr>
        <w:t>(F</w:t>
      </w:r>
      <w:r w:rsidRPr="00626DB1">
        <w:rPr>
          <w:rFonts w:eastAsia="SimSun"/>
          <w:i/>
          <w:iCs/>
          <w:vertAlign w:val="subscript"/>
          <w:lang w:bidi="ar-SY"/>
        </w:rPr>
        <w:t>s</w:t>
      </w:r>
      <w:r w:rsidRPr="00626DB1">
        <w:rPr>
          <w:rFonts w:eastAsia="SimSun"/>
          <w:i/>
          <w:iCs/>
          <w:lang w:bidi="ar-SY"/>
        </w:rPr>
        <w:t>)</w:t>
      </w:r>
      <w:r w:rsidRPr="00626DB1">
        <w:rPr>
          <w:rFonts w:eastAsia="SimSun" w:hint="cs"/>
          <w:rtl/>
          <w:lang w:bidi="ar-SY"/>
        </w:rPr>
        <w:t xml:space="preserve"> كما يعرضه الشكل</w:t>
      </w:r>
      <w:r>
        <w:rPr>
          <w:rFonts w:eastAsia="SimSun" w:hint="eastAsia"/>
          <w:rtl/>
          <w:lang w:bidi="ar-SY"/>
        </w:rPr>
        <w:t> </w:t>
      </w:r>
      <w:r w:rsidRPr="00626DB1">
        <w:rPr>
          <w:rFonts w:eastAsia="SimSun"/>
          <w:lang w:bidi="ar-SY"/>
        </w:rPr>
        <w:t>2</w:t>
      </w:r>
      <w:r w:rsidRPr="00626DB1">
        <w:rPr>
          <w:rFonts w:eastAsia="SimSun"/>
          <w:lang w:bidi="ar-SY"/>
        </w:rPr>
        <w:noBreakHyphen/>
        <w:t>1.2.A</w:t>
      </w:r>
      <w:r w:rsidRPr="00626DB1">
        <w:rPr>
          <w:rFonts w:eastAsia="SimSun" w:hint="cs"/>
          <w:rtl/>
          <w:lang w:bidi="ar-SY"/>
        </w:rPr>
        <w:t>، يجب حسابه باستعمال الصيغة التالية:</w:t>
      </w:r>
    </w:p>
    <w:p w:rsidR="00B14FFA" w:rsidRPr="00626DB1" w:rsidRDefault="00B14FFA" w:rsidP="00B14FFA">
      <w:pPr>
        <w:spacing w:after="120" w:line="240" w:lineRule="auto"/>
        <w:jc w:val="center"/>
        <w:rPr>
          <w:rFonts w:eastAsia="SimSun"/>
          <w:sz w:val="24"/>
          <w:szCs w:val="20"/>
          <w:rtl/>
        </w:rPr>
      </w:pPr>
      <w:r w:rsidRPr="00326947">
        <w:rPr>
          <w:position w:val="-12"/>
        </w:rPr>
        <w:object w:dxaOrig="2220" w:dyaOrig="405">
          <v:shape id="_x0000_i1026" type="#_x0000_t75" style="width:110.05pt;height:20.4pt" o:ole="">
            <v:imagedata r:id="rId12" o:title=""/>
          </v:shape>
          <o:OLEObject Type="Embed" ProgID="Equation.3" ShapeID="_x0000_i1026" DrawAspect="Content" ObjectID="_1448720403" r:id="rId13"/>
        </w:object>
      </w:r>
    </w:p>
    <w:p w:rsidR="00B14FFA" w:rsidRPr="00626DB1" w:rsidRDefault="00B14FFA" w:rsidP="00B14FFA">
      <w:pPr>
        <w:keepNext/>
        <w:keepLines/>
        <w:rPr>
          <w:rFonts w:eastAsia="SimSun"/>
          <w:rtl/>
          <w:lang w:bidi="ar-SY"/>
        </w:rPr>
      </w:pPr>
      <w:r w:rsidRPr="00626DB1">
        <w:rPr>
          <w:rFonts w:eastAsia="SimSun" w:hint="cs"/>
          <w:rtl/>
          <w:lang w:bidi="ar-SY"/>
        </w:rPr>
        <w:t xml:space="preserve">ويتفق تطبيق هذه الصيغة مع الطريقة التي اعتمدها المؤتمر </w:t>
      </w:r>
      <w:r w:rsidRPr="00626DB1">
        <w:rPr>
          <w:rFonts w:eastAsia="SimSun"/>
          <w:lang w:bidi="ar-SY"/>
        </w:rPr>
        <w:t>RRC</w:t>
      </w:r>
      <w:r w:rsidRPr="00626DB1">
        <w:rPr>
          <w:rFonts w:eastAsia="SimSun"/>
          <w:lang w:bidi="ar-SY"/>
        </w:rPr>
        <w:noBreakHyphen/>
        <w:t>06</w:t>
      </w:r>
      <w:r w:rsidRPr="00626DB1">
        <w:rPr>
          <w:rFonts w:eastAsia="SimSun" w:hint="cs"/>
          <w:rtl/>
          <w:lang w:bidi="ar-SY"/>
        </w:rPr>
        <w:t xml:space="preserve"> والموصى بها في التوصية </w:t>
      </w:r>
      <w:r w:rsidRPr="00626DB1">
        <w:rPr>
          <w:rFonts w:eastAsia="SimSun"/>
          <w:lang w:bidi="ar-SY"/>
        </w:rPr>
        <w:t>ITU</w:t>
      </w:r>
      <w:r w:rsidRPr="00626DB1">
        <w:rPr>
          <w:rFonts w:eastAsia="SimSun"/>
          <w:lang w:bidi="ar-SY"/>
        </w:rPr>
        <w:noBreakHyphen/>
        <w:t>R P.1546</w:t>
      </w:r>
      <w:r w:rsidRPr="00626DB1">
        <w:rPr>
          <w:rFonts w:eastAsia="SimSun" w:hint="cs"/>
          <w:rtl/>
          <w:lang w:bidi="ar-SY"/>
        </w:rPr>
        <w:t xml:space="preserve"> والتي يستعملها المكتب حالياً عند تنفيذ الاتفاق </w:t>
      </w:r>
      <w:r w:rsidRPr="00626DB1">
        <w:rPr>
          <w:rFonts w:eastAsia="SimSun"/>
          <w:lang w:bidi="ar-SY"/>
        </w:rPr>
        <w:t>GE06</w:t>
      </w:r>
      <w:r w:rsidRPr="00626DB1">
        <w:rPr>
          <w:rFonts w:eastAsia="SimSun" w:hint="cs"/>
          <w:rtl/>
          <w:lang w:bidi="ar-SY"/>
        </w:rPr>
        <w:t>.</w:t>
      </w:r>
    </w:p>
    <w:p w:rsidR="00B14FFA" w:rsidRDefault="00B14FFA" w:rsidP="00910A1D">
      <w:pPr>
        <w:tabs>
          <w:tab w:val="clear" w:pos="794"/>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rsidTr="009C6178">
        <w:tc>
          <w:tcPr>
            <w:tcW w:w="1672" w:type="dxa"/>
          </w:tcPr>
          <w:p w:rsidR="00334784" w:rsidRDefault="00334784">
            <w:pPr>
              <w:tabs>
                <w:tab w:val="clear" w:pos="794"/>
                <w:tab w:val="clear" w:pos="1191"/>
                <w:tab w:val="clear" w:pos="1588"/>
                <w:tab w:val="clear" w:pos="1985"/>
              </w:tabs>
              <w:spacing w:before="0" w:after="40" w:line="280" w:lineRule="exact"/>
              <w:jc w:val="left"/>
              <w:rPr>
                <w:rFonts w:ascii="Times New Roman Bold" w:hAnsi="Times New Roman Bold"/>
                <w:b/>
                <w:bCs/>
                <w:spacing w:val="-2"/>
                <w:rtl/>
                <w:lang w:val="en-US" w:bidi="ar-EG"/>
              </w:rPr>
            </w:pPr>
            <w:r>
              <w:rPr>
                <w:rFonts w:ascii="Times New Roman Bold" w:hAnsi="Times New Roman Bold" w:hint="cs"/>
                <w:b/>
                <w:bCs/>
                <w:spacing w:val="-2"/>
                <w:rtl/>
                <w:lang w:val="en-US" w:bidi="ar-EG"/>
              </w:rPr>
              <w:t xml:space="preserve">التذييل </w:t>
            </w:r>
            <w:r>
              <w:rPr>
                <w:rFonts w:ascii="Times New Roman Bold" w:hAnsi="Times New Roman Bold"/>
                <w:b/>
                <w:bCs/>
                <w:spacing w:val="-2"/>
                <w:lang w:val="en-US" w:bidi="ar-EG"/>
              </w:rPr>
              <w:t>1.3</w:t>
            </w:r>
            <w:r>
              <w:rPr>
                <w:rFonts w:ascii="Times New Roman Bold" w:hAnsi="Times New Roman Bold"/>
                <w:b/>
                <w:bCs/>
                <w:spacing w:val="-2"/>
                <w:rtl/>
                <w:lang w:val="en-US" w:bidi="ar-EG"/>
              </w:rPr>
              <w:br/>
            </w:r>
            <w:r>
              <w:rPr>
                <w:rFonts w:ascii="Times New Roman Bold" w:hAnsi="Times New Roman Bold" w:hint="cs"/>
                <w:b/>
                <w:bCs/>
                <w:spacing w:val="-2"/>
                <w:rtl/>
                <w:lang w:val="en-US" w:bidi="ar-EG"/>
              </w:rPr>
              <w:t xml:space="preserve">الجدول </w:t>
            </w:r>
            <w:r w:rsidR="009C6178">
              <w:rPr>
                <w:rFonts w:ascii="Times New Roman Bold" w:hAnsi="Times New Roman Bold"/>
                <w:b/>
                <w:bCs/>
                <w:spacing w:val="-2"/>
                <w:lang w:val="en-US" w:bidi="ar-EG"/>
              </w:rPr>
              <w:t>3-</w:t>
            </w:r>
            <w:r>
              <w:rPr>
                <w:rFonts w:ascii="Times New Roman Bold" w:hAnsi="Times New Roman Bold"/>
                <w:b/>
                <w:bCs/>
                <w:spacing w:val="-2"/>
                <w:lang w:val="en-US" w:bidi="ar-EG"/>
              </w:rPr>
              <w:t>1.3A</w:t>
            </w:r>
          </w:p>
        </w:tc>
      </w:tr>
    </w:tbl>
    <w:p w:rsidR="00334784" w:rsidRDefault="00334784" w:rsidP="00E9550A">
      <w:pPr>
        <w:spacing w:before="240"/>
        <w:rPr>
          <w:rtl/>
          <w:lang w:val="en-US" w:bidi="ar-EG"/>
        </w:rPr>
      </w:pPr>
      <w:r>
        <w:rPr>
          <w:rFonts w:hint="cs"/>
          <w:rtl/>
          <w:lang w:val="en-US" w:bidi="ar-EG"/>
        </w:rPr>
        <w:t>ينطبق هذا الجدول</w:t>
      </w:r>
      <w:r w:rsidR="00475233">
        <w:rPr>
          <w:rFonts w:hint="cs"/>
          <w:rtl/>
          <w:lang w:val="en-US" w:bidi="ar-EG"/>
        </w:rPr>
        <w:t xml:space="preserve"> أي</w:t>
      </w:r>
      <w:r w:rsidR="00307FE4">
        <w:rPr>
          <w:rFonts w:hint="cs"/>
          <w:rtl/>
          <w:lang w:val="en-US" w:bidi="ar-EG"/>
        </w:rPr>
        <w:t>ضاً</w:t>
      </w:r>
      <w:r>
        <w:rPr>
          <w:rFonts w:hint="cs"/>
          <w:rtl/>
          <w:lang w:val="en-US" w:bidi="ar-EG"/>
        </w:rPr>
        <w:t xml:space="preserve"> على المنطقتين الجغرافيتين </w:t>
      </w:r>
      <w:r>
        <w:rPr>
          <w:lang w:val="en-US" w:bidi="ar-EG"/>
        </w:rPr>
        <w:t>XGZ</w:t>
      </w:r>
      <w:r>
        <w:rPr>
          <w:rFonts w:hint="cs"/>
          <w:rtl/>
          <w:lang w:val="en-US" w:bidi="ar-EG"/>
        </w:rPr>
        <w:t xml:space="preserve"> و</w:t>
      </w:r>
      <w:r>
        <w:rPr>
          <w:lang w:val="en-US" w:bidi="ar-EG"/>
        </w:rPr>
        <w:t>XWB</w:t>
      </w:r>
      <w:r>
        <w:rPr>
          <w:rFonts w:hint="cs"/>
          <w:rtl/>
          <w:lang w:val="en-US" w:bidi="ar-EG"/>
        </w:rPr>
        <w:t>.</w:t>
      </w:r>
    </w:p>
    <w:p w:rsidR="00334784" w:rsidRDefault="00334784" w:rsidP="00910A1D">
      <w:pPr>
        <w:tabs>
          <w:tab w:val="clear" w:pos="794"/>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rsidTr="009C6178">
        <w:tc>
          <w:tcPr>
            <w:tcW w:w="1672"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التذييل </w:t>
            </w:r>
            <w:r>
              <w:rPr>
                <w:b/>
                <w:bCs/>
                <w:lang w:val="en-US" w:bidi="ar-EG"/>
              </w:rPr>
              <w:t>1.3</w:t>
            </w:r>
            <w:r>
              <w:rPr>
                <w:b/>
                <w:bCs/>
                <w:rtl/>
                <w:lang w:val="en-US" w:bidi="ar-EG"/>
              </w:rPr>
              <w:br/>
            </w:r>
            <w:r>
              <w:rPr>
                <w:rFonts w:hint="cs"/>
                <w:b/>
                <w:bCs/>
                <w:rtl/>
                <w:lang w:val="en-US" w:bidi="ar-EG"/>
              </w:rPr>
              <w:t>الجدول</w:t>
            </w:r>
            <w:r>
              <w:rPr>
                <w:b/>
                <w:bCs/>
                <w:lang w:val="en-US" w:bidi="ar-EG"/>
              </w:rPr>
              <w:t>8</w:t>
            </w:r>
            <w:r w:rsidR="009C6178">
              <w:rPr>
                <w:b/>
                <w:bCs/>
                <w:lang w:val="en-US" w:bidi="ar-EG"/>
              </w:rPr>
              <w:t>-</w:t>
            </w:r>
            <w:r>
              <w:rPr>
                <w:b/>
                <w:bCs/>
                <w:lang w:val="en-US" w:bidi="ar-EG"/>
              </w:rPr>
              <w:t xml:space="preserve">1.3A </w:t>
            </w:r>
          </w:p>
        </w:tc>
      </w:tr>
    </w:tbl>
    <w:p w:rsidR="00334784" w:rsidRDefault="00475233" w:rsidP="00E9550A">
      <w:pPr>
        <w:spacing w:before="240"/>
        <w:rPr>
          <w:rtl/>
          <w:lang w:val="en-US" w:bidi="ar-EG"/>
        </w:rPr>
      </w:pPr>
      <w:r>
        <w:rPr>
          <w:rFonts w:hint="cs"/>
          <w:rtl/>
          <w:lang w:val="en-US" w:bidi="ar-EG"/>
        </w:rPr>
        <w:t>هذا الجدول ينطبق أي</w:t>
      </w:r>
      <w:r w:rsidR="00307FE4">
        <w:rPr>
          <w:rFonts w:hint="cs"/>
          <w:rtl/>
          <w:lang w:val="en-US" w:bidi="ar-EG"/>
        </w:rPr>
        <w:t xml:space="preserve">ضاً </w:t>
      </w:r>
      <w:r w:rsidR="00334784">
        <w:rPr>
          <w:rFonts w:hint="cs"/>
          <w:rtl/>
          <w:lang w:val="en-US" w:bidi="ar-EG"/>
        </w:rPr>
        <w:t xml:space="preserve">على المنطقة الجغرافية </w:t>
      </w:r>
      <w:r w:rsidR="00334784">
        <w:rPr>
          <w:lang w:val="en-US" w:bidi="ar-EG"/>
        </w:rPr>
        <w:t>AOE</w:t>
      </w:r>
      <w:r w:rsidR="00334784">
        <w:rPr>
          <w:rFonts w:hint="cs"/>
          <w:rtl/>
          <w:lang w:val="en-US" w:bidi="ar-EG"/>
        </w:rPr>
        <w:t xml:space="preserve">، باستثناء القناتين </w:t>
      </w:r>
      <w:r w:rsidR="00334784">
        <w:rPr>
          <w:lang w:val="en-US" w:bidi="ar-EG"/>
        </w:rPr>
        <w:t>4</w:t>
      </w:r>
      <w:r w:rsidR="00334784">
        <w:rPr>
          <w:rFonts w:hint="cs"/>
          <w:rtl/>
          <w:lang w:val="en-US" w:bidi="ar-EG"/>
        </w:rPr>
        <w:t xml:space="preserve"> و</w:t>
      </w:r>
      <w:r w:rsidR="00334784">
        <w:rPr>
          <w:lang w:val="en-US" w:bidi="ar-EG"/>
        </w:rPr>
        <w:t>5</w:t>
      </w:r>
      <w:r w:rsidR="00334784">
        <w:rPr>
          <w:rFonts w:hint="cs"/>
          <w:rtl/>
          <w:lang w:val="en-US" w:bidi="ar-EG"/>
        </w:rPr>
        <w:t>.</w:t>
      </w:r>
    </w:p>
    <w:p w:rsidR="00334784" w:rsidRDefault="00334784" w:rsidP="00910A1D">
      <w:pPr>
        <w:tabs>
          <w:tab w:val="clear" w:pos="794"/>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التذييل </w:t>
            </w:r>
            <w:r>
              <w:rPr>
                <w:b/>
                <w:bCs/>
                <w:lang w:val="en-US" w:bidi="ar-EG"/>
              </w:rPr>
              <w:t>3.3</w:t>
            </w:r>
          </w:p>
        </w:tc>
      </w:tr>
    </w:tbl>
    <w:p w:rsidR="00334784" w:rsidRDefault="00334784" w:rsidP="00E9550A">
      <w:pPr>
        <w:spacing w:before="240"/>
        <w:rPr>
          <w:rtl/>
          <w:lang w:val="en-US" w:bidi="ar-EG"/>
        </w:rPr>
      </w:pPr>
      <w:r>
        <w:rPr>
          <w:rFonts w:hint="cs"/>
          <w:rtl/>
          <w:lang w:val="en-US" w:bidi="ar-EG"/>
        </w:rPr>
        <w:t xml:space="preserve">يتضمن القسم </w:t>
      </w:r>
      <w:r>
        <w:rPr>
          <w:lang w:val="en-US" w:bidi="ar-EG"/>
        </w:rPr>
        <w:t>4.3.3.A</w:t>
      </w:r>
      <w:r>
        <w:rPr>
          <w:rFonts w:hint="cs"/>
          <w:rtl/>
          <w:lang w:val="en-US" w:bidi="ar-EG"/>
        </w:rPr>
        <w:t xml:space="preserve"> من هذا التذييل معلومات عن نسب الحماية للتلفزيون التماثلي. ومع ذلك فإن هذا القسم لا يُقدم أي معلومات عن نسب الحماية في الحالات التي يتعرض فيها التلفزيون التماثلي للتداخل من تخصيصات في خدمات أولية أخرى للأرض. وتجري الحسابات المطلوبة تطبيقاً للفقرتين </w:t>
      </w:r>
      <w:r>
        <w:rPr>
          <w:lang w:val="en-US" w:bidi="ar-EG"/>
        </w:rPr>
        <w:t>11.4.2.4</w:t>
      </w:r>
      <w:r>
        <w:rPr>
          <w:rFonts w:hint="cs"/>
          <w:rtl/>
          <w:lang w:val="en-US" w:bidi="ar-EG"/>
        </w:rPr>
        <w:t xml:space="preserve"> و</w:t>
      </w:r>
      <w:r>
        <w:rPr>
          <w:lang w:val="en-US" w:bidi="ar-EG"/>
        </w:rPr>
        <w:t>12.4.2.4</w:t>
      </w:r>
      <w:r>
        <w:rPr>
          <w:rFonts w:hint="cs"/>
          <w:rtl/>
          <w:lang w:val="en-US" w:bidi="ar-EG"/>
        </w:rPr>
        <w:t xml:space="preserve"> من الاتفاق باستعمال توصية قطاع الاتصالات الراديوية </w:t>
      </w:r>
      <w:r>
        <w:rPr>
          <w:lang w:val="en-US" w:bidi="ar-EG"/>
        </w:rPr>
        <w:t>ITU-R SM.851-1</w:t>
      </w:r>
      <w:r>
        <w:rPr>
          <w:rFonts w:hint="cs"/>
          <w:rtl/>
          <w:lang w:val="en-US" w:bidi="ar-EG"/>
        </w:rPr>
        <w:t>، في الحالات التي تغطيها تلك التوصية. وبالنسبة للحالات الأخرى التي لا تغطيها التوصية يمكن استعمال التوصيات الأخرى ذات الصلة الصادرة عن قطاع الاتصالات الراديوية.</w:t>
      </w:r>
    </w:p>
    <w:p w:rsidR="00734DDC" w:rsidRDefault="00734DDC" w:rsidP="00910A1D">
      <w:pPr>
        <w:tabs>
          <w:tab w:val="clear" w:pos="794"/>
          <w:tab w:val="clear" w:pos="1191"/>
          <w:tab w:val="clear" w:pos="1588"/>
          <w:tab w:val="clear" w:pos="1985"/>
        </w:tabs>
        <w:spacing w:before="0"/>
        <w:rPr>
          <w:rtl/>
          <w:lang w:val="en-US" w:bidi="ar-EG"/>
        </w:rPr>
      </w:pPr>
      <w:r>
        <w:rPr>
          <w:rtl/>
          <w:lang w:val="en-US" w:bidi="ar-EG"/>
        </w:rPr>
        <w:br w:type="page"/>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rFonts w:hint="cs"/>
                <w:b/>
                <w:bCs/>
                <w:rtl/>
                <w:lang w:val="en-US" w:bidi="ar-EG"/>
              </w:rPr>
              <w:lastRenderedPageBreak/>
              <w:t xml:space="preserve">الملحق </w:t>
            </w:r>
            <w:r>
              <w:rPr>
                <w:b/>
                <w:bCs/>
                <w:lang w:val="en-US" w:bidi="ar-EG"/>
              </w:rPr>
              <w:t>3</w:t>
            </w:r>
            <w:r>
              <w:rPr>
                <w:rFonts w:hint="cs"/>
                <w:b/>
                <w:bCs/>
                <w:rtl/>
                <w:lang w:val="en-US" w:bidi="ar-EG"/>
              </w:rPr>
              <w:br/>
              <w:t>الجدول</w:t>
            </w:r>
            <w:r w:rsidR="009C6178">
              <w:rPr>
                <w:rFonts w:hint="cs"/>
                <w:b/>
                <w:bCs/>
                <w:rtl/>
                <w:lang w:val="en-US" w:bidi="ar-EG"/>
              </w:rPr>
              <w:t xml:space="preserve"> </w:t>
            </w:r>
            <w:r>
              <w:rPr>
                <w:b/>
                <w:bCs/>
                <w:lang w:val="en-US" w:bidi="ar-EG"/>
              </w:rPr>
              <w:t>3</w:t>
            </w:r>
          </w:p>
        </w:tc>
      </w:tr>
    </w:tbl>
    <w:p w:rsidR="00334784" w:rsidRDefault="00334784">
      <w:pPr>
        <w:pStyle w:val="AnnexNotitle"/>
        <w:rPr>
          <w:b w:val="0"/>
          <w:bCs/>
          <w:rtl/>
          <w:lang w:val="en-US" w:bidi="ar-EG"/>
        </w:rPr>
      </w:pPr>
      <w:r>
        <w:rPr>
          <w:rFonts w:hint="cs"/>
          <w:b w:val="0"/>
          <w:bCs/>
          <w:rtl/>
          <w:lang w:val="en-US" w:bidi="ar-EG"/>
        </w:rPr>
        <w:t>بيانات من أجل تخصيصات لمحطات خدمات أولية أخرى للأرض</w:t>
      </w:r>
    </w:p>
    <w:p w:rsidR="00334784" w:rsidRDefault="00334784" w:rsidP="00910A1D">
      <w:pPr>
        <w:spacing w:before="240"/>
        <w:rPr>
          <w:rtl/>
          <w:lang w:val="en-US" w:bidi="ar-EG"/>
        </w:rPr>
      </w:pPr>
      <w:r>
        <w:rPr>
          <w:rFonts w:hint="cs"/>
          <w:rtl/>
          <w:lang w:val="en-US" w:bidi="ar-EG"/>
        </w:rPr>
        <w:t xml:space="preserve">ينص الرقم </w:t>
      </w:r>
      <w:r>
        <w:rPr>
          <w:lang w:val="en-US" w:bidi="ar-EG"/>
        </w:rPr>
        <w:t>1.7</w:t>
      </w:r>
      <w:r>
        <w:rPr>
          <w:rFonts w:hint="cs"/>
          <w:rtl/>
          <w:lang w:val="en-US" w:bidi="ar-EG"/>
        </w:rPr>
        <w:t xml:space="preserve"> من هذا الجدول على أنه عند تطبيق المادة </w:t>
      </w:r>
      <w:r>
        <w:rPr>
          <w:lang w:val="en-US" w:bidi="ar-EG"/>
        </w:rPr>
        <w:t>4</w:t>
      </w:r>
      <w:r>
        <w:rPr>
          <w:rFonts w:hint="cs"/>
          <w:rtl/>
          <w:lang w:val="en-US" w:bidi="ar-EG"/>
        </w:rPr>
        <w:t xml:space="preserve"> من الاتفاق تكون ساعات التشغيل المنتظم (بالتوقيت المنسق العالمي) للتخصيص (مع إحالة إلى البند </w:t>
      </w:r>
      <w:r>
        <w:rPr>
          <w:lang w:val="en-US" w:bidi="ar-EG"/>
        </w:rPr>
        <w:t>10B</w:t>
      </w:r>
      <w:r>
        <w:rPr>
          <w:rFonts w:hint="cs"/>
          <w:rtl/>
          <w:lang w:val="en-US" w:bidi="ar-EG"/>
        </w:rPr>
        <w:t xml:space="preserve"> في التذييل </w:t>
      </w:r>
      <w:r>
        <w:rPr>
          <w:b/>
          <w:bCs/>
          <w:lang w:val="en-US" w:bidi="ar-EG"/>
        </w:rPr>
        <w:t>4</w:t>
      </w:r>
      <w:r>
        <w:rPr>
          <w:rFonts w:hint="cs"/>
          <w:rtl/>
          <w:lang w:val="en-US" w:bidi="ar-EG"/>
        </w:rPr>
        <w:t xml:space="preserve"> من لوائح الراديو) من الخصائص الإلزامية إذا استعملت بوصفها أساساً لتنفيذ التنسيق مع إدارة أخرى (الحرف "</w:t>
      </w:r>
      <w:r>
        <w:rPr>
          <w:lang w:val="en-US" w:bidi="ar-EG"/>
        </w:rPr>
        <w:t>C</w:t>
      </w:r>
      <w:r>
        <w:rPr>
          <w:rFonts w:hint="cs"/>
          <w:rtl/>
          <w:lang w:val="en-US" w:bidi="ar-EG"/>
        </w:rPr>
        <w:t xml:space="preserve">"). ومن ناحية أخرى فإن هذا البند من البيانات يُشار إليه بصفته إلزامياً لأغراض تطبيق المادة </w:t>
      </w:r>
      <w:r>
        <w:rPr>
          <w:lang w:val="en-US" w:bidi="ar-EG"/>
        </w:rPr>
        <w:t>5</w:t>
      </w:r>
      <w:r>
        <w:rPr>
          <w:rFonts w:hint="cs"/>
          <w:rtl/>
          <w:lang w:val="en-US" w:bidi="ar-EG"/>
        </w:rPr>
        <w:t xml:space="preserve"> من الاتفاق (الحرف "</w:t>
      </w:r>
      <w:r>
        <w:rPr>
          <w:lang w:val="en-US" w:bidi="ar-EG"/>
        </w:rPr>
        <w:t>X</w:t>
      </w:r>
      <w:r>
        <w:rPr>
          <w:rFonts w:hint="cs"/>
          <w:rtl/>
          <w:lang w:val="en-US" w:bidi="ar-EG"/>
        </w:rPr>
        <w:t xml:space="preserve">"). ولذلك، فعندما تكون معلومات ساعات التشغيل المنتظم إلزامية، يحتاج المكتب للقيام بأعمال الفحص بموجب الفقرة </w:t>
      </w:r>
      <w:r>
        <w:rPr>
          <w:lang w:val="en-US" w:bidi="ar-EG"/>
        </w:rPr>
        <w:t>2.2.5</w:t>
      </w:r>
      <w:r>
        <w:rPr>
          <w:rFonts w:hint="cs"/>
          <w:rtl/>
          <w:lang w:val="en-US" w:bidi="ar-EG"/>
        </w:rPr>
        <w:t xml:space="preserve"> من الاتفاق، إلى التأكد من أن الساعات المبلغة للتشغيل تمتثل للساعات الناشئة عن التطبيق الناجح للإجراء الوارد في الفقرة </w:t>
      </w:r>
      <w:r>
        <w:rPr>
          <w:lang w:val="en-US" w:bidi="ar-EG"/>
        </w:rPr>
        <w:t>2.4</w:t>
      </w:r>
      <w:r>
        <w:rPr>
          <w:rFonts w:hint="cs"/>
          <w:rtl/>
          <w:lang w:val="en-US" w:bidi="ar-EG"/>
        </w:rPr>
        <w:t xml:space="preserve"> من الاتفاق. ونظراً لما سبق خلصت اللجنة إلى أن البند "ساعات تشغيل منتظم بالتوقيت العالمي المنسق </w:t>
      </w:r>
      <w:r>
        <w:rPr>
          <w:lang w:val="en-US" w:bidi="ar-EG"/>
        </w:rPr>
        <w:t>(UTC)</w:t>
      </w:r>
      <w:r>
        <w:rPr>
          <w:rFonts w:hint="cs"/>
          <w:rtl/>
          <w:lang w:val="en-US" w:bidi="ar-EG"/>
        </w:rPr>
        <w:t xml:space="preserve"> لتخصيص التردد" يتعين أن يعتبر إلزامياً في جميع التبليغات المقدمة بموجب المادة </w:t>
      </w:r>
      <w:r>
        <w:rPr>
          <w:lang w:val="en-US" w:bidi="ar-EG"/>
        </w:rPr>
        <w:t>4</w:t>
      </w:r>
      <w:r>
        <w:rPr>
          <w:rFonts w:hint="cs"/>
          <w:rtl/>
          <w:lang w:val="en-US" w:bidi="ar-EG"/>
        </w:rPr>
        <w:t xml:space="preserve"> من الاتفاق بشأن التخصيصات للمحطات في الخدمات الأولية الأخرى للأرض.</w:t>
      </w: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lang w:val="en-US" w:bidi="ar-EG"/>
        </w:rPr>
      </w:pPr>
    </w:p>
    <w:p w:rsidR="00B14FFA" w:rsidRDefault="00B14FFA" w:rsidP="00E9550A">
      <w:pPr>
        <w:tabs>
          <w:tab w:val="clear" w:pos="794"/>
          <w:tab w:val="clear" w:pos="1191"/>
          <w:tab w:val="clear" w:pos="1588"/>
          <w:tab w:val="clear" w:pos="1985"/>
        </w:tabs>
        <w:spacing w:before="0" w:line="120" w:lineRule="auto"/>
        <w:rPr>
          <w:rtl/>
          <w:lang w:val="en-US" w:bidi="ar-EG"/>
        </w:rPr>
        <w:sectPr w:rsidR="00B14FFA" w:rsidSect="00B14FFA">
          <w:headerReference w:type="even" r:id="rId14"/>
          <w:headerReference w:type="default" r:id="rId15"/>
          <w:pgSz w:w="11907" w:h="16834" w:code="9"/>
          <w:pgMar w:top="1701" w:right="1985" w:bottom="1134" w:left="851" w:header="720" w:footer="482" w:gutter="0"/>
          <w:paperSrc w:first="15" w:other="15"/>
          <w:cols w:space="720"/>
          <w:vAlign w:val="both"/>
          <w:bidi/>
          <w:rtlGutter/>
        </w:sect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rFonts w:hint="cs"/>
                <w:b/>
                <w:bCs/>
                <w:rtl/>
                <w:lang w:val="en-US" w:bidi="ar-EG"/>
              </w:rPr>
              <w:lastRenderedPageBreak/>
              <w:t xml:space="preserve">الملحق </w:t>
            </w:r>
            <w:r>
              <w:rPr>
                <w:b/>
                <w:bCs/>
                <w:lang w:val="en-US" w:bidi="ar-EG"/>
              </w:rPr>
              <w:t>4</w:t>
            </w:r>
          </w:p>
        </w:tc>
      </w:tr>
    </w:tbl>
    <w:p w:rsidR="00334784" w:rsidRDefault="00334784">
      <w:pPr>
        <w:pStyle w:val="AnnexNotitle"/>
        <w:rPr>
          <w:b w:val="0"/>
          <w:bCs/>
          <w:rtl/>
          <w:lang w:val="en-US" w:bidi="ar-EG"/>
        </w:rPr>
      </w:pPr>
      <w:r>
        <w:rPr>
          <w:rFonts w:hint="cs"/>
          <w:b w:val="0"/>
          <w:bCs/>
          <w:rtl/>
          <w:lang w:val="en-US" w:bidi="ar-EG"/>
        </w:rPr>
        <w:t xml:space="preserve">القسم </w:t>
      </w:r>
      <w:r>
        <w:rPr>
          <w:b w:val="0"/>
          <w:bCs/>
          <w:lang w:val="en-US" w:bidi="ar-EG"/>
        </w:rPr>
        <w:t>I</w:t>
      </w:r>
      <w:r>
        <w:rPr>
          <w:rFonts w:hint="cs"/>
          <w:b w:val="0"/>
          <w:bCs/>
          <w:rtl/>
          <w:lang w:val="en-US" w:bidi="ar-EG"/>
        </w:rPr>
        <w:t xml:space="preserve">: الحدود والمنهجية التي تسمح بتحديد متى يكون الاتفاق </w:t>
      </w:r>
      <w:r>
        <w:rPr>
          <w:b w:val="0"/>
          <w:bCs/>
          <w:rtl/>
          <w:lang w:val="en-US" w:bidi="ar-EG"/>
        </w:rPr>
        <w:br/>
      </w:r>
      <w:r>
        <w:rPr>
          <w:rFonts w:hint="cs"/>
          <w:b w:val="0"/>
          <w:bCs/>
          <w:rtl/>
          <w:lang w:val="en-US" w:bidi="ar-EG"/>
        </w:rPr>
        <w:t>مع إدار</w:t>
      </w:r>
      <w:bookmarkStart w:id="0" w:name="_GoBack"/>
      <w:bookmarkEnd w:id="0"/>
      <w:r>
        <w:rPr>
          <w:rFonts w:hint="cs"/>
          <w:b w:val="0"/>
          <w:bCs/>
          <w:rtl/>
          <w:lang w:val="en-US" w:bidi="ar-EG"/>
        </w:rPr>
        <w:t>ة أخرى مطلوباً</w:t>
      </w:r>
    </w:p>
    <w:p w:rsidR="00334784" w:rsidRDefault="00334784" w:rsidP="00056035">
      <w:pPr>
        <w:spacing w:before="24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b/>
                <w:bCs/>
                <w:lang w:val="en-US" w:bidi="ar-EG"/>
              </w:rPr>
              <w:t>1.2</w:t>
            </w:r>
          </w:p>
        </w:tc>
      </w:tr>
    </w:tbl>
    <w:p w:rsidR="00334784" w:rsidRDefault="00334784" w:rsidP="00E9550A">
      <w:pPr>
        <w:spacing w:before="240"/>
        <w:rPr>
          <w:rtl/>
          <w:lang w:val="en-US" w:bidi="ar-EG"/>
        </w:rPr>
      </w:pPr>
      <w:r>
        <w:rPr>
          <w:rFonts w:hint="cs"/>
          <w:rtl/>
          <w:lang w:val="en-US" w:bidi="ar-EG"/>
        </w:rPr>
        <w:t xml:space="preserve">تنص الخطوة </w:t>
      </w:r>
      <w:r>
        <w:rPr>
          <w:lang w:val="en-US" w:bidi="ar-EG"/>
        </w:rPr>
        <w:t>3</w:t>
      </w:r>
      <w:r>
        <w:rPr>
          <w:rFonts w:hint="cs"/>
          <w:rtl/>
          <w:lang w:val="en-US" w:bidi="ar-EG"/>
        </w:rPr>
        <w:t xml:space="preserve"> من هذا القسم على أن أي تخصيص في الخدمة الأولية الأخرى للأرض يتم اختياره للنظر إذا كان خاصاً بإدارة تقع في حدود كفاف </w:t>
      </w:r>
      <w:r>
        <w:rPr>
          <w:lang w:val="en-US" w:bidi="ar-EG"/>
        </w:rPr>
        <w:t>km 1 000</w:t>
      </w:r>
      <w:r>
        <w:rPr>
          <w:rFonts w:hint="cs"/>
          <w:rtl/>
          <w:lang w:val="en-US" w:bidi="ar-EG"/>
        </w:rPr>
        <w:t xml:space="preserve">، شريطة أن يكون التخصيص وارداً في قائمة التخصيصات للخدمات الأولية الأخرى للأرض الواردة في القائمة أو التي بدأ بصددها فعلاً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لإدخالها في القائمة. وخلصت اللجنة إلى أن المكتب لا يأخذ في الاعتبار سوى التخصيصات المؤهلة في الخدمات الأولية الأخرى التي تتشابك تردداتها مع التخصيص/التعيين المعني للإذاعة (أي التعديل المقترح في الخطة).</w:t>
      </w:r>
    </w:p>
    <w:p w:rsidR="00334784" w:rsidRDefault="00334784" w:rsidP="00E9550A">
      <w:pPr>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b/>
                <w:bCs/>
                <w:lang w:val="en-US" w:bidi="ar-EG"/>
              </w:rPr>
              <w:t>2.2</w:t>
            </w:r>
          </w:p>
        </w:tc>
      </w:tr>
    </w:tbl>
    <w:p w:rsidR="00334784" w:rsidRDefault="00334784" w:rsidP="00292287">
      <w:pPr>
        <w:spacing w:before="240"/>
        <w:rPr>
          <w:rtl/>
          <w:lang w:val="en-US" w:bidi="ar-EG"/>
        </w:rPr>
      </w:pPr>
      <w:r>
        <w:rPr>
          <w:rFonts w:hint="cs"/>
          <w:rtl/>
          <w:lang w:val="en-US" w:bidi="ar-EG"/>
        </w:rPr>
        <w:t xml:space="preserve">يحدد هذا القسم المنهجية العامة لرسم أكفة التنسيق لتطبيق إجراء التنسيق المُشار إليه في الفقرة </w:t>
      </w:r>
      <w:r>
        <w:rPr>
          <w:lang w:val="en-US" w:bidi="ar-EG"/>
        </w:rPr>
        <w:t>2.4</w:t>
      </w:r>
      <w:r>
        <w:rPr>
          <w:rFonts w:hint="cs"/>
          <w:rtl/>
          <w:lang w:val="en-US" w:bidi="ar-EG"/>
        </w:rPr>
        <w:t xml:space="preserve"> من الاتفاق. ونظراً لأن التخصيصات في الخدمة الأولية الأخرى للأرض تشمل محطات إرسال واستقبال فإن المنهجية تراعي أثر محطة الإرسال في الخدمة الأولية الأخرى على الخدمة الإذاعية إلى جانب الأثر المرجح للخدمة المرجعية على محطات الاستقبال في الخدمة الأولية الأخرى. ولذلك يحدد هذا القسم ضرورة وضع أكفة تنسيق منفصلة لمحطات الإرسال ولمحطات الاستقبال في نفس التخصيص. وينص هذا القسم أيضاً على أنه يتعين لتحديد الإدارات المتأثرة وضع الكفاف الأكبر في الاعتبار.</w:t>
      </w:r>
    </w:p>
    <w:p w:rsidR="00334784" w:rsidRDefault="00334784" w:rsidP="00E9550A">
      <w:pPr>
        <w:spacing w:before="240"/>
        <w:rPr>
          <w:rtl/>
          <w:lang w:val="en-US" w:bidi="ar-EG"/>
        </w:rPr>
      </w:pPr>
      <w:r>
        <w:rPr>
          <w:rFonts w:hint="cs"/>
          <w:rtl/>
          <w:lang w:val="en-US" w:bidi="ar-EG"/>
        </w:rPr>
        <w:t xml:space="preserve">ونظراً لتباين الحالات التي يمكن أن يشملها التخصيص في الخدمة الأولية الأخرى فقد تكون هناك محطات لا تتشابك فيها أكفة التنسيق المرسومة لمحطات الإرسال ولمحطات الاستقبال في نفس التخصيص أو قد تتشابك فيها جزئياً. ولذلك قررت اللجنة أنه في الحالات التي لا تتشابك فيها أكفة التنسيق لمحطات الإرسال ومحطات الاستقبال في </w:t>
      </w:r>
      <w:r w:rsidR="00292287">
        <w:rPr>
          <w:rtl/>
          <w:lang w:val="en-US" w:bidi="ar-EG"/>
        </w:rPr>
        <w:br/>
      </w:r>
      <w:r>
        <w:rPr>
          <w:rFonts w:hint="cs"/>
          <w:rtl/>
          <w:lang w:val="en-US" w:bidi="ar-EG"/>
        </w:rPr>
        <w:t xml:space="preserve">نفس التخصيص أو تتشابك فيها جزئياً فإن النتيجة المجمعة لكفافي التنسيق تؤخذ في الاعتبار من أجل تعيين </w:t>
      </w:r>
      <w:r w:rsidR="00292287">
        <w:rPr>
          <w:rtl/>
          <w:lang w:val="en-US" w:bidi="ar-EG"/>
        </w:rPr>
        <w:br/>
      </w:r>
      <w:r>
        <w:rPr>
          <w:rFonts w:hint="cs"/>
          <w:rtl/>
          <w:lang w:val="en-US" w:bidi="ar-EG"/>
        </w:rPr>
        <w:t>الإدارات المتأثرة.</w:t>
      </w:r>
    </w:p>
    <w:p w:rsidR="005B01CC" w:rsidRDefault="005B01CC" w:rsidP="00E9550A"/>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794"/>
                <w:tab w:val="clear" w:pos="1191"/>
                <w:tab w:val="clear" w:pos="1588"/>
                <w:tab w:val="clear" w:pos="1985"/>
              </w:tabs>
              <w:spacing w:before="0" w:after="40" w:line="280" w:lineRule="exact"/>
              <w:jc w:val="left"/>
              <w:rPr>
                <w:b/>
                <w:bCs/>
                <w:rtl/>
                <w:lang w:val="en-US" w:bidi="ar-EG"/>
              </w:rPr>
            </w:pPr>
            <w:r>
              <w:rPr>
                <w:b/>
                <w:bCs/>
                <w:lang w:val="en-US" w:bidi="ar-EG"/>
              </w:rPr>
              <w:t>2.1.5</w:t>
            </w:r>
          </w:p>
        </w:tc>
      </w:tr>
    </w:tbl>
    <w:p w:rsidR="00334784" w:rsidRDefault="00334784" w:rsidP="00910A1D">
      <w:pPr>
        <w:spacing w:before="240"/>
        <w:rPr>
          <w:rtl/>
          <w:lang w:val="en-US" w:bidi="ar-EG"/>
        </w:rPr>
      </w:pPr>
      <w:r>
        <w:rPr>
          <w:rFonts w:hint="cs"/>
          <w:rtl/>
          <w:lang w:val="en-US" w:bidi="ar-EG"/>
        </w:rPr>
        <w:t xml:space="preserve">يشير هذا القسم إلى الجداول من </w:t>
      </w:r>
      <w:r>
        <w:rPr>
          <w:lang w:val="en-US" w:bidi="ar-EG"/>
        </w:rPr>
        <w:t>2.1.A</w:t>
      </w:r>
      <w:r>
        <w:rPr>
          <w:rFonts w:hint="cs"/>
          <w:rtl/>
          <w:lang w:val="en-US" w:bidi="ar-EG"/>
        </w:rPr>
        <w:t xml:space="preserve"> إلى </w:t>
      </w:r>
      <w:r>
        <w:rPr>
          <w:lang w:val="en-US" w:bidi="ar-EG"/>
        </w:rPr>
        <w:t>8.1.A</w:t>
      </w:r>
      <w:r>
        <w:rPr>
          <w:rFonts w:hint="cs"/>
          <w:rtl/>
          <w:lang w:val="en-US" w:bidi="ar-EG"/>
        </w:rPr>
        <w:t xml:space="preserve"> من التذييل </w:t>
      </w:r>
      <w:r>
        <w:rPr>
          <w:lang w:val="en-US" w:bidi="ar-EG"/>
        </w:rPr>
        <w:t>1</w:t>
      </w:r>
      <w:r>
        <w:rPr>
          <w:rFonts w:hint="cs"/>
          <w:rtl/>
          <w:lang w:val="en-US" w:bidi="ar-EG"/>
        </w:rPr>
        <w:t xml:space="preserve"> لهذا القسم باعتبارها الجداول التي تتضمن قيم إطلاق شدة المجال للتنسيق لحماية الخدمات الأولية الأخرى للأرض، مع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(رسم أكفة التنسيق). ومع ذلك فإن الفقرة </w:t>
      </w:r>
      <w:r>
        <w:rPr>
          <w:lang w:val="en-US" w:bidi="ar-EG"/>
        </w:rPr>
        <w:t>A</w:t>
      </w:r>
      <w:r>
        <w:rPr>
          <w:rFonts w:hint="cs"/>
          <w:rtl/>
          <w:lang w:val="en-US" w:bidi="ar-EG"/>
        </w:rPr>
        <w:t>.</w:t>
      </w:r>
      <w:r>
        <w:rPr>
          <w:lang w:val="en-US" w:bidi="ar-EG"/>
        </w:rPr>
        <w:t>2</w:t>
      </w:r>
      <w:r>
        <w:rPr>
          <w:rFonts w:hint="cs"/>
          <w:rtl/>
          <w:lang w:val="en-US" w:bidi="ar-EG"/>
        </w:rPr>
        <w:t xml:space="preserve"> إلى الفقرة </w:t>
      </w:r>
      <w:r>
        <w:rPr>
          <w:lang w:val="en-US" w:bidi="ar-EG"/>
        </w:rPr>
        <w:t>A</w:t>
      </w:r>
      <w:r>
        <w:rPr>
          <w:rFonts w:hint="cs"/>
          <w:rtl/>
          <w:lang w:val="en-US" w:bidi="ar-EG"/>
        </w:rPr>
        <w:t>.</w:t>
      </w:r>
      <w:r>
        <w:rPr>
          <w:lang w:val="en-US" w:bidi="ar-EG"/>
        </w:rPr>
        <w:t>4</w:t>
      </w:r>
      <w:r>
        <w:rPr>
          <w:rFonts w:hint="cs"/>
          <w:rtl/>
          <w:lang w:val="en-US" w:bidi="ar-EG"/>
        </w:rPr>
        <w:t xml:space="preserve"> من التذييل </w:t>
      </w:r>
      <w:r>
        <w:rPr>
          <w:lang w:val="en-US" w:bidi="ar-EG"/>
        </w:rPr>
        <w:t>1</w:t>
      </w:r>
      <w:r>
        <w:rPr>
          <w:rFonts w:hint="cs"/>
          <w:rtl/>
          <w:lang w:val="en-US" w:bidi="ar-EG"/>
        </w:rPr>
        <w:t xml:space="preserve"> للقسم </w:t>
      </w:r>
      <w:r>
        <w:rPr>
          <w:lang w:val="en-US" w:bidi="ar-EG"/>
        </w:rPr>
        <w:t>I</w:t>
      </w:r>
      <w:r>
        <w:rPr>
          <w:rFonts w:hint="cs"/>
          <w:rtl/>
          <w:lang w:val="en-US" w:bidi="ar-EG"/>
        </w:rPr>
        <w:t xml:space="preserve">، التي تشمل الجداول من </w:t>
      </w:r>
      <w:r>
        <w:rPr>
          <w:lang w:val="en-US" w:bidi="ar-EG"/>
        </w:rPr>
        <w:t>A</w:t>
      </w:r>
      <w:r>
        <w:rPr>
          <w:rFonts w:hint="cs"/>
          <w:rtl/>
          <w:lang w:val="en-US" w:bidi="ar-EG"/>
        </w:rPr>
        <w:t>.</w:t>
      </w:r>
      <w:r>
        <w:rPr>
          <w:lang w:val="en-US" w:bidi="ar-EG"/>
        </w:rPr>
        <w:t>1</w:t>
      </w:r>
      <w:r>
        <w:rPr>
          <w:rFonts w:hint="cs"/>
          <w:rtl/>
          <w:lang w:val="en-US" w:bidi="ar-EG"/>
        </w:rPr>
        <w:t>.</w:t>
      </w:r>
      <w:r>
        <w:rPr>
          <w:lang w:val="en-US" w:bidi="ar-EG"/>
        </w:rPr>
        <w:t>2</w:t>
      </w:r>
      <w:r>
        <w:rPr>
          <w:rFonts w:hint="cs"/>
          <w:rtl/>
          <w:lang w:val="en-US" w:bidi="ar-EG"/>
        </w:rPr>
        <w:t xml:space="preserve"> إلى </w:t>
      </w:r>
      <w:r>
        <w:rPr>
          <w:lang w:val="en-US" w:bidi="ar-EG"/>
        </w:rPr>
        <w:t>A</w:t>
      </w:r>
      <w:r>
        <w:rPr>
          <w:rFonts w:hint="cs"/>
          <w:rtl/>
          <w:lang w:val="en-US" w:bidi="ar-EG"/>
        </w:rPr>
        <w:t>.</w:t>
      </w:r>
      <w:r>
        <w:rPr>
          <w:lang w:val="en-US" w:bidi="ar-EG"/>
        </w:rPr>
        <w:t>1</w:t>
      </w:r>
      <w:r>
        <w:rPr>
          <w:rFonts w:hint="cs"/>
          <w:rtl/>
          <w:lang w:val="en-US" w:bidi="ar-EG"/>
        </w:rPr>
        <w:t>.</w:t>
      </w:r>
      <w:r>
        <w:rPr>
          <w:lang w:val="en-US" w:bidi="ar-EG"/>
        </w:rPr>
        <w:t>8</w:t>
      </w:r>
      <w:r>
        <w:rPr>
          <w:rFonts w:hint="cs"/>
          <w:rtl/>
          <w:lang w:val="en-US" w:bidi="ar-EG"/>
        </w:rPr>
        <w:t xml:space="preserve">، لا تقدم معلومات عن قيم الإطلاق التي تستعمل لحماية الخدمات الأولية الأخرى للأرض من تخصيصات التلفزيون التماثلي. وهذه القيم ضرورية لتطبيق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(انظر الفقرة</w:t>
      </w:r>
      <w:r w:rsidR="00DC147B">
        <w:rPr>
          <w:rFonts w:hint="cs"/>
          <w:rtl/>
          <w:lang w:val="en-US" w:bidi="ar-EG"/>
        </w:rPr>
        <w:t xml:space="preserve"> </w:t>
      </w:r>
      <w:r w:rsidR="00DC147B">
        <w:rPr>
          <w:lang w:val="en-US" w:bidi="ar-EG"/>
        </w:rPr>
        <w:t>.</w:t>
      </w:r>
      <w:r>
        <w:rPr>
          <w:lang w:val="en-US" w:bidi="ar-EG"/>
        </w:rPr>
        <w:t>8.2.1.4</w:t>
      </w:r>
      <w:r w:rsidR="00DC147B" w:rsidRPr="00DC147B">
        <w:rPr>
          <w:rFonts w:hint="cs"/>
          <w:rtl/>
          <w:lang w:val="en-US" w:bidi="ar-EG"/>
        </w:rPr>
        <w:t xml:space="preserve"> </w:t>
      </w:r>
      <w:r w:rsidR="00DC147B" w:rsidRPr="00DC147B">
        <w:rPr>
          <w:rFonts w:hint="cs"/>
          <w:i/>
          <w:iCs/>
          <w:rtl/>
          <w:lang w:val="en-US" w:bidi="ar-EG"/>
        </w:rPr>
        <w:t>أ</w:t>
      </w:r>
      <w:r>
        <w:rPr>
          <w:rFonts w:hint="cs"/>
          <w:rtl/>
          <w:lang w:val="en-US" w:bidi="ar-EG"/>
        </w:rPr>
        <w:t>) و</w:t>
      </w:r>
      <w:r>
        <w:rPr>
          <w:lang w:val="en-US" w:bidi="ar-EG"/>
        </w:rPr>
        <w:t>3.2.1.4</w:t>
      </w:r>
      <w:r>
        <w:rPr>
          <w:rFonts w:hint="cs"/>
          <w:rtl/>
          <w:lang w:val="en-US" w:bidi="ar-EG"/>
        </w:rPr>
        <w:t xml:space="preserve">). والحسابات المطلوبة في تطبيق </w:t>
      </w:r>
      <w:r w:rsidR="00DC147B">
        <w:rPr>
          <w:rFonts w:hint="cs"/>
          <w:rtl/>
          <w:lang w:val="en-US" w:bidi="ar-EG"/>
        </w:rPr>
        <w:t xml:space="preserve">الفقرة </w:t>
      </w:r>
      <w:r w:rsidR="00DC147B">
        <w:rPr>
          <w:lang w:val="en-US" w:bidi="ar-EG"/>
        </w:rPr>
        <w:t>.8.2.1.4</w:t>
      </w:r>
      <w:r w:rsidR="00DC147B" w:rsidRPr="00DC147B">
        <w:rPr>
          <w:rFonts w:hint="cs"/>
          <w:rtl/>
          <w:lang w:val="en-US" w:bidi="ar-EG"/>
        </w:rPr>
        <w:t xml:space="preserve"> </w:t>
      </w:r>
      <w:r w:rsidR="00DC147B" w:rsidRPr="00DC147B">
        <w:rPr>
          <w:rFonts w:hint="cs"/>
          <w:i/>
          <w:iCs/>
          <w:rtl/>
          <w:lang w:val="en-US" w:bidi="ar-EG"/>
        </w:rPr>
        <w:t>أ</w:t>
      </w:r>
      <w:r w:rsidR="00DC147B">
        <w:rPr>
          <w:rFonts w:hint="cs"/>
          <w:rtl/>
          <w:lang w:val="en-US" w:bidi="ar-EG"/>
        </w:rPr>
        <w:t>)</w:t>
      </w:r>
      <w:r>
        <w:rPr>
          <w:rFonts w:hint="cs"/>
          <w:rtl/>
          <w:lang w:val="en-US" w:bidi="ar-EG"/>
        </w:rPr>
        <w:t xml:space="preserve"> من الاتفاق تجري باستعمال توصيات قطاع الاتصالات الراديوية ذات الصلة وما يرد بها من توضيحات. ويتعين في هذا الصدد استعمال التوصيات </w:t>
      </w:r>
      <w:r>
        <w:rPr>
          <w:lang w:val="en-US" w:bidi="ar-EG"/>
        </w:rPr>
        <w:t>ITU-R F.758-4</w:t>
      </w:r>
      <w:r>
        <w:rPr>
          <w:rFonts w:hint="cs"/>
          <w:rtl/>
          <w:lang w:val="en-US" w:bidi="ar-EG"/>
        </w:rPr>
        <w:t xml:space="preserve"> </w:t>
      </w:r>
      <w:r w:rsidR="00910A1D">
        <w:rPr>
          <w:lang w:val="en-US" w:bidi="ar-EG"/>
        </w:rPr>
        <w:br/>
      </w:r>
      <w:r>
        <w:rPr>
          <w:rFonts w:hint="cs"/>
          <w:rtl/>
          <w:lang w:val="en-US" w:bidi="ar-EG"/>
        </w:rPr>
        <w:t>و</w:t>
      </w:r>
      <w:r>
        <w:rPr>
          <w:lang w:val="en-US" w:bidi="ar-EG"/>
        </w:rPr>
        <w:t>ITU-R F.759</w:t>
      </w:r>
      <w:r>
        <w:rPr>
          <w:rFonts w:hint="cs"/>
          <w:rtl/>
          <w:lang w:val="en-US" w:bidi="ar-EG"/>
        </w:rPr>
        <w:t xml:space="preserve"> و</w:t>
      </w:r>
      <w:r>
        <w:rPr>
          <w:lang w:val="en-US" w:bidi="ar-EG"/>
        </w:rPr>
        <w:t>ITU-R SM.851-1</w:t>
      </w:r>
      <w:r>
        <w:rPr>
          <w:rFonts w:hint="cs"/>
          <w:rtl/>
          <w:lang w:val="en-US" w:bidi="ar-EG"/>
        </w:rPr>
        <w:t xml:space="preserve">. ونظراً لأن التوصية </w:t>
      </w:r>
      <w:r>
        <w:rPr>
          <w:lang w:val="en-US" w:bidi="ar-EG"/>
        </w:rPr>
        <w:t>ITU-R F.758-4</w:t>
      </w:r>
      <w:r>
        <w:rPr>
          <w:rFonts w:hint="cs"/>
          <w:rtl/>
          <w:lang w:val="en-US" w:bidi="ar-EG"/>
        </w:rPr>
        <w:t xml:space="preserve"> لا تتضمن معلومات تتصل بالأنظمة </w:t>
      </w:r>
      <w:r>
        <w:rPr>
          <w:rFonts w:hint="cs"/>
          <w:rtl/>
          <w:lang w:val="en-US" w:bidi="ar-EG"/>
        </w:rPr>
        <w:lastRenderedPageBreak/>
        <w:t xml:space="preserve">التماثلية في الخدمة الثابتة وفي ضوء الإشارات الواردة فيها، خلصت اللجنة إلى أن صيغة التوصية </w:t>
      </w:r>
      <w:r>
        <w:rPr>
          <w:lang w:val="en-US" w:bidi="ar-EG"/>
        </w:rPr>
        <w:t>ITU-R F.758-2</w:t>
      </w:r>
      <w:r>
        <w:rPr>
          <w:rFonts w:hint="cs"/>
          <w:rtl/>
          <w:lang w:val="en-US" w:bidi="ar-EG"/>
        </w:rPr>
        <w:t xml:space="preserve"> تستخدم في حالة الأنظمة التماثلية في الخدمة الثابتة. وبالنسبة للحالات التي لا تغطيها أي توصية من توصيات قطاع الاتصالات الراديوية، خلصت اللجنة إلى إجراء الحسابات باستعمال قيم الإطلاق للخدمة </w:t>
      </w:r>
      <w:r>
        <w:rPr>
          <w:lang w:val="en-US" w:bidi="ar-EG"/>
        </w:rPr>
        <w:t>DVB-T</w:t>
      </w:r>
      <w:r>
        <w:rPr>
          <w:rFonts w:hint="cs"/>
          <w:rtl/>
          <w:lang w:val="en-US" w:bidi="ar-EG"/>
        </w:rPr>
        <w:t xml:space="preserve"> مقترنة بالنهج المتصل بنسب الحماية للتلفزيون التماثلي على النحو الموصوف في التوصية </w:t>
      </w:r>
      <w:r>
        <w:rPr>
          <w:lang w:val="en-US" w:bidi="ar-EG"/>
        </w:rPr>
        <w:t>ITU-R SM.851-1</w:t>
      </w:r>
      <w:r>
        <w:rPr>
          <w:rFonts w:hint="cs"/>
          <w:rtl/>
          <w:lang w:val="en-US" w:bidi="ar-EG"/>
        </w:rPr>
        <w:t>.</w:t>
      </w:r>
    </w:p>
    <w:p w:rsidR="00334784" w:rsidRDefault="00334784" w:rsidP="00764F75">
      <w:pPr>
        <w:spacing w:before="240"/>
        <w:rPr>
          <w:rtl/>
          <w:lang w:val="en-US" w:bidi="ar-EG"/>
        </w:rPr>
      </w:pPr>
      <w:r>
        <w:rPr>
          <w:rFonts w:hint="cs"/>
          <w:rtl/>
          <w:lang w:val="en-US" w:bidi="ar-EG"/>
        </w:rPr>
        <w:t>ولذلك فإن قيم الحماية التي تستعمل لحماية الخدمات الأولية الأخرى للأرض من تخصيصات التلفزيون التماثلي في الحالات التي لا تغطيها أي توصية لقطاع الاتصالات الراديوية تحسب باستعمال المعادلة التالية:</w:t>
      </w:r>
    </w:p>
    <w:p w:rsidR="00334784" w:rsidRDefault="00334784" w:rsidP="00764F75">
      <w:pPr>
        <w:pStyle w:val="Equation"/>
        <w:spacing w:before="240"/>
        <w:jc w:val="center"/>
        <w:rPr>
          <w:rFonts w:eastAsia="SimSun"/>
          <w:lang w:val="da-DK" w:eastAsia="zh-CN"/>
        </w:rPr>
      </w:pPr>
      <w:r>
        <w:rPr>
          <w:rFonts w:eastAsia="SimSun"/>
          <w:i/>
          <w:szCs w:val="24"/>
          <w:lang w:val="da-DK" w:eastAsia="zh-CN"/>
        </w:rPr>
        <w:t>F</w:t>
      </w:r>
      <w:r>
        <w:rPr>
          <w:rFonts w:eastAsia="SimSun"/>
          <w:i/>
          <w:szCs w:val="24"/>
          <w:vertAlign w:val="subscript"/>
          <w:lang w:val="da-DK" w:eastAsia="zh-CN"/>
        </w:rPr>
        <w:t>trigger</w:t>
      </w:r>
      <w:r>
        <w:rPr>
          <w:rFonts w:eastAsia="SimSun"/>
          <w:i/>
          <w:szCs w:val="24"/>
          <w:lang w:val="da-DK" w:eastAsia="zh-CN"/>
        </w:rPr>
        <w:t xml:space="preserve"> ATV</w:t>
      </w:r>
      <w:r>
        <w:rPr>
          <w:rFonts w:eastAsia="SimSun"/>
          <w:lang w:val="da-DK" w:eastAsia="zh-CN"/>
        </w:rPr>
        <w:t xml:space="preserve">  =  </w:t>
      </w:r>
      <w:r>
        <w:rPr>
          <w:rFonts w:eastAsia="SimSun"/>
          <w:i/>
          <w:lang w:val="da-DK" w:eastAsia="zh-CN"/>
        </w:rPr>
        <w:t>F</w:t>
      </w:r>
      <w:r>
        <w:rPr>
          <w:rFonts w:eastAsia="SimSun"/>
          <w:i/>
          <w:szCs w:val="24"/>
          <w:vertAlign w:val="subscript"/>
          <w:lang w:val="da-DK" w:eastAsia="zh-CN"/>
        </w:rPr>
        <w:t>trigger</w:t>
      </w:r>
      <w:r>
        <w:rPr>
          <w:rFonts w:eastAsia="SimSun"/>
          <w:i/>
          <w:szCs w:val="24"/>
          <w:lang w:val="da-DK" w:eastAsia="zh-CN"/>
        </w:rPr>
        <w:t xml:space="preserve"> </w:t>
      </w:r>
      <w:r>
        <w:rPr>
          <w:rFonts w:eastAsia="SimSun"/>
          <w:i/>
          <w:szCs w:val="24"/>
          <w:vertAlign w:val="subscript"/>
          <w:lang w:val="da-DK" w:eastAsia="zh-CN"/>
        </w:rPr>
        <w:t>DVB-T</w:t>
      </w:r>
      <w:r>
        <w:rPr>
          <w:rFonts w:eastAsia="SimSun"/>
          <w:szCs w:val="24"/>
          <w:lang w:val="da-DK" w:eastAsia="zh-CN"/>
        </w:rPr>
        <w:t xml:space="preserve">  </w:t>
      </w:r>
      <w:r>
        <w:rPr>
          <w:rFonts w:eastAsia="SimSun"/>
          <w:lang w:val="da-DK" w:eastAsia="zh-CN"/>
        </w:rPr>
        <w:t xml:space="preserve">–  </w:t>
      </w:r>
      <w:r>
        <w:rPr>
          <w:rFonts w:eastAsia="SimSun"/>
          <w:i/>
          <w:lang w:val="da-DK" w:eastAsia="zh-CN"/>
        </w:rPr>
        <w:t>RPR</w:t>
      </w:r>
    </w:p>
    <w:p w:rsidR="00334784" w:rsidRDefault="00334784" w:rsidP="00764F75">
      <w:pPr>
        <w:spacing w:before="240"/>
        <w:rPr>
          <w:rtl/>
          <w:lang w:val="da-DK" w:bidi="ar-EG"/>
        </w:rPr>
      </w:pPr>
      <w:r>
        <w:rPr>
          <w:rFonts w:hint="cs"/>
          <w:rtl/>
          <w:lang w:val="da-DK" w:bidi="ar-EG"/>
        </w:rPr>
        <w:t xml:space="preserve">حيث: </w:t>
      </w:r>
    </w:p>
    <w:p w:rsidR="00334784" w:rsidRDefault="00334784">
      <w:pPr>
        <w:tabs>
          <w:tab w:val="clear" w:pos="794"/>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ATV</w:t>
      </w:r>
      <w:r>
        <w:rPr>
          <w:rFonts w:eastAsia="SimSun" w:hint="cs"/>
          <w:rtl/>
        </w:rPr>
        <w:t>:</w:t>
      </w:r>
      <w:r>
        <w:rPr>
          <w:rFonts w:eastAsia="SimSun" w:hint="cs"/>
          <w:rtl/>
        </w:rPr>
        <w:tab/>
        <w:t>قيمة الإطلاق في حالة التلفزيون التماثلي</w:t>
      </w:r>
    </w:p>
    <w:p w:rsidR="00334784" w:rsidRDefault="00334784">
      <w:pPr>
        <w:tabs>
          <w:tab w:val="clear" w:pos="794"/>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DVB-T</w:t>
      </w:r>
      <w:r>
        <w:rPr>
          <w:rFonts w:eastAsia="SimSun" w:hint="cs"/>
          <w:rtl/>
        </w:rPr>
        <w:t>:</w:t>
      </w:r>
      <w:r>
        <w:rPr>
          <w:rFonts w:eastAsia="SimSun" w:hint="cs"/>
          <w:rtl/>
        </w:rPr>
        <w:tab/>
        <w:t>قيمة الإطلاق في حالة التلفزيون الرقمي</w:t>
      </w:r>
    </w:p>
    <w:p w:rsidR="00334784" w:rsidRDefault="00334784">
      <w:pPr>
        <w:tabs>
          <w:tab w:val="clear" w:pos="794"/>
          <w:tab w:val="clear" w:pos="1191"/>
          <w:tab w:val="clear" w:pos="1588"/>
          <w:tab w:val="clear" w:pos="1985"/>
        </w:tabs>
        <w:ind w:left="1985" w:hanging="1419"/>
        <w:rPr>
          <w:rFonts w:eastAsia="SimSun"/>
          <w:lang w:val="en-US" w:bidi="ar-EG"/>
        </w:rPr>
      </w:pPr>
      <w:r>
        <w:rPr>
          <w:rFonts w:eastAsia="SimSun"/>
          <w:i/>
          <w:lang w:eastAsia="zh-CN"/>
        </w:rPr>
        <w:t>RPR</w:t>
      </w:r>
      <w:r>
        <w:rPr>
          <w:rFonts w:eastAsia="SimSun" w:hint="cs"/>
          <w:rtl/>
        </w:rPr>
        <w:t>:</w:t>
      </w:r>
      <w:r>
        <w:rPr>
          <w:rFonts w:eastAsia="SimSun" w:hint="cs"/>
          <w:rtl/>
        </w:rPr>
        <w:tab/>
        <w:t>نسبة الحماية النسبية وفقاً للتوصية</w:t>
      </w:r>
      <w:r>
        <w:rPr>
          <w:rFonts w:eastAsia="SimSun" w:hint="cs"/>
          <w:rtl/>
          <w:lang w:bidi="ar-EG"/>
        </w:rPr>
        <w:t xml:space="preserve"> </w:t>
      </w:r>
      <w:r>
        <w:rPr>
          <w:rFonts w:eastAsia="SimSun"/>
          <w:lang w:val="en-US" w:bidi="ar-EG"/>
        </w:rPr>
        <w:t>ITU-R SM.851-1</w:t>
      </w:r>
      <w:r>
        <w:rPr>
          <w:rFonts w:eastAsia="SimSun" w:hint="cs"/>
          <w:rtl/>
          <w:lang w:val="en-US" w:bidi="ar-EG"/>
        </w:rPr>
        <w:t>.</w:t>
      </w:r>
    </w:p>
    <w:p w:rsidR="00793E41" w:rsidRDefault="00793E41" w:rsidP="00E9550A">
      <w:pPr>
        <w:spacing w:before="240"/>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793E41" w:rsidTr="00793E41">
        <w:tc>
          <w:tcPr>
            <w:tcW w:w="1275" w:type="dxa"/>
          </w:tcPr>
          <w:p w:rsidR="00793E41" w:rsidRDefault="00793E41" w:rsidP="00793E41">
            <w:pPr>
              <w:tabs>
                <w:tab w:val="clear" w:pos="794"/>
                <w:tab w:val="clear" w:pos="1191"/>
                <w:tab w:val="clear" w:pos="1588"/>
                <w:tab w:val="clear" w:pos="1985"/>
              </w:tabs>
              <w:spacing w:before="0" w:after="40" w:line="280" w:lineRule="exact"/>
              <w:jc w:val="left"/>
              <w:rPr>
                <w:b/>
                <w:bCs/>
                <w:rtl/>
                <w:lang w:val="en-US" w:bidi="ar-EG"/>
              </w:rPr>
            </w:pPr>
            <w:r>
              <w:rPr>
                <w:b/>
                <w:bCs/>
                <w:lang w:val="en-US" w:bidi="ar-EG"/>
              </w:rPr>
              <w:t>2.2.5</w:t>
            </w:r>
          </w:p>
        </w:tc>
      </w:tr>
    </w:tbl>
    <w:p w:rsidR="005806E0" w:rsidRDefault="005806E0" w:rsidP="00E9550A">
      <w:pPr>
        <w:spacing w:before="240"/>
        <w:rPr>
          <w:rtl/>
          <w:lang w:val="en-US" w:bidi="ar-EG"/>
        </w:rPr>
      </w:pPr>
      <w:r>
        <w:t>1</w:t>
      </w:r>
      <w:r>
        <w:rPr>
          <w:rFonts w:hint="cs"/>
          <w:rtl/>
          <w:lang w:bidi="ar-EG"/>
        </w:rPr>
        <w:t>)</w:t>
      </w:r>
      <w:r>
        <w:rPr>
          <w:rFonts w:hint="cs"/>
          <w:rtl/>
          <w:lang w:bidi="ar-EG"/>
        </w:rPr>
        <w:tab/>
        <w:t xml:space="preserve">لكي يتسنى إجراء الحسابات المشار إليها في هذا الحكم، سيفترض المكتب أن المحطة الإذاعية المرجعية المشار إليها في هذا الحكم (بقدرة مشعة قصوى تبلغ </w:t>
      </w:r>
      <w:r>
        <w:rPr>
          <w:lang w:val="en-US" w:bidi="ar-EG"/>
        </w:rPr>
        <w:t>dBW 53</w:t>
      </w:r>
      <w:r>
        <w:rPr>
          <w:rFonts w:hint="cs"/>
          <w:rtl/>
          <w:lang w:val="en-US" w:bidi="ar-EG"/>
        </w:rPr>
        <w:t xml:space="preserve">، وارتفاع فعلي أقصى للهوائي يبلغ </w:t>
      </w:r>
      <w:r>
        <w:rPr>
          <w:lang w:val="en-US" w:bidi="ar-EG"/>
        </w:rPr>
        <w:t>600</w:t>
      </w:r>
      <w:r>
        <w:rPr>
          <w:rFonts w:hint="cs"/>
          <w:rtl/>
          <w:lang w:val="en-US" w:bidi="ar-EG"/>
        </w:rPr>
        <w:t xml:space="preserve"> متر، واستقطاب مختلط) تعمل في نظام الإذاعة الفيديوية الرقمية للأرض </w:t>
      </w:r>
      <w:r>
        <w:rPr>
          <w:lang w:val="fr-FR" w:bidi="ar-EG"/>
        </w:rPr>
        <w:t>(</w:t>
      </w:r>
      <w:r>
        <w:rPr>
          <w:lang w:val="en-US" w:bidi="ar-EG"/>
        </w:rPr>
        <w:t>DVB-T)</w:t>
      </w:r>
      <w:r>
        <w:rPr>
          <w:rFonts w:hint="cs"/>
          <w:rtl/>
          <w:lang w:val="en-US" w:bidi="ar-EG"/>
        </w:rPr>
        <w:t xml:space="preserve"> بعرض نطاق قدره </w:t>
      </w:r>
      <w:r>
        <w:rPr>
          <w:lang w:val="en-US" w:bidi="ar-EG"/>
        </w:rPr>
        <w:t>MHz 8</w:t>
      </w:r>
      <w:r>
        <w:rPr>
          <w:rFonts w:hint="cs"/>
          <w:rtl/>
          <w:lang w:val="en-US" w:bidi="ar-EG"/>
        </w:rPr>
        <w:t xml:space="preserve"> في نطاق الموجات الديسيمترية </w:t>
      </w:r>
      <w:r>
        <w:rPr>
          <w:lang w:val="fr-FR" w:bidi="ar-EG"/>
        </w:rPr>
        <w:t>(UHF)</w:t>
      </w:r>
      <w:r>
        <w:rPr>
          <w:rFonts w:hint="cs"/>
          <w:rtl/>
          <w:lang w:val="en-US" w:bidi="ar-EG"/>
        </w:rPr>
        <w:t xml:space="preserve">، وبعرض نطاق قدره </w:t>
      </w:r>
      <w:r>
        <w:rPr>
          <w:lang w:val="en-US" w:bidi="ar-EG"/>
        </w:rPr>
        <w:t>MHz 7</w:t>
      </w:r>
      <w:r>
        <w:rPr>
          <w:rFonts w:hint="cs"/>
          <w:rtl/>
          <w:lang w:val="en-US" w:bidi="ar-EG"/>
        </w:rPr>
        <w:t xml:space="preserve"> في نطاق الموجات المترية </w:t>
      </w:r>
      <w:r>
        <w:rPr>
          <w:lang w:val="fr-FR" w:bidi="ar-EG"/>
        </w:rPr>
        <w:t>(VHF)</w:t>
      </w:r>
      <w:r>
        <w:rPr>
          <w:rFonts w:hint="cs"/>
          <w:rtl/>
          <w:lang w:val="en-US" w:bidi="ar-EG"/>
        </w:rPr>
        <w:t>.</w:t>
      </w:r>
    </w:p>
    <w:p w:rsidR="005806E0" w:rsidRDefault="005806E0" w:rsidP="00E9550A">
      <w:pPr>
        <w:spacing w:before="240"/>
        <w:rPr>
          <w:lang w:val="en-US" w:bidi="ar-EG"/>
        </w:rPr>
      </w:pPr>
      <w:r w:rsidRPr="00B4752D">
        <w:rPr>
          <w:lang w:val="en-US" w:bidi="ar-EG"/>
        </w:rPr>
        <w:t>2</w:t>
      </w:r>
      <w:r w:rsidRPr="00B4752D">
        <w:rPr>
          <w:rFonts w:hint="cs"/>
          <w:rtl/>
          <w:lang w:val="en-US" w:bidi="ar-EG"/>
        </w:rPr>
        <w:t>)</w:t>
      </w:r>
      <w:r w:rsidRPr="00B4752D">
        <w:rPr>
          <w:rFonts w:hint="cs"/>
          <w:rtl/>
          <w:lang w:val="en-US" w:bidi="ar-EG"/>
        </w:rPr>
        <w:tab/>
        <w:t>تحد</w:t>
      </w:r>
      <w:r>
        <w:rPr>
          <w:rFonts w:hint="cs"/>
          <w:rtl/>
          <w:lang w:val="en-US" w:bidi="ar-EG"/>
        </w:rPr>
        <w:t>َّ</w:t>
      </w:r>
      <w:r w:rsidRPr="00B4752D">
        <w:rPr>
          <w:rFonts w:hint="cs"/>
          <w:rtl/>
          <w:lang w:val="en-US" w:bidi="ar-EG"/>
        </w:rPr>
        <w:t xml:space="preserve">د مسافة التنسيق القصوى للطائرات عند </w:t>
      </w:r>
      <w:r w:rsidRPr="00B4752D">
        <w:rPr>
          <w:lang w:val="en-US" w:bidi="ar-EG"/>
        </w:rPr>
        <w:t>420</w:t>
      </w:r>
      <w:r w:rsidRPr="00B4752D">
        <w:rPr>
          <w:rFonts w:hint="cs"/>
          <w:rtl/>
          <w:lang w:val="en-US" w:bidi="ar-EG"/>
        </w:rPr>
        <w:t xml:space="preserve"> كيلومتراً</w:t>
      </w:r>
      <w:r>
        <w:rPr>
          <w:rFonts w:hint="cs"/>
          <w:rtl/>
          <w:lang w:val="en-US" w:bidi="ar-EG"/>
        </w:rPr>
        <w:t xml:space="preserve"> (محسوبة ككفاف هندسي يحيط بمنطقة الخدمة لمحطة استقبال للطيران)</w:t>
      </w:r>
      <w:r w:rsidRPr="00B4752D">
        <w:rPr>
          <w:rFonts w:hint="cs"/>
          <w:rtl/>
          <w:lang w:val="en-US" w:bidi="ar-EG"/>
        </w:rPr>
        <w:t xml:space="preserve">، بغض النظر عن البيانات الواردة في هذا الحكم، وذلك على ضوء البيانات الواردة في الأحكام الأخرى ذات الصلة (مثل الرقمين </w:t>
      </w:r>
      <w:r w:rsidRPr="00B4752D">
        <w:rPr>
          <w:lang w:val="en-US" w:bidi="ar-EG"/>
        </w:rPr>
        <w:t>2.1.5</w:t>
      </w:r>
      <w:r w:rsidRPr="00B4752D">
        <w:rPr>
          <w:rFonts w:hint="cs"/>
          <w:rtl/>
          <w:lang w:val="en-US" w:bidi="ar-EG"/>
        </w:rPr>
        <w:t xml:space="preserve"> و</w:t>
      </w:r>
      <w:r w:rsidRPr="00B4752D">
        <w:rPr>
          <w:lang w:val="en-US" w:bidi="ar-EG"/>
        </w:rPr>
        <w:t>2.2.5</w:t>
      </w:r>
      <w:r w:rsidRPr="00B4752D">
        <w:rPr>
          <w:rFonts w:hint="cs"/>
          <w:rtl/>
          <w:lang w:val="en-US" w:bidi="ar-EG"/>
        </w:rPr>
        <w:t xml:space="preserve"> في القسم </w:t>
      </w:r>
      <w:r>
        <w:rPr>
          <w:lang w:val="fr-FR" w:bidi="ar-EG"/>
        </w:rPr>
        <w:t>I</w:t>
      </w:r>
      <w:r w:rsidRPr="00B4752D">
        <w:rPr>
          <w:rFonts w:hint="cs"/>
          <w:rtl/>
          <w:lang w:val="en-US" w:bidi="ar-EG"/>
        </w:rPr>
        <w:t xml:space="preserve"> من الملحق </w:t>
      </w:r>
      <w:r w:rsidRPr="00B4752D">
        <w:rPr>
          <w:lang w:val="en-US" w:bidi="ar-EG"/>
        </w:rPr>
        <w:t>4</w:t>
      </w:r>
      <w:r w:rsidRPr="00B4752D">
        <w:rPr>
          <w:rFonts w:hint="cs"/>
          <w:rtl/>
          <w:lang w:val="en-US" w:bidi="ar-EG"/>
        </w:rPr>
        <w:t>).</w:t>
      </w:r>
    </w:p>
    <w:p w:rsidR="007D0732" w:rsidRPr="0068656F" w:rsidRDefault="007D0732" w:rsidP="00E9550A">
      <w:pPr>
        <w:spacing w:before="240"/>
        <w:rPr>
          <w:rtl/>
          <w:lang w:val="en-US" w:bidi="ar-EG"/>
        </w:rPr>
      </w:pPr>
      <w:r w:rsidRPr="0068656F">
        <w:rPr>
          <w:lang w:val="en-US" w:bidi="ar-EG"/>
        </w:rPr>
        <w:t>3</w:t>
      </w:r>
      <w:r w:rsidRPr="0068656F">
        <w:rPr>
          <w:rtl/>
          <w:lang w:val="en-US" w:bidi="ar-EG"/>
        </w:rPr>
        <w:t>)</w:t>
      </w:r>
      <w:r w:rsidRPr="0068656F">
        <w:rPr>
          <w:rtl/>
          <w:lang w:val="en-US" w:bidi="ar-EG"/>
        </w:rPr>
        <w:tab/>
        <w:t xml:space="preserve">في ضوء صياغة الرقم </w:t>
      </w:r>
      <w:r w:rsidRPr="0068656F">
        <w:rPr>
          <w:lang w:val="en-US" w:bidi="ar-EG"/>
        </w:rPr>
        <w:t>5.4</w:t>
      </w:r>
      <w:r w:rsidRPr="0068656F">
        <w:rPr>
          <w:rtl/>
          <w:lang w:val="en-US" w:bidi="ar-EG"/>
        </w:rPr>
        <w:t>، الذي يبين الافتراضات الأساسية لرسم أكفة التنسيق لمحطات الخدمة المتنقلة (باستثناء المتنقلة للطيران)، أوعزت لجنة لوائح الراديو إلى المكتب تنفيذ المنهجية التالية لرسم أكفة التنسيق لأي محطة استقبال عاملة في الخدمة المتنقلة (باستثناء المتنقلة للطيران)</w:t>
      </w:r>
      <w:r>
        <w:rPr>
          <w:rFonts w:hint="cs"/>
          <w:rtl/>
          <w:lang w:val="en-US" w:bidi="ar-EG"/>
        </w:rPr>
        <w:t xml:space="preserve"> في منطقة خدمة محددة</w:t>
      </w:r>
      <w:r w:rsidRPr="0068656F">
        <w:rPr>
          <w:rtl/>
          <w:lang w:val="en-US" w:bidi="ar-EG"/>
        </w:rPr>
        <w:t>:</w:t>
      </w:r>
    </w:p>
    <w:p w:rsidR="007D0732" w:rsidRPr="0068656F" w:rsidRDefault="007D0732" w:rsidP="00E9550A">
      <w:pPr>
        <w:spacing w:before="240"/>
        <w:rPr>
          <w:rtl/>
        </w:rPr>
      </w:pPr>
      <w:r>
        <w:rPr>
          <w:rFonts w:hint="cs"/>
          <w:rtl/>
        </w:rPr>
        <w:t xml:space="preserve"> </w:t>
      </w:r>
      <w:r w:rsidRPr="0068656F">
        <w:rPr>
          <w:rtl/>
        </w:rPr>
        <w:t>أ )</w:t>
      </w:r>
      <w:r w:rsidRPr="0068656F">
        <w:rPr>
          <w:rtl/>
        </w:rPr>
        <w:tab/>
        <w:t xml:space="preserve">تحديد مركز الجاذبية </w:t>
      </w:r>
      <w:r>
        <w:rPr>
          <w:rFonts w:hint="cs"/>
          <w:rtl/>
        </w:rPr>
        <w:t>ل</w:t>
      </w:r>
      <w:r w:rsidRPr="0068656F">
        <w:rPr>
          <w:rtl/>
        </w:rPr>
        <w:t>منطقة الخدمة المحددة.</w:t>
      </w:r>
    </w:p>
    <w:p w:rsidR="007D0732" w:rsidRPr="0068656F" w:rsidRDefault="00E9550A" w:rsidP="007E6810">
      <w:pPr>
        <w:rPr>
          <w:rtl/>
        </w:rPr>
      </w:pPr>
      <w:r>
        <w:rPr>
          <w:rtl/>
        </w:rPr>
        <w:br w:type="page"/>
      </w:r>
      <w:r w:rsidR="007D0732" w:rsidRPr="0068656F">
        <w:rPr>
          <w:rtl/>
        </w:rPr>
        <w:lastRenderedPageBreak/>
        <w:t>ب)</w:t>
      </w:r>
      <w:r w:rsidR="007D0732" w:rsidRPr="0068656F">
        <w:rPr>
          <w:rtl/>
        </w:rPr>
        <w:tab/>
        <w:t xml:space="preserve">تحديد النقاط البالغ عددها </w:t>
      </w:r>
      <w:r w:rsidR="007D0732" w:rsidRPr="0068656F">
        <w:rPr>
          <w:szCs w:val="22"/>
          <w:rtl/>
        </w:rPr>
        <w:t>360</w:t>
      </w:r>
      <w:r w:rsidR="007D0732" w:rsidRPr="0068656F">
        <w:rPr>
          <w:rtl/>
        </w:rPr>
        <w:t xml:space="preserve"> نقطة على حدود منطقة الخدمة المحددة ("النقاط الحدودية")، التي يمكن عندها تقييم شدة مجال المحطة الإذاعية المرجعية. وتحدد النقاط الحدودية بوصفها نقاط تقاطع حدود منطقة الخدمة مع </w:t>
      </w:r>
      <w:r w:rsidR="007D0732" w:rsidRPr="0068656F">
        <w:rPr>
          <w:szCs w:val="22"/>
          <w:rtl/>
        </w:rPr>
        <w:t>360</w:t>
      </w:r>
      <w:r w:rsidR="007D0732" w:rsidRPr="0068656F">
        <w:rPr>
          <w:rtl/>
        </w:rPr>
        <w:t xml:space="preserve"> نصف قطر من مركز الجاذبية الخاص بالمنطقة المحددة للخدمة</w:t>
      </w:r>
      <w:r w:rsidR="007D0732" w:rsidRPr="0068656F">
        <w:rPr>
          <w:rStyle w:val="FootnoteReference"/>
          <w:rtl/>
        </w:rPr>
        <w:footnoteReference w:id="1"/>
      </w:r>
      <w:r w:rsidR="007D0732" w:rsidRPr="0068656F">
        <w:rPr>
          <w:rtl/>
        </w:rPr>
        <w:t>. وفي حالة تعدد نقاط تقاطع نصف قطر معين مع منطقة الخدمة، تكون "النقطة الحدودية" هي نقطة التقاطع التي تقع على أبعد مسافة من مركز الجاذبية.</w:t>
      </w:r>
    </w:p>
    <w:p w:rsidR="007D0732" w:rsidRPr="0068656F" w:rsidRDefault="007D0732" w:rsidP="00E9550A">
      <w:pPr>
        <w:spacing w:before="240"/>
        <w:rPr>
          <w:sz w:val="30"/>
          <w:rtl/>
        </w:rPr>
      </w:pPr>
      <w:r w:rsidRPr="0068656F">
        <w:rPr>
          <w:rtl/>
        </w:rPr>
        <w:t>ج)</w:t>
      </w:r>
      <w:r w:rsidRPr="0068656F">
        <w:rPr>
          <w:rtl/>
        </w:rPr>
        <w:tab/>
        <w:t xml:space="preserve">تحديد النقاط البالغ عددها </w:t>
      </w:r>
      <w:r w:rsidRPr="0068656F">
        <w:rPr>
          <w:szCs w:val="22"/>
          <w:rtl/>
        </w:rPr>
        <w:t>360</w:t>
      </w:r>
      <w:r w:rsidRPr="0068656F">
        <w:rPr>
          <w:sz w:val="30"/>
          <w:rtl/>
        </w:rPr>
        <w:t xml:space="preserve"> نقطة على</w:t>
      </w:r>
      <w:r w:rsidRPr="0068656F">
        <w:rPr>
          <w:szCs w:val="22"/>
          <w:rtl/>
        </w:rPr>
        <w:t xml:space="preserve"> </w:t>
      </w:r>
      <w:r w:rsidRPr="0068656F">
        <w:rPr>
          <w:sz w:val="30"/>
          <w:rtl/>
        </w:rPr>
        <w:t xml:space="preserve">الكفاف الهندسي البالغ </w:t>
      </w:r>
      <w:r w:rsidRPr="0068656F">
        <w:rPr>
          <w:szCs w:val="22"/>
          <w:rtl/>
        </w:rPr>
        <w:t xml:space="preserve">1000 </w:t>
      </w:r>
      <w:r w:rsidRPr="0068656F">
        <w:rPr>
          <w:sz w:val="30"/>
          <w:rtl/>
        </w:rPr>
        <w:t xml:space="preserve">كيلومتر ("النقاط الأولية للمرسل المرجعي")، وهو الموقع الأولي للمحطة الإذاعية المرجعية. وتحدد هذه النقاط الأولية للمرسل المرجعي باعتبارها نقاط تقاطع الكفاف الهندسي البالغ </w:t>
      </w:r>
      <w:r w:rsidRPr="0068656F">
        <w:rPr>
          <w:szCs w:val="22"/>
          <w:rtl/>
        </w:rPr>
        <w:t>1000</w:t>
      </w:r>
      <w:r w:rsidRPr="0068656F">
        <w:rPr>
          <w:sz w:val="30"/>
          <w:rtl/>
        </w:rPr>
        <w:t xml:space="preserve"> كيلومتر حول منطقة الخدمة المحددة مع </w:t>
      </w:r>
      <w:r w:rsidRPr="0068656F">
        <w:rPr>
          <w:szCs w:val="22"/>
          <w:rtl/>
        </w:rPr>
        <w:t>360</w:t>
      </w:r>
      <w:r w:rsidRPr="0068656F">
        <w:rPr>
          <w:sz w:val="30"/>
          <w:rtl/>
        </w:rPr>
        <w:t xml:space="preserve"> نصف قطر من مركز الجاذبية الخاص بالمنطقة المحددة للخدمة.</w:t>
      </w:r>
    </w:p>
    <w:p w:rsidR="007D0732" w:rsidRPr="0068656F" w:rsidRDefault="007D0732" w:rsidP="00E9550A">
      <w:pPr>
        <w:spacing w:before="240"/>
        <w:rPr>
          <w:sz w:val="30"/>
          <w:rtl/>
        </w:rPr>
      </w:pPr>
      <w:r w:rsidRPr="0068656F">
        <w:rPr>
          <w:sz w:val="30"/>
          <w:rtl/>
        </w:rPr>
        <w:t>د</w:t>
      </w:r>
      <w:r>
        <w:rPr>
          <w:rFonts w:hint="cs"/>
          <w:sz w:val="30"/>
          <w:rtl/>
        </w:rPr>
        <w:t xml:space="preserve"> </w:t>
      </w:r>
      <w:r w:rsidRPr="0068656F">
        <w:rPr>
          <w:sz w:val="30"/>
          <w:rtl/>
        </w:rPr>
        <w:t>)</w:t>
      </w:r>
      <w:r w:rsidRPr="0068656F">
        <w:rPr>
          <w:sz w:val="30"/>
          <w:rtl/>
        </w:rPr>
        <w:tab/>
        <w:t>تحديد مسافة التنسيق بالنسبة لكل نصف قطر على النحو التالي:</w:t>
      </w:r>
    </w:p>
    <w:p w:rsidR="007D0732" w:rsidRPr="0068656F" w:rsidRDefault="007D0732" w:rsidP="00E9550A">
      <w:pPr>
        <w:pStyle w:val="Styleenumlev2Before12pt"/>
        <w:rPr>
          <w:rtl/>
        </w:rPr>
      </w:pPr>
      <w:r w:rsidRPr="0068656F">
        <w:rPr>
          <w:szCs w:val="22"/>
          <w:rtl/>
        </w:rPr>
        <w:t>1</w:t>
      </w:r>
      <w:r w:rsidRPr="0068656F">
        <w:rPr>
          <w:rtl/>
        </w:rPr>
        <w:t>)</w:t>
      </w:r>
      <w:r w:rsidRPr="0068656F">
        <w:rPr>
          <w:rtl/>
        </w:rPr>
        <w:tab/>
        <w:t>وضع مرسل الإذاعة المرجعي عند النقطة الأولية للمرسل المرجعي لنصف القطر هذا، وحساب شدة المجال من هذا الموقع لدى جميع النقاط الحدودية؛</w:t>
      </w:r>
    </w:p>
    <w:p w:rsidR="007D0732" w:rsidRPr="0068656F" w:rsidRDefault="007D0732" w:rsidP="00E9550A">
      <w:pPr>
        <w:pStyle w:val="Styleenumlev2Before12pt"/>
        <w:rPr>
          <w:rtl/>
        </w:rPr>
      </w:pPr>
      <w:r w:rsidRPr="0068656F">
        <w:rPr>
          <w:szCs w:val="22"/>
          <w:rtl/>
        </w:rPr>
        <w:t>2</w:t>
      </w:r>
      <w:r w:rsidRPr="0068656F">
        <w:rPr>
          <w:rtl/>
        </w:rPr>
        <w:t>)</w:t>
      </w:r>
      <w:r w:rsidRPr="0068656F">
        <w:rPr>
          <w:rtl/>
        </w:rPr>
        <w:tab/>
        <w:t>إذا تجاوزت شدة مجال المحطة الإذاعية المرجعية شدة مجال الإطلاق لدى أي نقطة من "النقاط الحدودية" أو تساوت معها، حينئذ تحدد مسافة التنسيق الخاصة بنصف القطر هذا على أساس النقطة الأولية للمرسل المرجعي؛</w:t>
      </w:r>
    </w:p>
    <w:p w:rsidR="007D0732" w:rsidRPr="0068656F" w:rsidRDefault="007D0732" w:rsidP="00E9550A">
      <w:pPr>
        <w:pStyle w:val="Styleenumlev2Before12pt"/>
        <w:rPr>
          <w:rtl/>
        </w:rPr>
      </w:pPr>
      <w:r w:rsidRPr="0068656F">
        <w:rPr>
          <w:szCs w:val="22"/>
          <w:rtl/>
        </w:rPr>
        <w:t>3</w:t>
      </w:r>
      <w:r w:rsidRPr="0068656F">
        <w:rPr>
          <w:rtl/>
        </w:rPr>
        <w:t>)</w:t>
      </w:r>
      <w:r w:rsidRPr="0068656F">
        <w:rPr>
          <w:rtl/>
        </w:rPr>
        <w:tab/>
        <w:t xml:space="preserve">إذا كانت شدة مجال المحطة الإذاعية المرجعية أقل من شدة مجال الإطلاق في جميع "النقاط الحدودية"، حينئذ يتم تحريك المحطة الإذاعية المرجعية عبر نصف القطر بخطوات يبلغ طول كل منها </w:t>
      </w:r>
      <w:r w:rsidRPr="0068656F">
        <w:rPr>
          <w:szCs w:val="22"/>
          <w:rtl/>
        </w:rPr>
        <w:t>10</w:t>
      </w:r>
      <w:r w:rsidRPr="0068656F">
        <w:rPr>
          <w:rtl/>
        </w:rPr>
        <w:t xml:space="preserve"> كيلومترات تجاه مركز الجاذبية الخاص بمنطقة الخدمة إلى أن تتجاوز شدة المجال من هذا الموقع الجديد شدة مجال الإطلاق لدى أي نقطة من "النقاط الحدودية" أو تتساوى معها. وموقع المحطة الإذاعية المرجعية الذي يصدر عنه شدة مجال تتجاوز شدة مجال الإطلاق عند أي "نقطة حدودية" أو تكون مساوية لها هو الذي يحدد مسافة التنسيق الخاصة بنصف القطر هذا.</w:t>
      </w:r>
    </w:p>
    <w:p w:rsidR="007D0732" w:rsidRPr="00CD47E9" w:rsidRDefault="007D0732" w:rsidP="00E9550A">
      <w:pPr>
        <w:spacing w:before="240"/>
        <w:rPr>
          <w:u w:val="single"/>
          <w:lang w:val="en-US" w:bidi="ar-EG"/>
        </w:rPr>
      </w:pPr>
      <w:r w:rsidRPr="0068656F">
        <w:rPr>
          <w:szCs w:val="22"/>
          <w:rtl/>
          <w:lang w:val="en-US" w:bidi="ar-EG"/>
        </w:rPr>
        <w:t>4</w:t>
      </w:r>
      <w:r w:rsidRPr="0068656F">
        <w:rPr>
          <w:rtl/>
          <w:lang w:val="en-US" w:bidi="ar-EG"/>
        </w:rPr>
        <w:t>)</w:t>
      </w:r>
      <w:r w:rsidRPr="0068656F">
        <w:rPr>
          <w:rtl/>
          <w:lang w:val="en-US" w:bidi="ar-EG"/>
        </w:rPr>
        <w:tab/>
        <w:t>في حالة محطة استقبال محمولة جوا</w:t>
      </w:r>
      <w:r>
        <w:rPr>
          <w:rFonts w:hint="cs"/>
          <w:rtl/>
          <w:lang w:val="en-US" w:bidi="ar-EG"/>
        </w:rPr>
        <w:t>ً</w:t>
      </w:r>
      <w:r w:rsidRPr="0068656F">
        <w:rPr>
          <w:rtl/>
          <w:lang w:val="en-US" w:bidi="ar-EG"/>
        </w:rPr>
        <w:t xml:space="preserve"> في الخدمة المتنقلة للطيران، أو خدمة الملاحة الراديوية للطيران، سيستخدم المكتب نفس المنهجية المبينة في الفقرة </w:t>
      </w:r>
      <w:r w:rsidRPr="0068656F">
        <w:rPr>
          <w:szCs w:val="22"/>
          <w:rtl/>
          <w:lang w:val="en-US" w:bidi="ar-EG"/>
        </w:rPr>
        <w:t>3</w:t>
      </w:r>
      <w:r w:rsidRPr="0068656F">
        <w:rPr>
          <w:rtl/>
          <w:lang w:val="en-US" w:bidi="ar-EG"/>
        </w:rPr>
        <w:t xml:space="preserve"> أعلاه، مع الاستعاضة عن الكفاف الهندسي البالغ </w:t>
      </w:r>
      <w:r w:rsidRPr="0068656F">
        <w:rPr>
          <w:szCs w:val="22"/>
          <w:rtl/>
          <w:lang w:val="en-US" w:bidi="ar-EG"/>
        </w:rPr>
        <w:t>1000</w:t>
      </w:r>
      <w:r w:rsidRPr="0068656F">
        <w:rPr>
          <w:rtl/>
          <w:lang w:val="en-US" w:bidi="ar-EG"/>
        </w:rPr>
        <w:t xml:space="preserve"> كيلومتر بكفاف هندسي يبلغ </w:t>
      </w:r>
      <w:r w:rsidRPr="0068656F">
        <w:rPr>
          <w:szCs w:val="22"/>
          <w:rtl/>
          <w:lang w:val="en-US" w:bidi="ar-EG"/>
        </w:rPr>
        <w:t>420</w:t>
      </w:r>
      <w:r w:rsidRPr="0068656F">
        <w:rPr>
          <w:rtl/>
          <w:lang w:val="en-US" w:bidi="ar-EG"/>
        </w:rPr>
        <w:t xml:space="preserve"> كيلومترا</w:t>
      </w:r>
      <w:r>
        <w:rPr>
          <w:rFonts w:hint="cs"/>
          <w:rtl/>
          <w:lang w:val="en-US" w:bidi="ar-EG"/>
        </w:rPr>
        <w:t>ً</w:t>
      </w:r>
      <w:r w:rsidRPr="0068656F">
        <w:rPr>
          <w:rtl/>
          <w:lang w:val="en-US" w:bidi="ar-EG"/>
        </w:rPr>
        <w:t>، وفقا</w:t>
      </w:r>
      <w:r>
        <w:rPr>
          <w:rFonts w:hint="cs"/>
          <w:rtl/>
          <w:lang w:val="en-US" w:bidi="ar-EG"/>
        </w:rPr>
        <w:t>ً</w:t>
      </w:r>
      <w:r w:rsidRPr="0068656F">
        <w:rPr>
          <w:rtl/>
          <w:lang w:val="en-US" w:bidi="ar-EG"/>
        </w:rPr>
        <w:t xml:space="preserve"> للفقرة </w:t>
      </w:r>
      <w:r w:rsidRPr="0068656F">
        <w:rPr>
          <w:szCs w:val="22"/>
          <w:rtl/>
          <w:lang w:val="en-US" w:bidi="ar-EG"/>
        </w:rPr>
        <w:t>2</w:t>
      </w:r>
      <w:r w:rsidRPr="0068656F">
        <w:rPr>
          <w:rtl/>
          <w:lang w:val="en-US" w:bidi="ar-EG"/>
        </w:rPr>
        <w:t xml:space="preserve"> أعلاه.</w:t>
      </w:r>
    </w:p>
    <w:p w:rsidR="007D0732" w:rsidRDefault="007D0732" w:rsidP="00F51517">
      <w:pPr>
        <w:spacing w:before="480"/>
        <w:jc w:val="center"/>
        <w:rPr>
          <w:lang w:val="en-US" w:bidi="ar-EG"/>
        </w:rPr>
      </w:pPr>
      <w:r>
        <w:rPr>
          <w:rFonts w:hint="cs"/>
          <w:rtl/>
          <w:lang w:val="en-US" w:bidi="ar-EG"/>
        </w:rPr>
        <w:t>ـــــــــ</w:t>
      </w:r>
    </w:p>
    <w:p w:rsidR="00793E41" w:rsidRDefault="00793E41" w:rsidP="007D0732">
      <w:pPr>
        <w:spacing w:before="240"/>
        <w:jc w:val="center"/>
        <w:rPr>
          <w:lang w:val="en-US" w:bidi="ar-EG"/>
        </w:rPr>
      </w:pPr>
    </w:p>
    <w:sectPr w:rsidR="00793E41" w:rsidSect="00B14FFA">
      <w:headerReference w:type="even" r:id="rId16"/>
      <w:headerReference w:type="default" r:id="rId17"/>
      <w:pgSz w:w="11907" w:h="16834" w:code="9"/>
      <w:pgMar w:top="1701" w:right="1985" w:bottom="1134" w:left="851" w:header="720" w:footer="482" w:gutter="0"/>
      <w:paperSrc w:first="15" w:other="15"/>
      <w:pgNumType w:start="8"/>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07B" w:rsidRDefault="0077207B">
      <w:r>
        <w:separator/>
      </w:r>
    </w:p>
  </w:endnote>
  <w:endnote w:type="continuationSeparator" w:id="0">
    <w:p w:rsidR="0077207B" w:rsidRDefault="007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raditional Arabic"/>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07B" w:rsidRDefault="0077207B">
      <w:r>
        <w:t>____________________</w:t>
      </w:r>
    </w:p>
  </w:footnote>
  <w:footnote w:type="continuationSeparator" w:id="0">
    <w:p w:rsidR="0077207B" w:rsidRDefault="0077207B">
      <w:r>
        <w:continuationSeparator/>
      </w:r>
    </w:p>
  </w:footnote>
  <w:footnote w:id="1">
    <w:p w:rsidR="00E9550A" w:rsidRPr="008842F1" w:rsidRDefault="00E9550A" w:rsidP="007D0732">
      <w:pPr>
        <w:pStyle w:val="FootnoteText"/>
        <w:rPr>
          <w:sz w:val="24"/>
          <w:szCs w:val="24"/>
          <w:lang w:bidi="ar-EG"/>
        </w:rPr>
      </w:pPr>
      <w:r>
        <w:rPr>
          <w:rStyle w:val="FootnoteReference"/>
          <w:lang w:bidi="ar-EG"/>
        </w:rPr>
        <w:footnoteRef/>
      </w:r>
      <w:r w:rsidRPr="005D66C7">
        <w:rPr>
          <w:rtl/>
          <w:lang w:bidi="ar-EG"/>
        </w:rPr>
        <w:tab/>
        <w:t>لا تتجاوز منطقة الخدمة حدود الأراضي الوطنية للإدارة المعنية.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64E56">
      <w:tc>
        <w:tcPr>
          <w:tcW w:w="1701" w:type="dxa"/>
        </w:tcPr>
        <w:p w:rsidR="00F64E56" w:rsidRDefault="00F64E56"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F64E56" w:rsidRDefault="00F64E56" w:rsidP="00CC4250">
          <w:pPr>
            <w:pStyle w:val="Header"/>
            <w:spacing w:before="40" w:after="40" w:line="280" w:lineRule="exact"/>
            <w:jc w:val="left"/>
            <w:rPr>
              <w:sz w:val="21"/>
              <w:szCs w:val="28"/>
              <w:lang w:val="en-US" w:bidi="ar-EG"/>
            </w:rPr>
          </w:pPr>
          <w:r>
            <w:rPr>
              <w:sz w:val="21"/>
              <w:szCs w:val="28"/>
              <w:lang w:val="en-US" w:bidi="ar-EG"/>
            </w:rPr>
            <w:t>GE06</w:t>
          </w:r>
        </w:p>
      </w:tc>
      <w:tc>
        <w:tcPr>
          <w:tcW w:w="1701" w:type="dxa"/>
        </w:tcPr>
        <w:p w:rsidR="00F64E56" w:rsidRDefault="00F64E56"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734DDC">
            <w:rPr>
              <w:rStyle w:val="PageNumber"/>
              <w:noProof/>
              <w:sz w:val="21"/>
              <w:szCs w:val="21"/>
              <w:rtl/>
            </w:rPr>
            <w:t>2</w:t>
          </w:r>
          <w:r>
            <w:rPr>
              <w:rStyle w:val="PageNumber"/>
              <w:sz w:val="21"/>
              <w:szCs w:val="21"/>
            </w:rPr>
            <w:fldChar w:fldCharType="end"/>
          </w:r>
        </w:p>
      </w:tc>
      <w:tc>
        <w:tcPr>
          <w:tcW w:w="1701" w:type="dxa"/>
        </w:tcPr>
        <w:p w:rsidR="00F64E56" w:rsidRDefault="00F64E56" w:rsidP="00CC4250">
          <w:pPr>
            <w:pStyle w:val="Header"/>
            <w:spacing w:before="40" w:after="40" w:line="280" w:lineRule="exact"/>
            <w:jc w:val="left"/>
            <w:rPr>
              <w:sz w:val="21"/>
              <w:szCs w:val="28"/>
              <w:rtl/>
              <w:lang w:val="en-US" w:bidi="ar-EG"/>
            </w:rPr>
          </w:pPr>
          <w:r>
            <w:rPr>
              <w:rFonts w:hint="cs"/>
              <w:sz w:val="21"/>
              <w:szCs w:val="28"/>
              <w:rtl/>
            </w:rPr>
            <w:t xml:space="preserve">المراجعة </w:t>
          </w:r>
          <w:r>
            <w:rPr>
              <w:rFonts w:hint="cs"/>
              <w:sz w:val="21"/>
              <w:szCs w:val="28"/>
              <w:rtl/>
              <w:lang w:val="en-US"/>
            </w:rPr>
            <w:t>-</w:t>
          </w:r>
        </w:p>
      </w:tc>
    </w:tr>
  </w:tbl>
  <w:p w:rsidR="00F64E56" w:rsidRDefault="00F64E56">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64E56">
      <w:trPr>
        <w:jc w:val="right"/>
      </w:trPr>
      <w:tc>
        <w:tcPr>
          <w:tcW w:w="1701" w:type="dxa"/>
        </w:tcPr>
        <w:p w:rsidR="00F64E56" w:rsidRDefault="00F64E56"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F64E56" w:rsidRDefault="00F64E56"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rsidR="00F64E56" w:rsidRDefault="00F64E56"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734DDC">
            <w:rPr>
              <w:rStyle w:val="PageNumber"/>
              <w:noProof/>
              <w:sz w:val="21"/>
              <w:szCs w:val="21"/>
              <w:rtl/>
            </w:rPr>
            <w:t>1</w:t>
          </w:r>
          <w:r>
            <w:rPr>
              <w:rStyle w:val="PageNumber"/>
              <w:sz w:val="21"/>
              <w:szCs w:val="21"/>
            </w:rPr>
            <w:fldChar w:fldCharType="end"/>
          </w:r>
        </w:p>
      </w:tc>
      <w:tc>
        <w:tcPr>
          <w:tcW w:w="1701" w:type="dxa"/>
        </w:tcPr>
        <w:p w:rsidR="00F64E56" w:rsidRDefault="00F64E56" w:rsidP="00CC4250">
          <w:pPr>
            <w:pStyle w:val="Header"/>
            <w:spacing w:before="40" w:after="40" w:line="280" w:lineRule="exact"/>
            <w:jc w:val="left"/>
            <w:rPr>
              <w:sz w:val="21"/>
              <w:szCs w:val="28"/>
              <w:rtl/>
              <w:lang w:bidi="ar-EG"/>
            </w:rPr>
          </w:pPr>
          <w:r>
            <w:rPr>
              <w:rFonts w:hint="cs"/>
              <w:sz w:val="21"/>
              <w:szCs w:val="28"/>
              <w:rtl/>
            </w:rPr>
            <w:t>المراجعة -</w:t>
          </w:r>
        </w:p>
      </w:tc>
    </w:tr>
  </w:tbl>
  <w:p w:rsidR="00F64E56" w:rsidRDefault="00F64E56">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B14FFA">
      <w:tc>
        <w:tcPr>
          <w:tcW w:w="1701" w:type="dxa"/>
        </w:tcPr>
        <w:p w:rsidR="00B14FFA" w:rsidRDefault="00B14FFA"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B14FFA" w:rsidRDefault="00B14FFA" w:rsidP="00CC4250">
          <w:pPr>
            <w:pStyle w:val="Header"/>
            <w:spacing w:before="40" w:after="40" w:line="280" w:lineRule="exact"/>
            <w:jc w:val="left"/>
            <w:rPr>
              <w:sz w:val="21"/>
              <w:szCs w:val="28"/>
              <w:lang w:val="en-US" w:bidi="ar-EG"/>
            </w:rPr>
          </w:pPr>
          <w:r>
            <w:rPr>
              <w:sz w:val="21"/>
              <w:szCs w:val="28"/>
              <w:lang w:val="en-US" w:bidi="ar-EG"/>
            </w:rPr>
            <w:t>GE06</w:t>
          </w:r>
        </w:p>
      </w:tc>
      <w:tc>
        <w:tcPr>
          <w:tcW w:w="1701" w:type="dxa"/>
        </w:tcPr>
        <w:p w:rsidR="00B14FFA" w:rsidRDefault="00B14FFA" w:rsidP="00B14FFA">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t>7</w:t>
          </w:r>
          <w:r>
            <w:rPr>
              <w:rStyle w:val="PageNumber"/>
              <w:rFonts w:hint="cs"/>
              <w:sz w:val="21"/>
              <w:szCs w:val="21"/>
              <w:rtl/>
              <w:lang w:bidi="ar-EG"/>
            </w:rPr>
            <w:t xml:space="preserve"> </w:t>
          </w:r>
          <w:r w:rsidRPr="00B14FFA">
            <w:rPr>
              <w:rStyle w:val="PageNumber"/>
              <w:rFonts w:hint="cs"/>
              <w:i/>
              <w:iCs/>
              <w:sz w:val="28"/>
              <w:szCs w:val="28"/>
              <w:rtl/>
              <w:lang w:bidi="ar-EG"/>
            </w:rPr>
            <w:t>مكرراً</w:t>
          </w:r>
        </w:p>
      </w:tc>
      <w:tc>
        <w:tcPr>
          <w:tcW w:w="1701" w:type="dxa"/>
        </w:tcPr>
        <w:p w:rsidR="00B14FFA" w:rsidRDefault="00B14FFA" w:rsidP="00B14FFA">
          <w:pPr>
            <w:pStyle w:val="Header"/>
            <w:spacing w:before="40" w:after="40" w:line="280" w:lineRule="exact"/>
            <w:jc w:val="left"/>
            <w:rPr>
              <w:sz w:val="21"/>
              <w:szCs w:val="28"/>
              <w:rtl/>
              <w:lang w:val="en-US" w:bidi="ar-EG"/>
            </w:rPr>
          </w:pPr>
          <w:r>
            <w:rPr>
              <w:rFonts w:hint="cs"/>
              <w:sz w:val="21"/>
              <w:szCs w:val="28"/>
              <w:rtl/>
            </w:rPr>
            <w:t xml:space="preserve">المراجعة </w:t>
          </w:r>
          <w:r>
            <w:rPr>
              <w:sz w:val="21"/>
              <w:szCs w:val="28"/>
              <w:lang w:val="en-US"/>
            </w:rPr>
            <w:t>5</w:t>
          </w:r>
        </w:p>
      </w:tc>
    </w:tr>
  </w:tbl>
  <w:p w:rsidR="00B14FFA" w:rsidRDefault="00B14FFA">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B14FFA">
      <w:trPr>
        <w:jc w:val="right"/>
      </w:trPr>
      <w:tc>
        <w:tcPr>
          <w:tcW w:w="1701" w:type="dxa"/>
        </w:tcPr>
        <w:p w:rsidR="00B14FFA" w:rsidRDefault="00B14FFA"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B14FFA" w:rsidRDefault="00B14FFA"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rsidR="00B14FFA" w:rsidRDefault="00B14FFA"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734DDC">
            <w:rPr>
              <w:rStyle w:val="PageNumber"/>
              <w:noProof/>
              <w:sz w:val="21"/>
              <w:szCs w:val="21"/>
              <w:rtl/>
            </w:rPr>
            <w:t>7</w:t>
          </w:r>
          <w:r>
            <w:rPr>
              <w:rStyle w:val="PageNumber"/>
              <w:sz w:val="21"/>
              <w:szCs w:val="21"/>
            </w:rPr>
            <w:fldChar w:fldCharType="end"/>
          </w:r>
        </w:p>
      </w:tc>
      <w:tc>
        <w:tcPr>
          <w:tcW w:w="1701" w:type="dxa"/>
        </w:tcPr>
        <w:p w:rsidR="00B14FFA" w:rsidRDefault="00B14FFA" w:rsidP="00B14FFA">
          <w:pPr>
            <w:pStyle w:val="Header"/>
            <w:spacing w:before="40" w:after="40" w:line="280" w:lineRule="exact"/>
            <w:jc w:val="left"/>
            <w:rPr>
              <w:sz w:val="21"/>
              <w:szCs w:val="28"/>
              <w:rtl/>
              <w:lang w:bidi="ar-EG"/>
            </w:rPr>
          </w:pPr>
          <w:r>
            <w:rPr>
              <w:rFonts w:hint="cs"/>
              <w:sz w:val="21"/>
              <w:szCs w:val="28"/>
              <w:rtl/>
            </w:rPr>
            <w:t xml:space="preserve">المراجعة </w:t>
          </w:r>
          <w:r>
            <w:rPr>
              <w:sz w:val="21"/>
              <w:szCs w:val="28"/>
            </w:rPr>
            <w:t>5</w:t>
          </w:r>
        </w:p>
      </w:tc>
    </w:tr>
  </w:tbl>
  <w:p w:rsidR="00B14FFA" w:rsidRDefault="00B14FFA">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B14FFA">
      <w:tc>
        <w:tcPr>
          <w:tcW w:w="1701" w:type="dxa"/>
        </w:tcPr>
        <w:p w:rsidR="00B14FFA" w:rsidRDefault="00B14FFA"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B14FFA" w:rsidRDefault="00B14FFA" w:rsidP="00CC4250">
          <w:pPr>
            <w:pStyle w:val="Header"/>
            <w:spacing w:before="40" w:after="40" w:line="280" w:lineRule="exact"/>
            <w:jc w:val="left"/>
            <w:rPr>
              <w:sz w:val="21"/>
              <w:szCs w:val="28"/>
              <w:lang w:val="en-US" w:bidi="ar-EG"/>
            </w:rPr>
          </w:pPr>
          <w:r>
            <w:rPr>
              <w:sz w:val="21"/>
              <w:szCs w:val="28"/>
              <w:lang w:val="en-US" w:bidi="ar-EG"/>
            </w:rPr>
            <w:t>GE06</w:t>
          </w:r>
        </w:p>
      </w:tc>
      <w:tc>
        <w:tcPr>
          <w:tcW w:w="1701" w:type="dxa"/>
        </w:tcPr>
        <w:p w:rsidR="00B14FFA" w:rsidRDefault="00B14FFA"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734DDC">
            <w:rPr>
              <w:rStyle w:val="PageNumber"/>
              <w:noProof/>
              <w:sz w:val="21"/>
              <w:szCs w:val="21"/>
              <w:rtl/>
            </w:rPr>
            <w:t>8</w:t>
          </w:r>
          <w:r>
            <w:rPr>
              <w:rStyle w:val="PageNumber"/>
              <w:sz w:val="21"/>
              <w:szCs w:val="21"/>
            </w:rPr>
            <w:fldChar w:fldCharType="end"/>
          </w:r>
        </w:p>
      </w:tc>
      <w:tc>
        <w:tcPr>
          <w:tcW w:w="1701" w:type="dxa"/>
        </w:tcPr>
        <w:p w:rsidR="00B14FFA" w:rsidRDefault="00B14FFA" w:rsidP="00CC4250">
          <w:pPr>
            <w:pStyle w:val="Header"/>
            <w:spacing w:before="40" w:after="40" w:line="280" w:lineRule="exact"/>
            <w:jc w:val="left"/>
            <w:rPr>
              <w:sz w:val="21"/>
              <w:szCs w:val="28"/>
              <w:rtl/>
              <w:lang w:val="en-US" w:bidi="ar-EG"/>
            </w:rPr>
          </w:pPr>
          <w:r>
            <w:rPr>
              <w:rFonts w:hint="cs"/>
              <w:sz w:val="21"/>
              <w:szCs w:val="28"/>
              <w:rtl/>
            </w:rPr>
            <w:t xml:space="preserve">المراجعة </w:t>
          </w:r>
          <w:r>
            <w:rPr>
              <w:rFonts w:hint="cs"/>
              <w:sz w:val="21"/>
              <w:szCs w:val="28"/>
              <w:rtl/>
              <w:lang w:val="en-US"/>
            </w:rPr>
            <w:t>-</w:t>
          </w:r>
        </w:p>
      </w:tc>
    </w:tr>
  </w:tbl>
  <w:p w:rsidR="00B14FFA" w:rsidRDefault="00B14FFA">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B14FFA">
      <w:trPr>
        <w:jc w:val="right"/>
      </w:trPr>
      <w:tc>
        <w:tcPr>
          <w:tcW w:w="1701" w:type="dxa"/>
        </w:tcPr>
        <w:p w:rsidR="00B14FFA" w:rsidRDefault="00B14FFA"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B14FFA" w:rsidRDefault="00B14FFA"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rsidR="00B14FFA" w:rsidRDefault="00B14FFA"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734DDC">
            <w:rPr>
              <w:rStyle w:val="PageNumber"/>
              <w:noProof/>
              <w:sz w:val="21"/>
              <w:szCs w:val="21"/>
              <w:rtl/>
            </w:rPr>
            <w:t>9</w:t>
          </w:r>
          <w:r>
            <w:rPr>
              <w:rStyle w:val="PageNumber"/>
              <w:sz w:val="21"/>
              <w:szCs w:val="21"/>
            </w:rPr>
            <w:fldChar w:fldCharType="end"/>
          </w:r>
        </w:p>
      </w:tc>
      <w:tc>
        <w:tcPr>
          <w:tcW w:w="1701" w:type="dxa"/>
        </w:tcPr>
        <w:p w:rsidR="00B14FFA" w:rsidRDefault="00B14FFA" w:rsidP="00CC4250">
          <w:pPr>
            <w:pStyle w:val="Header"/>
            <w:spacing w:before="40" w:after="40" w:line="280" w:lineRule="exact"/>
            <w:jc w:val="left"/>
            <w:rPr>
              <w:sz w:val="21"/>
              <w:szCs w:val="28"/>
              <w:rtl/>
              <w:lang w:bidi="ar-EG"/>
            </w:rPr>
          </w:pPr>
          <w:r>
            <w:rPr>
              <w:rFonts w:hint="cs"/>
              <w:sz w:val="21"/>
              <w:szCs w:val="28"/>
              <w:rtl/>
            </w:rPr>
            <w:t>المراجعة -</w:t>
          </w:r>
        </w:p>
      </w:tc>
    </w:tr>
  </w:tbl>
  <w:p w:rsidR="00B14FFA" w:rsidRDefault="00B14FFA">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784"/>
    <w:rsid w:val="00024BC6"/>
    <w:rsid w:val="00056035"/>
    <w:rsid w:val="001139BA"/>
    <w:rsid w:val="001F344C"/>
    <w:rsid w:val="0020469E"/>
    <w:rsid w:val="00223DE2"/>
    <w:rsid w:val="00292287"/>
    <w:rsid w:val="002C5195"/>
    <w:rsid w:val="00307FE4"/>
    <w:rsid w:val="003101ED"/>
    <w:rsid w:val="00334784"/>
    <w:rsid w:val="003720B2"/>
    <w:rsid w:val="003B4DA4"/>
    <w:rsid w:val="003E40ED"/>
    <w:rsid w:val="00475233"/>
    <w:rsid w:val="00484407"/>
    <w:rsid w:val="00494257"/>
    <w:rsid w:val="005806E0"/>
    <w:rsid w:val="005B01CC"/>
    <w:rsid w:val="005D66C7"/>
    <w:rsid w:val="005F4801"/>
    <w:rsid w:val="00723E5F"/>
    <w:rsid w:val="00734DDC"/>
    <w:rsid w:val="00764F75"/>
    <w:rsid w:val="0077207B"/>
    <w:rsid w:val="00780392"/>
    <w:rsid w:val="007878A3"/>
    <w:rsid w:val="00793DCE"/>
    <w:rsid w:val="00793E41"/>
    <w:rsid w:val="00796E49"/>
    <w:rsid w:val="007B1D8E"/>
    <w:rsid w:val="007D0732"/>
    <w:rsid w:val="007E6810"/>
    <w:rsid w:val="008272C3"/>
    <w:rsid w:val="008841B1"/>
    <w:rsid w:val="008E511A"/>
    <w:rsid w:val="00900FD4"/>
    <w:rsid w:val="0090118B"/>
    <w:rsid w:val="00910A1D"/>
    <w:rsid w:val="00943943"/>
    <w:rsid w:val="009C6178"/>
    <w:rsid w:val="009D0715"/>
    <w:rsid w:val="00A156DC"/>
    <w:rsid w:val="00A20FE0"/>
    <w:rsid w:val="00A54132"/>
    <w:rsid w:val="00A74442"/>
    <w:rsid w:val="00A87DBE"/>
    <w:rsid w:val="00AC180E"/>
    <w:rsid w:val="00B14FFA"/>
    <w:rsid w:val="00C82D7F"/>
    <w:rsid w:val="00CC4250"/>
    <w:rsid w:val="00D672EC"/>
    <w:rsid w:val="00D7203A"/>
    <w:rsid w:val="00DC147B"/>
    <w:rsid w:val="00DC6A36"/>
    <w:rsid w:val="00E9550A"/>
    <w:rsid w:val="00EC2801"/>
    <w:rsid w:val="00F26613"/>
    <w:rsid w:val="00F51517"/>
    <w:rsid w:val="00F51F22"/>
    <w:rsid w:val="00F64E56"/>
    <w:rsid w:val="00F721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793E41"/>
    <w:rPr>
      <w:rFonts w:ascii="Times New Roman" w:hAnsi="Times New Roman" w:cs="Times New Roman"/>
      <w:position w:val="0"/>
      <w:sz w:val="22"/>
      <w:szCs w:val="22"/>
      <w:vertAlign w:val="superscript"/>
    </w:rPr>
  </w:style>
  <w:style w:type="paragraph" w:styleId="FootnoteText">
    <w:name w:val="footnote text"/>
    <w:aliases w:val="Footnote,Text"/>
    <w:basedOn w:val="Note"/>
    <w:semiHidden/>
    <w:rsid w:val="00A20FE0"/>
    <w:pPr>
      <w:keepLines/>
      <w:tabs>
        <w:tab w:val="left" w:pos="255"/>
      </w:tabs>
      <w:ind w:right="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Styleenumlev1After0cmBefore6pt">
    <w:name w:val="Style enumlev1 + After:  0 cm Before:  6 pt"/>
    <w:basedOn w:val="enumlev1"/>
    <w:rsid w:val="00056035"/>
    <w:pPr>
      <w:spacing w:before="120"/>
      <w:ind w:left="567" w:right="0" w:hanging="567"/>
    </w:pPr>
  </w:style>
  <w:style w:type="paragraph" w:customStyle="1" w:styleId="Styleenumlev2Before12pt">
    <w:name w:val="Style enumlev2 + Before:  12 pt"/>
    <w:basedOn w:val="enumlev2"/>
    <w:rsid w:val="001F344C"/>
    <w:pPr>
      <w:spacing w:before="240"/>
      <w:ind w:right="0"/>
    </w:pPr>
  </w:style>
  <w:style w:type="paragraph" w:customStyle="1" w:styleId="StyleHeading1ComplexBold">
    <w:name w:val="Style Heading 1 + (Complex) Bold"/>
    <w:basedOn w:val="Heading1"/>
    <w:rsid w:val="00E9550A"/>
    <w:pPr>
      <w:tabs>
        <w:tab w:val="clear" w:pos="794"/>
        <w:tab w:val="clear" w:pos="1191"/>
      </w:tabs>
      <w:ind w:left="1134" w:hanging="1134"/>
    </w:pPr>
    <w:rPr>
      <w:bCs/>
    </w:rPr>
  </w:style>
  <w:style w:type="table" w:styleId="TableGrid">
    <w:name w:val="Table Grid"/>
    <w:basedOn w:val="TableNormal"/>
    <w:rsid w:val="003B4DA4"/>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next w:val="Normal"/>
    <w:qFormat/>
    <w:rsid w:val="00B14FFA"/>
    <w:pPr>
      <w:keepNext/>
      <w:tabs>
        <w:tab w:val="clear" w:pos="794"/>
        <w:tab w:val="clear" w:pos="1191"/>
        <w:tab w:val="clear" w:pos="1588"/>
        <w:tab w:val="clear" w:pos="1985"/>
        <w:tab w:val="left" w:pos="851"/>
        <w:tab w:val="left" w:pos="1134"/>
      </w:tabs>
      <w:overflowPunct/>
      <w:autoSpaceDE/>
      <w:autoSpaceDN/>
      <w:adjustRightInd/>
      <w:spacing w:before="240"/>
      <w:textAlignment w:val="auto"/>
      <w:outlineLvl w:val="0"/>
    </w:pPr>
    <w:rPr>
      <w:rFonts w:ascii="Times New Roman Bold" w:hAnsi="Times New Roman Bold"/>
      <w:b/>
      <w:bCs/>
      <w:lang w:val="en-US"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793E41"/>
    <w:rPr>
      <w:rFonts w:ascii="Times New Roman" w:hAnsi="Times New Roman" w:cs="Times New Roman"/>
      <w:position w:val="0"/>
      <w:sz w:val="22"/>
      <w:szCs w:val="22"/>
      <w:vertAlign w:val="superscript"/>
    </w:rPr>
  </w:style>
  <w:style w:type="paragraph" w:styleId="FootnoteText">
    <w:name w:val="footnote text"/>
    <w:aliases w:val="Footnote,Text"/>
    <w:basedOn w:val="Note"/>
    <w:semiHidden/>
    <w:rsid w:val="00A20FE0"/>
    <w:pPr>
      <w:keepLines/>
      <w:tabs>
        <w:tab w:val="left" w:pos="255"/>
      </w:tabs>
      <w:ind w:right="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Styleenumlev1After0cmBefore6pt">
    <w:name w:val="Style enumlev1 + After:  0 cm Before:  6 pt"/>
    <w:basedOn w:val="enumlev1"/>
    <w:rsid w:val="00056035"/>
    <w:pPr>
      <w:spacing w:before="120"/>
      <w:ind w:left="567" w:right="0" w:hanging="567"/>
    </w:pPr>
  </w:style>
  <w:style w:type="paragraph" w:customStyle="1" w:styleId="Styleenumlev2Before12pt">
    <w:name w:val="Style enumlev2 + Before:  12 pt"/>
    <w:basedOn w:val="enumlev2"/>
    <w:rsid w:val="001F344C"/>
    <w:pPr>
      <w:spacing w:before="240"/>
      <w:ind w:right="0"/>
    </w:pPr>
  </w:style>
  <w:style w:type="paragraph" w:customStyle="1" w:styleId="StyleHeading1ComplexBold">
    <w:name w:val="Style Heading 1 + (Complex) Bold"/>
    <w:basedOn w:val="Heading1"/>
    <w:rsid w:val="00E9550A"/>
    <w:pPr>
      <w:tabs>
        <w:tab w:val="clear" w:pos="794"/>
        <w:tab w:val="clear" w:pos="1191"/>
      </w:tabs>
      <w:ind w:left="1134" w:hanging="1134"/>
    </w:pPr>
    <w:rPr>
      <w:bCs/>
    </w:rPr>
  </w:style>
  <w:style w:type="table" w:styleId="TableGrid">
    <w:name w:val="Table Grid"/>
    <w:basedOn w:val="TableNormal"/>
    <w:rsid w:val="003B4DA4"/>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next w:val="Normal"/>
    <w:qFormat/>
    <w:rsid w:val="00B14FFA"/>
    <w:pPr>
      <w:keepNext/>
      <w:tabs>
        <w:tab w:val="clear" w:pos="794"/>
        <w:tab w:val="clear" w:pos="1191"/>
        <w:tab w:val="clear" w:pos="1588"/>
        <w:tab w:val="clear" w:pos="1985"/>
        <w:tab w:val="left" w:pos="851"/>
        <w:tab w:val="left" w:pos="1134"/>
      </w:tabs>
      <w:overflowPunct/>
      <w:autoSpaceDE/>
      <w:autoSpaceDN/>
      <w:adjustRightInd/>
      <w:spacing w:before="240"/>
      <w:textAlignment w:val="auto"/>
      <w:outlineLvl w:val="0"/>
    </w:pPr>
    <w:rPr>
      <w:rFonts w:ascii="Times New Roman Bold" w:hAnsi="Times New Roman Bold"/>
      <w:b/>
      <w:bCs/>
      <w:lang w:val="en-US"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60</TotalTime>
  <Pages>12</Pages>
  <Words>3184</Words>
  <Characters>16111</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13</cp:revision>
  <cp:lastPrinted>2008-08-01T09:45:00Z</cp:lastPrinted>
  <dcterms:created xsi:type="dcterms:W3CDTF">2012-09-07T13:17:00Z</dcterms:created>
  <dcterms:modified xsi:type="dcterms:W3CDTF">2013-12-16T16:30:00Z</dcterms:modified>
</cp:coreProperties>
</file>