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D2902" w:rsidRDefault="00CD2902" w:rsidP="00FB096C">
      <w:pPr>
        <w:tabs>
          <w:tab w:val="clear" w:pos="794"/>
          <w:tab w:val="clear" w:pos="1191"/>
          <w:tab w:val="clear" w:pos="1588"/>
          <w:tab w:val="clear" w:pos="1985"/>
        </w:tabs>
        <w:spacing w:before="200"/>
        <w:jc w:val="center"/>
        <w:rPr>
          <w:b/>
          <w:bCs/>
          <w:sz w:val="28"/>
          <w:szCs w:val="40"/>
          <w:rtl/>
          <w:lang w:bidi="ar-EG"/>
        </w:rPr>
      </w:pPr>
      <w:r>
        <w:rPr>
          <w:rFonts w:hint="cs"/>
          <w:b/>
          <w:bCs/>
          <w:sz w:val="28"/>
          <w:szCs w:val="40"/>
          <w:rtl/>
          <w:lang w:bidi="ar-EG"/>
        </w:rPr>
        <w:t>القواعد المتعلقة</w:t>
      </w:r>
    </w:p>
    <w:p w:rsidR="00CD2902" w:rsidRDefault="00CD2902" w:rsidP="00FB096C">
      <w:pPr>
        <w:tabs>
          <w:tab w:val="clear" w:pos="794"/>
          <w:tab w:val="clear" w:pos="1191"/>
          <w:tab w:val="clear" w:pos="1588"/>
          <w:tab w:val="clear" w:pos="1985"/>
        </w:tabs>
        <w:spacing w:before="200"/>
        <w:jc w:val="center"/>
        <w:rPr>
          <w:b/>
          <w:bCs/>
          <w:sz w:val="28"/>
          <w:szCs w:val="40"/>
          <w:rtl/>
          <w:lang w:val="en-US" w:bidi="ar-EG"/>
        </w:rPr>
      </w:pPr>
      <w:r>
        <w:rPr>
          <w:rFonts w:hint="cs"/>
          <w:b/>
          <w:bCs/>
          <w:sz w:val="28"/>
          <w:szCs w:val="40"/>
          <w:rtl/>
          <w:lang w:bidi="ar-EG"/>
        </w:rPr>
        <w:t xml:space="preserve">بالمادة </w:t>
      </w:r>
      <w:r w:rsidR="006B42DC">
        <w:rPr>
          <w:b/>
          <w:bCs/>
          <w:sz w:val="28"/>
          <w:szCs w:val="40"/>
          <w:lang w:val="en-US" w:bidi="ar-EG"/>
        </w:rPr>
        <w:t>12</w:t>
      </w:r>
      <w:r>
        <w:rPr>
          <w:rFonts w:hint="cs"/>
          <w:b/>
          <w:bCs/>
          <w:sz w:val="28"/>
          <w:szCs w:val="40"/>
          <w:rtl/>
          <w:lang w:val="en-US" w:bidi="ar-EG"/>
        </w:rPr>
        <w:t xml:space="preserve"> من لوائح الراديو</w:t>
      </w:r>
    </w:p>
    <w:p w:rsidR="004036A6" w:rsidRPr="004036A6" w:rsidRDefault="004036A6" w:rsidP="00CA31BF">
      <w:pPr>
        <w:tabs>
          <w:tab w:val="clear" w:pos="794"/>
          <w:tab w:val="clear" w:pos="1191"/>
          <w:tab w:val="clear" w:pos="1588"/>
          <w:tab w:val="clear" w:pos="1985"/>
        </w:tabs>
        <w:spacing w:before="400"/>
        <w:rPr>
          <w:rtl/>
          <w:lang w:val="en-US"/>
        </w:rPr>
      </w:pPr>
    </w:p>
    <w:tbl>
      <w:tblPr>
        <w:tblStyle w:val="TableGrid"/>
        <w:bidiVisual/>
        <w:tblW w:w="0" w:type="auto"/>
        <w:tblInd w:w="108" w:type="dxa"/>
        <w:tblBorders>
          <w:top w:val="double" w:sz="6" w:space="0" w:color="auto"/>
          <w:left w:val="double" w:sz="6" w:space="0" w:color="auto"/>
          <w:bottom w:val="double" w:sz="6" w:space="0" w:color="auto"/>
          <w:right w:val="double" w:sz="6" w:space="0" w:color="auto"/>
          <w:insideH w:val="double" w:sz="6" w:space="0" w:color="auto"/>
          <w:insideV w:val="double" w:sz="6" w:space="0" w:color="auto"/>
        </w:tblBorders>
        <w:tblLook w:val="01E0" w:firstRow="1" w:lastRow="1" w:firstColumn="1" w:lastColumn="1" w:noHBand="0" w:noVBand="0"/>
      </w:tblPr>
      <w:tblGrid>
        <w:gridCol w:w="1275"/>
      </w:tblGrid>
      <w:tr w:rsidR="004036A6">
        <w:tc>
          <w:tcPr>
            <w:tcW w:w="1275" w:type="dxa"/>
          </w:tcPr>
          <w:p w:rsidR="004036A6" w:rsidRPr="00EC59CD" w:rsidRDefault="004F5DCD" w:rsidP="004036A6">
            <w:pPr>
              <w:tabs>
                <w:tab w:val="clear" w:pos="794"/>
                <w:tab w:val="clear" w:pos="1191"/>
                <w:tab w:val="clear" w:pos="1588"/>
                <w:tab w:val="clear" w:pos="1985"/>
              </w:tabs>
              <w:spacing w:before="0" w:after="40" w:line="280" w:lineRule="exact"/>
              <w:rPr>
                <w:b/>
                <w:bCs/>
                <w:rtl/>
                <w:lang w:val="en-US" w:bidi="ar-EG"/>
              </w:rPr>
            </w:pPr>
            <w:r>
              <w:rPr>
                <w:b/>
                <w:bCs/>
                <w:lang w:val="en-US" w:bidi="ar-EG"/>
              </w:rPr>
              <w:t>9</w:t>
            </w:r>
            <w:r w:rsidR="004036A6" w:rsidRPr="00EC59CD">
              <w:rPr>
                <w:b/>
                <w:bCs/>
                <w:lang w:val="en-US" w:bidi="ar-EG"/>
              </w:rPr>
              <w:t>.</w:t>
            </w:r>
            <w:r>
              <w:rPr>
                <w:b/>
                <w:bCs/>
                <w:lang w:val="en-US" w:bidi="ar-EG"/>
              </w:rPr>
              <w:t>12</w:t>
            </w:r>
          </w:p>
        </w:tc>
      </w:tr>
    </w:tbl>
    <w:p w:rsidR="00BF3BC8" w:rsidRPr="00FB096C" w:rsidRDefault="004F5DCD" w:rsidP="006B42DC">
      <w:pPr>
        <w:tabs>
          <w:tab w:val="clear" w:pos="794"/>
          <w:tab w:val="clear" w:pos="1191"/>
          <w:tab w:val="clear" w:pos="1588"/>
          <w:tab w:val="clear" w:pos="1985"/>
        </w:tabs>
        <w:spacing w:before="400"/>
        <w:rPr>
          <w:rFonts w:ascii="Times New Roman Bold" w:hAnsi="Times New Roman Bold"/>
          <w:b/>
          <w:bCs/>
          <w:sz w:val="24"/>
          <w:szCs w:val="32"/>
          <w:rtl/>
          <w:lang w:val="en-US"/>
        </w:rPr>
      </w:pPr>
      <w:r w:rsidRPr="00FB096C">
        <w:rPr>
          <w:rFonts w:ascii="Times New Roman Bold" w:hAnsi="Times New Roman Bold" w:hint="cs"/>
          <w:b/>
          <w:bCs/>
          <w:sz w:val="24"/>
          <w:szCs w:val="32"/>
          <w:rtl/>
          <w:lang w:val="en-US"/>
        </w:rPr>
        <w:t>التحليل التقني</w:t>
      </w:r>
    </w:p>
    <w:p w:rsidR="004F5DCD" w:rsidRDefault="004F5DCD" w:rsidP="004F5DCD">
      <w:pPr>
        <w:tabs>
          <w:tab w:val="clear" w:pos="794"/>
          <w:tab w:val="clear" w:pos="1191"/>
          <w:tab w:val="clear" w:pos="1588"/>
          <w:tab w:val="clear" w:pos="1985"/>
        </w:tabs>
        <w:spacing w:before="400"/>
        <w:rPr>
          <w:rtl/>
          <w:lang w:val="en-US"/>
        </w:rPr>
      </w:pPr>
      <w:r>
        <w:rPr>
          <w:rFonts w:hint="cs"/>
          <w:rtl/>
          <w:lang w:val="en-US"/>
        </w:rPr>
        <w:t>يتكون التحليل التقني من حساب الانتشار وتحليل التوافق. وبالنسبة للوحدتين النمطيتين كلتيهما</w:t>
      </w:r>
      <w:r w:rsidR="00A72A66">
        <w:rPr>
          <w:rFonts w:hint="cs"/>
          <w:rtl/>
          <w:lang w:val="en-US"/>
        </w:rPr>
        <w:t>،</w:t>
      </w:r>
      <w:r>
        <w:rPr>
          <w:rFonts w:hint="cs"/>
          <w:rtl/>
          <w:lang w:val="en-US"/>
        </w:rPr>
        <w:t xml:space="preserve"> تحسب مخططات الهوائي وفقاً للتوصية الحالية </w:t>
      </w:r>
      <w:r>
        <w:rPr>
          <w:lang w:val="en-US"/>
        </w:rPr>
        <w:t>ITU-R BS.705</w:t>
      </w:r>
      <w:r>
        <w:rPr>
          <w:rFonts w:hint="cs"/>
          <w:rtl/>
          <w:lang w:val="en-US"/>
        </w:rPr>
        <w:t xml:space="preserve">، ويحسب الانتشار وفقاً للتوصية </w:t>
      </w:r>
      <w:r>
        <w:rPr>
          <w:lang w:val="en-US"/>
        </w:rPr>
        <w:t>ITU-R P.533</w:t>
      </w:r>
      <w:r>
        <w:rPr>
          <w:rFonts w:hint="cs"/>
          <w:rtl/>
          <w:lang w:val="en-US"/>
        </w:rPr>
        <w:t xml:space="preserve">، وتحسب الاعتمادية وفقاً للتوصية </w:t>
      </w:r>
      <w:r>
        <w:rPr>
          <w:lang w:val="en-US"/>
        </w:rPr>
        <w:t>ITU-R P.842</w:t>
      </w:r>
      <w:r>
        <w:rPr>
          <w:rFonts w:hint="cs"/>
          <w:rtl/>
          <w:lang w:val="en-US"/>
        </w:rPr>
        <w:t>. وعند إدخال أي تعديل على أي من هذه التوصيات، سوف يخطر المكتب جميع الإدارات بذلك التعديل عند تنفيذه.</w:t>
      </w:r>
    </w:p>
    <w:p w:rsidR="004F5DCD" w:rsidRDefault="004F5DCD" w:rsidP="004F5DCD">
      <w:pPr>
        <w:tabs>
          <w:tab w:val="clear" w:pos="794"/>
          <w:tab w:val="clear" w:pos="1191"/>
          <w:tab w:val="clear" w:pos="1588"/>
          <w:tab w:val="clear" w:pos="1985"/>
        </w:tabs>
        <w:spacing w:before="400"/>
        <w:rPr>
          <w:rtl/>
          <w:lang w:val="en-US"/>
        </w:rPr>
      </w:pPr>
      <w:r>
        <w:rPr>
          <w:rFonts w:hint="cs"/>
          <w:rtl/>
          <w:lang w:val="en-US"/>
        </w:rPr>
        <w:t>و</w:t>
      </w:r>
      <w:r w:rsidR="000F7457">
        <w:rPr>
          <w:rFonts w:hint="cs"/>
          <w:rtl/>
          <w:lang w:val="en-US"/>
        </w:rPr>
        <w:t>نقاط القياس</w:t>
      </w:r>
      <w:r>
        <w:rPr>
          <w:rFonts w:hint="cs"/>
          <w:rtl/>
          <w:lang w:val="en-US"/>
        </w:rPr>
        <w:t xml:space="preserve"> المشار إليها في تحليل الانتشار والتوافق هي النقاط التي اتفق عليها في المؤتمر </w:t>
      </w:r>
      <w:r>
        <w:rPr>
          <w:lang w:val="en-US"/>
        </w:rPr>
        <w:t>WARC HFBC-87</w:t>
      </w:r>
      <w:r>
        <w:rPr>
          <w:rFonts w:hint="cs"/>
          <w:rtl/>
          <w:lang w:val="en-US"/>
        </w:rPr>
        <w:t>.</w:t>
      </w:r>
    </w:p>
    <w:p w:rsidR="004F5DCD" w:rsidRDefault="004F5DCD" w:rsidP="004F5DCD">
      <w:pPr>
        <w:tabs>
          <w:tab w:val="clear" w:pos="794"/>
          <w:tab w:val="clear" w:pos="1191"/>
          <w:tab w:val="clear" w:pos="1588"/>
          <w:tab w:val="clear" w:pos="1985"/>
        </w:tabs>
        <w:spacing w:before="400"/>
        <w:rPr>
          <w:rtl/>
          <w:lang w:val="en-US"/>
        </w:rPr>
      </w:pPr>
      <w:r>
        <w:rPr>
          <w:rFonts w:hint="cs"/>
          <w:rtl/>
          <w:lang w:val="en-US"/>
        </w:rPr>
        <w:t xml:space="preserve">ويجري </w:t>
      </w:r>
      <w:r w:rsidRPr="00A72A66">
        <w:rPr>
          <w:rFonts w:hint="cs"/>
          <w:b/>
          <w:bCs/>
          <w:rtl/>
          <w:lang w:val="en-US"/>
        </w:rPr>
        <w:t>حساب الانتشار</w:t>
      </w:r>
      <w:r>
        <w:rPr>
          <w:rFonts w:hint="cs"/>
          <w:rtl/>
          <w:lang w:val="en-US"/>
        </w:rPr>
        <w:t xml:space="preserve"> لجميع النطاقات التي تنطبق عليها المادة </w:t>
      </w:r>
      <w:r w:rsidRPr="00E12D06">
        <w:rPr>
          <w:b/>
          <w:bCs/>
          <w:lang w:val="en-US"/>
        </w:rPr>
        <w:t>12</w:t>
      </w:r>
      <w:r w:rsidR="00A72A66">
        <w:rPr>
          <w:rFonts w:hint="cs"/>
          <w:rtl/>
          <w:lang w:val="en-US"/>
        </w:rPr>
        <w:t>،</w:t>
      </w:r>
      <w:r>
        <w:rPr>
          <w:rFonts w:hint="cs"/>
          <w:rtl/>
          <w:lang w:val="en-US"/>
        </w:rPr>
        <w:t xml:space="preserve"> </w:t>
      </w:r>
      <w:r w:rsidR="00E12D06">
        <w:rPr>
          <w:rFonts w:hint="cs"/>
          <w:rtl/>
          <w:lang w:val="en-US"/>
        </w:rPr>
        <w:t>و</w:t>
      </w:r>
      <w:r>
        <w:rPr>
          <w:rFonts w:hint="cs"/>
          <w:rtl/>
          <w:lang w:val="en-US"/>
        </w:rPr>
        <w:t xml:space="preserve">عند جميع </w:t>
      </w:r>
      <w:r w:rsidR="000F7457">
        <w:rPr>
          <w:rFonts w:hint="cs"/>
          <w:rtl/>
          <w:lang w:val="en-US"/>
        </w:rPr>
        <w:t>نقاط القياس</w:t>
      </w:r>
      <w:r>
        <w:rPr>
          <w:rFonts w:hint="cs"/>
          <w:rtl/>
          <w:lang w:val="en-US"/>
        </w:rPr>
        <w:t xml:space="preserve"> الواقعة ضمن منطقة الخدمة المطلوبة. وتتم هذه الحسابات عند التردد المركزي لنطاق الخدمة الإذاعية المعني. وتجرى عملية حسابية واحدة لكل ساعة تستعمل استعمالاً كاملاً أو جزئياً وتتم هذه العملية الحسابية في أي ساعة </w:t>
      </w:r>
      <w:r>
        <w:rPr>
          <w:lang w:val="en-US"/>
        </w:rPr>
        <w:t>30+</w:t>
      </w:r>
      <w:r>
        <w:rPr>
          <w:rFonts w:hint="cs"/>
          <w:rtl/>
          <w:lang w:val="en-US"/>
        </w:rPr>
        <w:t xml:space="preserve"> دقيقة. فمثلاً، يسفر زمن تشغيل ممتد من الساعة</w:t>
      </w:r>
      <w:r w:rsidR="00F9320A">
        <w:rPr>
          <w:rFonts w:hint="cs"/>
          <w:rtl/>
          <w:lang w:val="en-US" w:bidi="ar-EG"/>
        </w:rPr>
        <w:t xml:space="preserve"> </w:t>
      </w:r>
      <w:bookmarkStart w:id="0" w:name="_GoBack"/>
      <w:bookmarkEnd w:id="0"/>
      <w:r>
        <w:rPr>
          <w:lang w:val="en-US"/>
        </w:rPr>
        <w:t>0215</w:t>
      </w:r>
      <w:r>
        <w:rPr>
          <w:rFonts w:hint="cs"/>
          <w:rtl/>
          <w:lang w:val="en-US"/>
        </w:rPr>
        <w:t xml:space="preserve"> إلى الساعة </w:t>
      </w:r>
      <w:r>
        <w:rPr>
          <w:lang w:val="en-US"/>
        </w:rPr>
        <w:t>0405</w:t>
      </w:r>
      <w:r>
        <w:rPr>
          <w:rFonts w:hint="cs"/>
          <w:rtl/>
          <w:lang w:val="en-US"/>
        </w:rPr>
        <w:t xml:space="preserve"> عن إجراء حسابات عند الساعات </w:t>
      </w:r>
      <w:r>
        <w:rPr>
          <w:lang w:val="en-US"/>
        </w:rPr>
        <w:t>0230</w:t>
      </w:r>
      <w:r>
        <w:rPr>
          <w:rFonts w:hint="cs"/>
          <w:rtl/>
          <w:lang w:val="en-US"/>
        </w:rPr>
        <w:t xml:space="preserve"> و</w:t>
      </w:r>
      <w:r>
        <w:rPr>
          <w:lang w:val="en-US"/>
        </w:rPr>
        <w:t>0330</w:t>
      </w:r>
      <w:r>
        <w:rPr>
          <w:rFonts w:hint="cs"/>
          <w:rtl/>
          <w:lang w:val="en-US"/>
        </w:rPr>
        <w:t xml:space="preserve"> و</w:t>
      </w:r>
      <w:r>
        <w:rPr>
          <w:lang w:val="en-US"/>
        </w:rPr>
        <w:t>0430</w:t>
      </w:r>
      <w:r>
        <w:rPr>
          <w:rFonts w:hint="cs"/>
          <w:rtl/>
          <w:lang w:val="en-US"/>
        </w:rPr>
        <w:t>.</w:t>
      </w:r>
    </w:p>
    <w:p w:rsidR="004F5DCD" w:rsidRDefault="004F5DCD" w:rsidP="004F5DCD">
      <w:pPr>
        <w:tabs>
          <w:tab w:val="clear" w:pos="794"/>
          <w:tab w:val="clear" w:pos="1191"/>
          <w:tab w:val="clear" w:pos="1588"/>
          <w:tab w:val="clear" w:pos="1985"/>
        </w:tabs>
        <w:spacing w:before="400"/>
        <w:rPr>
          <w:rtl/>
          <w:lang w:val="en-US"/>
        </w:rPr>
      </w:pPr>
      <w:r>
        <w:rPr>
          <w:rFonts w:hint="cs"/>
          <w:rtl/>
          <w:lang w:val="en-US"/>
        </w:rPr>
        <w:t>وتعطى النتائج عن كل ساعة من حيث:</w:t>
      </w:r>
    </w:p>
    <w:p w:rsidR="004F5DCD" w:rsidRDefault="004F5DCD" w:rsidP="00FA797F">
      <w:pPr>
        <w:pStyle w:val="enumlev1"/>
        <w:rPr>
          <w:rtl/>
          <w:lang w:val="en-US"/>
        </w:rPr>
      </w:pPr>
      <w:r>
        <w:rPr>
          <w:rFonts w:hint="cs"/>
          <w:rtl/>
          <w:lang w:val="en-US"/>
        </w:rPr>
        <w:t>-</w:t>
      </w:r>
      <w:r>
        <w:rPr>
          <w:rFonts w:hint="cs"/>
          <w:rtl/>
          <w:lang w:val="en-US"/>
        </w:rPr>
        <w:tab/>
      </w:r>
      <w:r w:rsidR="007F2AF1">
        <w:rPr>
          <w:rFonts w:hint="cs"/>
          <w:rtl/>
          <w:lang w:val="en-US"/>
        </w:rPr>
        <w:t>الاعتمادية الأساسية للخدمة في منطقة الخدمة المطلوبة؛</w:t>
      </w:r>
    </w:p>
    <w:p w:rsidR="007F2AF1" w:rsidRDefault="007F2AF1" w:rsidP="00FA797F">
      <w:pPr>
        <w:pStyle w:val="enumlev1"/>
        <w:rPr>
          <w:rtl/>
          <w:lang w:val="en-US"/>
        </w:rPr>
      </w:pPr>
      <w:r>
        <w:rPr>
          <w:rFonts w:hint="cs"/>
          <w:rtl/>
          <w:lang w:val="en-US"/>
        </w:rPr>
        <w:t>-</w:t>
      </w:r>
      <w:r>
        <w:rPr>
          <w:rFonts w:hint="cs"/>
          <w:rtl/>
          <w:lang w:val="en-US"/>
        </w:rPr>
        <w:tab/>
        <w:t xml:space="preserve">أو الاعتمادية الأساسية </w:t>
      </w:r>
      <w:r w:rsidR="00A72A66">
        <w:rPr>
          <w:rFonts w:hint="cs"/>
          <w:rtl/>
          <w:lang w:val="en-US"/>
        </w:rPr>
        <w:t xml:space="preserve">للدارة </w:t>
      </w:r>
      <w:r>
        <w:rPr>
          <w:rFonts w:hint="cs"/>
          <w:rtl/>
          <w:lang w:val="en-US"/>
        </w:rPr>
        <w:t xml:space="preserve">لكل </w:t>
      </w:r>
      <w:r w:rsidR="000F7457">
        <w:rPr>
          <w:rFonts w:hint="cs"/>
          <w:rtl/>
          <w:lang w:val="en-US"/>
        </w:rPr>
        <w:t>نقطة قياس</w:t>
      </w:r>
      <w:r>
        <w:rPr>
          <w:rFonts w:hint="cs"/>
          <w:rtl/>
          <w:lang w:val="en-US"/>
        </w:rPr>
        <w:t xml:space="preserve"> تقع ضمن منطقة الخدمة المطلوبة؛</w:t>
      </w:r>
    </w:p>
    <w:p w:rsidR="007F2AF1" w:rsidRDefault="007F2AF1" w:rsidP="00FA797F">
      <w:pPr>
        <w:pStyle w:val="enumlev1"/>
        <w:rPr>
          <w:rtl/>
          <w:lang w:val="en-US"/>
        </w:rPr>
      </w:pPr>
      <w:r>
        <w:rPr>
          <w:rFonts w:hint="cs"/>
          <w:rtl/>
          <w:lang w:val="en-US"/>
        </w:rPr>
        <w:t>-</w:t>
      </w:r>
      <w:r>
        <w:rPr>
          <w:rFonts w:hint="cs"/>
          <w:rtl/>
          <w:lang w:val="en-US"/>
        </w:rPr>
        <w:tab/>
        <w:t xml:space="preserve">أو القدرة عند المستقبل لكل </w:t>
      </w:r>
      <w:r w:rsidR="000F7457">
        <w:rPr>
          <w:rFonts w:hint="cs"/>
          <w:rtl/>
          <w:lang w:val="en-US"/>
        </w:rPr>
        <w:t>نقطة قياس</w:t>
      </w:r>
      <w:r>
        <w:rPr>
          <w:rFonts w:hint="cs"/>
          <w:rtl/>
          <w:lang w:val="en-US"/>
        </w:rPr>
        <w:t xml:space="preserve"> تقع ضمن منطقة الخدمة المطلوبة؛</w:t>
      </w:r>
    </w:p>
    <w:p w:rsidR="007F2AF1" w:rsidRDefault="007F2AF1" w:rsidP="00FA797F">
      <w:pPr>
        <w:pStyle w:val="enumlev1"/>
        <w:rPr>
          <w:rtl/>
          <w:lang w:val="en-US"/>
        </w:rPr>
      </w:pPr>
      <w:r>
        <w:rPr>
          <w:rFonts w:hint="cs"/>
          <w:rtl/>
          <w:lang w:val="en-US"/>
        </w:rPr>
        <w:t>-</w:t>
      </w:r>
      <w:r>
        <w:rPr>
          <w:rFonts w:hint="cs"/>
          <w:rtl/>
          <w:lang w:val="en-US"/>
        </w:rPr>
        <w:tab/>
        <w:t>أو شدة المجال التي يستقبلها هوائي الاستقبال المرجعي.</w:t>
      </w:r>
    </w:p>
    <w:p w:rsidR="007F2AF1" w:rsidRDefault="007F2AF1" w:rsidP="004F5DCD">
      <w:pPr>
        <w:tabs>
          <w:tab w:val="clear" w:pos="794"/>
          <w:tab w:val="clear" w:pos="1191"/>
          <w:tab w:val="clear" w:pos="1588"/>
          <w:tab w:val="clear" w:pos="1985"/>
        </w:tabs>
        <w:spacing w:before="400"/>
        <w:rPr>
          <w:rtl/>
          <w:lang w:val="en-US"/>
        </w:rPr>
      </w:pPr>
      <w:r>
        <w:rPr>
          <w:rFonts w:hint="cs"/>
          <w:rtl/>
          <w:lang w:val="en-US"/>
        </w:rPr>
        <w:t xml:space="preserve">ويجري </w:t>
      </w:r>
      <w:r>
        <w:rPr>
          <w:rFonts w:hint="cs"/>
          <w:b/>
          <w:bCs/>
          <w:rtl/>
          <w:lang w:val="en-US"/>
        </w:rPr>
        <w:t>تحليل التوافق</w:t>
      </w:r>
      <w:r>
        <w:rPr>
          <w:rFonts w:hint="cs"/>
          <w:rtl/>
          <w:lang w:val="en-US"/>
        </w:rPr>
        <w:t xml:space="preserve"> عند جميع </w:t>
      </w:r>
      <w:r w:rsidR="000F7457">
        <w:rPr>
          <w:rFonts w:hint="cs"/>
          <w:rtl/>
          <w:lang w:val="en-US"/>
        </w:rPr>
        <w:t>نقاط القياس</w:t>
      </w:r>
      <w:r>
        <w:rPr>
          <w:rFonts w:hint="cs"/>
          <w:rtl/>
          <w:lang w:val="en-US"/>
        </w:rPr>
        <w:t xml:space="preserve"> الواقعة ضمن منطقة الخدمة المطلوبة. وقد يجري التحليل على أساس قيم محسوبة مسبقاً للقدرة التي يتم استقبالها عند </w:t>
      </w:r>
      <w:r w:rsidR="000F7457">
        <w:rPr>
          <w:rFonts w:hint="cs"/>
          <w:rtl/>
          <w:lang w:val="en-US"/>
        </w:rPr>
        <w:t>نقاط القياس</w:t>
      </w:r>
      <w:r>
        <w:rPr>
          <w:rFonts w:hint="cs"/>
          <w:rtl/>
          <w:lang w:val="en-US"/>
        </w:rPr>
        <w:t xml:space="preserve"> البالغ عددها </w:t>
      </w:r>
      <w:r>
        <w:rPr>
          <w:lang w:val="en-US"/>
        </w:rPr>
        <w:t>911</w:t>
      </w:r>
      <w:r>
        <w:rPr>
          <w:rFonts w:hint="cs"/>
          <w:rtl/>
          <w:lang w:val="en-US"/>
        </w:rPr>
        <w:t xml:space="preserve"> نقطة، أو على أساس قيم تحسب باستخدام حاسوب المستعمل. وتحدد الساعات التي تجرى الحسابات لها بنفس الطريقة المستعملة في حساب الانتشار.</w:t>
      </w:r>
    </w:p>
    <w:p w:rsidR="007F2AF1" w:rsidRDefault="007F2AF1" w:rsidP="00E12D06">
      <w:pPr>
        <w:tabs>
          <w:tab w:val="clear" w:pos="794"/>
          <w:tab w:val="clear" w:pos="1191"/>
          <w:tab w:val="clear" w:pos="1588"/>
          <w:tab w:val="clear" w:pos="1985"/>
        </w:tabs>
        <w:spacing w:before="400"/>
        <w:rPr>
          <w:rtl/>
          <w:lang w:val="en-US"/>
        </w:rPr>
      </w:pPr>
      <w:r>
        <w:rPr>
          <w:rFonts w:hint="cs"/>
          <w:rtl/>
          <w:lang w:val="en-US"/>
        </w:rPr>
        <w:t xml:space="preserve">ويبين تحليل التوافق </w:t>
      </w:r>
      <w:r w:rsidR="00E12D06">
        <w:rPr>
          <w:rFonts w:hint="cs"/>
          <w:rtl/>
          <w:lang w:val="en-US"/>
        </w:rPr>
        <w:t>الاعتمادية</w:t>
      </w:r>
      <w:r>
        <w:rPr>
          <w:rFonts w:hint="cs"/>
          <w:rtl/>
          <w:lang w:val="en-US"/>
        </w:rPr>
        <w:t xml:space="preserve"> الإجمالي</w:t>
      </w:r>
      <w:r w:rsidR="00E12D06">
        <w:rPr>
          <w:rFonts w:hint="cs"/>
          <w:rtl/>
          <w:lang w:val="en-US"/>
        </w:rPr>
        <w:t>ة</w:t>
      </w:r>
      <w:r>
        <w:rPr>
          <w:rFonts w:hint="cs"/>
          <w:rtl/>
          <w:lang w:val="en-US"/>
        </w:rPr>
        <w:t xml:space="preserve"> للخدمة بالنسبة لجميع </w:t>
      </w:r>
      <w:r w:rsidR="000F7457">
        <w:rPr>
          <w:rFonts w:hint="cs"/>
          <w:rtl/>
          <w:lang w:val="en-US"/>
        </w:rPr>
        <w:t>نقاط القياس</w:t>
      </w:r>
      <w:r>
        <w:rPr>
          <w:rFonts w:hint="cs"/>
          <w:rtl/>
          <w:lang w:val="en-US"/>
        </w:rPr>
        <w:t xml:space="preserve"> الواقعة ضمن منطقة الخدمة المطلوبة </w:t>
      </w:r>
      <w:r w:rsidR="00FA797F">
        <w:rPr>
          <w:rtl/>
          <w:lang w:val="en-US"/>
        </w:rPr>
        <w:br/>
      </w:r>
      <w:r>
        <w:rPr>
          <w:rFonts w:hint="cs"/>
          <w:rtl/>
          <w:lang w:val="en-US"/>
        </w:rPr>
        <w:t xml:space="preserve">كما </w:t>
      </w:r>
      <w:r w:rsidR="00A72A66">
        <w:rPr>
          <w:rFonts w:hint="cs"/>
          <w:rtl/>
          <w:lang w:val="en-US"/>
        </w:rPr>
        <w:t>ي</w:t>
      </w:r>
      <w:r>
        <w:rPr>
          <w:rFonts w:hint="cs"/>
          <w:rtl/>
          <w:lang w:val="en-US"/>
        </w:rPr>
        <w:t xml:space="preserve">بين </w:t>
      </w:r>
      <w:r w:rsidR="00E12D06">
        <w:rPr>
          <w:rFonts w:hint="cs"/>
          <w:rtl/>
          <w:lang w:val="en-US"/>
        </w:rPr>
        <w:t>الاعتمادية</w:t>
      </w:r>
      <w:r>
        <w:rPr>
          <w:rFonts w:hint="cs"/>
          <w:rtl/>
          <w:lang w:val="en-US"/>
        </w:rPr>
        <w:t xml:space="preserve"> الإجمالي</w:t>
      </w:r>
      <w:r w:rsidR="00E12D06">
        <w:rPr>
          <w:rFonts w:hint="cs"/>
          <w:rtl/>
          <w:lang w:val="en-US"/>
        </w:rPr>
        <w:t>ة</w:t>
      </w:r>
      <w:r>
        <w:rPr>
          <w:rFonts w:hint="cs"/>
          <w:rtl/>
          <w:lang w:val="en-US"/>
        </w:rPr>
        <w:t xml:space="preserve"> للمنطقة </w:t>
      </w:r>
      <w:r w:rsidR="00E12D06">
        <w:rPr>
          <w:rFonts w:hint="cs"/>
          <w:rtl/>
          <w:lang w:val="en-US"/>
        </w:rPr>
        <w:t xml:space="preserve">بالنسبة </w:t>
      </w:r>
      <w:r>
        <w:rPr>
          <w:rFonts w:hint="cs"/>
          <w:rtl/>
          <w:lang w:val="en-US"/>
        </w:rPr>
        <w:t>ل</w:t>
      </w:r>
      <w:r w:rsidR="000F7457">
        <w:rPr>
          <w:rFonts w:hint="cs"/>
          <w:rtl/>
          <w:lang w:val="en-US"/>
        </w:rPr>
        <w:t>نقاط القياس</w:t>
      </w:r>
      <w:r>
        <w:rPr>
          <w:rFonts w:hint="cs"/>
          <w:rtl/>
          <w:lang w:val="en-US"/>
        </w:rPr>
        <w:t xml:space="preserve"> المشار إليها. ويبين أيضاً أهم مصادر التداخل عند كل </w:t>
      </w:r>
      <w:r w:rsidR="000F7457">
        <w:rPr>
          <w:rFonts w:hint="cs"/>
          <w:rtl/>
          <w:lang w:val="en-US"/>
        </w:rPr>
        <w:t>نقطة قياس</w:t>
      </w:r>
      <w:r>
        <w:rPr>
          <w:rFonts w:hint="cs"/>
          <w:rtl/>
          <w:lang w:val="en-US"/>
        </w:rPr>
        <w:t>.</w:t>
      </w:r>
    </w:p>
    <w:p w:rsidR="007F2AF1" w:rsidRDefault="00FA797F" w:rsidP="007E5BEA">
      <w:pPr>
        <w:tabs>
          <w:tab w:val="clear" w:pos="794"/>
          <w:tab w:val="clear" w:pos="1191"/>
          <w:tab w:val="clear" w:pos="1588"/>
          <w:tab w:val="clear" w:pos="1985"/>
        </w:tabs>
        <w:rPr>
          <w:rtl/>
          <w:lang w:val="en-US"/>
        </w:rPr>
      </w:pPr>
      <w:r>
        <w:rPr>
          <w:rtl/>
          <w:lang w:val="en-US"/>
        </w:rPr>
        <w:br w:type="page"/>
      </w:r>
      <w:r w:rsidR="007F2AF1">
        <w:rPr>
          <w:rFonts w:hint="cs"/>
          <w:rtl/>
          <w:lang w:val="en-US"/>
        </w:rPr>
        <w:lastRenderedPageBreak/>
        <w:t xml:space="preserve">وتتعلق قيمة </w:t>
      </w:r>
      <w:r w:rsidR="00A72A66">
        <w:rPr>
          <w:rFonts w:hint="cs"/>
          <w:rtl/>
          <w:lang w:val="en-US"/>
        </w:rPr>
        <w:t>الاعتمادية</w:t>
      </w:r>
      <w:r w:rsidR="007F2AF1">
        <w:rPr>
          <w:rFonts w:hint="cs"/>
          <w:rtl/>
          <w:lang w:val="en-US"/>
        </w:rPr>
        <w:t xml:space="preserve"> في هذه الحسابات باستعمال تردد وحيد. وفيما يتعلق بالبث</w:t>
      </w:r>
      <w:r w:rsidR="00A72A66">
        <w:rPr>
          <w:rFonts w:hint="cs"/>
          <w:rtl/>
          <w:lang w:val="en-US"/>
        </w:rPr>
        <w:t xml:space="preserve"> التناظري</w:t>
      </w:r>
      <w:r w:rsidR="007F2AF1">
        <w:rPr>
          <w:rFonts w:hint="cs"/>
          <w:rtl/>
          <w:lang w:val="en-US"/>
        </w:rPr>
        <w:t xml:space="preserve"> </w:t>
      </w:r>
      <w:r w:rsidR="007F2AF1">
        <w:rPr>
          <w:lang w:val="en-US"/>
        </w:rPr>
        <w:t>DSB</w:t>
      </w:r>
      <w:r w:rsidR="007F2AF1">
        <w:rPr>
          <w:rFonts w:hint="cs"/>
          <w:rtl/>
          <w:lang w:val="en-US"/>
        </w:rPr>
        <w:t>، سوف تبلغ نسبة الإشارة إلى الضوضاء</w:t>
      </w:r>
      <w:r w:rsidR="00A72A66">
        <w:rPr>
          <w:rFonts w:hint="cs"/>
          <w:rtl/>
          <w:lang w:val="en-US"/>
        </w:rPr>
        <w:t xml:space="preserve"> </w:t>
      </w:r>
      <w:r w:rsidR="00A72A66">
        <w:rPr>
          <w:lang w:val="en-US"/>
        </w:rPr>
        <w:t>RF</w:t>
      </w:r>
      <w:r w:rsidR="007F2AF1">
        <w:rPr>
          <w:rFonts w:hint="cs"/>
          <w:rtl/>
          <w:lang w:val="en-US"/>
        </w:rPr>
        <w:t xml:space="preserve"> </w:t>
      </w:r>
      <w:r w:rsidR="007F2AF1">
        <w:rPr>
          <w:lang w:val="en-US"/>
        </w:rPr>
        <w:t>dB 34</w:t>
      </w:r>
      <w:r w:rsidR="007F2AF1">
        <w:rPr>
          <w:rFonts w:hint="cs"/>
          <w:rtl/>
          <w:lang w:val="en-US"/>
        </w:rPr>
        <w:t xml:space="preserve"> وسوف تؤخذ نسب الحماية </w:t>
      </w:r>
      <w:r w:rsidR="007F2AF1">
        <w:rPr>
          <w:lang w:val="en-US"/>
        </w:rPr>
        <w:t>RF</w:t>
      </w:r>
      <w:r w:rsidR="007F2AF1">
        <w:rPr>
          <w:rFonts w:hint="cs"/>
          <w:rtl/>
          <w:lang w:val="en-US"/>
        </w:rPr>
        <w:t xml:space="preserve"> من الملحق </w:t>
      </w:r>
      <w:r w:rsidR="007F2AF1">
        <w:rPr>
          <w:lang w:val="en-US"/>
        </w:rPr>
        <w:t>4</w:t>
      </w:r>
      <w:r w:rsidR="007F2AF1">
        <w:rPr>
          <w:rFonts w:hint="cs"/>
          <w:rtl/>
          <w:lang w:val="en-US"/>
        </w:rPr>
        <w:t xml:space="preserve"> بالتوصية </w:t>
      </w:r>
      <w:r w:rsidR="007F2AF1">
        <w:rPr>
          <w:lang w:val="en-US"/>
        </w:rPr>
        <w:t>ITU-R BS.560</w:t>
      </w:r>
      <w:r w:rsidR="007F2AF1">
        <w:rPr>
          <w:rFonts w:hint="cs"/>
          <w:rtl/>
          <w:lang w:val="en-US"/>
        </w:rPr>
        <w:t xml:space="preserve"> (</w:t>
      </w:r>
      <w:r w:rsidR="007F2AF1">
        <w:rPr>
          <w:lang w:val="en-US"/>
        </w:rPr>
        <w:t>17</w:t>
      </w:r>
      <w:r w:rsidR="007F2AF1">
        <w:rPr>
          <w:rFonts w:hint="cs"/>
          <w:rtl/>
          <w:lang w:val="en-US"/>
        </w:rPr>
        <w:t xml:space="preserve"> </w:t>
      </w:r>
      <w:r w:rsidR="007F2AF1">
        <w:rPr>
          <w:lang w:val="en-US"/>
        </w:rPr>
        <w:t>dB</w:t>
      </w:r>
      <w:r w:rsidR="007F2AF1">
        <w:rPr>
          <w:rFonts w:hint="cs"/>
          <w:rtl/>
          <w:lang w:val="en-US"/>
        </w:rPr>
        <w:t xml:space="preserve"> في ن</w:t>
      </w:r>
      <w:r w:rsidR="00A72A66">
        <w:rPr>
          <w:rFonts w:hint="cs"/>
          <w:rtl/>
          <w:lang w:val="en-US"/>
        </w:rPr>
        <w:t>ف</w:t>
      </w:r>
      <w:r w:rsidR="007F2AF1">
        <w:rPr>
          <w:rFonts w:hint="cs"/>
          <w:rtl/>
          <w:lang w:val="en-US"/>
        </w:rPr>
        <w:t xml:space="preserve">س القناة). وفيما يتعلق بالبث الرقمي، يتم توفير نسب الإشارة إلى الضوضاء </w:t>
      </w:r>
      <w:r w:rsidR="007F2AF1">
        <w:rPr>
          <w:lang w:val="en-US"/>
        </w:rPr>
        <w:t>RF</w:t>
      </w:r>
      <w:r w:rsidR="007F2AF1">
        <w:rPr>
          <w:rFonts w:hint="cs"/>
          <w:rtl/>
          <w:lang w:val="en-US"/>
        </w:rPr>
        <w:t xml:space="preserve"> في أحدث </w:t>
      </w:r>
      <w:r w:rsidR="00E12D06">
        <w:rPr>
          <w:rFonts w:hint="cs"/>
          <w:rtl/>
          <w:lang w:val="en-US"/>
        </w:rPr>
        <w:t>صيغة</w:t>
      </w:r>
      <w:r w:rsidR="007F2AF1">
        <w:rPr>
          <w:rFonts w:hint="cs"/>
          <w:rtl/>
          <w:lang w:val="en-US"/>
        </w:rPr>
        <w:t xml:space="preserve"> للتوصية</w:t>
      </w:r>
      <w:r>
        <w:rPr>
          <w:rFonts w:hint="cs"/>
          <w:rtl/>
          <w:lang w:val="en-US"/>
        </w:rPr>
        <w:t xml:space="preserve"> </w:t>
      </w:r>
      <w:r w:rsidR="00093F15">
        <w:rPr>
          <w:rtl/>
          <w:lang w:val="en-US"/>
        </w:rPr>
        <w:br/>
      </w:r>
      <w:r w:rsidR="007F2AF1">
        <w:rPr>
          <w:lang w:val="en-US"/>
        </w:rPr>
        <w:t>ITU-R BS.1615</w:t>
      </w:r>
      <w:r w:rsidR="007F2AF1">
        <w:rPr>
          <w:rFonts w:hint="cs"/>
          <w:rtl/>
          <w:lang w:val="en-US"/>
        </w:rPr>
        <w:t xml:space="preserve"> وتعطى نسب الحماية </w:t>
      </w:r>
      <w:r w:rsidR="007F2AF1">
        <w:rPr>
          <w:lang w:val="en-US"/>
        </w:rPr>
        <w:t>RF</w:t>
      </w:r>
      <w:r w:rsidR="007F2AF1">
        <w:rPr>
          <w:rFonts w:hint="cs"/>
          <w:rtl/>
          <w:lang w:val="en-US"/>
        </w:rPr>
        <w:t xml:space="preserve"> في القسم</w:t>
      </w:r>
      <w:r w:rsidR="00E12D06">
        <w:rPr>
          <w:rFonts w:hint="cs"/>
          <w:rtl/>
          <w:lang w:val="en-US"/>
        </w:rPr>
        <w:t xml:space="preserve"> </w:t>
      </w:r>
      <w:r w:rsidR="00E12D06">
        <w:rPr>
          <w:lang w:val="en-US"/>
        </w:rPr>
        <w:t>1</w:t>
      </w:r>
      <w:r w:rsidR="007F2AF1">
        <w:rPr>
          <w:rFonts w:hint="cs"/>
          <w:rtl/>
          <w:lang w:val="en-US"/>
        </w:rPr>
        <w:t xml:space="preserve"> من ملحق القرار </w:t>
      </w:r>
      <w:r w:rsidR="007F2AF1" w:rsidRPr="007F2AF1">
        <w:rPr>
          <w:b/>
          <w:bCs/>
          <w:lang w:val="en-US"/>
        </w:rPr>
        <w:t>543 (WRC-03)</w:t>
      </w:r>
      <w:r w:rsidR="007F2AF1">
        <w:rPr>
          <w:rFonts w:hint="cs"/>
          <w:rtl/>
          <w:lang w:val="en-US"/>
        </w:rPr>
        <w:t xml:space="preserve">. </w:t>
      </w:r>
    </w:p>
    <w:p w:rsidR="007F2AF1" w:rsidRDefault="007F2AF1" w:rsidP="00FD1E08">
      <w:pPr>
        <w:tabs>
          <w:tab w:val="clear" w:pos="794"/>
          <w:tab w:val="clear" w:pos="1191"/>
          <w:tab w:val="clear" w:pos="1588"/>
          <w:tab w:val="clear" w:pos="1985"/>
        </w:tabs>
        <w:spacing w:before="360"/>
        <w:rPr>
          <w:rtl/>
          <w:lang w:val="en-US"/>
        </w:rPr>
      </w:pPr>
      <w:r>
        <w:rPr>
          <w:rFonts w:hint="cs"/>
          <w:rtl/>
          <w:lang w:val="en-US"/>
        </w:rPr>
        <w:t xml:space="preserve">وقد يقرر المستعمل اختيار قيم أخرى لنسبة الإشارة إلى الضوضاء ونسبة الحماية </w:t>
      </w:r>
      <w:r>
        <w:rPr>
          <w:lang w:val="en-US"/>
        </w:rPr>
        <w:t>RF</w:t>
      </w:r>
      <w:r>
        <w:rPr>
          <w:rFonts w:hint="cs"/>
          <w:rtl/>
          <w:lang w:val="en-US"/>
        </w:rPr>
        <w:t xml:space="preserve"> في نفس القناة، وألا يأخذ في اعتباره التداخل من القناة المجاورة حين تتخطى فوارق الترددات قيمة معينة.</w:t>
      </w:r>
    </w:p>
    <w:p w:rsidR="007F2AF1" w:rsidRDefault="007F2AF1" w:rsidP="001264EB">
      <w:pPr>
        <w:tabs>
          <w:tab w:val="clear" w:pos="794"/>
          <w:tab w:val="clear" w:pos="1191"/>
          <w:tab w:val="clear" w:pos="1588"/>
          <w:tab w:val="clear" w:pos="1985"/>
        </w:tabs>
        <w:spacing w:before="600"/>
        <w:jc w:val="center"/>
        <w:rPr>
          <w:rtl/>
          <w:lang w:val="en-US"/>
        </w:rPr>
      </w:pPr>
      <w:r>
        <w:rPr>
          <w:rFonts w:hint="cs"/>
          <w:rtl/>
          <w:lang w:val="en-US"/>
        </w:rPr>
        <w:t>ــــــــــ</w:t>
      </w:r>
      <w:r w:rsidR="00C740E2">
        <w:rPr>
          <w:rFonts w:hint="cs"/>
          <w:rtl/>
          <w:lang w:val="en-US"/>
        </w:rPr>
        <w:t>ـ</w:t>
      </w:r>
    </w:p>
    <w:p w:rsidR="007F2AF1" w:rsidRPr="007F2AF1" w:rsidRDefault="007F2AF1" w:rsidP="004F5DCD">
      <w:pPr>
        <w:tabs>
          <w:tab w:val="clear" w:pos="794"/>
          <w:tab w:val="clear" w:pos="1191"/>
          <w:tab w:val="clear" w:pos="1588"/>
          <w:tab w:val="clear" w:pos="1985"/>
        </w:tabs>
        <w:spacing w:before="400"/>
        <w:rPr>
          <w:rtl/>
          <w:lang w:val="en-US"/>
        </w:rPr>
      </w:pPr>
    </w:p>
    <w:sectPr w:rsidR="007F2AF1" w:rsidRPr="007F2AF1" w:rsidSect="00C740E2">
      <w:headerReference w:type="even" r:id="rId8"/>
      <w:headerReference w:type="default" r:id="rId9"/>
      <w:footerReference w:type="first" r:id="rId10"/>
      <w:pgSz w:w="11907" w:h="16834" w:code="9"/>
      <w:pgMar w:top="1701" w:right="1985" w:bottom="1134" w:left="851" w:header="720" w:footer="482" w:gutter="0"/>
      <w:paperSrc w:first="15" w:other="15"/>
      <w:pgNumType w:start="1"/>
      <w:cols w:space="720"/>
      <w:bidi/>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A797F" w:rsidRDefault="00FA797F">
      <w:r>
        <w:separator/>
      </w:r>
    </w:p>
  </w:endnote>
  <w:endnote w:type="continuationSeparator" w:id="0">
    <w:p w:rsidR="00FA797F" w:rsidRDefault="00FA7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Traditional Arabic">
    <w:panose1 w:val="02020603050405020304"/>
    <w:charset w:val="B2"/>
    <w:family w:val="auto"/>
    <w:pitch w:val="variable"/>
    <w:sig w:usb0="00002001" w:usb1="00000000" w:usb2="00000000" w:usb3="00000000" w:csb0="00000040"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A797F" w:rsidRDefault="007E5BEA">
    <w:pPr>
      <w:pStyle w:val="Footer"/>
    </w:pPr>
    <w:fldSimple w:instr=" FILENAME \p \* MERGEFORMAT ">
      <w:r w:rsidR="00FA797F">
        <w:t>P:\TRAD\A\ITU-R\BR\IAP\12-A1-AR12-a.doc</w:t>
      </w:r>
    </w:fldSimple>
    <w:r w:rsidR="00FA797F">
      <w:tab/>
    </w:r>
    <w:r w:rsidR="00FA797F">
      <w:fldChar w:fldCharType="begin"/>
    </w:r>
    <w:r w:rsidR="00FA797F">
      <w:instrText xml:space="preserve"> savedate \@ dd.MM.yy </w:instrText>
    </w:r>
    <w:r w:rsidR="00FA797F">
      <w:fldChar w:fldCharType="separate"/>
    </w:r>
    <w:r w:rsidR="00F9320A">
      <w:t>07.09.12</w:t>
    </w:r>
    <w:r w:rsidR="00FA797F">
      <w:fldChar w:fldCharType="end"/>
    </w:r>
    <w:r w:rsidR="00FA797F">
      <w:tab/>
    </w:r>
    <w:r w:rsidR="00FA797F">
      <w:fldChar w:fldCharType="begin"/>
    </w:r>
    <w:r w:rsidR="00FA797F">
      <w:instrText xml:space="preserve"> printdate \@ dd.MM.yy </w:instrText>
    </w:r>
    <w:r w:rsidR="00FA797F">
      <w:fldChar w:fldCharType="separate"/>
    </w:r>
    <w:r w:rsidR="00FA797F">
      <w:t>28.10.05</w:t>
    </w:r>
    <w:r w:rsidR="00FA797F">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A797F" w:rsidRDefault="00FA797F">
      <w:r>
        <w:t>____________________</w:t>
      </w:r>
    </w:p>
  </w:footnote>
  <w:footnote w:type="continuationSeparator" w:id="0">
    <w:p w:rsidR="00FA797F" w:rsidRDefault="00FA79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tblLook w:val="01E0" w:firstRow="1" w:lastRow="1" w:firstColumn="1" w:lastColumn="1" w:noHBand="0" w:noVBand="0"/>
    </w:tblPr>
    <w:tblGrid>
      <w:gridCol w:w="1701"/>
      <w:gridCol w:w="1701"/>
      <w:gridCol w:w="1701"/>
      <w:gridCol w:w="1701"/>
    </w:tblGrid>
    <w:tr w:rsidR="00FA797F" w:rsidRPr="000F2A0B">
      <w:tc>
        <w:tcPr>
          <w:tcW w:w="1701" w:type="dxa"/>
        </w:tcPr>
        <w:p w:rsidR="00FA797F" w:rsidRPr="00913BF7" w:rsidRDefault="00FA797F" w:rsidP="00F9320A">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FA797F" w:rsidRPr="000F2A0B" w:rsidRDefault="00FA797F" w:rsidP="00F9320A">
          <w:pPr>
            <w:pStyle w:val="Header"/>
            <w:spacing w:before="40" w:after="40" w:line="280" w:lineRule="exact"/>
            <w:jc w:val="left"/>
            <w:rPr>
              <w:sz w:val="21"/>
              <w:szCs w:val="28"/>
              <w:rtl/>
            </w:rPr>
          </w:pPr>
          <w:r>
            <w:rPr>
              <w:sz w:val="21"/>
              <w:szCs w:val="28"/>
              <w:lang w:val="en-US" w:bidi="ar-EG"/>
            </w:rPr>
            <w:t>AR12</w:t>
          </w:r>
        </w:p>
      </w:tc>
      <w:tc>
        <w:tcPr>
          <w:tcW w:w="1701" w:type="dxa"/>
        </w:tcPr>
        <w:p w:rsidR="00FA797F" w:rsidRPr="000F2A0B" w:rsidRDefault="00FA797F" w:rsidP="00F9320A">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F9320A">
            <w:rPr>
              <w:rStyle w:val="PageNumber"/>
              <w:noProof/>
              <w:sz w:val="21"/>
              <w:szCs w:val="21"/>
              <w:rtl/>
            </w:rPr>
            <w:t>2</w:t>
          </w:r>
          <w:r w:rsidRPr="000F2A0B">
            <w:rPr>
              <w:rStyle w:val="PageNumber"/>
              <w:sz w:val="21"/>
              <w:szCs w:val="21"/>
            </w:rPr>
            <w:fldChar w:fldCharType="end"/>
          </w:r>
        </w:p>
      </w:tc>
      <w:tc>
        <w:tcPr>
          <w:tcW w:w="1701" w:type="dxa"/>
        </w:tcPr>
        <w:p w:rsidR="00FA797F" w:rsidRPr="000F2A0B" w:rsidRDefault="00FA797F" w:rsidP="00F9320A">
          <w:pPr>
            <w:pStyle w:val="Header"/>
            <w:spacing w:before="40" w:after="40" w:line="280" w:lineRule="exact"/>
            <w:jc w:val="left"/>
            <w:rPr>
              <w:sz w:val="21"/>
              <w:szCs w:val="28"/>
              <w:rtl/>
            </w:rPr>
          </w:pPr>
          <w:r w:rsidRPr="000F2A0B">
            <w:rPr>
              <w:rFonts w:hint="cs"/>
              <w:sz w:val="21"/>
              <w:szCs w:val="28"/>
              <w:rtl/>
            </w:rPr>
            <w:t>المراجعة -</w:t>
          </w:r>
        </w:p>
      </w:tc>
    </w:tr>
  </w:tbl>
  <w:p w:rsidR="00FA797F" w:rsidRPr="007358FA" w:rsidRDefault="00FA797F" w:rsidP="007358FA">
    <w:pPr>
      <w:pStyle w:val="Header"/>
      <w:rPr>
        <w:sz w:val="20"/>
        <w:szCs w:val="2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bidiVisual/>
      <w:tblW w:w="0" w:type="auto"/>
      <w:jc w:val="right"/>
      <w:tblLook w:val="01E0" w:firstRow="1" w:lastRow="1" w:firstColumn="1" w:lastColumn="1" w:noHBand="0" w:noVBand="0"/>
    </w:tblPr>
    <w:tblGrid>
      <w:gridCol w:w="1701"/>
      <w:gridCol w:w="1701"/>
      <w:gridCol w:w="1701"/>
      <w:gridCol w:w="1701"/>
    </w:tblGrid>
    <w:tr w:rsidR="00FA797F" w:rsidRPr="000F2A0B">
      <w:trPr>
        <w:jc w:val="right"/>
      </w:trPr>
      <w:tc>
        <w:tcPr>
          <w:tcW w:w="1701" w:type="dxa"/>
        </w:tcPr>
        <w:p w:rsidR="00FA797F" w:rsidRPr="00913BF7" w:rsidRDefault="00FA797F" w:rsidP="00F9320A">
          <w:pPr>
            <w:pStyle w:val="Header"/>
            <w:spacing w:before="40" w:after="40" w:line="280" w:lineRule="exact"/>
            <w:jc w:val="left"/>
            <w:rPr>
              <w:sz w:val="21"/>
              <w:szCs w:val="28"/>
              <w:lang w:val="en-US"/>
            </w:rPr>
          </w:pPr>
          <w:r>
            <w:rPr>
              <w:rFonts w:hint="cs"/>
              <w:sz w:val="21"/>
              <w:szCs w:val="28"/>
              <w:rtl/>
            </w:rPr>
            <w:t xml:space="preserve">الجزء </w:t>
          </w:r>
          <w:r>
            <w:rPr>
              <w:sz w:val="21"/>
              <w:szCs w:val="28"/>
              <w:lang w:val="en-US"/>
            </w:rPr>
            <w:t>1A</w:t>
          </w:r>
        </w:p>
      </w:tc>
      <w:tc>
        <w:tcPr>
          <w:tcW w:w="1701" w:type="dxa"/>
        </w:tcPr>
        <w:p w:rsidR="00FA797F" w:rsidRPr="00433E7A" w:rsidRDefault="00FA797F" w:rsidP="00F9320A">
          <w:pPr>
            <w:pStyle w:val="Header"/>
            <w:spacing w:before="40" w:after="40" w:line="280" w:lineRule="exact"/>
            <w:jc w:val="left"/>
            <w:rPr>
              <w:sz w:val="21"/>
              <w:szCs w:val="28"/>
              <w:lang w:val="en-US" w:bidi="ar-EG"/>
            </w:rPr>
          </w:pPr>
          <w:r>
            <w:rPr>
              <w:sz w:val="21"/>
              <w:szCs w:val="28"/>
              <w:lang w:val="en-US" w:bidi="ar-EG"/>
            </w:rPr>
            <w:t>AR12</w:t>
          </w:r>
        </w:p>
      </w:tc>
      <w:tc>
        <w:tcPr>
          <w:tcW w:w="1701" w:type="dxa"/>
        </w:tcPr>
        <w:p w:rsidR="00FA797F" w:rsidRPr="000F2A0B" w:rsidRDefault="00FA797F" w:rsidP="00F9320A">
          <w:pPr>
            <w:pStyle w:val="Header"/>
            <w:spacing w:before="40" w:after="40" w:line="280" w:lineRule="exact"/>
            <w:jc w:val="left"/>
            <w:rPr>
              <w:sz w:val="21"/>
              <w:szCs w:val="28"/>
              <w:rtl/>
              <w:lang w:val="en-US" w:bidi="ar-EG"/>
            </w:rPr>
          </w:pPr>
          <w:r w:rsidRPr="000F2A0B">
            <w:rPr>
              <w:rFonts w:hint="cs"/>
              <w:sz w:val="21"/>
              <w:szCs w:val="28"/>
              <w:rtl/>
            </w:rPr>
            <w:t xml:space="preserve">الصفحة </w:t>
          </w:r>
          <w:r w:rsidRPr="000F2A0B">
            <w:rPr>
              <w:rStyle w:val="PageNumber"/>
              <w:sz w:val="21"/>
              <w:szCs w:val="21"/>
            </w:rPr>
            <w:fldChar w:fldCharType="begin"/>
          </w:r>
          <w:r w:rsidRPr="000F2A0B">
            <w:rPr>
              <w:rStyle w:val="PageNumber"/>
              <w:sz w:val="21"/>
              <w:szCs w:val="21"/>
            </w:rPr>
            <w:instrText xml:space="preserve"> PAGE </w:instrText>
          </w:r>
          <w:r w:rsidRPr="000F2A0B">
            <w:rPr>
              <w:rStyle w:val="PageNumber"/>
              <w:sz w:val="21"/>
              <w:szCs w:val="21"/>
            </w:rPr>
            <w:fldChar w:fldCharType="separate"/>
          </w:r>
          <w:r w:rsidR="00F9320A">
            <w:rPr>
              <w:rStyle w:val="PageNumber"/>
              <w:noProof/>
              <w:sz w:val="21"/>
              <w:szCs w:val="21"/>
              <w:rtl/>
            </w:rPr>
            <w:t>1</w:t>
          </w:r>
          <w:r w:rsidRPr="000F2A0B">
            <w:rPr>
              <w:rStyle w:val="PageNumber"/>
              <w:sz w:val="21"/>
              <w:szCs w:val="21"/>
            </w:rPr>
            <w:fldChar w:fldCharType="end"/>
          </w:r>
        </w:p>
      </w:tc>
      <w:tc>
        <w:tcPr>
          <w:tcW w:w="1701" w:type="dxa"/>
        </w:tcPr>
        <w:p w:rsidR="00FA797F" w:rsidRPr="000F2A0B" w:rsidRDefault="00FA797F" w:rsidP="00F9320A">
          <w:pPr>
            <w:pStyle w:val="Header"/>
            <w:spacing w:before="40" w:after="40" w:line="280" w:lineRule="exact"/>
            <w:jc w:val="left"/>
            <w:rPr>
              <w:sz w:val="21"/>
              <w:szCs w:val="28"/>
              <w:rtl/>
            </w:rPr>
          </w:pPr>
          <w:r w:rsidRPr="000F2A0B">
            <w:rPr>
              <w:rFonts w:hint="cs"/>
              <w:sz w:val="21"/>
              <w:szCs w:val="28"/>
              <w:rtl/>
            </w:rPr>
            <w:t>المراجعة -</w:t>
          </w:r>
        </w:p>
      </w:tc>
    </w:tr>
  </w:tbl>
  <w:p w:rsidR="00FA797F" w:rsidRPr="007358FA" w:rsidRDefault="00FA797F">
    <w:pPr>
      <w:pStyle w:val="Header"/>
      <w:rPr>
        <w:sz w:val="20"/>
        <w:szCs w:val="2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A94E5CA"/>
    <w:lvl w:ilvl="0">
      <w:start w:val="1"/>
      <w:numFmt w:val="decimal"/>
      <w:lvlText w:val="%1."/>
      <w:lvlJc w:val="left"/>
      <w:pPr>
        <w:tabs>
          <w:tab w:val="num" w:pos="1492"/>
        </w:tabs>
        <w:ind w:left="1492" w:hanging="360"/>
      </w:pPr>
    </w:lvl>
  </w:abstractNum>
  <w:abstractNum w:abstractNumId="1">
    <w:nsid w:val="FFFFFF7D"/>
    <w:multiLevelType w:val="singleLevel"/>
    <w:tmpl w:val="43E2C82E"/>
    <w:lvl w:ilvl="0">
      <w:start w:val="1"/>
      <w:numFmt w:val="decimal"/>
      <w:lvlText w:val="%1."/>
      <w:lvlJc w:val="left"/>
      <w:pPr>
        <w:tabs>
          <w:tab w:val="num" w:pos="1209"/>
        </w:tabs>
        <w:ind w:left="1209" w:hanging="360"/>
      </w:pPr>
    </w:lvl>
  </w:abstractNum>
  <w:abstractNum w:abstractNumId="2">
    <w:nsid w:val="FFFFFF7E"/>
    <w:multiLevelType w:val="singleLevel"/>
    <w:tmpl w:val="F074377E"/>
    <w:lvl w:ilvl="0">
      <w:start w:val="1"/>
      <w:numFmt w:val="decimal"/>
      <w:lvlText w:val="%1."/>
      <w:lvlJc w:val="left"/>
      <w:pPr>
        <w:tabs>
          <w:tab w:val="num" w:pos="926"/>
        </w:tabs>
        <w:ind w:left="926" w:hanging="360"/>
      </w:pPr>
    </w:lvl>
  </w:abstractNum>
  <w:abstractNum w:abstractNumId="3">
    <w:nsid w:val="FFFFFF7F"/>
    <w:multiLevelType w:val="singleLevel"/>
    <w:tmpl w:val="6BE4A868"/>
    <w:lvl w:ilvl="0">
      <w:start w:val="1"/>
      <w:numFmt w:val="decimal"/>
      <w:lvlText w:val="%1."/>
      <w:lvlJc w:val="left"/>
      <w:pPr>
        <w:tabs>
          <w:tab w:val="num" w:pos="643"/>
        </w:tabs>
        <w:ind w:left="643" w:hanging="360"/>
      </w:pPr>
    </w:lvl>
  </w:abstractNum>
  <w:abstractNum w:abstractNumId="4">
    <w:nsid w:val="FFFFFF80"/>
    <w:multiLevelType w:val="singleLevel"/>
    <w:tmpl w:val="B4304A4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55E17C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61E6A6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6006445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8F66C078"/>
    <w:lvl w:ilvl="0">
      <w:start w:val="1"/>
      <w:numFmt w:val="decimal"/>
      <w:lvlText w:val="%1."/>
      <w:lvlJc w:val="left"/>
      <w:pPr>
        <w:tabs>
          <w:tab w:val="num" w:pos="360"/>
        </w:tabs>
        <w:ind w:left="360" w:hanging="360"/>
      </w:pPr>
    </w:lvl>
  </w:abstractNum>
  <w:abstractNum w:abstractNumId="9">
    <w:nsid w:val="FFFFFF89"/>
    <w:multiLevelType w:val="singleLevel"/>
    <w:tmpl w:val="EC725A80"/>
    <w:lvl w:ilvl="0">
      <w:start w:val="1"/>
      <w:numFmt w:val="bullet"/>
      <w:lvlText w:val=""/>
      <w:lvlJc w:val="left"/>
      <w:pPr>
        <w:tabs>
          <w:tab w:val="num" w:pos="360"/>
        </w:tabs>
        <w:ind w:left="360" w:hanging="360"/>
      </w:pPr>
      <w:rPr>
        <w:rFonts w:ascii="Symbol" w:hAnsi="Symbol" w:hint="default"/>
      </w:rPr>
    </w:lvl>
  </w:abstractNum>
  <w:abstractNum w:abstractNumId="10">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6"/>
  </w:num>
  <w:num w:numId="3">
    <w:abstractNumId w:val="5"/>
  </w:num>
  <w:num w:numId="4">
    <w:abstractNumId w:val="4"/>
  </w:num>
  <w:num w:numId="5">
    <w:abstractNumId w:val="8"/>
  </w:num>
  <w:num w:numId="6">
    <w:abstractNumId w:val="3"/>
  </w:num>
  <w:num w:numId="7">
    <w:abstractNumId w:val="2"/>
  </w:num>
  <w:num w:numId="8">
    <w:abstractNumId w:val="1"/>
  </w:num>
  <w:num w:numId="9">
    <w:abstractNumId w:val="0"/>
  </w:num>
  <w:num w:numId="10">
    <w:abstractNumId w:val="9"/>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mirrorMargins/>
  <w:attachedTemplate r:id="rId1"/>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1134"/>
  <w:doNotHyphenateCaps/>
  <w:evenAndOddHeader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5487"/>
    <w:rsid w:val="00041E07"/>
    <w:rsid w:val="00044308"/>
    <w:rsid w:val="00093F15"/>
    <w:rsid w:val="000E1DBE"/>
    <w:rsid w:val="000F2A0B"/>
    <w:rsid w:val="000F7457"/>
    <w:rsid w:val="001139B6"/>
    <w:rsid w:val="001147B6"/>
    <w:rsid w:val="001264EB"/>
    <w:rsid w:val="00130C60"/>
    <w:rsid w:val="002043D3"/>
    <w:rsid w:val="0020710C"/>
    <w:rsid w:val="002301AE"/>
    <w:rsid w:val="002466FF"/>
    <w:rsid w:val="002631B1"/>
    <w:rsid w:val="002C0904"/>
    <w:rsid w:val="002C55F4"/>
    <w:rsid w:val="002D6D41"/>
    <w:rsid w:val="00360881"/>
    <w:rsid w:val="004036A6"/>
    <w:rsid w:val="00433E7A"/>
    <w:rsid w:val="0044702B"/>
    <w:rsid w:val="00454BE4"/>
    <w:rsid w:val="00463414"/>
    <w:rsid w:val="004F5DCD"/>
    <w:rsid w:val="0055056E"/>
    <w:rsid w:val="0066056C"/>
    <w:rsid w:val="006B3E33"/>
    <w:rsid w:val="006B42DC"/>
    <w:rsid w:val="006B5D10"/>
    <w:rsid w:val="006C1EF7"/>
    <w:rsid w:val="007358FA"/>
    <w:rsid w:val="007460F7"/>
    <w:rsid w:val="00770B96"/>
    <w:rsid w:val="0078123B"/>
    <w:rsid w:val="007C4B37"/>
    <w:rsid w:val="007E5BEA"/>
    <w:rsid w:val="007F2AF1"/>
    <w:rsid w:val="00867AB1"/>
    <w:rsid w:val="00885EC1"/>
    <w:rsid w:val="008B0B84"/>
    <w:rsid w:val="008B631A"/>
    <w:rsid w:val="00913BF7"/>
    <w:rsid w:val="009158D2"/>
    <w:rsid w:val="00936E26"/>
    <w:rsid w:val="00993C1C"/>
    <w:rsid w:val="009F171D"/>
    <w:rsid w:val="00A0604B"/>
    <w:rsid w:val="00A64B91"/>
    <w:rsid w:val="00A72A66"/>
    <w:rsid w:val="00A7482F"/>
    <w:rsid w:val="00AC41A3"/>
    <w:rsid w:val="00AD269C"/>
    <w:rsid w:val="00AF44BC"/>
    <w:rsid w:val="00B10079"/>
    <w:rsid w:val="00B765E7"/>
    <w:rsid w:val="00BE0D0E"/>
    <w:rsid w:val="00BF3BC8"/>
    <w:rsid w:val="00C740E2"/>
    <w:rsid w:val="00CA31BF"/>
    <w:rsid w:val="00CA4B7C"/>
    <w:rsid w:val="00CD2902"/>
    <w:rsid w:val="00CD3546"/>
    <w:rsid w:val="00DE66AC"/>
    <w:rsid w:val="00DE6CD7"/>
    <w:rsid w:val="00DF5487"/>
    <w:rsid w:val="00E003AC"/>
    <w:rsid w:val="00E03822"/>
    <w:rsid w:val="00E12D06"/>
    <w:rsid w:val="00E40169"/>
    <w:rsid w:val="00E7261D"/>
    <w:rsid w:val="00EB4871"/>
    <w:rsid w:val="00EB7F8D"/>
    <w:rsid w:val="00EC59CD"/>
    <w:rsid w:val="00F419C1"/>
    <w:rsid w:val="00F6061F"/>
    <w:rsid w:val="00F9320A"/>
    <w:rsid w:val="00FA797F"/>
    <w:rsid w:val="00FB096C"/>
    <w:rsid w:val="00FD1E08"/>
    <w:rsid w:val="00FE3641"/>
    <w:rsid w:val="00FF7BB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797F"/>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eastAsia="Times New Roman" w:hAnsi="CG Times"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rPr>
      <w:rFonts w:ascii="Times New Roman" w:hAnsi="Times New Roman" w:cs="Traditional Arabic"/>
      <w:sz w:val="22"/>
      <w:szCs w:val="30"/>
      <w:lang w:val="en-GB" w:eastAsia="en-US"/>
    </w:rPr>
  </w:style>
  <w:style w:type="paragraph" w:styleId="Heading1">
    <w:name w:val="heading 1"/>
    <w:basedOn w:val="Normal"/>
    <w:next w:val="Normal"/>
    <w:qFormat/>
    <w:pPr>
      <w:keepNext/>
      <w:keepLines/>
      <w:spacing w:before="360"/>
      <w:ind w:left="794" w:hanging="794"/>
      <w:outlineLvl w:val="0"/>
    </w:pPr>
    <w:rPr>
      <w:rFonts w:ascii="Times New Roman Bold" w:hAnsi="Times New Roman Bold"/>
      <w:b/>
      <w:sz w:val="26"/>
      <w:szCs w:val="36"/>
    </w:rPr>
  </w:style>
  <w:style w:type="paragraph" w:styleId="Heading2">
    <w:name w:val="heading 2"/>
    <w:basedOn w:val="Heading1"/>
    <w:next w:val="Normal"/>
    <w:qFormat/>
    <w:pPr>
      <w:spacing w:before="240"/>
      <w:outlineLvl w:val="1"/>
    </w:pPr>
    <w:rPr>
      <w:sz w:val="24"/>
      <w:szCs w:val="32"/>
    </w:rPr>
  </w:style>
  <w:style w:type="paragraph" w:styleId="Heading3">
    <w:name w:val="heading 3"/>
    <w:basedOn w:val="Heading1"/>
    <w:next w:val="Normal"/>
    <w:qFormat/>
    <w:pPr>
      <w:spacing w:before="160"/>
      <w:outlineLvl w:val="2"/>
    </w:pPr>
    <w:rPr>
      <w:sz w:val="22"/>
      <w:szCs w:val="30"/>
    </w:rPr>
  </w:style>
  <w:style w:type="paragraph" w:styleId="Heading4">
    <w:name w:val="heading 4"/>
    <w:basedOn w:val="Heading3"/>
    <w:next w:val="Normal"/>
    <w:qFormat/>
    <w:pPr>
      <w:tabs>
        <w:tab w:val="clear" w:pos="794"/>
        <w:tab w:val="left" w:pos="1021"/>
      </w:tabs>
      <w:ind w:left="1021" w:right="1021" w:hanging="1021"/>
      <w:outlineLvl w:val="3"/>
    </w:pPr>
  </w:style>
  <w:style w:type="paragraph" w:styleId="Heading5">
    <w:name w:val="heading 5"/>
    <w:basedOn w:val="Heading4"/>
    <w:next w:val="Normal"/>
    <w:qFormat/>
    <w:pPr>
      <w:outlineLvl w:val="4"/>
    </w:pPr>
  </w:style>
  <w:style w:type="paragraph" w:styleId="Heading6">
    <w:name w:val="heading 6"/>
    <w:basedOn w:val="Heading4"/>
    <w:next w:val="Normal"/>
    <w:qFormat/>
    <w:pPr>
      <w:tabs>
        <w:tab w:val="clear" w:pos="1021"/>
        <w:tab w:val="clear" w:pos="1191"/>
      </w:tabs>
      <w:ind w:left="1588" w:right="1588" w:hanging="1588"/>
      <w:outlineLvl w:val="5"/>
    </w:pPr>
  </w:style>
  <w:style w:type="paragraph" w:styleId="Heading7">
    <w:name w:val="heading 7"/>
    <w:basedOn w:val="Heading6"/>
    <w:next w:val="Normal"/>
    <w:qFormat/>
    <w:pPr>
      <w:outlineLvl w:val="6"/>
    </w:pPr>
  </w:style>
  <w:style w:type="paragraph" w:styleId="Heading8">
    <w:name w:val="heading 8"/>
    <w:basedOn w:val="Heading6"/>
    <w:next w:val="Normal"/>
    <w:qFormat/>
    <w:pPr>
      <w:outlineLvl w:val="7"/>
    </w:pPr>
  </w:style>
  <w:style w:type="paragraph" w:styleId="Heading9">
    <w:name w:val="heading 9"/>
    <w:basedOn w:val="Heading6"/>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heading">
    <w:name w:val="Art_heading"/>
    <w:basedOn w:val="Normal"/>
    <w:next w:val="Normalaftertitle"/>
    <w:pPr>
      <w:spacing w:before="480"/>
      <w:jc w:val="center"/>
    </w:pPr>
    <w:rPr>
      <w:b/>
      <w:sz w:val="28"/>
    </w:rPr>
  </w:style>
  <w:style w:type="paragraph" w:customStyle="1" w:styleId="Normalaftertitle">
    <w:name w:val="Normal_after_title"/>
    <w:basedOn w:val="Normal"/>
    <w:next w:val="Normal"/>
    <w:pPr>
      <w:spacing w:before="360"/>
    </w:pPr>
  </w:style>
  <w:style w:type="paragraph" w:customStyle="1" w:styleId="ChapNo">
    <w:name w:val="Chap_No"/>
    <w:basedOn w:val="Normal"/>
    <w:next w:val="Chaptitle"/>
    <w:pPr>
      <w:keepNext/>
      <w:keepLines/>
      <w:spacing w:before="480"/>
      <w:jc w:val="center"/>
    </w:pPr>
    <w:rPr>
      <w:rFonts w:ascii="Times New Roman Bold" w:hAnsi="Times New Roman Bold"/>
      <w:b/>
      <w:caps/>
      <w:sz w:val="26"/>
      <w:szCs w:val="36"/>
    </w:rPr>
  </w:style>
  <w:style w:type="paragraph" w:customStyle="1" w:styleId="Chaptitle">
    <w:name w:val="Chap_title"/>
    <w:basedOn w:val="Normal"/>
    <w:next w:val="Normalaftertitle"/>
    <w:pPr>
      <w:keepNext/>
      <w:keepLines/>
      <w:spacing w:before="240"/>
      <w:jc w:val="center"/>
    </w:pPr>
    <w:rPr>
      <w:rFonts w:ascii="Times New Roman Bold" w:hAnsi="Times New Roman Bold"/>
      <w:b/>
      <w:sz w:val="26"/>
      <w:szCs w:val="36"/>
    </w:rPr>
  </w:style>
  <w:style w:type="paragraph" w:customStyle="1" w:styleId="AppendixNotitle">
    <w:name w:val="Appendix_No &amp; title"/>
    <w:basedOn w:val="AnnexNotitle"/>
    <w:next w:val="Normalaftertitle"/>
  </w:style>
  <w:style w:type="paragraph" w:customStyle="1" w:styleId="AnnexNotitle">
    <w:name w:val="Annex_No &amp; title"/>
    <w:basedOn w:val="Normal"/>
    <w:next w:val="Normalaftertitle"/>
    <w:pPr>
      <w:keepNext/>
      <w:keepLines/>
      <w:spacing w:before="480"/>
      <w:jc w:val="center"/>
    </w:pPr>
    <w:rPr>
      <w:rFonts w:ascii="Times New Roman Bold" w:hAnsi="Times New Roman Bold"/>
      <w:b/>
      <w:sz w:val="26"/>
      <w:szCs w:val="36"/>
    </w:rPr>
  </w:style>
  <w:style w:type="paragraph" w:customStyle="1" w:styleId="ASN1">
    <w:name w:val="ASN.1"/>
    <w:basedOn w:val="Normal"/>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Headingi">
    <w:name w:val="Heading_i"/>
    <w:basedOn w:val="Normal"/>
    <w:next w:val="Normal"/>
    <w:pPr>
      <w:keepNext/>
      <w:spacing w:before="160"/>
    </w:pPr>
    <w:rPr>
      <w:i/>
    </w:rPr>
  </w:style>
  <w:style w:type="paragraph" w:customStyle="1" w:styleId="ArtNo">
    <w:name w:val="Art_No"/>
    <w:basedOn w:val="Normal"/>
    <w:next w:val="Arttitle"/>
    <w:pPr>
      <w:keepNext/>
      <w:keepLines/>
      <w:spacing w:before="480"/>
      <w:jc w:val="center"/>
    </w:pPr>
    <w:rPr>
      <w:caps/>
      <w:sz w:val="26"/>
      <w:szCs w:val="36"/>
    </w:rPr>
  </w:style>
  <w:style w:type="paragraph" w:customStyle="1" w:styleId="Arttitle">
    <w:name w:val="Art_title"/>
    <w:basedOn w:val="Normal"/>
    <w:next w:val="Normalaftertitle"/>
    <w:pPr>
      <w:keepNext/>
      <w:keepLines/>
      <w:spacing w:before="240"/>
      <w:jc w:val="center"/>
    </w:pPr>
    <w:rPr>
      <w:rFonts w:ascii="Times New Roman Bold" w:hAnsi="Times New Roman Bold"/>
      <w:b/>
      <w:sz w:val="26"/>
      <w:szCs w:val="36"/>
    </w:rPr>
  </w:style>
  <w:style w:type="paragraph" w:customStyle="1" w:styleId="Call">
    <w:name w:val="Call"/>
    <w:basedOn w:val="Normal"/>
    <w:next w:val="Normal"/>
    <w:pPr>
      <w:keepNext/>
      <w:keepLines/>
      <w:spacing w:before="160"/>
      <w:ind w:left="794" w:right="794"/>
    </w:pPr>
    <w:rPr>
      <w:i/>
    </w:rPr>
  </w:style>
  <w:style w:type="paragraph" w:customStyle="1" w:styleId="enumlev1">
    <w:name w:val="enumlev1"/>
    <w:basedOn w:val="Normal"/>
    <w:rsid w:val="00FA797F"/>
    <w:pPr>
      <w:spacing w:before="240"/>
      <w:ind w:left="567" w:hanging="567"/>
    </w:pPr>
  </w:style>
  <w:style w:type="paragraph" w:customStyle="1" w:styleId="enumlev2">
    <w:name w:val="enumlev2"/>
    <w:basedOn w:val="enumlev1"/>
    <w:pPr>
      <w:ind w:left="1191" w:right="1191" w:hanging="397"/>
    </w:pPr>
  </w:style>
  <w:style w:type="paragraph" w:customStyle="1" w:styleId="enumlev3">
    <w:name w:val="enumlev3"/>
    <w:basedOn w:val="enumlev2"/>
    <w:pPr>
      <w:ind w:left="1588" w:right="1588"/>
    </w:pPr>
  </w:style>
  <w:style w:type="paragraph" w:customStyle="1" w:styleId="Equation">
    <w:name w:val="Equation"/>
    <w:basedOn w:val="Normal"/>
    <w:pPr>
      <w:tabs>
        <w:tab w:val="clear" w:pos="1191"/>
        <w:tab w:val="clear" w:pos="1588"/>
        <w:tab w:val="clear" w:pos="1985"/>
        <w:tab w:val="center" w:pos="4820"/>
        <w:tab w:val="right" w:pos="9639"/>
      </w:tabs>
    </w:pPr>
  </w:style>
  <w:style w:type="paragraph" w:customStyle="1" w:styleId="Equationlegend">
    <w:name w:val="Equation_legend"/>
    <w:basedOn w:val="Normal"/>
    <w:pPr>
      <w:tabs>
        <w:tab w:val="clear" w:pos="794"/>
        <w:tab w:val="clear" w:pos="1191"/>
        <w:tab w:val="clear" w:pos="1588"/>
        <w:tab w:val="right" w:pos="1814"/>
      </w:tabs>
      <w:spacing w:before="80"/>
      <w:ind w:left="1985" w:right="1985" w:hanging="1985"/>
    </w:pPr>
  </w:style>
  <w:style w:type="paragraph" w:customStyle="1" w:styleId="Figurelegend">
    <w:name w:val="Figure_legend"/>
    <w:basedOn w:val="Normal"/>
    <w:pPr>
      <w:keepNext/>
      <w:keepLines/>
      <w:tabs>
        <w:tab w:val="clear" w:pos="794"/>
        <w:tab w:val="clear" w:pos="1191"/>
        <w:tab w:val="clear" w:pos="1588"/>
        <w:tab w:val="clear" w:pos="1985"/>
      </w:tabs>
      <w:spacing w:before="20" w:after="20"/>
    </w:pPr>
    <w:rPr>
      <w:sz w:val="18"/>
    </w:rPr>
  </w:style>
  <w:style w:type="paragraph" w:customStyle="1" w:styleId="Figure">
    <w:name w:val="Figure"/>
    <w:basedOn w:val="Normal"/>
    <w:next w:val="FigureNotitle"/>
    <w:pPr>
      <w:keepNext/>
      <w:keepLines/>
      <w:spacing w:before="240" w:after="120"/>
      <w:jc w:val="center"/>
    </w:pPr>
  </w:style>
  <w:style w:type="paragraph" w:customStyle="1" w:styleId="FigureNotitle">
    <w:name w:val="Figure_No &amp; title"/>
    <w:basedOn w:val="Normal"/>
    <w:next w:val="Normalaftertitle"/>
    <w:pPr>
      <w:keepLines/>
      <w:spacing w:before="240" w:after="120"/>
      <w:jc w:val="center"/>
    </w:pPr>
    <w:rPr>
      <w:b/>
    </w:rPr>
  </w:style>
  <w:style w:type="character" w:styleId="PageNumber">
    <w:name w:val="page number"/>
    <w:basedOn w:val="DefaultParagraphFont"/>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style>
  <w:style w:type="paragraph" w:customStyle="1" w:styleId="Figurewithouttitle">
    <w:name w:val="Figure_without_title"/>
    <w:basedOn w:val="Normal"/>
    <w:next w:val="Normalaftertitle"/>
    <w:pPr>
      <w:keepLines/>
      <w:spacing w:before="240" w:after="120"/>
      <w:jc w:val="center"/>
    </w:pPr>
  </w:style>
  <w:style w:type="paragraph" w:styleId="Footer">
    <w:name w:val="footer"/>
    <w:basedOn w:val="Normal"/>
    <w:pPr>
      <w:tabs>
        <w:tab w:val="clear" w:pos="794"/>
        <w:tab w:val="clear" w:pos="1191"/>
        <w:tab w:val="clear" w:pos="1588"/>
        <w:tab w:val="clear" w:pos="1985"/>
        <w:tab w:val="left" w:pos="5954"/>
        <w:tab w:val="right" w:pos="9639"/>
      </w:tabs>
      <w:spacing w:before="0" w:line="168" w:lineRule="auto"/>
    </w:pPr>
    <w:rPr>
      <w:caps/>
      <w:noProof/>
      <w:sz w:val="16"/>
    </w:rPr>
  </w:style>
  <w:style w:type="paragraph" w:customStyle="1" w:styleId="FirstFooter">
    <w:name w:val="FirstFooter"/>
    <w:basedOn w:val="Footer"/>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semiHidden/>
    <w:rPr>
      <w:position w:val="6"/>
      <w:sz w:val="18"/>
    </w:rPr>
  </w:style>
  <w:style w:type="paragraph" w:styleId="FootnoteText">
    <w:name w:val="footnote text"/>
    <w:basedOn w:val="Note"/>
    <w:semiHidden/>
    <w:pPr>
      <w:keepLines/>
      <w:tabs>
        <w:tab w:val="left" w:pos="255"/>
      </w:tabs>
      <w:ind w:left="255" w:right="255" w:hanging="255"/>
    </w:pPr>
  </w:style>
  <w:style w:type="paragraph" w:customStyle="1" w:styleId="Note">
    <w:name w:val="Note"/>
    <w:basedOn w:val="Normal"/>
    <w:pPr>
      <w:spacing w:before="80"/>
    </w:p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styleId="Index1">
    <w:name w:val="index 1"/>
    <w:basedOn w:val="Normal"/>
    <w:next w:val="Normal"/>
    <w:semiHidden/>
  </w:style>
  <w:style w:type="paragraph" w:styleId="Index2">
    <w:name w:val="index 2"/>
    <w:basedOn w:val="Normal"/>
    <w:next w:val="Normal"/>
    <w:semiHidden/>
    <w:pPr>
      <w:ind w:left="283" w:right="283"/>
    </w:pPr>
  </w:style>
  <w:style w:type="paragraph" w:styleId="Index3">
    <w:name w:val="index 3"/>
    <w:basedOn w:val="Normal"/>
    <w:next w:val="Normal"/>
    <w:semiHidden/>
    <w:pPr>
      <w:ind w:left="566" w:right="566"/>
    </w:pPr>
  </w:style>
  <w:style w:type="paragraph" w:customStyle="1" w:styleId="PartNo">
    <w:name w:val="Part_No"/>
    <w:basedOn w:val="Normal"/>
    <w:next w:val="Partref"/>
    <w:pPr>
      <w:keepNext/>
      <w:keepLines/>
      <w:spacing w:before="480" w:after="80"/>
      <w:jc w:val="center"/>
    </w:pPr>
    <w:rPr>
      <w:caps/>
      <w:sz w:val="28"/>
      <w:szCs w:val="40"/>
    </w:rPr>
  </w:style>
  <w:style w:type="paragraph" w:customStyle="1" w:styleId="Partref">
    <w:name w:val="Part_ref"/>
    <w:basedOn w:val="Normal"/>
    <w:next w:val="Parttitle"/>
    <w:pPr>
      <w:keepNext/>
      <w:keepLines/>
      <w:spacing w:before="280"/>
      <w:jc w:val="center"/>
    </w:pPr>
  </w:style>
  <w:style w:type="paragraph" w:customStyle="1" w:styleId="Parttitle">
    <w:name w:val="Part_title"/>
    <w:basedOn w:val="Normal"/>
    <w:next w:val="Normalaftertitle"/>
    <w:pPr>
      <w:keepNext/>
      <w:keepLines/>
      <w:spacing w:before="240" w:after="280"/>
      <w:jc w:val="center"/>
    </w:pPr>
    <w:rPr>
      <w:rFonts w:ascii="Times New Roman Bold" w:hAnsi="Times New Roman Bold"/>
      <w:b/>
      <w:sz w:val="28"/>
      <w:szCs w:val="40"/>
    </w:rPr>
  </w:style>
  <w:style w:type="paragraph" w:customStyle="1" w:styleId="Section1">
    <w:name w:val="Section_1"/>
    <w:basedOn w:val="Normal"/>
    <w:next w:val="Normal"/>
    <w:pPr>
      <w:tabs>
        <w:tab w:val="clear" w:pos="794"/>
        <w:tab w:val="clear" w:pos="1191"/>
        <w:tab w:val="clear" w:pos="1588"/>
        <w:tab w:val="clear" w:pos="1985"/>
      </w:tabs>
      <w:spacing w:before="624"/>
      <w:jc w:val="center"/>
    </w:pPr>
    <w:rPr>
      <w:b/>
    </w:rPr>
  </w:style>
  <w:style w:type="paragraph" w:customStyle="1" w:styleId="Recref">
    <w:name w:val="Rec_ref"/>
    <w:basedOn w:val="Normal"/>
    <w:next w:val="Recdate"/>
    <w:pPr>
      <w:keepNext/>
      <w:keepLines/>
      <w:tabs>
        <w:tab w:val="clear" w:pos="794"/>
        <w:tab w:val="clear" w:pos="1191"/>
        <w:tab w:val="clear" w:pos="1588"/>
        <w:tab w:val="clear" w:pos="1985"/>
      </w:tabs>
      <w:jc w:val="center"/>
    </w:pPr>
    <w:rPr>
      <w:i/>
    </w:rPr>
  </w:style>
  <w:style w:type="paragraph" w:customStyle="1" w:styleId="Recdate">
    <w:name w:val="Rec_date"/>
    <w:basedOn w:val="Normal"/>
    <w:next w:val="Normalaftertitle"/>
    <w:pPr>
      <w:keepNext/>
      <w:keepLines/>
      <w:tabs>
        <w:tab w:val="clear" w:pos="794"/>
        <w:tab w:val="clear" w:pos="1191"/>
        <w:tab w:val="clear" w:pos="1588"/>
        <w:tab w:val="clear" w:pos="1985"/>
      </w:tabs>
      <w:jc w:val="right"/>
    </w:pPr>
    <w:rPr>
      <w:i/>
    </w:rPr>
  </w:style>
  <w:style w:type="paragraph" w:customStyle="1" w:styleId="Questiondate">
    <w:name w:val="Question_date"/>
    <w:basedOn w:val="Recdate"/>
    <w:next w:val="Normalaftertitle"/>
  </w:style>
  <w:style w:type="paragraph" w:customStyle="1" w:styleId="QuestionNo">
    <w:name w:val="Question_No"/>
    <w:basedOn w:val="RecNo"/>
    <w:next w:val="Questiontitle"/>
    <w:rPr>
      <w:sz w:val="26"/>
      <w:szCs w:val="36"/>
    </w:rPr>
  </w:style>
  <w:style w:type="paragraph" w:customStyle="1" w:styleId="RecNo">
    <w:name w:val="Rec_No"/>
    <w:basedOn w:val="Normal"/>
    <w:next w:val="Rectitle"/>
    <w:pPr>
      <w:keepNext/>
      <w:keepLines/>
      <w:spacing w:before="0"/>
    </w:pPr>
    <w:rPr>
      <w:rFonts w:ascii="Times New Roman Bold" w:hAnsi="Times New Roman Bold"/>
      <w:b/>
      <w:sz w:val="28"/>
      <w:szCs w:val="40"/>
    </w:rPr>
  </w:style>
  <w:style w:type="paragraph" w:customStyle="1" w:styleId="Rectitle">
    <w:name w:val="Rec_title"/>
    <w:basedOn w:val="Normal"/>
    <w:next w:val="Normalaftertitle"/>
    <w:pPr>
      <w:keepNext/>
      <w:keepLines/>
      <w:spacing w:before="360"/>
      <w:jc w:val="center"/>
    </w:pPr>
    <w:rPr>
      <w:rFonts w:ascii="Times New Roman Bold" w:hAnsi="Times New Roman Bold"/>
      <w:b/>
      <w:sz w:val="28"/>
      <w:szCs w:val="40"/>
    </w:rPr>
  </w:style>
  <w:style w:type="paragraph" w:customStyle="1" w:styleId="Questiontitle">
    <w:name w:val="Question_title"/>
    <w:basedOn w:val="Rectitle"/>
    <w:next w:val="Questionref"/>
  </w:style>
  <w:style w:type="paragraph" w:customStyle="1" w:styleId="Questionref">
    <w:name w:val="Question_ref"/>
    <w:basedOn w:val="Recref"/>
    <w:next w:val="Questiondate"/>
  </w:style>
  <w:style w:type="paragraph" w:customStyle="1" w:styleId="Reftext">
    <w:name w:val="Ref_text"/>
    <w:basedOn w:val="Normal"/>
    <w:pPr>
      <w:ind w:left="794" w:right="794" w:hanging="794"/>
    </w:pPr>
  </w:style>
  <w:style w:type="paragraph" w:customStyle="1" w:styleId="Repdate">
    <w:name w:val="Rep_date"/>
    <w:basedOn w:val="Recdate"/>
    <w:next w:val="Normalaftertitle"/>
  </w:style>
  <w:style w:type="paragraph" w:customStyle="1" w:styleId="RepNo">
    <w:name w:val="Rep_No"/>
    <w:basedOn w:val="RecNo"/>
    <w:next w:val="Reptitle"/>
  </w:style>
  <w:style w:type="paragraph" w:customStyle="1" w:styleId="Reptitle">
    <w:name w:val="Rep_title"/>
    <w:basedOn w:val="Rectitle"/>
    <w:next w:val="Repref"/>
  </w:style>
  <w:style w:type="paragraph" w:customStyle="1" w:styleId="Repref">
    <w:name w:val="Rep_ref"/>
    <w:basedOn w:val="Recref"/>
    <w:next w:val="Repdate"/>
  </w:style>
  <w:style w:type="paragraph" w:customStyle="1" w:styleId="Resdate">
    <w:name w:val="Res_date"/>
    <w:basedOn w:val="Recdate"/>
    <w:next w:val="Normalaftertitle"/>
  </w:style>
  <w:style w:type="paragraph" w:customStyle="1" w:styleId="ResNo">
    <w:name w:val="Res_No"/>
    <w:basedOn w:val="RecNo"/>
    <w:next w:val="Restitle"/>
  </w:style>
  <w:style w:type="paragraph" w:customStyle="1" w:styleId="Restitle">
    <w:name w:val="Res_title"/>
    <w:basedOn w:val="Rectitle"/>
    <w:next w:val="Resref"/>
  </w:style>
  <w:style w:type="paragraph" w:customStyle="1" w:styleId="Resref">
    <w:name w:val="Res_ref"/>
    <w:basedOn w:val="Recref"/>
    <w:next w:val="Resdate"/>
  </w:style>
  <w:style w:type="paragraph" w:customStyle="1" w:styleId="SectionNo">
    <w:name w:val="Section_No"/>
    <w:basedOn w:val="Normal"/>
    <w:next w:val="Sectiontitle"/>
    <w:pPr>
      <w:keepNext/>
      <w:keepLines/>
      <w:spacing w:before="480" w:after="80"/>
      <w:jc w:val="center"/>
    </w:pPr>
    <w:rPr>
      <w:caps/>
      <w:sz w:val="28"/>
      <w:szCs w:val="40"/>
    </w:rPr>
  </w:style>
  <w:style w:type="paragraph" w:customStyle="1" w:styleId="Sectiontitle">
    <w:name w:val="Section_title"/>
    <w:basedOn w:val="Normal"/>
    <w:next w:val="Normalaftertitle"/>
    <w:pPr>
      <w:keepNext/>
      <w:keepLines/>
      <w:spacing w:before="480" w:after="280"/>
      <w:jc w:val="center"/>
    </w:pPr>
    <w:rPr>
      <w:rFonts w:ascii="Times New Roman Bold" w:hAnsi="Times New Roman Bold"/>
      <w:b/>
      <w:sz w:val="28"/>
      <w:szCs w:val="40"/>
    </w:rPr>
  </w:style>
  <w:style w:type="paragraph" w:customStyle="1" w:styleId="Source">
    <w:name w:val="Source"/>
    <w:basedOn w:val="Normal"/>
    <w:next w:val="Normalaftertitle"/>
    <w:pPr>
      <w:spacing w:before="840" w:after="200"/>
      <w:jc w:val="center"/>
    </w:pPr>
    <w:rPr>
      <w:rFonts w:ascii="Times New Roman Bold" w:hAnsi="Times New Roman Bold"/>
      <w:b/>
      <w:sz w:val="28"/>
      <w:szCs w:val="40"/>
    </w:rPr>
  </w:style>
  <w:style w:type="paragraph" w:customStyle="1" w:styleId="SpecialFooter">
    <w:name w:val="Special Footer"/>
    <w:basedOn w:val="Footer"/>
    <w:pPr>
      <w:tabs>
        <w:tab w:val="left" w:pos="567"/>
        <w:tab w:val="left" w:pos="1134"/>
        <w:tab w:val="left" w:pos="1701"/>
        <w:tab w:val="left" w:pos="2268"/>
        <w:tab w:val="left" w:pos="2835"/>
      </w:tabs>
    </w:pPr>
    <w:rPr>
      <w:caps w:val="0"/>
      <w:noProof w:val="0"/>
    </w:rPr>
  </w:style>
  <w:style w:type="paragraph" w:customStyle="1" w:styleId="Tablehead">
    <w:name w:val="Table_head"/>
    <w:basedOn w:val="Normal"/>
    <w:next w:val="Tabletex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rPr>
  </w:style>
  <w:style w:type="paragraph" w:customStyle="1" w:styleId="Tablelegend">
    <w:name w:val="Table_legend"/>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pPr>
  </w:style>
  <w:style w:type="character" w:styleId="EndnoteReference">
    <w:name w:val="endnote reference"/>
    <w:basedOn w:val="DefaultParagraphFont"/>
    <w:semiHidden/>
    <w:rPr>
      <w:vertAlign w:val="superscript"/>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itle1">
    <w:name w:val="Title 1"/>
    <w:basedOn w:val="Source"/>
    <w:next w:val="Title2"/>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style>
  <w:style w:type="paragraph" w:customStyle="1" w:styleId="Title3">
    <w:name w:val="Title 3"/>
    <w:basedOn w:val="Title2"/>
    <w:next w:val="Title4"/>
    <w:rPr>
      <w:caps w:val="0"/>
    </w:rPr>
  </w:style>
  <w:style w:type="paragraph" w:customStyle="1" w:styleId="Title4">
    <w:name w:val="Title 4"/>
    <w:basedOn w:val="Title3"/>
    <w:next w:val="Heading1"/>
    <w:rPr>
      <w:b/>
    </w:rPr>
  </w:style>
  <w:style w:type="paragraph" w:customStyle="1" w:styleId="toc0">
    <w:name w:val="toc 0"/>
    <w:basedOn w:val="Normal"/>
    <w:next w:val="TOC1"/>
    <w:pPr>
      <w:tabs>
        <w:tab w:val="clear" w:pos="794"/>
        <w:tab w:val="clear" w:pos="1191"/>
        <w:tab w:val="clear" w:pos="1588"/>
        <w:tab w:val="clear" w:pos="1985"/>
        <w:tab w:val="right" w:pos="9639"/>
      </w:tabs>
    </w:pPr>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bidi w:val="0"/>
      <w:spacing w:before="240" w:line="240" w:lineRule="auto"/>
      <w:ind w:left="680" w:right="851" w:hanging="680"/>
      <w:jc w:val="left"/>
    </w:pPr>
    <w:rPr>
      <w:rFonts w:cs="Times New Roman"/>
      <w:sz w:val="24"/>
      <w:szCs w:val="20"/>
    </w:rPr>
  </w:style>
  <w:style w:type="paragraph" w:styleId="TOC2">
    <w:name w:val="toc 2"/>
    <w:basedOn w:val="TOC1"/>
    <w:semiHidden/>
    <w:pPr>
      <w:spacing w:before="80"/>
      <w:ind w:left="1531" w:righ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character" w:customStyle="1" w:styleId="Appdef">
    <w:name w:val="App_def"/>
    <w:basedOn w:val="DefaultParagraphFont"/>
    <w:rPr>
      <w:rFonts w:ascii="Times New Roman" w:hAnsi="Times New Roman"/>
      <w:b/>
    </w:rPr>
  </w:style>
  <w:style w:type="character" w:customStyle="1" w:styleId="Appref">
    <w:name w:val="App_ref"/>
    <w:basedOn w:val="DefaultParagraphFont"/>
  </w:style>
  <w:style w:type="character" w:customStyle="1" w:styleId="Artdef">
    <w:name w:val="Art_def"/>
    <w:basedOn w:val="DefaultParagraphFont"/>
    <w:rPr>
      <w:rFonts w:ascii="Times New Roman" w:hAnsi="Times New Roman"/>
      <w:b/>
    </w:rPr>
  </w:style>
  <w:style w:type="character" w:customStyle="1" w:styleId="Artref">
    <w:name w:val="Art_ref"/>
    <w:basedOn w:val="DefaultParagraphFont"/>
  </w:style>
  <w:style w:type="paragraph" w:customStyle="1" w:styleId="Reftitle">
    <w:name w:val="Ref_title"/>
    <w:basedOn w:val="Normal"/>
    <w:next w:val="Reftext"/>
    <w:pPr>
      <w:spacing w:before="480"/>
      <w:jc w:val="center"/>
    </w:pPr>
    <w:rPr>
      <w:b/>
    </w:rPr>
  </w:style>
  <w:style w:type="character" w:customStyle="1" w:styleId="Resdef">
    <w:name w:val="Res_def"/>
    <w:basedOn w:val="DefaultParagraphFont"/>
    <w:rPr>
      <w:rFonts w:ascii="Times New Roman" w:hAnsi="Times New Roman"/>
      <w:b/>
    </w:rPr>
  </w:style>
  <w:style w:type="character" w:customStyle="1" w:styleId="Tablefreq">
    <w:name w:val="Table_freq"/>
    <w:basedOn w:val="DefaultParagraphFont"/>
    <w:rPr>
      <w:b/>
      <w:color w:val="auto"/>
    </w:rPr>
  </w:style>
  <w:style w:type="paragraph" w:customStyle="1" w:styleId="Formal">
    <w:name w:val="Formal"/>
    <w:basedOn w:val="ASN1"/>
    <w:rPr>
      <w:b w:val="0"/>
    </w:rPr>
  </w:style>
  <w:style w:type="paragraph" w:customStyle="1" w:styleId="FooterQP">
    <w:name w:val="Footer_QP"/>
    <w:basedOn w:val="Normal"/>
    <w:pPr>
      <w:tabs>
        <w:tab w:val="clear" w:pos="794"/>
        <w:tab w:val="clear" w:pos="1191"/>
        <w:tab w:val="clear" w:pos="1588"/>
        <w:tab w:val="clear" w:pos="1985"/>
        <w:tab w:val="left" w:pos="907"/>
        <w:tab w:val="right" w:pos="8789"/>
        <w:tab w:val="right" w:pos="9639"/>
      </w:tabs>
      <w:spacing w:before="0"/>
    </w:pPr>
    <w:rPr>
      <w:b/>
    </w:rPr>
  </w:style>
  <w:style w:type="paragraph" w:customStyle="1" w:styleId="Headingb">
    <w:name w:val="Heading_b"/>
    <w:basedOn w:val="Normal"/>
    <w:next w:val="Normal"/>
    <w:pPr>
      <w:keepNext/>
      <w:spacing w:before="160"/>
    </w:pPr>
    <w:rPr>
      <w:b/>
    </w:rPr>
  </w:style>
  <w:style w:type="paragraph" w:customStyle="1" w:styleId="Section2">
    <w:name w:val="Section_2"/>
    <w:basedOn w:val="Normal"/>
    <w:next w:val="Normal"/>
    <w:pPr>
      <w:tabs>
        <w:tab w:val="clear" w:pos="794"/>
        <w:tab w:val="clear" w:pos="1191"/>
        <w:tab w:val="clear" w:pos="1588"/>
        <w:tab w:val="clear" w:pos="1985"/>
      </w:tabs>
      <w:spacing w:before="240"/>
      <w:jc w:val="center"/>
    </w:pPr>
    <w:rPr>
      <w:i/>
    </w:rPr>
  </w:style>
  <w:style w:type="paragraph" w:customStyle="1" w:styleId="RecNoBR">
    <w:name w:val="Rec_No_BR"/>
    <w:basedOn w:val="Normal"/>
    <w:next w:val="Rectitle"/>
    <w:pPr>
      <w:keepNext/>
      <w:keepLines/>
      <w:spacing w:before="480"/>
      <w:jc w:val="center"/>
    </w:pPr>
    <w:rPr>
      <w:caps/>
      <w:sz w:val="28"/>
      <w:szCs w:val="40"/>
    </w:rPr>
  </w:style>
  <w:style w:type="paragraph" w:customStyle="1" w:styleId="QuestionNoBR">
    <w:name w:val="Question_No_BR"/>
    <w:basedOn w:val="RecNoBR"/>
    <w:next w:val="Questiontitle"/>
  </w:style>
  <w:style w:type="paragraph" w:customStyle="1" w:styleId="RepNoBR">
    <w:name w:val="Rep_No_BR"/>
    <w:basedOn w:val="RecNoBR"/>
    <w:next w:val="Reptitle"/>
  </w:style>
  <w:style w:type="paragraph" w:customStyle="1" w:styleId="ResNoBR">
    <w:name w:val="Res_No_BR"/>
    <w:basedOn w:val="RecNoBR"/>
    <w:next w:val="Restitle"/>
  </w:style>
  <w:style w:type="paragraph" w:customStyle="1" w:styleId="TabletitleBR">
    <w:name w:val="Table_title_BR"/>
    <w:basedOn w:val="Normal"/>
    <w:next w:val="Tablehead"/>
    <w:pPr>
      <w:keepNext/>
      <w:keepLines/>
      <w:spacing w:before="0" w:after="120"/>
      <w:jc w:val="center"/>
    </w:pPr>
    <w:rPr>
      <w:b/>
    </w:rPr>
  </w:style>
  <w:style w:type="paragraph" w:customStyle="1" w:styleId="TableNoBR">
    <w:name w:val="Table_No_BR"/>
    <w:basedOn w:val="Normal"/>
    <w:next w:val="TabletitleBR"/>
    <w:pPr>
      <w:keepNext/>
      <w:spacing w:before="560" w:after="120"/>
      <w:jc w:val="center"/>
    </w:pPr>
    <w:rPr>
      <w:caps/>
    </w:rPr>
  </w:style>
  <w:style w:type="paragraph" w:customStyle="1" w:styleId="Tableref">
    <w:name w:val="Table_ref"/>
    <w:basedOn w:val="Normal"/>
    <w:next w:val="TabletitleBR"/>
    <w:pPr>
      <w:keepNext/>
      <w:spacing w:before="0" w:after="120"/>
      <w:jc w:val="center"/>
    </w:pPr>
  </w:style>
  <w:style w:type="character" w:customStyle="1" w:styleId="Recdef">
    <w:name w:val="Rec_def"/>
    <w:basedOn w:val="DefaultParagraphFont"/>
    <w:rPr>
      <w:b/>
    </w:rPr>
  </w:style>
  <w:style w:type="paragraph" w:customStyle="1" w:styleId="FiguretitleBR">
    <w:name w:val="Figure_title_BR"/>
    <w:basedOn w:val="TabletitleBR"/>
    <w:next w:val="Figurewithouttitle"/>
    <w:pPr>
      <w:keepNext w:val="0"/>
      <w:spacing w:after="480"/>
    </w:pPr>
  </w:style>
  <w:style w:type="paragraph" w:customStyle="1" w:styleId="FigureNoBR">
    <w:name w:val="Figure_No_BR"/>
    <w:basedOn w:val="Normal"/>
    <w:next w:val="FiguretitleBR"/>
    <w:pPr>
      <w:keepNext/>
      <w:keepLines/>
      <w:spacing w:before="480" w:after="120"/>
      <w:jc w:val="center"/>
    </w:pPr>
    <w:rPr>
      <w:caps/>
    </w:rPr>
  </w:style>
  <w:style w:type="table" w:styleId="TableGrid">
    <w:name w:val="Table Grid"/>
    <w:basedOn w:val="TableNormal"/>
    <w:rsid w:val="007358FA"/>
    <w:pPr>
      <w:tabs>
        <w:tab w:val="left" w:pos="794"/>
        <w:tab w:val="left" w:pos="1191"/>
        <w:tab w:val="left" w:pos="1588"/>
        <w:tab w:val="left" w:pos="1985"/>
      </w:tabs>
      <w:overflowPunct w:val="0"/>
      <w:autoSpaceDE w:val="0"/>
      <w:autoSpaceDN w:val="0"/>
      <w:bidi/>
      <w:adjustRightInd w:val="0"/>
      <w:spacing w:before="120" w:line="192" w:lineRule="auto"/>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pawin\Application%20Data\Microsoft\Templates\POOL%20A%20-%20ITU\PA_POO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PA_POOL.DOT</Template>
  <TotalTime>1</TotalTime>
  <Pages>2</Pages>
  <Words>379</Words>
  <Characters>1929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INTERNATIONAL TELECOMMUNICATION UNION	</vt:lpstr>
    </vt:vector>
  </TitlesOfParts>
  <Company>ITU</Company>
  <LinksUpToDate>false</LinksUpToDate>
  <CharactersWithSpaces>2304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TELECOMMUNICATION UNION</dc:title>
  <dc:creator>POOL</dc:creator>
  <cp:lastModifiedBy>Al-Yammouni, Hala</cp:lastModifiedBy>
  <cp:revision>4</cp:revision>
  <cp:lastPrinted>2005-10-28T14:23:00Z</cp:lastPrinted>
  <dcterms:created xsi:type="dcterms:W3CDTF">2012-09-07T09:16:00Z</dcterms:created>
  <dcterms:modified xsi:type="dcterms:W3CDTF">2012-09-10T14:31:00Z</dcterms:modified>
</cp:coreProperties>
</file>