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rsidR="000A21A1" w:rsidRDefault="000A21A1">
      <w:pPr>
        <w:pStyle w:val="Heading2"/>
        <w:jc w:val="center"/>
        <w:rPr>
          <w:color w:val="000000"/>
          <w:lang w:val="es-ES_tradnl"/>
        </w:rPr>
      </w:pPr>
      <w:r w:rsidRPr="00CC4FCD">
        <w:rPr>
          <w:color w:val="000000"/>
          <w:lang w:val="es-ES_tradnl"/>
        </w:rPr>
        <w:t xml:space="preserve">ARTÍCULO </w:t>
      </w:r>
      <w:r w:rsidR="000A1EF1" w:rsidRPr="00CC4FCD">
        <w:rPr>
          <w:color w:val="000000"/>
          <w:lang w:val="es-ES_tradnl"/>
        </w:rPr>
        <w:t xml:space="preserve"> </w:t>
      </w:r>
      <w:r w:rsidRPr="00CC4FCD">
        <w:rPr>
          <w:color w:val="000000"/>
          <w:lang w:val="es-ES_tradnl"/>
        </w:rPr>
        <w:t>5 del RR</w:t>
      </w:r>
    </w:p>
    <w:p w:rsidR="00AE5472" w:rsidRPr="00AE5472" w:rsidRDefault="00AE5472" w:rsidP="00AE5472">
      <w:pPr>
        <w:rPr>
          <w:lang w:val="es-ES_tradnl"/>
        </w:rPr>
      </w:pPr>
    </w:p>
    <w:p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rsidR="000A21A1" w:rsidRPr="00CC4FCD" w:rsidRDefault="000A21A1">
      <w:pPr>
        <w:pStyle w:val="Heading8"/>
        <w:rPr>
          <w:color w:val="000000"/>
          <w:lang w:val="es-ES_tradnl"/>
        </w:rPr>
      </w:pPr>
      <w:r w:rsidRPr="00CC4FCD">
        <w:rPr>
          <w:color w:val="000000"/>
          <w:lang w:val="es-ES_tradnl"/>
        </w:rPr>
        <w:t>5.36</w:t>
      </w:r>
    </w:p>
    <w:p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«a condición de obtener un acuerdo según el procedimiento previsto en el número </w:t>
      </w:r>
      <w:r w:rsidRPr="00CC4FCD">
        <w:rPr>
          <w:rStyle w:val="Artref"/>
          <w:b/>
          <w:bCs/>
          <w:color w:val="000000"/>
          <w:lang w:val="es-ES_tradnl"/>
        </w:rPr>
        <w:t>9.21</w:t>
      </w:r>
      <w:r w:rsidRPr="00CC4FCD">
        <w:rPr>
          <w:color w:val="000000"/>
          <w:lang w:val="es-ES_tradnl"/>
        </w:rPr>
        <w:t xml:space="preserve">». La Junta tuvo que indicar a la Oficina bajo qué categoría de atribución inscribiría una asignación del servicio al que se ha aplicado con éxito el procedimiento del número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 xml:space="preserve">El número </w:t>
      </w:r>
      <w:r w:rsidRPr="00CC4FCD">
        <w:rPr>
          <w:rStyle w:val="Artref"/>
          <w:b/>
          <w:bCs/>
          <w:color w:val="000000"/>
          <w:lang w:val="es-ES_tradnl"/>
        </w:rPr>
        <w:t>5.37</w:t>
      </w:r>
      <w:r w:rsidRPr="00CC4FCD">
        <w:rPr>
          <w:color w:val="000000"/>
          <w:lang w:val="es-ES_tradnl"/>
        </w:rPr>
        <w:t xml:space="preserve"> estipula que «si a una atribución adicional se le imponen otras restricciones ... se hacen constar tales restricciones en la correspondiente disposición del Cuadro».</w:t>
      </w:r>
    </w:p>
    <w:p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rsidR="000A21A1" w:rsidRPr="00CC4FCD" w:rsidRDefault="000A21A1">
      <w:pPr>
        <w:pStyle w:val="Heading8"/>
        <w:rPr>
          <w:color w:val="000000"/>
          <w:lang w:val="es-ES_tradnl"/>
        </w:rPr>
      </w:pPr>
      <w:r w:rsidRPr="00CC4FCD">
        <w:rPr>
          <w:color w:val="000000"/>
          <w:lang w:val="es-ES_tradnl"/>
        </w:rPr>
        <w:t>5.40</w:t>
      </w:r>
    </w:p>
    <w:p w:rsidR="000A21A1" w:rsidRPr="00CC4FCD"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rsidR="000A21A1" w:rsidRPr="00CC4FCD" w:rsidRDefault="000A1EF1" w:rsidP="000A1EF1">
      <w:pPr>
        <w:pStyle w:val="Heading8"/>
        <w:rPr>
          <w:lang w:val="es-ES_tradnl"/>
        </w:rPr>
      </w:pPr>
      <w:r w:rsidRPr="00CC4FCD">
        <w:rPr>
          <w:lang w:val="es-ES_tradnl"/>
        </w:rPr>
        <w:br w:type="page"/>
      </w:r>
      <w:r w:rsidR="000A21A1" w:rsidRPr="00CC4FCD">
        <w:rPr>
          <w:lang w:val="es-ES_tradnl"/>
        </w:rPr>
        <w:lastRenderedPageBreak/>
        <w:t>5.43</w:t>
      </w:r>
    </w:p>
    <w:p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rsidR="000A21A1" w:rsidRPr="00CC4FCD" w:rsidRDefault="000A21A1">
      <w:pPr>
        <w:rPr>
          <w:color w:val="000000"/>
          <w:lang w:val="es-ES_tradnl"/>
        </w:rPr>
      </w:pPr>
      <w:r w:rsidRPr="00CC4FCD">
        <w:rPr>
          <w:color w:val="000000"/>
          <w:lang w:val="es-ES_tradnl"/>
        </w:rPr>
        <w:t xml:space="preserve">Teniendo presente las diversas y complejas situaciones de atribución que se describen en las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rsidR="000A21A1" w:rsidRPr="00CC4FCD" w:rsidRDefault="000A21A1">
      <w:pPr>
        <w:pStyle w:val="Heading8"/>
        <w:rPr>
          <w:color w:val="000000"/>
          <w:lang w:val="es-ES_tradnl"/>
        </w:rPr>
      </w:pPr>
      <w:r w:rsidRPr="00CC4FCD">
        <w:rPr>
          <w:color w:val="000000"/>
          <w:lang w:val="es-ES_tradnl"/>
        </w:rPr>
        <w:t>5.43A</w:t>
      </w:r>
    </w:p>
    <w:p w:rsidR="000A21A1" w:rsidRPr="00CC4FCD" w:rsidRDefault="000A21A1" w:rsidP="00A36BBB">
      <w:pPr>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rsidR="000A21A1" w:rsidRPr="00CC4FCD" w:rsidRDefault="000A21A1">
      <w:pPr>
        <w:pStyle w:val="Heading8"/>
        <w:rPr>
          <w:color w:val="000000"/>
          <w:lang w:val="es-ES_tradnl"/>
        </w:rPr>
      </w:pPr>
      <w:r w:rsidRPr="00CC4FCD">
        <w:rPr>
          <w:color w:val="000000"/>
          <w:lang w:val="es-ES_tradnl"/>
        </w:rPr>
        <w:t>5.49</w:t>
      </w:r>
    </w:p>
    <w:p w:rsidR="000A21A1" w:rsidRPr="00CC4FCD" w:rsidRDefault="000A21A1">
      <w:pPr>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 13C del Registro Internacional de Frecuencias (Registro) todos los símbolos referentes a estos tipos de restricciones.</w:t>
      </w:r>
    </w:p>
    <w:p w:rsidR="000A21A1" w:rsidRPr="00CC4FCD" w:rsidRDefault="000A21A1">
      <w:pPr>
        <w:pStyle w:val="Heading8"/>
        <w:rPr>
          <w:color w:val="000000"/>
          <w:lang w:val="es-ES_tradnl"/>
        </w:rPr>
      </w:pPr>
      <w:r w:rsidRPr="00CC4FCD">
        <w:rPr>
          <w:color w:val="000000"/>
          <w:lang w:val="es-ES_tradnl"/>
        </w:rPr>
        <w:t>5.73</w:t>
      </w:r>
    </w:p>
    <w:p w:rsidR="000A21A1" w:rsidRPr="00CC4FCD" w:rsidRDefault="000A21A1">
      <w:pPr>
        <w:rPr>
          <w:color w:val="000000"/>
          <w:lang w:val="es-ES_tradnl"/>
        </w:rPr>
      </w:pPr>
      <w:r w:rsidRPr="00CC4FCD">
        <w:rPr>
          <w:color w:val="000000"/>
          <w:lang w:val="es-ES_tradnl"/>
        </w:rPr>
        <w:t>1</w:t>
      </w:r>
      <w:r w:rsidRPr="00CC4FCD">
        <w:rPr>
          <w:color w:val="000000"/>
          <w:lang w:val="es-ES_tradnl"/>
        </w:rPr>
        <w:tab/>
        <w:t>Esta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rsidR="00AB4CBA" w:rsidRPr="00CC4FCD" w:rsidRDefault="00AB4CBA" w:rsidP="009E216C">
      <w:pPr>
        <w:rPr>
          <w:color w:val="000000"/>
          <w:lang w:val="es-ES_tradnl"/>
        </w:rPr>
      </w:pPr>
      <w:r w:rsidRPr="00CC4FCD">
        <w:rPr>
          <w:color w:val="000000"/>
          <w:lang w:val="es-ES_tradnl"/>
        </w:rPr>
        <w:t>2</w:t>
      </w:r>
      <w:r w:rsidRPr="00CC4FCD">
        <w:rPr>
          <w:color w:val="000000"/>
          <w:lang w:val="es-ES_tradnl"/>
        </w:rPr>
        <w:tab/>
      </w:r>
      <w:r w:rsidRPr="00CC4FCD">
        <w:rPr>
          <w:i/>
          <w:color w:val="000000"/>
          <w:lang w:val="es-ES_tradnl"/>
        </w:rPr>
        <w:t>El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rsidR="000A21A1" w:rsidRPr="00CC4FCD" w:rsidRDefault="000A1EF1" w:rsidP="000A1EF1">
      <w:pPr>
        <w:pStyle w:val="Heading8"/>
        <w:rPr>
          <w:lang w:val="es-ES_tradnl"/>
        </w:rPr>
      </w:pPr>
      <w:r w:rsidRPr="00CC4FCD">
        <w:rPr>
          <w:lang w:val="es-ES_tradnl"/>
        </w:rPr>
        <w:br w:type="page"/>
      </w:r>
      <w:r w:rsidR="000A21A1" w:rsidRPr="00CC4FCD">
        <w:rPr>
          <w:lang w:val="es-ES_tradnl"/>
        </w:rPr>
        <w:lastRenderedPageBreak/>
        <w:t>5.149</w:t>
      </w:r>
    </w:p>
    <w:p w:rsidR="00AB4CBA" w:rsidRPr="00CC4FCD"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rsidR="000A21A1" w:rsidRPr="00CC4FCD" w:rsidRDefault="000A21A1" w:rsidP="000A1EF1">
      <w:pPr>
        <w:pStyle w:val="Heading8"/>
        <w:rPr>
          <w:lang w:val="es-ES_tradnl"/>
        </w:rPr>
      </w:pPr>
      <w:r w:rsidRPr="00CC4FCD">
        <w:rPr>
          <w:lang w:val="es-ES_tradnl"/>
        </w:rPr>
        <w:t>5.164</w:t>
      </w:r>
    </w:p>
    <w:p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rsidR="000A21A1" w:rsidRPr="00CC4FCD" w:rsidRDefault="000A21A1">
      <w:pPr>
        <w:pStyle w:val="Heading8"/>
        <w:rPr>
          <w:color w:val="000000"/>
          <w:lang w:val="es-ES_tradnl"/>
        </w:rPr>
      </w:pPr>
      <w:r w:rsidRPr="00CC4FCD">
        <w:rPr>
          <w:color w:val="000000"/>
          <w:lang w:val="es-ES_tradnl"/>
        </w:rPr>
        <w:t>5.172</w:t>
      </w:r>
    </w:p>
    <w:p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rsidR="005060FD" w:rsidRPr="00CC4FC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rsidR="000A21A1" w:rsidRPr="00CC4FCD" w:rsidRDefault="000A1EF1" w:rsidP="000A1EF1">
      <w:pPr>
        <w:pStyle w:val="Heading8"/>
        <w:rPr>
          <w:lang w:val="es-ES_tradnl"/>
        </w:rPr>
      </w:pPr>
      <w:r w:rsidRPr="00CC4FCD">
        <w:rPr>
          <w:lang w:val="es-ES_tradnl"/>
        </w:rPr>
        <w:br w:type="page"/>
      </w:r>
      <w:r w:rsidR="000A21A1" w:rsidRPr="00CC4FCD">
        <w:rPr>
          <w:lang w:val="es-ES_tradnl"/>
        </w:rPr>
        <w:lastRenderedPageBreak/>
        <w:t>5.233</w:t>
      </w:r>
    </w:p>
    <w:p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t>La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 xml:space="preserve">De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rsidR="000A21A1" w:rsidRPr="00CC4FCD" w:rsidRDefault="000A21A1" w:rsidP="0085392A">
      <w:pPr>
        <w:pStyle w:val="Heading8"/>
        <w:spacing w:before="360"/>
        <w:rPr>
          <w:color w:val="000000"/>
          <w:lang w:val="es-ES_tradnl"/>
        </w:rPr>
      </w:pPr>
      <w:r w:rsidRPr="00CC4FCD">
        <w:rPr>
          <w:color w:val="000000"/>
          <w:lang w:val="es-ES_tradnl"/>
        </w:rPr>
        <w:t>5.257</w:t>
      </w:r>
    </w:p>
    <w:p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t>La telemedida espacial queda limitada a las mediciones efectuadas en el vehículo espacial y éstas pueden:</w:t>
      </w:r>
    </w:p>
    <w:p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La condición «en su propio país»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rsidR="000A21A1" w:rsidRPr="00CC4FCD" w:rsidRDefault="000A21A1" w:rsidP="0085392A">
      <w:pPr>
        <w:pStyle w:val="Heading8"/>
        <w:spacing w:before="360"/>
        <w:rPr>
          <w:color w:val="000000"/>
          <w:lang w:val="es-ES_tradnl"/>
        </w:rPr>
      </w:pPr>
      <w:r w:rsidRPr="00CC4FCD">
        <w:rPr>
          <w:color w:val="000000"/>
          <w:lang w:val="es-ES_tradnl"/>
        </w:rPr>
        <w:t>5.281</w:t>
      </w:r>
    </w:p>
    <w:p w:rsidR="0024529F" w:rsidRPr="00CC4FCD" w:rsidRDefault="00490627" w:rsidP="000A1EF1">
      <w:pPr>
        <w:spacing w:line="250" w:lineRule="exact"/>
        <w:rPr>
          <w:color w:val="000000"/>
          <w:lang w:val="es-ES_tradnl"/>
        </w:rPr>
      </w:pPr>
      <w:r w:rsidRPr="00CC4FCD">
        <w:rPr>
          <w:rFonts w:ascii="TimesNewRoman" w:hAnsi="TimesNewRoman" w:cs="TimesNewRoman"/>
          <w:szCs w:val="24"/>
          <w:lang w:val="es-ES_tradnl"/>
        </w:rPr>
        <w:t xml:space="preserve">En relación con los </w:t>
      </w:r>
      <w:r w:rsidR="00B76779" w:rsidRPr="00CC4FCD">
        <w:rPr>
          <w:rFonts w:ascii="TimesNewRoman" w:hAnsi="TimesNewRoman" w:cs="TimesNewRoman"/>
          <w:szCs w:val="24"/>
          <w:lang w:val="es-ES_tradnl"/>
        </w:rPr>
        <w:t xml:space="preserve">departamentos </w:t>
      </w:r>
      <w:r w:rsidRPr="00CC4FCD">
        <w:rPr>
          <w:rFonts w:ascii="TimesNewRoman" w:hAnsi="TimesNewRoman" w:cs="TimesNewRoman"/>
          <w:szCs w:val="24"/>
          <w:lang w:val="es-ES_tradnl"/>
        </w:rPr>
        <w:t xml:space="preserve">y comunidades </w:t>
      </w:r>
      <w:r w:rsidR="00B76779" w:rsidRPr="00CC4FCD">
        <w:rPr>
          <w:rFonts w:ascii="TimesNewRoman" w:hAnsi="TimesNewRoman" w:cs="TimesNewRoman"/>
          <w:szCs w:val="24"/>
          <w:lang w:val="es-ES_tradnl"/>
        </w:rPr>
        <w:t xml:space="preserve">franceses </w:t>
      </w:r>
      <w:r w:rsidRPr="00CC4FCD">
        <w:rPr>
          <w:rFonts w:ascii="TimesNewRoman" w:hAnsi="TimesNewRoman" w:cs="TimesNewRoman"/>
          <w:szCs w:val="24"/>
          <w:lang w:val="es-ES_tradnl"/>
        </w:rPr>
        <w:t xml:space="preserve">de </w:t>
      </w:r>
      <w:r w:rsidR="00B76779" w:rsidRPr="00CC4FCD">
        <w:rPr>
          <w:rFonts w:ascii="TimesNewRoman" w:hAnsi="TimesNewRoman" w:cs="TimesNewRoman"/>
          <w:szCs w:val="24"/>
          <w:lang w:val="es-ES_tradnl"/>
        </w:rPr>
        <w:t xml:space="preserve">ultramar </w:t>
      </w:r>
      <w:r w:rsidRPr="00CC4FCD">
        <w:rPr>
          <w:rFonts w:ascii="TimesNewRoman" w:hAnsi="TimesNewRoman" w:cs="TimesNewRoman"/>
          <w:szCs w:val="24"/>
          <w:lang w:val="es-ES_tradnl"/>
        </w:rPr>
        <w:t xml:space="preserve">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rsidR="000A21A1" w:rsidRPr="00CC4FCD" w:rsidRDefault="000A21A1" w:rsidP="0085392A">
      <w:pPr>
        <w:pStyle w:val="Heading8"/>
        <w:spacing w:before="360"/>
        <w:rPr>
          <w:color w:val="000000"/>
          <w:lang w:val="es-ES_tradnl"/>
        </w:rPr>
      </w:pPr>
      <w:r w:rsidRPr="00CC4FCD">
        <w:rPr>
          <w:color w:val="000000"/>
          <w:lang w:val="es-ES_tradnl"/>
        </w:rPr>
        <w:t>5.291</w:t>
      </w:r>
    </w:p>
    <w:p w:rsidR="0024529F" w:rsidRPr="00CC4FCD" w:rsidRDefault="0024529F" w:rsidP="0024529F">
      <w:pPr>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rsidR="009030F2" w:rsidRPr="00CC4FCD" w:rsidRDefault="009E216C" w:rsidP="009E216C">
      <w:pPr>
        <w:pStyle w:val="Heading8"/>
        <w:rPr>
          <w:lang w:val="es-ES_tradnl"/>
        </w:rPr>
      </w:pPr>
      <w:r>
        <w:rPr>
          <w:lang w:val="es-ES_tradnl"/>
        </w:rPr>
        <w:br w:type="page"/>
      </w:r>
      <w:r w:rsidR="009030F2" w:rsidRPr="00CC4FCD">
        <w:rPr>
          <w:lang w:val="es-ES_tradnl"/>
        </w:rPr>
        <w:lastRenderedPageBreak/>
        <w:t>5.316A</w:t>
      </w:r>
    </w:p>
    <w:p w:rsidR="009030F2" w:rsidRPr="00CC4FCD" w:rsidRDefault="009030F2" w:rsidP="009030F2">
      <w:pPr>
        <w:rPr>
          <w:lang w:val="es-ES_tradnl"/>
        </w:rPr>
      </w:pPr>
      <w:r w:rsidRPr="00CC4FCD">
        <w:rPr>
          <w:lang w:val="es-ES_tradnl"/>
        </w:rPr>
        <w:t>1</w:t>
      </w:r>
      <w:r w:rsidRPr="00CC4FCD">
        <w:rPr>
          <w:lang w:val="es-ES_tradnl"/>
        </w:rPr>
        <w:tab/>
        <w:t>El término «interferencia inaceptable» referido a esta disposición no se define en ninguna parte del Reglamento de Radiocomunicaciones. La Junta considera que la evaluación de interferencia «aceptable» e interferencia «inaceptable» es un asunto de las administra</w:t>
      </w:r>
      <w:r w:rsidRPr="00CC4FCD">
        <w:rPr>
          <w:lang w:val="es-ES_tradnl"/>
        </w:rPr>
        <w:softHyphen/>
        <w:t xml:space="preserve">ciones implicadas y la Oficina no realizará ningún examen al respecto. Cuando se inscriba en el Registro, la asignación controlada por la situación de atribución del número </w:t>
      </w:r>
      <w:r w:rsidRPr="00CC4FCD">
        <w:rPr>
          <w:b/>
          <w:bCs/>
          <w:lang w:val="es-ES_tradnl"/>
        </w:rPr>
        <w:t>5.316A</w:t>
      </w:r>
      <w:r w:rsidRPr="00CC4FCD">
        <w:rPr>
          <w:lang w:val="es-ES_tradnl"/>
        </w:rPr>
        <w:t xml:space="preserve"> llevará el símbolo «R» en 13B2 («</w:t>
      </w:r>
      <w:r w:rsidRPr="00CC4FCD">
        <w:rPr>
          <w:i/>
          <w:iCs/>
          <w:lang w:val="es-ES_tradnl"/>
        </w:rPr>
        <w:t>Observaciones relativas a las conclusiones</w:t>
      </w:r>
      <w:r w:rsidRPr="00CC4FCD">
        <w:rPr>
          <w:lang w:val="es-ES_tradnl"/>
        </w:rPr>
        <w:t>») y el símbolo «RR5.316A» en 13B1 («</w:t>
      </w:r>
      <w:r w:rsidRPr="00CC4FCD">
        <w:rPr>
          <w:i/>
          <w:iCs/>
          <w:lang w:val="es-ES_tradnl"/>
        </w:rPr>
        <w:t>Referencia a las conclusiones</w:t>
      </w:r>
      <w:r w:rsidRPr="00CC4FCD">
        <w:rPr>
          <w:lang w:val="es-ES_tradnl"/>
        </w:rPr>
        <w:t>»), que indican que la inscripción y el estado de la asignación con respecto a otras administraciones se deriva del número </w:t>
      </w:r>
      <w:r w:rsidRPr="00CC4FCD">
        <w:rPr>
          <w:b/>
          <w:bCs/>
          <w:lang w:val="es-ES_tradnl"/>
        </w:rPr>
        <w:t>5.316A</w:t>
      </w:r>
      <w:r w:rsidRPr="00CC4FCD">
        <w:rPr>
          <w:lang w:val="es-ES_tradnl"/>
        </w:rPr>
        <w:t>.</w:t>
      </w:r>
    </w:p>
    <w:p w:rsidR="009030F2" w:rsidRPr="00CC4FCD" w:rsidRDefault="009030F2" w:rsidP="009E216C">
      <w:pPr>
        <w:rPr>
          <w:lang w:val="es-ES_tradnl"/>
        </w:rPr>
      </w:pPr>
      <w:r w:rsidRPr="00CC4FCD">
        <w:rPr>
          <w:lang w:val="es-ES_tradnl"/>
        </w:rPr>
        <w:t>2</w:t>
      </w:r>
      <w:r w:rsidRPr="00CC4FCD">
        <w:rPr>
          <w:lang w:val="es-ES_tradnl"/>
        </w:rPr>
        <w:tab/>
        <w:t xml:space="preserve">En el contexto de la aplicación del procedimiento del número </w:t>
      </w:r>
      <w:r w:rsidRPr="00CC4FCD">
        <w:rPr>
          <w:b/>
          <w:bCs/>
          <w:lang w:val="es-ES_tradnl"/>
        </w:rPr>
        <w:t>9.21</w:t>
      </w:r>
      <w:r w:rsidRPr="00CC4FCD">
        <w:rPr>
          <w:lang w:val="es-ES_tradnl"/>
        </w:rPr>
        <w:t xml:space="preserve"> a una asignación controlada por la situación de atribución del número </w:t>
      </w:r>
      <w:r w:rsidRPr="00CC4FCD">
        <w:rPr>
          <w:b/>
          <w:bCs/>
          <w:lang w:val="es-ES_tradnl"/>
        </w:rPr>
        <w:t>5.316A</w:t>
      </w:r>
      <w:r w:rsidRPr="00CC4FCD">
        <w:rPr>
          <w:lang w:val="es-ES_tradnl"/>
        </w:rPr>
        <w:t>, la identificación de las administraciones posiblemente afectadas con respecto a esas asignaciones en los servicios fijo y móvil, salvo móvil aeronáutico, se realizará utilizando las distancias de coordinación que figuran en el Cuadro</w:t>
      </w:r>
      <w:r w:rsidR="009E216C">
        <w:rPr>
          <w:lang w:val="es-ES_tradnl"/>
        </w:rPr>
        <w:t xml:space="preserve"> </w:t>
      </w:r>
      <w:r w:rsidRPr="00CC4FCD">
        <w:rPr>
          <w:lang w:val="es-ES_tradnl"/>
        </w:rPr>
        <w:t xml:space="preserve">2 de la Sección B6 de las Reglas de Procedimiento. En ausencia de criterios de protección del servicio de radionavegación aeronáutica contra el servicio móvil, la identificación de las administraciones posiblemente afectadas autorizadas a explotar el servicio de radionavegación aeronáutica con arreglo al número </w:t>
      </w:r>
      <w:r w:rsidRPr="00CC4FCD">
        <w:rPr>
          <w:b/>
          <w:bCs/>
          <w:lang w:val="es-ES_tradnl"/>
        </w:rPr>
        <w:t>5.312</w:t>
      </w:r>
      <w:r w:rsidRPr="00CC4FCD">
        <w:rPr>
          <w:lang w:val="es-ES_tradnl"/>
        </w:rPr>
        <w:t xml:space="preserve"> se llevaría provisional</w:t>
      </w:r>
      <w:r w:rsidRPr="00CC4FCD">
        <w:rPr>
          <w:lang w:val="es-ES_tradnl"/>
        </w:rPr>
        <w:softHyphen/>
        <w:t xml:space="preserve">mente a cabo utilizando los umbrales de coordinación, los datos de propagación y otras hipótesis contenidas en la Sección I del Anexo 4 al Acuerdo GE06, complementada con las Reglas de Procedimiento pertinentes que figuran en la Parte A10. Reconociendo el hecho de que los criterios de protección del Acuerdo GE06 no son plenamente adecuados proteger el servicio de radionavegación aeronáutica contra el servicio móvil, debería añadirse una nota a la Sección Especial </w:t>
      </w:r>
      <w:r w:rsidRPr="00CC4FCD">
        <w:rPr>
          <w:rFonts w:eastAsia="SimSun"/>
          <w:lang w:val="es-ES_tradnl" w:eastAsia="zh-CN"/>
        </w:rPr>
        <w:t>RR9.21/C</w:t>
      </w:r>
      <w:r w:rsidRPr="00CC4FCD">
        <w:rPr>
          <w:lang w:val="es-ES_tradnl"/>
        </w:rPr>
        <w:t xml:space="preserve"> que indique que la lista de administraciones identificadas por la Oficina como posiblemente afectadas es únicamente a título informativo y para ayudar a las administraciones.</w:t>
      </w:r>
    </w:p>
    <w:p w:rsidR="009030F2" w:rsidRPr="00CC4FCD" w:rsidRDefault="009030F2" w:rsidP="009030F2">
      <w:pPr>
        <w:rPr>
          <w:rFonts w:eastAsia="SimSun"/>
          <w:lang w:val="es-ES_tradnl" w:eastAsia="zh-CN"/>
        </w:rPr>
      </w:pPr>
      <w:r w:rsidRPr="00CC4FCD">
        <w:rPr>
          <w:lang w:val="es-ES_tradnl"/>
        </w:rPr>
        <w:t>3</w:t>
      </w:r>
      <w:r w:rsidRPr="00CC4FCD">
        <w:rPr>
          <w:lang w:val="es-ES_tradnl"/>
        </w:rPr>
        <w:tab/>
        <w:t xml:space="preserve">Si el procedimiento lo inicia la Administración de Lituania o la Administración de Polonia, las Administraciones de Bielorrusia y de la Federación de Rusia se indicarán como administraciones afectadas en la Sección Especial pertinente </w:t>
      </w:r>
      <w:r w:rsidRPr="00CC4FCD">
        <w:rPr>
          <w:rFonts w:eastAsia="SimSun"/>
          <w:lang w:val="es-ES_tradnl" w:eastAsia="zh-CN"/>
        </w:rPr>
        <w:t>(GE06 y/o RR9.21/C).</w:t>
      </w:r>
    </w:p>
    <w:p w:rsidR="008F6A8F" w:rsidRPr="00CC4FCD" w:rsidRDefault="008F6A8F" w:rsidP="009E216C">
      <w:pPr>
        <w:pStyle w:val="Heading8"/>
        <w:rPr>
          <w:color w:val="000000"/>
          <w:lang w:val="es-ES_tradnl"/>
        </w:rPr>
      </w:pPr>
      <w:r w:rsidRPr="00CC4FCD">
        <w:rPr>
          <w:color w:val="000000"/>
          <w:lang w:val="es-ES_tradnl"/>
        </w:rPr>
        <w:t>5.327A</w:t>
      </w:r>
    </w:p>
    <w:p w:rsidR="00894766" w:rsidRDefault="00894766" w:rsidP="009E216C">
      <w:pPr>
        <w:rPr>
          <w:color w:val="000000"/>
          <w:lang w:val="es-ES_tradnl"/>
        </w:rPr>
      </w:pPr>
      <w:r w:rsidRPr="00CC4FCD">
        <w:rPr>
          <w:color w:val="000000"/>
          <w:lang w:val="es-ES_tradnl"/>
        </w:rPr>
        <w:t xml:space="preserve">El Apéndice </w:t>
      </w:r>
      <w:r w:rsidRPr="00CC4FCD">
        <w:rPr>
          <w:b/>
          <w:bCs/>
          <w:color w:val="000000"/>
          <w:lang w:val="es-ES_tradnl"/>
        </w:rPr>
        <w:t>4</w:t>
      </w:r>
      <w:r w:rsidRPr="00CC4FCD">
        <w:rPr>
          <w:color w:val="000000"/>
          <w:lang w:val="es-ES_tradnl"/>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 (R) con respecto a su conformidad con esta disposición. Por otro lado, a la luz del </w:t>
      </w:r>
      <w:r w:rsidRPr="00CC4FCD">
        <w:rPr>
          <w:i/>
          <w:iCs/>
          <w:color w:val="000000"/>
          <w:lang w:val="es-ES_tradnl"/>
        </w:rPr>
        <w:t>resuelve</w:t>
      </w:r>
      <w:r w:rsidRPr="00CC4FCD">
        <w:rPr>
          <w:color w:val="000000"/>
          <w:lang w:val="es-ES_tradnl"/>
        </w:rPr>
        <w:t xml:space="preserve"> </w:t>
      </w:r>
      <w:r w:rsidRPr="00CC4FCD">
        <w:rPr>
          <w:i/>
          <w:iCs/>
          <w:color w:val="000000"/>
          <w:lang w:val="es-ES_tradnl"/>
        </w:rPr>
        <w:t>2</w:t>
      </w:r>
      <w:r w:rsidRPr="00CC4FCD">
        <w:rPr>
          <w:color w:val="000000"/>
          <w:lang w:val="es-ES_tradnl"/>
        </w:rPr>
        <w:t xml:space="preserve"> de la Resolución </w:t>
      </w:r>
      <w:r w:rsidRPr="00CC4FCD">
        <w:rPr>
          <w:b/>
          <w:bCs/>
          <w:color w:val="000000"/>
          <w:lang w:val="es-ES_tradnl"/>
        </w:rPr>
        <w:t>417 (CMR-07)</w:t>
      </w:r>
      <w:r w:rsidRPr="00CC4FCD">
        <w:rPr>
          <w:color w:val="000000"/>
          <w:lang w:val="es-ES_tradnl"/>
        </w:rPr>
        <w:t>, a la inscripción en el MIFR de las asignaciones de este tipo se asociará el símbolo «R» en la columna 13B2 (</w:t>
      </w:r>
      <w:r w:rsidRPr="00CC4FCD">
        <w:rPr>
          <w:i/>
          <w:iCs/>
          <w:color w:val="000000"/>
          <w:lang w:val="es-ES_tradnl"/>
        </w:rPr>
        <w:t>«Observaciones a la conclusión»</w:t>
      </w:r>
      <w:r w:rsidRPr="00CC4FCD">
        <w:rPr>
          <w:color w:val="000000"/>
          <w:lang w:val="es-ES_tradnl"/>
        </w:rPr>
        <w:t>) y el símbolo «RS417» en la columna 13B1 («</w:t>
      </w:r>
      <w:r w:rsidRPr="00CC4FCD">
        <w:rPr>
          <w:i/>
          <w:iCs/>
          <w:color w:val="000000"/>
          <w:lang w:val="es-ES_tradnl"/>
        </w:rPr>
        <w:t>Referencias de la conclusión</w:t>
      </w:r>
      <w:r w:rsidRPr="00CC4FCD">
        <w:rPr>
          <w:color w:val="000000"/>
          <w:lang w:val="es-ES_tradnl"/>
        </w:rPr>
        <w:t>»)</w:t>
      </w:r>
      <w:r w:rsidRPr="00590189">
        <w:rPr>
          <w:rStyle w:val="FootnoteReference"/>
          <w:color w:val="000000"/>
          <w:sz w:val="20"/>
          <w:lang w:val="es-ES_tradnl"/>
        </w:rPr>
        <w:footnoteReference w:customMarkFollows="1" w:id="1"/>
        <w:t>*</w:t>
      </w:r>
      <w:r w:rsidRPr="00CC4FCD">
        <w:rPr>
          <w:color w:val="000000"/>
          <w:lang w:val="es-ES_tradnl"/>
        </w:rPr>
        <w:t>.</w:t>
      </w:r>
    </w:p>
    <w:p w:rsidR="000A21A1" w:rsidRPr="00CC4FCD" w:rsidRDefault="009E216C">
      <w:pPr>
        <w:pStyle w:val="Heading8"/>
        <w:rPr>
          <w:color w:val="000000"/>
          <w:lang w:val="es-ES_tradnl"/>
        </w:rPr>
      </w:pPr>
      <w:r>
        <w:rPr>
          <w:color w:val="000000"/>
          <w:lang w:val="es-ES_tradnl"/>
        </w:rPr>
        <w:br w:type="page"/>
      </w:r>
      <w:r w:rsidR="000A21A1" w:rsidRPr="00CC4FCD">
        <w:rPr>
          <w:color w:val="000000"/>
          <w:lang w:val="es-ES_tradnl"/>
        </w:rPr>
        <w:lastRenderedPageBreak/>
        <w:t>5.329</w:t>
      </w:r>
    </w:p>
    <w:p w:rsidR="00894766" w:rsidRPr="00CC4FCD"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rsidR="008F6A8F" w:rsidRPr="00CC4FCD" w:rsidRDefault="008F6A8F" w:rsidP="008F6A8F">
      <w:pPr>
        <w:pStyle w:val="Heading8"/>
        <w:rPr>
          <w:color w:val="000000"/>
          <w:lang w:val="es-ES_tradnl"/>
        </w:rPr>
      </w:pPr>
      <w:r w:rsidRPr="00CC4FCD">
        <w:rPr>
          <w:color w:val="000000"/>
          <w:lang w:val="es-ES_tradnl"/>
        </w:rPr>
        <w:t>5.340</w:t>
      </w:r>
    </w:p>
    <w:p w:rsidR="00894766" w:rsidRPr="00CC4FCD"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rsidR="008F6A8F" w:rsidRPr="00CC4FCD" w:rsidRDefault="008F6A8F" w:rsidP="008F6A8F">
      <w:pPr>
        <w:pStyle w:val="Heading8"/>
        <w:rPr>
          <w:color w:val="000000"/>
          <w:lang w:val="es-ES_tradnl"/>
        </w:rPr>
      </w:pPr>
      <w:r w:rsidRPr="00CC4FCD">
        <w:rPr>
          <w:color w:val="000000"/>
          <w:lang w:val="es-ES_tradnl"/>
        </w:rPr>
        <w:t>5.351</w:t>
      </w:r>
    </w:p>
    <w:p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t xml:space="preserve">Esta disposición permite, como excepción a las definiciones contenidas en los números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t>La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t>Por consiguiente, la Junta decidió que las asignaciones notificadas a tenor de esta disposición recibirán una conclusión reglamentaria favorable.</w:t>
      </w:r>
    </w:p>
    <w:p w:rsidR="000A21A1" w:rsidRPr="00CC4FCD" w:rsidRDefault="000A21A1">
      <w:pPr>
        <w:pStyle w:val="Heading8"/>
        <w:rPr>
          <w:color w:val="000000"/>
          <w:lang w:val="es-ES_tradnl"/>
        </w:rPr>
      </w:pPr>
      <w:r w:rsidRPr="00CC4FCD">
        <w:rPr>
          <w:color w:val="000000"/>
          <w:lang w:val="es-ES_tradnl"/>
        </w:rPr>
        <w:t>5.357</w:t>
      </w:r>
    </w:p>
    <w:p w:rsidR="00B877B4" w:rsidRPr="00CC4FCD"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rsidR="000A21A1" w:rsidRPr="00CC4FCD" w:rsidRDefault="000A21A1">
      <w:pPr>
        <w:pStyle w:val="Heading8"/>
        <w:rPr>
          <w:color w:val="000000"/>
          <w:lang w:val="es-ES_tradnl"/>
        </w:rPr>
      </w:pPr>
      <w:r w:rsidRPr="00CC4FCD">
        <w:rPr>
          <w:color w:val="000000"/>
          <w:lang w:val="es-ES_tradnl"/>
        </w:rPr>
        <w:t>5.364</w:t>
      </w:r>
    </w:p>
    <w:p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(p.i.r.e.)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límite máximo de densidad de la p.i.r.e., y</w:t>
      </w:r>
    </w:p>
    <w:p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límite medio de densidad de la p.i.r.e.</w:t>
      </w:r>
    </w:p>
    <w:p w:rsidR="00B877B4" w:rsidRDefault="00B877B4" w:rsidP="00B877B4">
      <w:pPr>
        <w:rPr>
          <w:color w:val="000000"/>
          <w:lang w:val="es-ES_tradnl"/>
        </w:rPr>
      </w:pPr>
      <w:r w:rsidRPr="00CC4FCD">
        <w:rPr>
          <w:color w:val="000000"/>
          <w:lang w:val="es-ES_tradnl"/>
        </w:rPr>
        <w:t>El límite máximo de densidad de la p.i.r.e. se obtiene a partir de la densidad de potencia máxima de la asignación, tal como fue presentada por la administración responsable.</w:t>
      </w:r>
    </w:p>
    <w:p w:rsidR="009E216C" w:rsidRPr="00CC4FCD" w:rsidRDefault="009E216C" w:rsidP="00B877B4">
      <w:pPr>
        <w:rPr>
          <w:color w:val="000000"/>
          <w:lang w:val="es-ES_tradnl"/>
        </w:rPr>
      </w:pPr>
    </w:p>
    <w:p w:rsidR="00B877B4" w:rsidRPr="00CC4FCD" w:rsidRDefault="009E216C" w:rsidP="009E216C">
      <w:pPr>
        <w:rPr>
          <w:color w:val="000000"/>
          <w:lang w:val="es-ES_tradnl"/>
        </w:rPr>
      </w:pPr>
      <w:r>
        <w:rPr>
          <w:color w:val="000000"/>
          <w:lang w:val="es-ES_tradnl"/>
        </w:rPr>
        <w:br w:type="page"/>
      </w:r>
      <w:r w:rsidR="00B877B4" w:rsidRPr="00CC4FCD">
        <w:rPr>
          <w:color w:val="000000"/>
          <w:lang w:val="es-ES_tradnl"/>
        </w:rPr>
        <w:lastRenderedPageBreak/>
        <w:t>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p.i.r.e. Esta p.i.r.e. media espectral se obtendrá a partir de la densidad de potencia media de una asignación, la que a su vez se obtiene a partir de su potencia total dividida por su anchura de banda necesaria y multiplicada por 4 kHz.</w:t>
      </w:r>
    </w:p>
    <w:p w:rsidR="000A21A1" w:rsidRPr="00CC4FCD" w:rsidRDefault="000A21A1" w:rsidP="009E216C">
      <w:pPr>
        <w:pStyle w:val="Heading8"/>
        <w:rPr>
          <w:color w:val="000000"/>
          <w:lang w:val="es-ES_tradnl"/>
        </w:rPr>
      </w:pPr>
      <w:r w:rsidRPr="00CC4FCD">
        <w:rPr>
          <w:color w:val="000000"/>
          <w:lang w:val="es-ES_tradnl"/>
        </w:rPr>
        <w:t>5.366</w:t>
      </w:r>
    </w:p>
    <w:p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al número </w:t>
      </w:r>
      <w:r w:rsidRPr="00CC4FCD">
        <w:rPr>
          <w:rStyle w:val="Artref"/>
          <w:b/>
          <w:bCs/>
          <w:color w:val="000000"/>
          <w:lang w:val="es-ES_tradnl"/>
        </w:rPr>
        <w:t>5.49</w:t>
      </w:r>
      <w:r w:rsidRPr="00CC4FCD">
        <w:rPr>
          <w:rStyle w:val="Artref"/>
          <w:b/>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«equipos electrónicos de ayuda a la navegación aérea instalados a bordo de aeronaves, así como de las instalaciones con base en tierra o a bordo de satélites directamente asociadas a dichos equipos».</w:t>
      </w:r>
    </w:p>
    <w:p w:rsidR="000A21A1" w:rsidRPr="00CC4FCD" w:rsidRDefault="000A21A1" w:rsidP="009E216C">
      <w:pPr>
        <w:pStyle w:val="Heading8"/>
        <w:rPr>
          <w:color w:val="000000"/>
          <w:lang w:val="es-ES_tradnl"/>
        </w:rPr>
      </w:pPr>
      <w:r w:rsidRPr="00CC4FCD">
        <w:rPr>
          <w:color w:val="000000"/>
          <w:lang w:val="es-ES_tradnl"/>
        </w:rPr>
        <w:t>5.376</w:t>
      </w:r>
    </w:p>
    <w:p w:rsidR="00B877B4" w:rsidRPr="00CC4FCD"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rsidR="000A21A1" w:rsidRPr="00CC4FCD" w:rsidRDefault="000A21A1" w:rsidP="009E216C">
      <w:pPr>
        <w:pStyle w:val="Heading8"/>
        <w:rPr>
          <w:lang w:val="es-ES_tradnl"/>
        </w:rPr>
      </w:pPr>
      <w:r w:rsidRPr="00CC4FCD">
        <w:rPr>
          <w:lang w:val="es-ES_tradnl"/>
        </w:rPr>
        <w:t>5.397</w:t>
      </w:r>
    </w:p>
    <w:p w:rsidR="008511E5" w:rsidRPr="00CC4FCD" w:rsidRDefault="008511E5" w:rsidP="008511E5">
      <w:pPr>
        <w:rPr>
          <w:color w:val="000000"/>
          <w:lang w:val="es-ES_tradnl"/>
        </w:rPr>
      </w:pPr>
      <w:r w:rsidRPr="00CC4FCD">
        <w:rPr>
          <w:color w:val="000000"/>
          <w:lang w:val="es-ES_tradnl"/>
        </w:rPr>
        <w:t>La Junta carece de medios para identificar a las administraciones interesadas y pide a la Oficina que trate las notificaciones de Francia de la siguiente manera:</w:t>
      </w:r>
    </w:p>
    <w:p w:rsidR="008511E5" w:rsidRPr="00CC4FCD" w:rsidRDefault="008511E5" w:rsidP="006C4EB2">
      <w:pPr>
        <w:pStyle w:val="enumlev1"/>
        <w:spacing w:before="60"/>
        <w:rPr>
          <w:color w:val="000000"/>
          <w:lang w:val="es-ES_tradnl"/>
        </w:rPr>
      </w:pPr>
      <w:r w:rsidRPr="00CC4FCD">
        <w:rPr>
          <w:color w:val="000000"/>
          <w:lang w:val="es-ES_tradnl"/>
        </w:rPr>
        <w:t>–</w:t>
      </w:r>
      <w:r w:rsidRPr="00CC4FCD">
        <w:rPr>
          <w:color w:val="000000"/>
          <w:lang w:val="es-ES_tradnl"/>
        </w:rPr>
        <w:tab/>
        <w:t>Las notificaciones completas de Francia recibirán una conclusión favorable en virtud del número </w:t>
      </w:r>
      <w:r w:rsidRPr="00CC4FCD">
        <w:rPr>
          <w:rStyle w:val="Artref"/>
          <w:b/>
          <w:bCs/>
          <w:color w:val="000000"/>
          <w:lang w:val="es-ES_tradnl"/>
        </w:rPr>
        <w:t>11.31</w:t>
      </w:r>
      <w:r w:rsidRPr="00CC4FCD">
        <w:rPr>
          <w:color w:val="000000"/>
          <w:lang w:val="es-ES_tradnl"/>
        </w:rPr>
        <w:t>, partiendo del supuesto de que, cuando en la notificación no se indica el acuerdo de un país B, ese acuerdo no se necesita.</w:t>
      </w:r>
    </w:p>
    <w:p w:rsidR="008511E5" w:rsidRPr="00CC4FCD" w:rsidRDefault="008511E5" w:rsidP="006C4EB2">
      <w:pPr>
        <w:pStyle w:val="enumlev1"/>
        <w:spacing w:before="60"/>
        <w:rPr>
          <w:color w:val="000000"/>
          <w:lang w:val="es-ES_tradnl"/>
        </w:rPr>
      </w:pPr>
      <w:r w:rsidRPr="00CC4FCD">
        <w:rPr>
          <w:color w:val="000000"/>
          <w:lang w:val="es-ES_tradnl"/>
        </w:rPr>
        <w:t>–</w:t>
      </w:r>
      <w:r w:rsidRPr="00CC4FCD">
        <w:rPr>
          <w:color w:val="000000"/>
          <w:lang w:val="es-ES_tradnl"/>
        </w:rPr>
        <w:tab/>
        <w:t>Si después de publicada la asignación, un país B se opone a la utilización notificada, la Oficina modificará su conclusión y pedirá a Francia que solicite el acuerdo del país B.</w:t>
      </w:r>
    </w:p>
    <w:p w:rsidR="000A21A1" w:rsidRPr="00CC4FCD" w:rsidRDefault="000A21A1" w:rsidP="009E216C">
      <w:pPr>
        <w:pStyle w:val="Heading8"/>
        <w:rPr>
          <w:color w:val="000000"/>
          <w:lang w:val="es-ES_tradnl"/>
        </w:rPr>
      </w:pPr>
      <w:r w:rsidRPr="00CC4FCD">
        <w:rPr>
          <w:color w:val="000000"/>
          <w:lang w:val="es-ES_tradnl"/>
        </w:rPr>
        <w:t>5.399</w:t>
      </w:r>
    </w:p>
    <w:p w:rsidR="008511E5" w:rsidRPr="00CC4FCD" w:rsidRDefault="008511E5" w:rsidP="008511E5">
      <w:pPr>
        <w:rPr>
          <w:color w:val="000000"/>
          <w:lang w:val="es-ES_tradnl"/>
        </w:rPr>
      </w:pPr>
      <w:r w:rsidRPr="00CC4FCD">
        <w:rPr>
          <w:color w:val="000000"/>
          <w:lang w:val="es-ES_tradnl"/>
        </w:rPr>
        <w:t>1</w:t>
      </w:r>
      <w:r w:rsidRPr="00CC4FCD">
        <w:rPr>
          <w:color w:val="000000"/>
          <w:lang w:val="es-ES_tradnl"/>
        </w:rPr>
        <w:tab/>
        <w:t>En esta disposición no se indica la banda de frecuencias en la que es aplicable. La Junta estima que se aplica en la banda 2</w:t>
      </w:r>
      <w:r w:rsidRPr="00CC4FCD">
        <w:rPr>
          <w:rFonts w:ascii="Tms Rmn" w:hAnsi="Tms Rmn"/>
          <w:color w:val="000000"/>
          <w:sz w:val="12"/>
          <w:lang w:val="es-ES_tradnl"/>
        </w:rPr>
        <w:t> </w:t>
      </w:r>
      <w:r w:rsidRPr="00CC4FCD">
        <w:rPr>
          <w:color w:val="000000"/>
          <w:lang w:val="es-ES_tradnl"/>
        </w:rPr>
        <w:t>483,5-2</w:t>
      </w:r>
      <w:r w:rsidRPr="00CC4FCD">
        <w:rPr>
          <w:rFonts w:ascii="Tms Rmn" w:hAnsi="Tms Rmn"/>
          <w:color w:val="000000"/>
          <w:sz w:val="12"/>
          <w:lang w:val="es-ES_tradnl"/>
        </w:rPr>
        <w:t> </w:t>
      </w:r>
      <w:r w:rsidRPr="00CC4FCD">
        <w:rPr>
          <w:color w:val="000000"/>
          <w:lang w:val="es-ES_tradnl"/>
        </w:rPr>
        <w:t>500 MHz.</w:t>
      </w:r>
    </w:p>
    <w:p w:rsidR="008511E5" w:rsidRPr="00CC4FCD" w:rsidRDefault="008511E5" w:rsidP="006C4EB2">
      <w:pPr>
        <w:spacing w:before="120"/>
        <w:rPr>
          <w:color w:val="000000"/>
          <w:lang w:val="es-ES_tradnl"/>
        </w:rPr>
      </w:pPr>
      <w:r w:rsidRPr="00CC4FCD">
        <w:rPr>
          <w:color w:val="000000"/>
          <w:lang w:val="es-ES_tradnl"/>
        </w:rPr>
        <w:t>2</w:t>
      </w:r>
      <w:r w:rsidRPr="00CC4FCD">
        <w:rPr>
          <w:color w:val="000000"/>
          <w:lang w:val="es-ES_tradnl"/>
        </w:rPr>
        <w:tab/>
        <w:t>Se aplican los comentarios de las Reglas de Procedimiento referentes al número </w:t>
      </w:r>
      <w:r w:rsidRPr="00CC4FCD">
        <w:rPr>
          <w:rStyle w:val="Artref"/>
          <w:b/>
          <w:bCs/>
          <w:color w:val="000000"/>
          <w:lang w:val="es-ES_tradnl"/>
        </w:rPr>
        <w:t>5.164</w:t>
      </w:r>
      <w:r w:rsidRPr="00CC4FCD">
        <w:rPr>
          <w:color w:val="000000"/>
          <w:lang w:val="es-ES_tradnl"/>
        </w:rPr>
        <w:t>.</w:t>
      </w:r>
    </w:p>
    <w:p w:rsidR="000A21A1" w:rsidRPr="00CC4FCD" w:rsidRDefault="000A21A1" w:rsidP="009E216C">
      <w:pPr>
        <w:pStyle w:val="Heading8"/>
        <w:rPr>
          <w:color w:val="000000"/>
          <w:lang w:val="es-ES_tradnl"/>
        </w:rPr>
      </w:pPr>
      <w:r w:rsidRPr="00CC4FCD">
        <w:rPr>
          <w:color w:val="000000"/>
          <w:lang w:val="es-ES_tradnl"/>
        </w:rPr>
        <w:t>5.410</w:t>
      </w:r>
    </w:p>
    <w:p w:rsidR="008511E5" w:rsidRPr="00CC4FCD" w:rsidRDefault="008511E5" w:rsidP="00E237E2">
      <w:pPr>
        <w:spacing w:before="120"/>
        <w:rPr>
          <w:color w:val="000000"/>
          <w:lang w:val="es-ES_tradnl"/>
        </w:rPr>
      </w:pPr>
      <w:r w:rsidRPr="00CC4FCD">
        <w:rPr>
          <w:color w:val="000000"/>
          <w:lang w:val="es-ES_tradnl"/>
        </w:rPr>
        <w:t>1</w:t>
      </w:r>
      <w:r w:rsidRPr="00CC4FCD">
        <w:rPr>
          <w:color w:val="000000"/>
          <w:lang w:val="es-ES_tradnl"/>
        </w:rPr>
        <w:tab/>
        <w:t>La primera frase de esta disposición somete la utilización de sistemas de dispersión troposférica en la banda 2</w:t>
      </w:r>
      <w:r w:rsidR="00180D7D" w:rsidRPr="00CC4FCD">
        <w:rPr>
          <w:rFonts w:ascii="Tms Rmn" w:hAnsi="Tms Rmn"/>
          <w:color w:val="000000"/>
          <w:sz w:val="12"/>
          <w:lang w:val="es-ES_tradnl"/>
        </w:rPr>
        <w:t> </w:t>
      </w:r>
      <w:r w:rsidRPr="00CC4FCD">
        <w:rPr>
          <w:color w:val="000000"/>
          <w:lang w:val="es-ES_tradnl"/>
        </w:rPr>
        <w:t>500-2</w:t>
      </w:r>
      <w:r w:rsidR="00180D7D" w:rsidRPr="00CC4FCD">
        <w:rPr>
          <w:rFonts w:ascii="Tms Rmn" w:hAnsi="Tms Rmn"/>
          <w:color w:val="000000"/>
          <w:sz w:val="12"/>
          <w:lang w:val="es-ES_tradnl"/>
        </w:rPr>
        <w:t> </w:t>
      </w:r>
      <w:r w:rsidRPr="00CC4FCD">
        <w:rPr>
          <w:color w:val="000000"/>
          <w:lang w:val="es-ES_tradnl"/>
        </w:rPr>
        <w:t>690 MHz en la Región 1 a la aplicación del proce</w:t>
      </w:r>
      <w:r w:rsidR="00E237E2" w:rsidRPr="00CC4FCD">
        <w:rPr>
          <w:color w:val="000000"/>
          <w:lang w:val="es-ES_tradnl"/>
        </w:rPr>
        <w:softHyphen/>
      </w:r>
      <w:r w:rsidRPr="00CC4FCD">
        <w:rPr>
          <w:color w:val="000000"/>
          <w:lang w:val="es-ES_tradnl"/>
        </w:rPr>
        <w:t xml:space="preserve">dimiento del número </w:t>
      </w:r>
      <w:r w:rsidRPr="00CC4FCD">
        <w:rPr>
          <w:b/>
          <w:bCs/>
          <w:color w:val="000000"/>
          <w:lang w:val="es-ES_tradnl"/>
        </w:rPr>
        <w:t>9.21</w:t>
      </w:r>
      <w:r w:rsidRPr="00CC4FCD">
        <w:rPr>
          <w:color w:val="000000"/>
          <w:lang w:val="es-ES_tradnl"/>
        </w:rPr>
        <w:t>. La utilización de sistemas de dispersión troposférica en esta banda en las Regiones 2 y</w:t>
      </w:r>
      <w:r w:rsidR="00E237E2" w:rsidRPr="00CC4FCD">
        <w:rPr>
          <w:color w:val="000000"/>
          <w:lang w:val="es-ES_tradnl"/>
        </w:rPr>
        <w:t xml:space="preserve"> </w:t>
      </w:r>
      <w:r w:rsidRPr="00CC4FCD">
        <w:rPr>
          <w:color w:val="000000"/>
          <w:lang w:val="es-ES_tradnl"/>
        </w:rPr>
        <w:t>3 no está sometida a la misma obligación siempre y cuando el enlace esté situado enteramente en las Regiones</w:t>
      </w:r>
      <w:r w:rsidR="00E237E2" w:rsidRPr="00CC4FCD">
        <w:rPr>
          <w:color w:val="000000"/>
          <w:lang w:val="es-ES_tradnl"/>
        </w:rPr>
        <w:t> </w:t>
      </w:r>
      <w:r w:rsidRPr="00CC4FCD">
        <w:rPr>
          <w:color w:val="000000"/>
          <w:lang w:val="es-ES_tradnl"/>
        </w:rPr>
        <w:t>2 y</w:t>
      </w:r>
      <w:r w:rsidR="00E237E2" w:rsidRPr="00CC4FCD">
        <w:rPr>
          <w:color w:val="000000"/>
          <w:lang w:val="es-ES_tradnl"/>
        </w:rPr>
        <w:t> </w:t>
      </w:r>
      <w:r w:rsidRPr="00CC4FCD">
        <w:rPr>
          <w:color w:val="000000"/>
          <w:lang w:val="es-ES_tradnl"/>
        </w:rPr>
        <w:t>3.</w:t>
      </w:r>
    </w:p>
    <w:p w:rsidR="008511E5" w:rsidRPr="00CC4FCD" w:rsidRDefault="009E216C" w:rsidP="00E237E2">
      <w:pPr>
        <w:spacing w:before="120"/>
        <w:rPr>
          <w:color w:val="000000"/>
          <w:lang w:val="es-ES_tradnl"/>
        </w:rPr>
      </w:pPr>
      <w:r>
        <w:rPr>
          <w:color w:val="000000"/>
          <w:lang w:val="es-ES_tradnl"/>
        </w:rPr>
        <w:br w:type="page"/>
      </w:r>
      <w:r w:rsidR="008511E5" w:rsidRPr="00CC4FCD">
        <w:rPr>
          <w:color w:val="000000"/>
          <w:lang w:val="es-ES_tradnl"/>
        </w:rPr>
        <w:lastRenderedPageBreak/>
        <w:t>2</w:t>
      </w:r>
      <w:r w:rsidR="008511E5" w:rsidRPr="00CC4FCD">
        <w:rPr>
          <w:color w:val="000000"/>
          <w:lang w:val="es-ES_tradnl"/>
        </w:rPr>
        <w:tab/>
        <w:t>Cabe señalar que los sistemas de dispersión troposférica en las Regiones 2 y 3 en la banda</w:t>
      </w:r>
      <w:r w:rsidR="00E237E2" w:rsidRPr="00CC4FCD">
        <w:rPr>
          <w:color w:val="000000"/>
          <w:lang w:val="es-ES_tradnl"/>
        </w:rPr>
        <w:t xml:space="preserve"> </w:t>
      </w:r>
      <w:r w:rsidR="008511E5" w:rsidRPr="00CC4FCD">
        <w:rPr>
          <w:color w:val="000000"/>
          <w:lang w:val="es-ES_tradnl"/>
        </w:rPr>
        <w:t>2</w:t>
      </w:r>
      <w:r w:rsidR="00180D7D" w:rsidRPr="00CC4FCD">
        <w:rPr>
          <w:rFonts w:ascii="Tms Rmn" w:hAnsi="Tms Rmn"/>
          <w:color w:val="000000"/>
          <w:sz w:val="12"/>
          <w:lang w:val="es-ES_tradnl"/>
        </w:rPr>
        <w:t> </w:t>
      </w:r>
      <w:r w:rsidR="008511E5" w:rsidRPr="00CC4FCD">
        <w:rPr>
          <w:color w:val="000000"/>
          <w:lang w:val="es-ES_tradnl"/>
        </w:rPr>
        <w:t>655-2</w:t>
      </w:r>
      <w:r w:rsidR="00180D7D" w:rsidRPr="00CC4FCD">
        <w:rPr>
          <w:rFonts w:ascii="Tms Rmn" w:hAnsi="Tms Rmn"/>
          <w:color w:val="000000"/>
          <w:sz w:val="12"/>
          <w:lang w:val="es-ES_tradnl"/>
        </w:rPr>
        <w:t> </w:t>
      </w:r>
      <w:r w:rsidR="008511E5" w:rsidRPr="00CC4FCD">
        <w:rPr>
          <w:color w:val="000000"/>
          <w:lang w:val="es-ES_tradnl"/>
        </w:rPr>
        <w:t xml:space="preserve">690 MHz también están sometidos a los límites de potencia establecidos en los números </w:t>
      </w:r>
      <w:r w:rsidR="008511E5" w:rsidRPr="00CC4FCD">
        <w:rPr>
          <w:b/>
          <w:bCs/>
          <w:color w:val="000000"/>
          <w:lang w:val="es-ES_tradnl"/>
        </w:rPr>
        <w:t>21.3</w:t>
      </w:r>
      <w:r w:rsidR="008511E5" w:rsidRPr="00CC4FCD">
        <w:rPr>
          <w:color w:val="000000"/>
          <w:lang w:val="es-ES_tradnl"/>
        </w:rPr>
        <w:t xml:space="preserve">, </w:t>
      </w:r>
      <w:r w:rsidR="008511E5" w:rsidRPr="00CC4FCD">
        <w:rPr>
          <w:b/>
          <w:bCs/>
          <w:color w:val="000000"/>
          <w:lang w:val="es-ES_tradnl"/>
        </w:rPr>
        <w:t>21.4</w:t>
      </w:r>
      <w:r w:rsidR="008511E5" w:rsidRPr="00CC4FCD">
        <w:rPr>
          <w:color w:val="000000"/>
          <w:lang w:val="es-ES_tradnl"/>
        </w:rPr>
        <w:t xml:space="preserve"> y </w:t>
      </w:r>
      <w:r w:rsidR="008511E5" w:rsidRPr="00CC4FCD">
        <w:rPr>
          <w:b/>
          <w:bCs/>
          <w:color w:val="000000"/>
          <w:lang w:val="es-ES_tradnl"/>
        </w:rPr>
        <w:t>21.5</w:t>
      </w:r>
      <w:r w:rsidR="008511E5" w:rsidRPr="00CC4FCD">
        <w:rPr>
          <w:color w:val="000000"/>
          <w:lang w:val="es-ES_tradnl"/>
        </w:rPr>
        <w:t xml:space="preserve"> (véase el Cuadro </w:t>
      </w:r>
      <w:r w:rsidR="008511E5" w:rsidRPr="00CC4FCD">
        <w:rPr>
          <w:b/>
          <w:bCs/>
          <w:color w:val="000000"/>
          <w:lang w:val="es-ES_tradnl"/>
        </w:rPr>
        <w:t>21-2</w:t>
      </w:r>
      <w:r w:rsidR="008511E5" w:rsidRPr="00CC4FCD">
        <w:rPr>
          <w:color w:val="000000"/>
          <w:lang w:val="es-ES_tradnl"/>
        </w:rPr>
        <w:t xml:space="preserve"> del Artículo </w:t>
      </w:r>
      <w:r w:rsidR="008511E5" w:rsidRPr="00CC4FCD">
        <w:rPr>
          <w:b/>
          <w:bCs/>
          <w:color w:val="000000"/>
          <w:lang w:val="es-ES_tradnl"/>
        </w:rPr>
        <w:t>21</w:t>
      </w:r>
      <w:r w:rsidR="008511E5" w:rsidRPr="00CC4FCD">
        <w:rPr>
          <w:color w:val="000000"/>
          <w:lang w:val="es-ES_tradnl"/>
        </w:rPr>
        <w:t xml:space="preserve">). En el Cuadro </w:t>
      </w:r>
      <w:r w:rsidR="008511E5" w:rsidRPr="00CC4FCD">
        <w:rPr>
          <w:b/>
          <w:bCs/>
          <w:color w:val="000000"/>
          <w:lang w:val="es-ES_tradnl"/>
        </w:rPr>
        <w:t>21-2</w:t>
      </w:r>
      <w:r w:rsidR="008511E5" w:rsidRPr="00CC4FCD">
        <w:rPr>
          <w:color w:val="000000"/>
          <w:lang w:val="es-ES_tradnl"/>
        </w:rPr>
        <w:t xml:space="preserve"> del Artículo </w:t>
      </w:r>
      <w:r w:rsidR="008511E5" w:rsidRPr="00CC4FCD">
        <w:rPr>
          <w:b/>
          <w:bCs/>
          <w:color w:val="000000"/>
          <w:lang w:val="es-ES_tradnl"/>
        </w:rPr>
        <w:t>21</w:t>
      </w:r>
      <w:r w:rsidR="008511E5" w:rsidRPr="00CC4FCD">
        <w:rPr>
          <w:color w:val="000000"/>
          <w:lang w:val="es-ES_tradnl"/>
        </w:rPr>
        <w:t xml:space="preserve"> se indica asimismo que los límites de potencia establecidos en los números </w:t>
      </w:r>
      <w:r w:rsidR="008511E5" w:rsidRPr="00CC4FCD">
        <w:rPr>
          <w:b/>
          <w:bCs/>
          <w:color w:val="000000"/>
          <w:lang w:val="es-ES_tradnl"/>
        </w:rPr>
        <w:t>21.3</w:t>
      </w:r>
      <w:r w:rsidR="008511E5" w:rsidRPr="00CC4FCD">
        <w:rPr>
          <w:color w:val="000000"/>
          <w:lang w:val="es-ES_tradnl"/>
        </w:rPr>
        <w:t xml:space="preserve">, </w:t>
      </w:r>
      <w:r w:rsidR="008511E5" w:rsidRPr="00CC4FCD">
        <w:rPr>
          <w:b/>
          <w:bCs/>
          <w:color w:val="000000"/>
          <w:lang w:val="es-ES_tradnl"/>
        </w:rPr>
        <w:t>21.4</w:t>
      </w:r>
      <w:r w:rsidR="008511E5" w:rsidRPr="00CC4FCD">
        <w:rPr>
          <w:color w:val="000000"/>
          <w:lang w:val="es-ES_tradnl"/>
        </w:rPr>
        <w:t xml:space="preserve"> y</w:t>
      </w:r>
      <w:r w:rsidR="00E237E2" w:rsidRPr="00CC4FCD">
        <w:rPr>
          <w:color w:val="000000"/>
          <w:lang w:val="es-ES_tradnl"/>
        </w:rPr>
        <w:t xml:space="preserve"> </w:t>
      </w:r>
      <w:r w:rsidR="008511E5" w:rsidRPr="00CC4FCD">
        <w:rPr>
          <w:b/>
          <w:bCs/>
          <w:color w:val="000000"/>
          <w:lang w:val="es-ES_tradnl"/>
        </w:rPr>
        <w:t>21.5</w:t>
      </w:r>
      <w:r w:rsidR="008511E5" w:rsidRPr="00CC4FCD">
        <w:rPr>
          <w:color w:val="000000"/>
          <w:lang w:val="es-ES_tradnl"/>
        </w:rPr>
        <w:t xml:space="preserve"> son aplicables a las estaciones de los servicios fijo y móvil en la Región 1 en la banda 2</w:t>
      </w:r>
      <w:r w:rsidR="00180D7D" w:rsidRPr="00CC4FCD">
        <w:rPr>
          <w:rFonts w:ascii="Tms Rmn" w:hAnsi="Tms Rmn"/>
          <w:color w:val="000000"/>
          <w:sz w:val="12"/>
          <w:lang w:val="es-ES_tradnl"/>
        </w:rPr>
        <w:t> </w:t>
      </w:r>
      <w:r w:rsidR="008511E5" w:rsidRPr="00CC4FCD">
        <w:rPr>
          <w:color w:val="000000"/>
          <w:lang w:val="es-ES_tradnl"/>
        </w:rPr>
        <w:t>670</w:t>
      </w:r>
      <w:r w:rsidR="008511E5" w:rsidRPr="00CC4FCD">
        <w:rPr>
          <w:color w:val="000000"/>
          <w:lang w:val="es-ES_tradnl"/>
        </w:rPr>
        <w:noBreakHyphen/>
        <w:t>2</w:t>
      </w:r>
      <w:r w:rsidR="00180D7D" w:rsidRPr="00CC4FCD">
        <w:rPr>
          <w:rFonts w:ascii="Tms Rmn" w:hAnsi="Tms Rmn"/>
          <w:color w:val="000000"/>
          <w:sz w:val="12"/>
          <w:lang w:val="es-ES_tradnl"/>
        </w:rPr>
        <w:t> </w:t>
      </w:r>
      <w:r w:rsidR="008511E5" w:rsidRPr="00CC4FCD">
        <w:rPr>
          <w:color w:val="000000"/>
          <w:lang w:val="es-ES_tradnl"/>
        </w:rPr>
        <w:t xml:space="preserve">690 MHz. No obstante, a la luz de la formulación de los números </w:t>
      </w:r>
      <w:r w:rsidR="008511E5" w:rsidRPr="00CC4FCD">
        <w:rPr>
          <w:b/>
          <w:bCs/>
          <w:color w:val="000000"/>
          <w:lang w:val="es-ES_tradnl"/>
        </w:rPr>
        <w:t>21.6</w:t>
      </w:r>
      <w:r w:rsidR="008511E5" w:rsidRPr="00CC4FCD">
        <w:rPr>
          <w:color w:val="000000"/>
          <w:lang w:val="es-ES_tradnl"/>
        </w:rPr>
        <w:t xml:space="preserve"> y </w:t>
      </w:r>
      <w:r w:rsidR="008511E5" w:rsidRPr="00CC4FCD">
        <w:rPr>
          <w:b/>
          <w:bCs/>
          <w:color w:val="000000"/>
          <w:lang w:val="es-ES_tradnl"/>
        </w:rPr>
        <w:t>21.6.1</w:t>
      </w:r>
      <w:r w:rsidR="008511E5" w:rsidRPr="00CC4FCD">
        <w:rPr>
          <w:color w:val="000000"/>
          <w:lang w:val="es-ES_tradnl"/>
        </w:rPr>
        <w:t>, y de que, tras la supresión de la atribución al SMS (Tierra-espacio) en esta banda por parte de la CMR</w:t>
      </w:r>
      <w:r w:rsidR="008511E5" w:rsidRPr="00CC4FCD">
        <w:rPr>
          <w:color w:val="000000"/>
          <w:lang w:val="es-ES_tradnl"/>
        </w:rPr>
        <w:noBreakHyphen/>
        <w:t>07, no hay atribuciones primarias a servicios espaciales de la banda 2</w:t>
      </w:r>
      <w:r w:rsidR="00180D7D" w:rsidRPr="00CC4FCD">
        <w:rPr>
          <w:rFonts w:ascii="Tms Rmn" w:hAnsi="Tms Rmn"/>
          <w:color w:val="000000"/>
          <w:sz w:val="12"/>
          <w:lang w:val="es-ES_tradnl"/>
        </w:rPr>
        <w:t> </w:t>
      </w:r>
      <w:r w:rsidR="008511E5" w:rsidRPr="00CC4FCD">
        <w:rPr>
          <w:color w:val="000000"/>
          <w:lang w:val="es-ES_tradnl"/>
        </w:rPr>
        <w:t>670-2</w:t>
      </w:r>
      <w:r w:rsidR="00180D7D" w:rsidRPr="00CC4FCD">
        <w:rPr>
          <w:rFonts w:ascii="Tms Rmn" w:hAnsi="Tms Rmn"/>
          <w:color w:val="000000"/>
          <w:sz w:val="12"/>
          <w:lang w:val="es-ES_tradnl"/>
        </w:rPr>
        <w:t> </w:t>
      </w:r>
      <w:r w:rsidR="008511E5" w:rsidRPr="00CC4FCD">
        <w:rPr>
          <w:color w:val="000000"/>
          <w:lang w:val="es-ES_tradnl"/>
        </w:rPr>
        <w:t>690 MHz en el sentido Tierra</w:t>
      </w:r>
      <w:r w:rsidR="008511E5" w:rsidRPr="00CC4FCD">
        <w:rPr>
          <w:color w:val="000000"/>
          <w:lang w:val="es-ES_tradnl"/>
        </w:rPr>
        <w:noBreakHyphen/>
        <w:t>espacio en la Región 1, la Junta concluyó que los límites de potencia esta</w:t>
      </w:r>
      <w:r w:rsidR="00E237E2" w:rsidRPr="00CC4FCD">
        <w:rPr>
          <w:color w:val="000000"/>
          <w:lang w:val="es-ES_tradnl"/>
        </w:rPr>
        <w:softHyphen/>
      </w:r>
      <w:r w:rsidR="008511E5" w:rsidRPr="00CC4FCD">
        <w:rPr>
          <w:color w:val="000000"/>
          <w:lang w:val="es-ES_tradnl"/>
        </w:rPr>
        <w:t xml:space="preserve">blecidos en los números </w:t>
      </w:r>
      <w:r w:rsidR="008511E5" w:rsidRPr="00CC4FCD">
        <w:rPr>
          <w:b/>
          <w:bCs/>
          <w:color w:val="000000"/>
          <w:lang w:val="es-ES_tradnl"/>
        </w:rPr>
        <w:t>21.3</w:t>
      </w:r>
      <w:r w:rsidR="008511E5" w:rsidRPr="00CC4FCD">
        <w:rPr>
          <w:color w:val="000000"/>
          <w:lang w:val="es-ES_tradnl"/>
        </w:rPr>
        <w:t xml:space="preserve">, </w:t>
      </w:r>
      <w:r w:rsidR="008511E5" w:rsidRPr="00CC4FCD">
        <w:rPr>
          <w:b/>
          <w:bCs/>
          <w:color w:val="000000"/>
          <w:lang w:val="es-ES_tradnl"/>
        </w:rPr>
        <w:t>21.4</w:t>
      </w:r>
      <w:r w:rsidR="008511E5" w:rsidRPr="00CC4FCD">
        <w:rPr>
          <w:color w:val="000000"/>
          <w:lang w:val="es-ES_tradnl"/>
        </w:rPr>
        <w:t xml:space="preserve"> y </w:t>
      </w:r>
      <w:r w:rsidR="008511E5" w:rsidRPr="00CC4FCD">
        <w:rPr>
          <w:b/>
          <w:bCs/>
          <w:color w:val="000000"/>
          <w:lang w:val="es-ES_tradnl"/>
        </w:rPr>
        <w:t>21.5</w:t>
      </w:r>
      <w:r w:rsidR="008511E5" w:rsidRPr="00CC4FCD">
        <w:rPr>
          <w:color w:val="000000"/>
          <w:lang w:val="es-ES_tradnl"/>
        </w:rPr>
        <w:t xml:space="preserve"> para la banda 2</w:t>
      </w:r>
      <w:r w:rsidR="00180D7D" w:rsidRPr="00CC4FCD">
        <w:rPr>
          <w:rFonts w:ascii="Tms Rmn" w:hAnsi="Tms Rmn"/>
          <w:color w:val="000000"/>
          <w:sz w:val="12"/>
          <w:lang w:val="es-ES_tradnl"/>
        </w:rPr>
        <w:t> </w:t>
      </w:r>
      <w:r w:rsidR="008511E5" w:rsidRPr="00CC4FCD">
        <w:rPr>
          <w:color w:val="000000"/>
          <w:lang w:val="es-ES_tradnl"/>
        </w:rPr>
        <w:t>670-2</w:t>
      </w:r>
      <w:r w:rsidR="00180D7D" w:rsidRPr="00CC4FCD">
        <w:rPr>
          <w:rFonts w:ascii="Tms Rmn" w:hAnsi="Tms Rmn"/>
          <w:color w:val="000000"/>
          <w:sz w:val="12"/>
          <w:lang w:val="es-ES_tradnl"/>
        </w:rPr>
        <w:t> </w:t>
      </w:r>
      <w:r w:rsidR="008511E5" w:rsidRPr="00CC4FCD">
        <w:rPr>
          <w:color w:val="000000"/>
          <w:lang w:val="es-ES_tradnl"/>
        </w:rPr>
        <w:t>690 MHz sólo son aplicables a las estaciones de los servicios fijo y móvil de las Regiones 2 y 3, y que en este caso se aplica al número </w:t>
      </w:r>
      <w:r w:rsidR="008511E5" w:rsidRPr="00CC4FCD">
        <w:rPr>
          <w:b/>
          <w:bCs/>
          <w:color w:val="000000"/>
          <w:lang w:val="es-ES_tradnl"/>
        </w:rPr>
        <w:t>21.6.1</w:t>
      </w:r>
      <w:r w:rsidR="008511E5" w:rsidRPr="00CC4FCD">
        <w:rPr>
          <w:color w:val="000000"/>
          <w:lang w:val="es-ES_tradnl"/>
        </w:rPr>
        <w:t>.</w:t>
      </w:r>
    </w:p>
    <w:p w:rsidR="008511E5" w:rsidRPr="00CC4FCD" w:rsidRDefault="008511E5" w:rsidP="006C4EB2">
      <w:pPr>
        <w:spacing w:before="120"/>
        <w:rPr>
          <w:color w:val="000000"/>
          <w:lang w:val="es-ES_tradnl"/>
        </w:rPr>
      </w:pPr>
      <w:r w:rsidRPr="00CC4FCD">
        <w:rPr>
          <w:color w:val="000000"/>
          <w:lang w:val="es-ES_tradnl"/>
        </w:rPr>
        <w:t>3</w:t>
      </w:r>
      <w:r w:rsidRPr="00CC4FCD">
        <w:rPr>
          <w:color w:val="000000"/>
          <w:lang w:val="es-ES_tradnl"/>
        </w:rPr>
        <w:tab/>
        <w:t>La segunda y tercera frases de esta disposición se consideran recomendaciones a las administraciones y la Oficina no ha de tomar medidas al respecto.</w:t>
      </w:r>
    </w:p>
    <w:p w:rsidR="000A21A1" w:rsidRPr="00CC4FCD" w:rsidRDefault="000A21A1">
      <w:pPr>
        <w:pStyle w:val="Heading8"/>
        <w:rPr>
          <w:color w:val="000000"/>
          <w:lang w:val="es-ES_tradnl"/>
        </w:rPr>
      </w:pPr>
      <w:r w:rsidRPr="00CC4FCD">
        <w:rPr>
          <w:color w:val="000000"/>
          <w:lang w:val="es-ES_tradnl"/>
        </w:rPr>
        <w:t>5.415</w:t>
      </w:r>
    </w:p>
    <w:p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t>En esta disposición, la atribución «está limitada a los sistemas nacionales y regionales».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relativa a la interpretación de la palabra «regional» sin «R» mayúscula.</w:t>
      </w:r>
    </w:p>
    <w:p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t>Con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 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 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 MHz en la Región 3 a los sistemas nacionales o regionales. Sólo las asignaciones que satisfagan las siguientes condiciones se considerarán conformes con el Cuadro de atribución de bandas de frecuencias:</w:t>
      </w:r>
    </w:p>
    <w:p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 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rsidR="00CF65EF" w:rsidRPr="00CC4FCD" w:rsidRDefault="00CF65EF" w:rsidP="000A1EF1">
      <w:pPr>
        <w:pStyle w:val="enumlev2"/>
        <w:rPr>
          <w:color w:val="000000"/>
          <w:lang w:val="es-ES_tradnl"/>
        </w:rPr>
      </w:pPr>
      <w:r w:rsidRPr="00CC4FCD">
        <w:rPr>
          <w:color w:val="000000"/>
          <w:lang w:val="es-ES_tradnl"/>
        </w:rPr>
        <w:t>ii)</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rsidR="00CF65EF" w:rsidRPr="00CC4FCD" w:rsidRDefault="009E216C" w:rsidP="000A1EF1">
      <w:pPr>
        <w:pStyle w:val="enumlev1"/>
        <w:rPr>
          <w:color w:val="000000"/>
          <w:lang w:val="es-ES_tradnl"/>
        </w:rPr>
      </w:pPr>
      <w:r>
        <w:rPr>
          <w:i/>
          <w:color w:val="000000"/>
          <w:lang w:val="es-ES_tradnl"/>
        </w:rPr>
        <w:br w:type="page"/>
      </w:r>
      <w:r w:rsidR="00CF65EF" w:rsidRPr="00CC4FCD">
        <w:rPr>
          <w:i/>
          <w:color w:val="000000"/>
          <w:lang w:val="es-ES_tradnl"/>
        </w:rPr>
        <w:lastRenderedPageBreak/>
        <w:t>b)</w:t>
      </w:r>
      <w:r w:rsidR="00CF65EF" w:rsidRPr="00CC4FCD">
        <w:rPr>
          <w:color w:val="000000"/>
          <w:lang w:val="es-ES_tradnl"/>
        </w:rPr>
        <w:tab/>
        <w:t>Que, en el caso de un sistema nacional, la zona de servicio esté limitada al territorio bajo jurisdicción de la administración notificante.</w:t>
      </w:r>
    </w:p>
    <w:p w:rsidR="00CF65EF" w:rsidRPr="00CC4FCD"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rsidR="000A21A1" w:rsidRPr="00CC4FCD" w:rsidRDefault="000A21A1">
      <w:pPr>
        <w:pStyle w:val="Heading8"/>
        <w:rPr>
          <w:color w:val="000000"/>
          <w:lang w:val="es-ES_tradnl"/>
        </w:rPr>
      </w:pPr>
      <w:r w:rsidRPr="00CC4FCD">
        <w:rPr>
          <w:color w:val="000000"/>
          <w:lang w:val="es-ES_tradnl"/>
        </w:rPr>
        <w:t>5.416</w:t>
      </w:r>
    </w:p>
    <w:p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rsidR="000A21A1" w:rsidRPr="00CC4FCD" w:rsidRDefault="000A21A1">
      <w:pPr>
        <w:pStyle w:val="Heading8"/>
        <w:rPr>
          <w:color w:val="000000"/>
          <w:lang w:val="es-ES_tradnl"/>
        </w:rPr>
      </w:pPr>
      <w:r w:rsidRPr="00CC4FCD">
        <w:rPr>
          <w:color w:val="000000"/>
          <w:lang w:val="es-ES_tradnl"/>
        </w:rPr>
        <w:t>5.418C</w:t>
      </w:r>
    </w:p>
    <w:p w:rsidR="00EA5848" w:rsidRPr="00CC4FCD" w:rsidRDefault="00EA5848" w:rsidP="00EA1686">
      <w:pPr>
        <w:rPr>
          <w:color w:val="000000"/>
          <w:lang w:val="es-ES_tradnl"/>
        </w:rPr>
      </w:pPr>
      <w:r w:rsidRPr="00CC4FCD">
        <w:rPr>
          <w:color w:val="000000"/>
          <w:lang w:val="es-ES_tradnl"/>
        </w:rPr>
        <w:t>1</w:t>
      </w:r>
      <w:r w:rsidRPr="00CC4FCD">
        <w:rPr>
          <w:color w:val="000000"/>
          <w:lang w:val="es-ES_tradnl"/>
        </w:rPr>
        <w:tab/>
        <w:t xml:space="preserve">De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 apli</w:t>
      </w:r>
      <w:r w:rsidR="00EA1686" w:rsidRPr="00CC4FCD">
        <w:rPr>
          <w:color w:val="000000"/>
          <w:lang w:val="es-ES_tradnl"/>
        </w:rPr>
        <w:softHyphen/>
      </w:r>
      <w:r w:rsidRPr="00CC4FCD">
        <w:rPr>
          <w:color w:val="000000"/>
          <w:lang w:val="es-ES_tradnl"/>
        </w:rPr>
        <w:t xml:space="preserve">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 OSG del SRS (sonora), en virtud del número </w:t>
      </w:r>
      <w:r w:rsidRPr="00CC4FCD">
        <w:rPr>
          <w:rStyle w:val="Artref"/>
          <w:b/>
          <w:bCs/>
          <w:color w:val="000000"/>
          <w:lang w:val="es-ES_tradnl"/>
        </w:rPr>
        <w:t>5.418</w:t>
      </w:r>
      <w:r w:rsidRPr="00CC4FCD">
        <w:rPr>
          <w:color w:val="000000"/>
          <w:lang w:val="es-ES_tradnl"/>
        </w:rPr>
        <w:t xml:space="preserve"> a partir del 3 de junio de 2000. La Resolución </w:t>
      </w:r>
      <w:r w:rsidRPr="00CC4FCD">
        <w:rPr>
          <w:b/>
          <w:bCs/>
          <w:color w:val="000000"/>
          <w:lang w:val="es-ES_tradnl"/>
        </w:rPr>
        <w:t>33</w:t>
      </w:r>
      <w:r w:rsidRPr="00CC4FCD">
        <w:rPr>
          <w:color w:val="000000"/>
          <w:lang w:val="es-ES_tradnl"/>
        </w:rPr>
        <w:t xml:space="preserve"> (</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Pr="00CC4FCD">
        <w:rPr>
          <w:b/>
          <w:color w:val="000000"/>
          <w:lang w:val="es-ES_tradnl"/>
        </w:rPr>
        <w:t>03</w:t>
      </w:r>
      <w:r w:rsidRPr="00CC4FCD">
        <w:rPr>
          <w:color w:val="000000"/>
          <w:lang w:val="es-ES_tradnl"/>
        </w:rPr>
        <w:t>) resuelve que para redes de satélites de las que se haya recibido publicación anticipada por la Oficina antes del 1 de enero de 1999, se apliquen únicamente los procedi</w:t>
      </w:r>
      <w:r w:rsidR="00EA1686" w:rsidRPr="00CC4FCD">
        <w:rPr>
          <w:color w:val="000000"/>
          <w:lang w:val="es-ES_tradnl"/>
        </w:rPr>
        <w:softHyphen/>
      </w:r>
      <w:r w:rsidRPr="00CC4FCD">
        <w:rPr>
          <w:color w:val="000000"/>
          <w:lang w:val="es-ES_tradnl"/>
        </w:rPr>
        <w:t>mientos de las Secciones A a C de la propia Resolución </w:t>
      </w:r>
      <w:r w:rsidRPr="00CC4FCD">
        <w:rPr>
          <w:b/>
          <w:bCs/>
          <w:color w:val="000000"/>
          <w:lang w:val="es-ES_tradnl"/>
        </w:rPr>
        <w:t>33</w:t>
      </w:r>
      <w:r w:rsidRPr="00CC4FCD">
        <w:rPr>
          <w:b/>
          <w:color w:val="000000"/>
          <w:lang w:val="es-ES_tradnl"/>
        </w:rPr>
        <w:t xml:space="preserve"> </w:t>
      </w:r>
      <w:r w:rsidRPr="00CC4FCD">
        <w:rPr>
          <w:color w:val="000000"/>
          <w:lang w:val="es-ES_tradnl"/>
        </w:rPr>
        <w:t>(</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Pr="00CC4FCD">
        <w:rPr>
          <w:b/>
          <w:color w:val="000000"/>
          <w:lang w:val="es-ES_tradnl"/>
        </w:rPr>
        <w:t>03</w:t>
      </w:r>
      <w:r w:rsidRPr="00CC4FCD">
        <w:rPr>
          <w:color w:val="000000"/>
          <w:lang w:val="es-ES_tradnl"/>
        </w:rPr>
        <w:t>).</w:t>
      </w:r>
    </w:p>
    <w:p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t>La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«información de notificación»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t>En el contexto anterior y teniendo en cuenta los debates y la decisión de la CMR</w:t>
      </w:r>
      <w:r w:rsidRPr="00CC4FCD">
        <w:rPr>
          <w:color w:val="000000"/>
          <w:lang w:val="es-ES_tradnl"/>
        </w:rPr>
        <w:noBreakHyphen/>
        <w:t xml:space="preserve">03,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rsidR="00EA5848" w:rsidRPr="00CC4FCD" w:rsidRDefault="00EA5848" w:rsidP="00EA5848">
      <w:pPr>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155"/>
        <w:gridCol w:w="2155"/>
        <w:gridCol w:w="1701"/>
      </w:tblGrid>
      <w:tr w:rsidR="00EA5848" w:rsidRPr="00CC4FCD" w:rsidTr="00C81CBC">
        <w:tblPrEx>
          <w:tblCellMar>
            <w:top w:w="0" w:type="dxa"/>
            <w:bottom w:w="0" w:type="dxa"/>
          </w:tblCellMar>
        </w:tblPrEx>
        <w:trPr>
          <w:jc w:val="center"/>
        </w:trPr>
        <w:tc>
          <w:tcPr>
            <w:tcW w:w="1701"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rsidTr="00C81CBC">
        <w:tblPrEx>
          <w:tblCellMar>
            <w:top w:w="0" w:type="dxa"/>
            <w:bottom w:w="0" w:type="dxa"/>
          </w:tblCellMar>
        </w:tblPrEx>
        <w:trPr>
          <w:cantSplit/>
          <w:jc w:val="center"/>
        </w:trPr>
        <w:tc>
          <w:tcPr>
            <w:tcW w:w="1701" w:type="dxa"/>
            <w:vMerge w:val="restart"/>
          </w:tcPr>
          <w:p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rsidTr="00C81CBC">
        <w:tblPrEx>
          <w:tblCellMar>
            <w:top w:w="0" w:type="dxa"/>
            <w:bottom w:w="0" w:type="dxa"/>
          </w:tblCellMar>
        </w:tblPrEx>
        <w:trPr>
          <w:cantSplit/>
          <w:jc w:val="center"/>
        </w:trPr>
        <w:tc>
          <w:tcPr>
            <w:tcW w:w="1701" w:type="dxa"/>
            <w:vMerge/>
          </w:tcPr>
          <w:p w:rsidR="00EA5848" w:rsidRPr="00CC4FCD" w:rsidRDefault="00EA5848" w:rsidP="00C81CBC">
            <w:pPr>
              <w:pStyle w:val="Tabletext0"/>
              <w:framePr w:hSpace="181" w:wrap="notBeside" w:vAnchor="text" w:hAnchor="text" w:xAlign="center" w:y="1"/>
              <w:rPr>
                <w:sz w:val="21"/>
                <w:lang w:val="es-ES_tradnl"/>
              </w:rPr>
            </w:pP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rsidTr="00C81CBC">
        <w:tblPrEx>
          <w:tblCellMar>
            <w:top w:w="0" w:type="dxa"/>
            <w:bottom w:w="0" w:type="dxa"/>
          </w:tblCellMar>
        </w:tblPrEx>
        <w:trPr>
          <w:cantSplit/>
          <w:jc w:val="center"/>
        </w:trPr>
        <w:tc>
          <w:tcPr>
            <w:tcW w:w="1701" w:type="dxa"/>
            <w:vMerge/>
          </w:tcPr>
          <w:p w:rsidR="00EA5848" w:rsidRPr="00CC4FCD" w:rsidRDefault="00EA5848" w:rsidP="00C81CBC">
            <w:pPr>
              <w:pStyle w:val="Tabletext0"/>
              <w:framePr w:hSpace="181" w:wrap="notBeside" w:vAnchor="text" w:hAnchor="text" w:xAlign="center" w:y="1"/>
              <w:rPr>
                <w:sz w:val="21"/>
                <w:lang w:val="es-ES_tradnl"/>
              </w:rPr>
            </w:pP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rsidR="00EA5848" w:rsidRPr="00CC4FCD" w:rsidRDefault="00EA5848" w:rsidP="00EA1686">
      <w:pPr>
        <w:pStyle w:val="TableFin"/>
        <w:rPr>
          <w:lang w:val="es-ES_tradnl"/>
        </w:rPr>
      </w:pPr>
    </w:p>
    <w:p w:rsidR="009E216C" w:rsidRPr="009E216C" w:rsidRDefault="009E216C" w:rsidP="009E216C">
      <w:pPr>
        <w:spacing w:before="0"/>
        <w:rPr>
          <w:sz w:val="2"/>
          <w:szCs w:val="2"/>
          <w:lang w:val="es-ES_tradnl"/>
        </w:rPr>
      </w:pPr>
      <w:r>
        <w:rPr>
          <w:lang w:val="es-ES_tradn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tblGrid>
      <w:tr w:rsidR="000A21A1" w:rsidRPr="00CC4FCD">
        <w:tblPrEx>
          <w:tblCellMar>
            <w:top w:w="0" w:type="dxa"/>
            <w:bottom w:w="0" w:type="dxa"/>
          </w:tblCellMar>
        </w:tblPrEx>
        <w:tc>
          <w:tcPr>
            <w:tcW w:w="2943" w:type="dxa"/>
            <w:tcBorders>
              <w:top w:val="double" w:sz="4" w:space="0" w:color="auto"/>
              <w:left w:val="double" w:sz="4" w:space="0" w:color="auto"/>
              <w:bottom w:val="double" w:sz="4" w:space="0" w:color="auto"/>
              <w:right w:val="double" w:sz="4" w:space="0" w:color="auto"/>
            </w:tcBorders>
          </w:tcPr>
          <w:p w:rsidR="000A21A1" w:rsidRPr="00CC4FCD" w:rsidRDefault="000A21A1">
            <w:pPr>
              <w:pStyle w:val="Headingb0"/>
              <w:keepNext w:val="0"/>
              <w:spacing w:after="100"/>
              <w:ind w:right="-391"/>
              <w:rPr>
                <w:bCs/>
                <w:color w:val="000000"/>
                <w:lang w:val="es-ES_tradnl"/>
              </w:rPr>
            </w:pPr>
            <w:r w:rsidRPr="00CC4FCD">
              <w:rPr>
                <w:bCs/>
                <w:color w:val="000000"/>
                <w:lang w:val="es-ES_tradnl"/>
              </w:rPr>
              <w:t>Banda 2</w:t>
            </w:r>
            <w:r w:rsidRPr="00CC4FCD">
              <w:rPr>
                <w:rFonts w:ascii="Tms Rmn" w:hAnsi="Tms Rmn"/>
                <w:bCs/>
                <w:color w:val="000000"/>
                <w:sz w:val="12"/>
                <w:lang w:val="es-ES_tradnl"/>
              </w:rPr>
              <w:t> </w:t>
            </w:r>
            <w:r w:rsidRPr="00CC4FCD">
              <w:rPr>
                <w:bCs/>
                <w:color w:val="000000"/>
                <w:lang w:val="es-ES_tradnl"/>
              </w:rPr>
              <w:t>605-2</w:t>
            </w:r>
            <w:r w:rsidRPr="00CC4FCD">
              <w:rPr>
                <w:rFonts w:ascii="Tms Rmn" w:hAnsi="Tms Rmn"/>
                <w:bCs/>
                <w:color w:val="000000"/>
                <w:sz w:val="12"/>
                <w:lang w:val="es-ES_tradnl"/>
              </w:rPr>
              <w:t> </w:t>
            </w:r>
            <w:r w:rsidRPr="00CC4FCD">
              <w:rPr>
                <w:bCs/>
                <w:color w:val="000000"/>
                <w:lang w:val="es-ES_tradnl"/>
              </w:rPr>
              <w:t>655 MHz</w:t>
            </w:r>
          </w:p>
        </w:tc>
      </w:tr>
    </w:tbl>
    <w:p w:rsidR="000A21A1" w:rsidRPr="00CC4FCD" w:rsidRDefault="000A21A1">
      <w:pPr>
        <w:rPr>
          <w:lang w:val="es-ES_tradnl"/>
        </w:rPr>
      </w:pPr>
      <w:r w:rsidRPr="00CC4FCD">
        <w:rPr>
          <w:lang w:val="es-ES_tradnl"/>
        </w:rPr>
        <w:t>1</w:t>
      </w:r>
      <w:r w:rsidRPr="00CC4FCD">
        <w:rPr>
          <w:lang w:val="es-ES_tradnl"/>
        </w:rPr>
        <w:tab/>
        <w:t xml:space="preserve">Las disposiciones de los números </w:t>
      </w:r>
      <w:r w:rsidRPr="00CC4FCD">
        <w:rPr>
          <w:rStyle w:val="Artref"/>
          <w:b/>
          <w:bCs/>
          <w:color w:val="000000"/>
          <w:lang w:val="es-ES_tradnl"/>
        </w:rPr>
        <w:t>5.416</w:t>
      </w:r>
      <w:r w:rsidRPr="00CC4FCD">
        <w:rPr>
          <w:lang w:val="es-ES_tradnl"/>
        </w:rPr>
        <w:t xml:space="preserve">, </w:t>
      </w:r>
      <w:r w:rsidRPr="00CC4FCD">
        <w:rPr>
          <w:rStyle w:val="Artref"/>
          <w:b/>
          <w:bCs/>
          <w:color w:val="000000"/>
          <w:lang w:val="es-ES_tradnl"/>
        </w:rPr>
        <w:t>5.417A</w:t>
      </w:r>
      <w:r w:rsidRPr="00CC4FCD">
        <w:rPr>
          <w:lang w:val="es-ES_tradnl"/>
        </w:rPr>
        <w:t xml:space="preserve">, </w:t>
      </w:r>
      <w:r w:rsidRPr="00CC4FCD">
        <w:rPr>
          <w:rStyle w:val="Artref"/>
          <w:b/>
          <w:bCs/>
          <w:color w:val="000000"/>
          <w:lang w:val="es-ES_tradnl"/>
        </w:rPr>
        <w:t>5.417B</w:t>
      </w:r>
      <w:r w:rsidRPr="00CC4FCD">
        <w:rPr>
          <w:lang w:val="es-ES_tradnl"/>
        </w:rPr>
        <w:t xml:space="preserve">, </w:t>
      </w:r>
      <w:r w:rsidRPr="00CC4FCD">
        <w:rPr>
          <w:rStyle w:val="Artref"/>
          <w:b/>
          <w:bCs/>
          <w:color w:val="000000"/>
          <w:lang w:val="es-ES_tradnl"/>
        </w:rPr>
        <w:t>5.417C</w:t>
      </w:r>
      <w:r w:rsidRPr="00CC4FCD">
        <w:rPr>
          <w:lang w:val="es-ES_tradnl"/>
        </w:rPr>
        <w:t xml:space="preserve">, </w:t>
      </w:r>
      <w:r w:rsidRPr="00CC4FCD">
        <w:rPr>
          <w:rStyle w:val="Artref"/>
          <w:b/>
          <w:bCs/>
          <w:color w:val="000000"/>
          <w:lang w:val="es-ES_tradnl"/>
        </w:rPr>
        <w:t>5.417D</w:t>
      </w:r>
      <w:r w:rsidRPr="00CC4FCD">
        <w:rPr>
          <w:lang w:val="es-ES_tradnl"/>
        </w:rPr>
        <w:t xml:space="preserve">, </w:t>
      </w:r>
      <w:r w:rsidRPr="00CC4FCD">
        <w:rPr>
          <w:rStyle w:val="Artref"/>
          <w:b/>
          <w:bCs/>
          <w:color w:val="000000"/>
          <w:lang w:val="es-ES_tradnl"/>
        </w:rPr>
        <w:t>5.418</w:t>
      </w:r>
      <w:r w:rsidRPr="00CC4FCD">
        <w:rPr>
          <w:lang w:val="es-ES_tradnl"/>
        </w:rPr>
        <w:t xml:space="preserve">, </w:t>
      </w:r>
      <w:r w:rsidRPr="00CC4FCD">
        <w:rPr>
          <w:rStyle w:val="Artref"/>
          <w:b/>
          <w:bCs/>
          <w:color w:val="000000"/>
          <w:lang w:val="es-ES_tradnl"/>
        </w:rPr>
        <w:t>5.418A</w:t>
      </w:r>
      <w:r w:rsidRPr="00CC4FCD">
        <w:rPr>
          <w:lang w:val="es-ES_tradnl"/>
        </w:rPr>
        <w:t xml:space="preserve">, </w:t>
      </w:r>
      <w:r w:rsidRPr="00CC4FCD">
        <w:rPr>
          <w:rStyle w:val="Artref"/>
          <w:b/>
          <w:bCs/>
          <w:color w:val="000000"/>
          <w:lang w:val="es-ES_tradnl"/>
        </w:rPr>
        <w:t>5.418B</w:t>
      </w:r>
      <w:r w:rsidRPr="00CC4FCD">
        <w:rPr>
          <w:lang w:val="es-ES_tradnl"/>
        </w:rPr>
        <w:t xml:space="preserve"> y </w:t>
      </w:r>
      <w:r w:rsidRPr="00CC4FCD">
        <w:rPr>
          <w:rStyle w:val="Artref"/>
          <w:b/>
          <w:bCs/>
          <w:color w:val="000000"/>
          <w:lang w:val="es-ES_tradnl"/>
        </w:rPr>
        <w:t>5.418C</w:t>
      </w:r>
      <w:r w:rsidRPr="00CC4FCD">
        <w:rPr>
          <w:lang w:val="es-ES_tradnl"/>
        </w:rPr>
        <w:t xml:space="preserve"> proporcionan información sobre las distintas limitaciones y proce</w:t>
      </w:r>
      <w:r w:rsidR="00CC4FCD">
        <w:rPr>
          <w:lang w:val="es-ES_tradnl"/>
        </w:rPr>
        <w:softHyphen/>
      </w:r>
      <w:r w:rsidRPr="00CC4FCD">
        <w:rPr>
          <w:lang w:val="es-ES_tradnl"/>
        </w:rPr>
        <w:t>dimientos que se aplican al servicio de radiodifusión por satélite (SRS) y al servicio fijo por satélite (SFS) en la gama de frecuencias 2</w:t>
      </w:r>
      <w:r w:rsidRPr="00CC4FCD">
        <w:rPr>
          <w:rFonts w:ascii="Tms Rmn" w:hAnsi="Tms Rmn"/>
          <w:sz w:val="12"/>
          <w:lang w:val="es-ES_tradnl"/>
        </w:rPr>
        <w:t> </w:t>
      </w:r>
      <w:r w:rsidRPr="00CC4FCD">
        <w:rPr>
          <w:lang w:val="es-ES_tradnl"/>
        </w:rPr>
        <w:t>605-2</w:t>
      </w:r>
      <w:r w:rsidRPr="00CC4FCD">
        <w:rPr>
          <w:rFonts w:ascii="Tms Rmn" w:hAnsi="Tms Rmn"/>
          <w:sz w:val="12"/>
          <w:lang w:val="es-ES_tradnl"/>
        </w:rPr>
        <w:t> </w:t>
      </w:r>
      <w:r w:rsidRPr="00CC4FCD">
        <w:rPr>
          <w:lang w:val="es-ES_tradnl"/>
        </w:rPr>
        <w:t>655 MHz.</w:t>
      </w:r>
    </w:p>
    <w:p w:rsidR="000A21A1" w:rsidRPr="00CC4FCD" w:rsidRDefault="000A21A1" w:rsidP="009E216C">
      <w:pPr>
        <w:rPr>
          <w:color w:val="000000"/>
          <w:lang w:val="es-ES_tradnl"/>
        </w:rPr>
      </w:pPr>
      <w:r w:rsidRPr="00CC4FCD">
        <w:rPr>
          <w:color w:val="000000"/>
          <w:lang w:val="es-ES_tradnl"/>
        </w:rPr>
        <w:t>2</w:t>
      </w:r>
      <w:r w:rsidRPr="00CC4FCD">
        <w:rPr>
          <w:color w:val="000000"/>
          <w:lang w:val="es-ES_tradnl"/>
        </w:rPr>
        <w:tab/>
        <w:t>La Junta emprendió un examen detenido de las distintas disposiciones y del empleo de los diferentes procedimientos de coordinación (red espacial a red espacial (números </w:t>
      </w:r>
      <w:r w:rsidRPr="00CC4FCD">
        <w:rPr>
          <w:rStyle w:val="Artref"/>
          <w:b/>
          <w:bCs/>
          <w:color w:val="000000"/>
          <w:lang w:val="es-ES_tradnl"/>
        </w:rPr>
        <w:t>9.7</w:t>
      </w:r>
      <w:r w:rsidRPr="00CC4FCD">
        <w:rPr>
          <w:color w:val="000000"/>
          <w:lang w:val="es-ES_tradnl"/>
        </w:rPr>
        <w:t xml:space="preserve">, </w:t>
      </w:r>
      <w:r w:rsidRPr="00CC4FCD">
        <w:rPr>
          <w:rStyle w:val="Artref"/>
          <w:b/>
          <w:bCs/>
          <w:color w:val="000000"/>
          <w:lang w:val="es-ES_tradnl"/>
        </w:rPr>
        <w:t>9.12</w:t>
      </w:r>
      <w:r w:rsidRPr="00CC4FCD">
        <w:rPr>
          <w:color w:val="000000"/>
          <w:lang w:val="es-ES_tradnl"/>
        </w:rPr>
        <w:t xml:space="preserve">, </w:t>
      </w:r>
      <w:r w:rsidRPr="00CC4FCD">
        <w:rPr>
          <w:rStyle w:val="Artref"/>
          <w:b/>
          <w:bCs/>
          <w:color w:val="000000"/>
          <w:lang w:val="es-ES_tradnl"/>
        </w:rPr>
        <w:t>9.12A</w:t>
      </w:r>
      <w:r w:rsidRPr="00CC4FCD">
        <w:rPr>
          <w:color w:val="000000"/>
          <w:lang w:val="es-ES_tradnl"/>
        </w:rPr>
        <w:t xml:space="preserve"> y </w:t>
      </w:r>
      <w:r w:rsidRPr="00CC4FCD">
        <w:rPr>
          <w:rStyle w:val="Artref"/>
          <w:b/>
          <w:bCs/>
          <w:color w:val="000000"/>
          <w:lang w:val="es-ES_tradnl"/>
        </w:rPr>
        <w:t>9.13</w:t>
      </w:r>
      <w:r w:rsidRPr="00CC4FCD">
        <w:rPr>
          <w:color w:val="000000"/>
          <w:lang w:val="es-ES_tradnl"/>
        </w:rPr>
        <w:t>)) que se aplican a los sistemas de satélites en la banda 2</w:t>
      </w:r>
      <w:r w:rsidRPr="00CC4FCD">
        <w:rPr>
          <w:rFonts w:ascii="Tms Rmn" w:hAnsi="Tms Rmn"/>
          <w:color w:val="000000"/>
          <w:sz w:val="12"/>
          <w:lang w:val="es-ES_tradnl"/>
        </w:rPr>
        <w:t> </w:t>
      </w:r>
      <w:r w:rsidRPr="00CC4FCD">
        <w:rPr>
          <w:color w:val="000000"/>
          <w:lang w:val="es-ES_tradnl"/>
        </w:rPr>
        <w:t>605-2</w:t>
      </w:r>
      <w:r w:rsidRPr="00CC4FCD">
        <w:rPr>
          <w:rFonts w:ascii="Tms Rmn" w:hAnsi="Tms Rmn"/>
          <w:color w:val="000000"/>
          <w:sz w:val="12"/>
          <w:lang w:val="es-ES_tradnl"/>
        </w:rPr>
        <w:t> </w:t>
      </w:r>
      <w:r w:rsidRPr="00CC4FCD">
        <w:rPr>
          <w:color w:val="000000"/>
          <w:lang w:val="es-ES_tradnl"/>
        </w:rPr>
        <w:t xml:space="preserve">655 MHz y ha observado la posible dificultad para determinar el servicio (SRS (sonora), SRS (televisión), SFS) y la naturaleza de la red de satélites (OSG o no OSG) a los que deben aplicarse los números </w:t>
      </w:r>
      <w:r w:rsidRPr="00CC4FCD">
        <w:rPr>
          <w:rStyle w:val="Artref"/>
          <w:b/>
          <w:bCs/>
          <w:color w:val="000000"/>
          <w:lang w:val="es-ES_tradnl"/>
        </w:rPr>
        <w:t>5.417B</w:t>
      </w:r>
      <w:r w:rsidRPr="00CC4FCD">
        <w:rPr>
          <w:color w:val="000000"/>
          <w:lang w:val="es-ES_tradnl"/>
        </w:rPr>
        <w:t xml:space="preserve">, </w:t>
      </w:r>
      <w:r w:rsidRPr="00CC4FCD">
        <w:rPr>
          <w:rStyle w:val="Artref"/>
          <w:b/>
          <w:bCs/>
          <w:color w:val="000000"/>
          <w:lang w:val="es-ES_tradnl"/>
        </w:rPr>
        <w:t>5.417C</w:t>
      </w:r>
      <w:r w:rsidRPr="00CC4FCD">
        <w:rPr>
          <w:color w:val="000000"/>
          <w:lang w:val="es-ES_tradnl"/>
        </w:rPr>
        <w:t xml:space="preserve">, </w:t>
      </w:r>
      <w:r w:rsidRPr="00CC4FCD">
        <w:rPr>
          <w:rStyle w:val="Artref"/>
          <w:b/>
          <w:bCs/>
          <w:color w:val="000000"/>
          <w:lang w:val="es-ES_tradnl"/>
        </w:rPr>
        <w:t>5.417D</w:t>
      </w:r>
      <w:r w:rsidRPr="00CC4FCD">
        <w:rPr>
          <w:color w:val="000000"/>
          <w:lang w:val="es-ES_tradnl"/>
        </w:rPr>
        <w:t xml:space="preserve">, </w:t>
      </w:r>
      <w:r w:rsidRPr="00CC4FCD">
        <w:rPr>
          <w:rStyle w:val="Artref"/>
          <w:b/>
          <w:bCs/>
          <w:color w:val="000000"/>
          <w:lang w:val="es-ES_tradnl"/>
        </w:rPr>
        <w:t>5.418A</w:t>
      </w:r>
      <w:r w:rsidRPr="00CC4FCD">
        <w:rPr>
          <w:color w:val="000000"/>
          <w:lang w:val="es-ES_tradnl"/>
        </w:rPr>
        <w:t xml:space="preserve">, </w:t>
      </w:r>
      <w:r w:rsidRPr="00CC4FCD">
        <w:rPr>
          <w:rStyle w:val="Artref"/>
          <w:b/>
          <w:bCs/>
          <w:color w:val="000000"/>
          <w:lang w:val="es-ES_tradnl"/>
        </w:rPr>
        <w:t>5.418B</w:t>
      </w:r>
      <w:r w:rsidRPr="00CC4FCD">
        <w:rPr>
          <w:color w:val="000000"/>
          <w:lang w:val="es-ES_tradnl"/>
        </w:rPr>
        <w:t xml:space="preserve"> y </w:t>
      </w:r>
      <w:r w:rsidRPr="00CC4FCD">
        <w:rPr>
          <w:rStyle w:val="Artref"/>
          <w:b/>
          <w:bCs/>
          <w:color w:val="000000"/>
          <w:lang w:val="es-ES_tradnl"/>
        </w:rPr>
        <w:t>5.418C</w:t>
      </w:r>
      <w:r w:rsidRPr="00CC4FCD">
        <w:rPr>
          <w:color w:val="000000"/>
          <w:lang w:val="es-ES_tradnl"/>
        </w:rPr>
        <w:t xml:space="preserve"> teniendo debidamente en cuenta las fechas de recepción de la información completa de coordinación o notificación del Apéndice </w:t>
      </w:r>
      <w:r w:rsidRPr="00CC4FCD">
        <w:rPr>
          <w:rStyle w:val="Appref"/>
          <w:b/>
          <w:bCs/>
          <w:color w:val="000000"/>
          <w:lang w:val="es-ES_tradnl"/>
        </w:rPr>
        <w:t>4</w:t>
      </w:r>
      <w:r w:rsidRPr="00CC4FCD">
        <w:rPr>
          <w:color w:val="000000"/>
          <w:lang w:val="es-ES_tradnl"/>
        </w:rPr>
        <w:t>, según el caso. Evidentemente,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el número </w:t>
      </w:r>
      <w:r w:rsidRPr="00CC4FCD">
        <w:rPr>
          <w:rStyle w:val="Artref"/>
          <w:b/>
          <w:bCs/>
          <w:color w:val="000000"/>
          <w:lang w:val="es-ES_tradnl"/>
        </w:rPr>
        <w:t>5.418A</w:t>
      </w:r>
      <w:r w:rsidRPr="00CC4FCD">
        <w:rPr>
          <w:color w:val="000000"/>
          <w:lang w:val="es-ES_tradnl"/>
        </w:rPr>
        <w:t xml:space="preserve"> se refiere a la aplicación de las disposiciones del número </w:t>
      </w:r>
      <w:r w:rsidRPr="00CC4FCD">
        <w:rPr>
          <w:rStyle w:val="Artref"/>
          <w:b/>
          <w:bCs/>
          <w:color w:val="000000"/>
          <w:lang w:val="es-ES_tradnl"/>
        </w:rPr>
        <w:t>9.12A</w:t>
      </w:r>
      <w:r w:rsidRPr="00CC4FCD">
        <w:rPr>
          <w:color w:val="000000"/>
          <w:lang w:val="es-ES_tradnl"/>
        </w:rPr>
        <w:t xml:space="preserve"> para sistemas no</w:t>
      </w:r>
      <w:r w:rsidR="009E216C">
        <w:rPr>
          <w:color w:val="000000"/>
          <w:lang w:val="es-ES_tradnl"/>
        </w:rPr>
        <w:t xml:space="preserve"> </w:t>
      </w:r>
      <w:r w:rsidRPr="00CC4FCD">
        <w:rPr>
          <w:color w:val="000000"/>
          <w:lang w:val="es-ES_tradnl"/>
        </w:rPr>
        <w:t xml:space="preserve">OSG del SRS (sonora) en ciertos países indicados en el número </w:t>
      </w:r>
      <w:r w:rsidRPr="00CC4FCD">
        <w:rPr>
          <w:rStyle w:val="Artref"/>
          <w:b/>
          <w:bCs/>
          <w:color w:val="000000"/>
          <w:lang w:val="es-ES_tradnl"/>
        </w:rPr>
        <w:t>5.418</w:t>
      </w:r>
      <w:r w:rsidRPr="00CC4FCD">
        <w:rPr>
          <w:color w:val="000000"/>
          <w:lang w:val="es-ES_tradnl"/>
        </w:rPr>
        <w:t xml:space="preserve"> con respecto a sistemas OSG, sin otros detalles sobre los servicios en cuestión; el número </w:t>
      </w:r>
      <w:r w:rsidRPr="00CC4FCD">
        <w:rPr>
          <w:rStyle w:val="Artref"/>
          <w:b/>
          <w:bCs/>
          <w:color w:val="000000"/>
          <w:lang w:val="es-ES_tradnl"/>
        </w:rPr>
        <w:t>5.418B</w:t>
      </w:r>
      <w:r w:rsidRPr="00CC4FCD">
        <w:rPr>
          <w:color w:val="000000"/>
          <w:lang w:val="es-ES_tradnl"/>
        </w:rPr>
        <w:t xml:space="preserve"> se refiere a la aplicación de las disposiciones del número </w:t>
      </w:r>
      <w:r w:rsidRPr="00CC4FCD">
        <w:rPr>
          <w:rStyle w:val="Artref"/>
          <w:b/>
          <w:bCs/>
          <w:color w:val="000000"/>
          <w:lang w:val="es-ES_tradnl"/>
        </w:rPr>
        <w:t>9.12</w:t>
      </w:r>
      <w:r w:rsidRPr="00CC4FCD">
        <w:rPr>
          <w:b/>
          <w:bCs/>
          <w:color w:val="000000"/>
          <w:lang w:val="es-ES_tradnl"/>
        </w:rPr>
        <w:t xml:space="preserve"> </w:t>
      </w:r>
      <w:r w:rsidRPr="00CC4FCD">
        <w:rPr>
          <w:color w:val="000000"/>
          <w:lang w:val="es-ES_tradnl"/>
        </w:rPr>
        <w:t xml:space="preserve">para sistemas no OSG del SRS indicados en el número </w:t>
      </w:r>
      <w:r w:rsidRPr="00CC4FCD">
        <w:rPr>
          <w:rStyle w:val="Artref"/>
          <w:b/>
          <w:bCs/>
          <w:color w:val="000000"/>
          <w:lang w:val="es-ES_tradnl"/>
        </w:rPr>
        <w:t>5.418</w:t>
      </w:r>
      <w:r w:rsidRPr="00CC4FCD">
        <w:rPr>
          <w:color w:val="000000"/>
          <w:lang w:val="es-ES_tradnl"/>
        </w:rPr>
        <w:t xml:space="preserve"> con respecto a otros sistemas no OSG; y el número </w:t>
      </w:r>
      <w:r w:rsidRPr="00CC4FCD">
        <w:rPr>
          <w:rStyle w:val="Artref"/>
          <w:b/>
          <w:bCs/>
          <w:color w:val="000000"/>
          <w:lang w:val="es-ES_tradnl"/>
        </w:rPr>
        <w:t>5.418C</w:t>
      </w:r>
      <w:r w:rsidRPr="00CC4FCD">
        <w:rPr>
          <w:b/>
          <w:bCs/>
          <w:color w:val="000000"/>
          <w:lang w:val="es-ES_tradnl"/>
        </w:rPr>
        <w:t xml:space="preserve"> </w:t>
      </w:r>
      <w:r w:rsidRPr="00CC4FCD">
        <w:rPr>
          <w:color w:val="000000"/>
          <w:lang w:val="es-ES_tradnl"/>
        </w:rPr>
        <w:t xml:space="preserve">se refiere a la aplicación del número </w:t>
      </w:r>
      <w:r w:rsidRPr="00CC4FCD">
        <w:rPr>
          <w:rStyle w:val="Artref"/>
          <w:b/>
          <w:bCs/>
          <w:color w:val="000000"/>
          <w:lang w:val="es-ES_tradnl"/>
        </w:rPr>
        <w:t>9.13</w:t>
      </w:r>
      <w:r w:rsidRPr="00CC4FCD">
        <w:rPr>
          <w:color w:val="000000"/>
          <w:lang w:val="es-ES_tradnl"/>
        </w:rPr>
        <w:t xml:space="preserve"> por redes OSG con respecto a sistemas no OSG del SRS (sonora), con atribuciones según el número </w:t>
      </w:r>
      <w:r w:rsidRPr="00CC4FCD">
        <w:rPr>
          <w:rStyle w:val="Artref"/>
          <w:b/>
          <w:bCs/>
          <w:color w:val="000000"/>
          <w:lang w:val="es-ES_tradnl"/>
        </w:rPr>
        <w:t>5.418</w:t>
      </w:r>
      <w:r w:rsidRPr="00CC4FCD">
        <w:rPr>
          <w:color w:val="000000"/>
          <w:lang w:val="es-ES_tradnl"/>
        </w:rPr>
        <w:t xml:space="preserve">. Se utiliza también la misma redacción en los números </w:t>
      </w:r>
      <w:r w:rsidRPr="00CC4FCD">
        <w:rPr>
          <w:rStyle w:val="Artref"/>
          <w:b/>
          <w:bCs/>
          <w:color w:val="000000"/>
          <w:lang w:val="es-ES_tradnl"/>
        </w:rPr>
        <w:t>5.417B</w:t>
      </w:r>
      <w:r w:rsidRPr="00CC4FCD">
        <w:rPr>
          <w:color w:val="000000"/>
          <w:lang w:val="es-ES_tradnl"/>
        </w:rPr>
        <w:t xml:space="preserve">, </w:t>
      </w:r>
      <w:r w:rsidRPr="00CC4FCD">
        <w:rPr>
          <w:rStyle w:val="Artref"/>
          <w:b/>
          <w:bCs/>
          <w:color w:val="000000"/>
          <w:lang w:val="es-ES_tradnl"/>
        </w:rPr>
        <w:t>5.417C</w:t>
      </w:r>
      <w:r w:rsidRPr="00CC4FCD">
        <w:rPr>
          <w:lang w:val="es-ES_tradnl"/>
        </w:rPr>
        <w:t xml:space="preserve"> </w:t>
      </w:r>
      <w:r w:rsidRPr="00CC4FCD">
        <w:rPr>
          <w:color w:val="000000"/>
          <w:lang w:val="es-ES_tradnl"/>
        </w:rPr>
        <w:t xml:space="preserve">y </w:t>
      </w:r>
      <w:r w:rsidRPr="00CC4FCD">
        <w:rPr>
          <w:rStyle w:val="Artref"/>
          <w:b/>
          <w:bCs/>
          <w:color w:val="000000"/>
          <w:lang w:val="es-ES_tradnl"/>
        </w:rPr>
        <w:t>5.417D</w:t>
      </w:r>
      <w:r w:rsidRPr="00CC4FCD">
        <w:rPr>
          <w:color w:val="000000"/>
          <w:lang w:val="es-ES_tradnl"/>
        </w:rPr>
        <w:t xml:space="preserve"> en relación con los sistemas del SRS en la banda 2</w:t>
      </w:r>
      <w:r w:rsidRPr="00CC4FCD">
        <w:rPr>
          <w:rFonts w:ascii="Tms Rmn" w:hAnsi="Tms Rmn"/>
          <w:color w:val="000000"/>
          <w:sz w:val="12"/>
          <w:lang w:val="es-ES_tradnl"/>
        </w:rPr>
        <w:t> </w:t>
      </w:r>
      <w:r w:rsidRPr="00CC4FCD">
        <w:rPr>
          <w:color w:val="000000"/>
          <w:lang w:val="es-ES_tradnl"/>
        </w:rPr>
        <w:t>605-2</w:t>
      </w:r>
      <w:r w:rsidRPr="00CC4FCD">
        <w:rPr>
          <w:rFonts w:ascii="Tms Rmn" w:hAnsi="Tms Rmn"/>
          <w:color w:val="000000"/>
          <w:sz w:val="12"/>
          <w:lang w:val="es-ES_tradnl"/>
        </w:rPr>
        <w:t> </w:t>
      </w:r>
      <w:r w:rsidRPr="00CC4FCD">
        <w:rPr>
          <w:color w:val="000000"/>
          <w:lang w:val="es-ES_tradnl"/>
        </w:rPr>
        <w:t>630 MHz.</w:t>
      </w:r>
    </w:p>
    <w:p w:rsidR="000A21A1" w:rsidRPr="00CC4FCD" w:rsidRDefault="000A21A1" w:rsidP="00E237E2">
      <w:pPr>
        <w:rPr>
          <w:color w:val="000000"/>
          <w:lang w:val="es-ES_tradnl"/>
        </w:rPr>
      </w:pPr>
      <w:r w:rsidRPr="00CC4FCD">
        <w:rPr>
          <w:color w:val="000000"/>
          <w:lang w:val="es-ES_tradnl"/>
        </w:rPr>
        <w:t>3</w:t>
      </w:r>
      <w:r w:rsidRPr="00CC4FCD">
        <w:rPr>
          <w:color w:val="000000"/>
          <w:lang w:val="es-ES_tradnl"/>
        </w:rPr>
        <w:tab/>
        <w:t>Teniendo en cuenta lo anterior y a la luz de los debates y las decisiones de la CMR</w:t>
      </w:r>
      <w:r w:rsidRPr="00CC4FCD">
        <w:rPr>
          <w:color w:val="000000"/>
          <w:lang w:val="es-ES_tradnl"/>
        </w:rPr>
        <w:noBreakHyphen/>
        <w:t xml:space="preserve">03, en particular, sobre la adición de una referencia explícita al número </w:t>
      </w:r>
      <w:r w:rsidRPr="00CC4FCD">
        <w:rPr>
          <w:rStyle w:val="Artref"/>
          <w:b/>
          <w:bCs/>
          <w:color w:val="000000"/>
          <w:lang w:val="es-ES_tradnl"/>
        </w:rPr>
        <w:t>5.418</w:t>
      </w:r>
      <w:r w:rsidRPr="00CC4FCD">
        <w:rPr>
          <w:color w:val="000000"/>
          <w:lang w:val="es-ES_tradnl"/>
        </w:rPr>
        <w:t xml:space="preserve"> en los números </w:t>
      </w:r>
      <w:r w:rsidRPr="00CC4FCD">
        <w:rPr>
          <w:rStyle w:val="Artref"/>
          <w:b/>
          <w:bCs/>
          <w:color w:val="000000"/>
          <w:lang w:val="es-ES_tradnl"/>
        </w:rPr>
        <w:t>5.418B</w:t>
      </w:r>
      <w:r w:rsidRPr="00CC4FCD">
        <w:rPr>
          <w:color w:val="000000"/>
          <w:lang w:val="es-ES_tradnl"/>
        </w:rPr>
        <w:t xml:space="preserve"> y </w:t>
      </w:r>
      <w:r w:rsidRPr="00CC4FCD">
        <w:rPr>
          <w:rStyle w:val="Artref"/>
          <w:b/>
          <w:bCs/>
          <w:color w:val="000000"/>
          <w:lang w:val="es-ES_tradnl"/>
        </w:rPr>
        <w:t>5.418C</w:t>
      </w:r>
      <w:r w:rsidRPr="00CC4FCD">
        <w:rPr>
          <w:color w:val="000000"/>
          <w:lang w:val="es-ES_tradnl"/>
        </w:rPr>
        <w:t xml:space="preserve">, y la referencia explícita al número </w:t>
      </w:r>
      <w:r w:rsidRPr="00CC4FCD">
        <w:rPr>
          <w:rStyle w:val="Artref"/>
          <w:b/>
          <w:bCs/>
          <w:color w:val="000000"/>
          <w:lang w:val="es-ES_tradnl"/>
        </w:rPr>
        <w:t>5.417A</w:t>
      </w:r>
      <w:r w:rsidRPr="00CC4FCD">
        <w:rPr>
          <w:b/>
          <w:bCs/>
          <w:color w:val="000000"/>
          <w:lang w:val="es-ES_tradnl"/>
        </w:rPr>
        <w:t xml:space="preserve"> </w:t>
      </w:r>
      <w:r w:rsidRPr="00CC4FCD">
        <w:rPr>
          <w:color w:val="000000"/>
          <w:lang w:val="es-ES_tradnl"/>
        </w:rPr>
        <w:t xml:space="preserve">en los números </w:t>
      </w:r>
      <w:r w:rsidRPr="00CC4FCD">
        <w:rPr>
          <w:rStyle w:val="Artref"/>
          <w:b/>
          <w:bCs/>
          <w:color w:val="000000"/>
          <w:lang w:val="es-ES_tradnl"/>
        </w:rPr>
        <w:t>5.417B</w:t>
      </w:r>
      <w:r w:rsidRPr="00CC4FCD">
        <w:rPr>
          <w:color w:val="000000"/>
          <w:lang w:val="es-ES_tradnl"/>
        </w:rPr>
        <w:t xml:space="preserve">, </w:t>
      </w:r>
      <w:r w:rsidRPr="00CC4FCD">
        <w:rPr>
          <w:rStyle w:val="Artref"/>
          <w:b/>
          <w:bCs/>
          <w:color w:val="000000"/>
          <w:lang w:val="es-ES_tradnl"/>
        </w:rPr>
        <w:t>5.417C</w:t>
      </w:r>
      <w:r w:rsidRPr="00CC4FCD">
        <w:rPr>
          <w:color w:val="000000"/>
          <w:lang w:val="es-ES_tradnl"/>
        </w:rPr>
        <w:t xml:space="preserve"> y </w:t>
      </w:r>
      <w:r w:rsidRPr="00CC4FCD">
        <w:rPr>
          <w:rStyle w:val="Artref"/>
          <w:b/>
          <w:bCs/>
          <w:color w:val="000000"/>
          <w:lang w:val="es-ES_tradnl"/>
        </w:rPr>
        <w:t>5.417D</w:t>
      </w:r>
      <w:r w:rsidRPr="00CC4FCD">
        <w:rPr>
          <w:color w:val="000000"/>
          <w:lang w:val="es-ES_tradnl"/>
        </w:rPr>
        <w:t xml:space="preserve">, la Junta considera que los números </w:t>
      </w:r>
      <w:r w:rsidRPr="00CC4FCD">
        <w:rPr>
          <w:rStyle w:val="Artref"/>
          <w:b/>
          <w:bCs/>
          <w:color w:val="000000"/>
          <w:lang w:val="es-ES_tradnl"/>
        </w:rPr>
        <w:t>5.418A</w:t>
      </w:r>
      <w:r w:rsidRPr="00CC4FCD">
        <w:rPr>
          <w:color w:val="000000"/>
          <w:lang w:val="es-ES_tradnl"/>
        </w:rPr>
        <w:t xml:space="preserve">, </w:t>
      </w:r>
      <w:r w:rsidRPr="00CC4FCD">
        <w:rPr>
          <w:rStyle w:val="Artref"/>
          <w:b/>
          <w:bCs/>
          <w:color w:val="000000"/>
          <w:lang w:val="es-ES_tradnl"/>
        </w:rPr>
        <w:t>5.418B</w:t>
      </w:r>
      <w:r w:rsidRPr="00CC4FCD">
        <w:rPr>
          <w:color w:val="000000"/>
          <w:lang w:val="es-ES_tradnl"/>
        </w:rPr>
        <w:t xml:space="preserve"> y </w:t>
      </w:r>
      <w:r w:rsidRPr="00CC4FCD">
        <w:rPr>
          <w:rStyle w:val="Artref"/>
          <w:b/>
          <w:bCs/>
          <w:color w:val="000000"/>
          <w:lang w:val="es-ES_tradnl"/>
        </w:rPr>
        <w:t>5.418C</w:t>
      </w:r>
      <w:r w:rsidRPr="00CC4FCD">
        <w:rPr>
          <w:color w:val="000000"/>
          <w:lang w:val="es-ES_tradnl"/>
        </w:rPr>
        <w:t xml:space="preserve"> y los</w:t>
      </w:r>
      <w:r w:rsidR="00E237E2" w:rsidRPr="00CC4FCD">
        <w:rPr>
          <w:color w:val="000000"/>
          <w:lang w:val="es-ES_tradnl"/>
        </w:rPr>
        <w:t xml:space="preserve"> </w:t>
      </w:r>
      <w:r w:rsidRPr="00CC4FCD">
        <w:rPr>
          <w:color w:val="000000"/>
          <w:lang w:val="es-ES_tradnl"/>
        </w:rPr>
        <w:t xml:space="preserve">números </w:t>
      </w:r>
      <w:r w:rsidRPr="00CC4FCD">
        <w:rPr>
          <w:rStyle w:val="Artref"/>
          <w:b/>
          <w:bCs/>
          <w:color w:val="000000"/>
          <w:lang w:val="es-ES_tradnl"/>
        </w:rPr>
        <w:t>5.417B</w:t>
      </w:r>
      <w:r w:rsidRPr="00CC4FCD">
        <w:rPr>
          <w:color w:val="000000"/>
          <w:lang w:val="es-ES_tradnl"/>
        </w:rPr>
        <w:t xml:space="preserve">, </w:t>
      </w:r>
      <w:r w:rsidRPr="00CC4FCD">
        <w:rPr>
          <w:rStyle w:val="Artref"/>
          <w:b/>
          <w:bCs/>
          <w:color w:val="000000"/>
          <w:lang w:val="es-ES_tradnl"/>
        </w:rPr>
        <w:t>5.417C</w:t>
      </w:r>
      <w:r w:rsidRPr="00CC4FCD">
        <w:rPr>
          <w:color w:val="000000"/>
          <w:lang w:val="es-ES_tradnl"/>
        </w:rPr>
        <w:t xml:space="preserve">, </w:t>
      </w:r>
      <w:r w:rsidRPr="00CC4FCD">
        <w:rPr>
          <w:rStyle w:val="Artref"/>
          <w:b/>
          <w:bCs/>
          <w:color w:val="000000"/>
          <w:lang w:val="es-ES_tradnl"/>
        </w:rPr>
        <w:t>5.417D</w:t>
      </w:r>
      <w:r w:rsidRPr="00CC4FCD">
        <w:rPr>
          <w:b/>
          <w:bCs/>
          <w:color w:val="000000"/>
          <w:lang w:val="es-ES_tradnl"/>
        </w:rPr>
        <w:t xml:space="preserve"> </w:t>
      </w:r>
      <w:r w:rsidRPr="00CC4FCD">
        <w:rPr>
          <w:color w:val="000000"/>
          <w:lang w:val="es-ES_tradnl"/>
        </w:rPr>
        <w:t>se refieren únicamente a los casos de coordinación</w:t>
      </w:r>
      <w:r w:rsidRPr="00CC4FCD">
        <w:rPr>
          <w:b/>
          <w:bCs/>
          <w:color w:val="000000"/>
          <w:lang w:val="es-ES_tradnl"/>
        </w:rPr>
        <w:t xml:space="preserve"> </w:t>
      </w:r>
      <w:r w:rsidRPr="00CC4FCD">
        <w:rPr>
          <w:color w:val="000000"/>
          <w:lang w:val="es-ES_tradnl"/>
        </w:rPr>
        <w:t xml:space="preserve">siguientes: sistemas del SRS (sonora) no OSG (números </w:t>
      </w:r>
      <w:r w:rsidRPr="00CC4FCD">
        <w:rPr>
          <w:rStyle w:val="Artref"/>
          <w:b/>
          <w:bCs/>
          <w:color w:val="000000"/>
          <w:lang w:val="es-ES_tradnl"/>
        </w:rPr>
        <w:t>5.418</w:t>
      </w:r>
      <w:r w:rsidRPr="00CC4FCD">
        <w:rPr>
          <w:color w:val="000000"/>
          <w:lang w:val="es-ES_tradnl"/>
        </w:rPr>
        <w:t xml:space="preserve"> y </w:t>
      </w:r>
      <w:r w:rsidRPr="00CC4FCD">
        <w:rPr>
          <w:rStyle w:val="Artref"/>
          <w:b/>
          <w:bCs/>
          <w:color w:val="000000"/>
          <w:lang w:val="es-ES_tradnl"/>
        </w:rPr>
        <w:t>5.417A</w:t>
      </w:r>
      <w:r w:rsidRPr="00CC4FCD">
        <w:rPr>
          <w:color w:val="000000"/>
          <w:lang w:val="es-ES_tradnl"/>
        </w:rPr>
        <w:t xml:space="preserve">) de cara a cualquier sistema OSG según el número </w:t>
      </w:r>
      <w:r w:rsidRPr="00CC4FCD">
        <w:rPr>
          <w:rStyle w:val="Artref"/>
          <w:b/>
          <w:bCs/>
          <w:color w:val="000000"/>
          <w:lang w:val="es-ES_tradnl"/>
        </w:rPr>
        <w:t>9.12A</w:t>
      </w:r>
      <w:r w:rsidRPr="00CC4FCD">
        <w:rPr>
          <w:color w:val="000000"/>
          <w:lang w:val="es-ES_tradnl"/>
        </w:rPr>
        <w:t xml:space="preserve"> y de cara a cualquier sistema no OSG según el número</w:t>
      </w:r>
      <w:r w:rsidR="00E237E2" w:rsidRPr="00CC4FCD">
        <w:rPr>
          <w:color w:val="000000"/>
          <w:lang w:val="es-ES_tradnl"/>
        </w:rPr>
        <w:t> </w:t>
      </w:r>
      <w:r w:rsidRPr="00CC4FCD">
        <w:rPr>
          <w:rStyle w:val="Artref"/>
          <w:b/>
          <w:bCs/>
          <w:color w:val="000000"/>
          <w:lang w:val="es-ES_tradnl"/>
        </w:rPr>
        <w:t>9.12</w:t>
      </w:r>
      <w:r w:rsidRPr="00CC4FCD">
        <w:rPr>
          <w:color w:val="000000"/>
          <w:lang w:val="es-ES_tradnl"/>
        </w:rPr>
        <w:t xml:space="preserve"> y viceversa, es decir, todo sistema OSG de cara a sistemas del SRS (sonora) no OSG (números </w:t>
      </w:r>
      <w:r w:rsidRPr="00CC4FCD">
        <w:rPr>
          <w:rStyle w:val="Artref"/>
          <w:b/>
          <w:bCs/>
          <w:color w:val="000000"/>
          <w:lang w:val="es-ES_tradnl"/>
        </w:rPr>
        <w:t>5.418</w:t>
      </w:r>
      <w:r w:rsidRPr="00CC4FCD">
        <w:rPr>
          <w:color w:val="000000"/>
          <w:lang w:val="es-ES_tradnl"/>
        </w:rPr>
        <w:t xml:space="preserve"> y </w:t>
      </w:r>
      <w:r w:rsidRPr="00CC4FCD">
        <w:rPr>
          <w:rStyle w:val="Artref"/>
          <w:b/>
          <w:bCs/>
          <w:color w:val="000000"/>
          <w:lang w:val="es-ES_tradnl"/>
        </w:rPr>
        <w:t>5.417A</w:t>
      </w:r>
      <w:r w:rsidRPr="00CC4FCD">
        <w:rPr>
          <w:color w:val="000000"/>
          <w:lang w:val="es-ES_tradnl"/>
        </w:rPr>
        <w:t xml:space="preserve">) según el número </w:t>
      </w:r>
      <w:r w:rsidRPr="00CC4FCD">
        <w:rPr>
          <w:rStyle w:val="Artref"/>
          <w:b/>
          <w:bCs/>
          <w:color w:val="000000"/>
          <w:lang w:val="es-ES_tradnl"/>
        </w:rPr>
        <w:t>9.13</w:t>
      </w:r>
      <w:r w:rsidRPr="00CC4FCD">
        <w:rPr>
          <w:color w:val="000000"/>
          <w:lang w:val="es-ES_tradnl"/>
        </w:rPr>
        <w:t xml:space="preserve">, y todo sistema OSG de cara a sistemas del SRS (sonora) no OSG (números </w:t>
      </w:r>
      <w:r w:rsidRPr="00CC4FCD">
        <w:rPr>
          <w:rStyle w:val="Artref"/>
          <w:b/>
          <w:bCs/>
          <w:color w:val="000000"/>
          <w:lang w:val="es-ES_tradnl"/>
        </w:rPr>
        <w:t>5.418</w:t>
      </w:r>
      <w:r w:rsidRPr="00CC4FCD">
        <w:rPr>
          <w:color w:val="000000"/>
          <w:lang w:val="es-ES_tradnl"/>
        </w:rPr>
        <w:t xml:space="preserve"> y </w:t>
      </w:r>
      <w:r w:rsidRPr="00CC4FCD">
        <w:rPr>
          <w:rStyle w:val="Artref"/>
          <w:b/>
          <w:bCs/>
          <w:color w:val="000000"/>
          <w:lang w:val="es-ES_tradnl"/>
        </w:rPr>
        <w:t>5.417A</w:t>
      </w:r>
      <w:r w:rsidRPr="00CC4FCD">
        <w:rPr>
          <w:color w:val="000000"/>
          <w:lang w:val="es-ES_tradnl"/>
        </w:rPr>
        <w:t xml:space="preserve">) según el número </w:t>
      </w:r>
      <w:r w:rsidRPr="00CC4FCD">
        <w:rPr>
          <w:rStyle w:val="Artref"/>
          <w:b/>
          <w:bCs/>
          <w:color w:val="000000"/>
          <w:lang w:val="es-ES_tradnl"/>
        </w:rPr>
        <w:t>9.12</w:t>
      </w:r>
      <w:r w:rsidRPr="00CC4FCD">
        <w:rPr>
          <w:color w:val="000000"/>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después del 4</w:t>
      </w:r>
      <w:r w:rsidR="00E237E2" w:rsidRPr="00CC4FCD">
        <w:rPr>
          <w:color w:val="000000"/>
          <w:lang w:val="es-ES_tradnl"/>
        </w:rPr>
        <w:t> </w:t>
      </w:r>
      <w:r w:rsidRPr="00CC4FCD">
        <w:rPr>
          <w:color w:val="000000"/>
          <w:lang w:val="es-ES_tradnl"/>
        </w:rPr>
        <w:t>de julio de 2003 en la banda 2</w:t>
      </w:r>
      <w:r w:rsidRPr="00CC4FCD">
        <w:rPr>
          <w:rFonts w:ascii="Tms Rmn" w:hAnsi="Tms Rmn"/>
          <w:color w:val="000000"/>
          <w:sz w:val="12"/>
          <w:lang w:val="es-ES_tradnl"/>
        </w:rPr>
        <w:t> </w:t>
      </w:r>
      <w:r w:rsidRPr="00CC4FCD">
        <w:rPr>
          <w:color w:val="000000"/>
          <w:lang w:val="es-ES_tradnl"/>
        </w:rPr>
        <w:t>605-2</w:t>
      </w:r>
      <w:r w:rsidRPr="00CC4FCD">
        <w:rPr>
          <w:rFonts w:ascii="Tms Rmn" w:hAnsi="Tms Rmn"/>
          <w:color w:val="000000"/>
          <w:sz w:val="12"/>
          <w:lang w:val="es-ES_tradnl"/>
        </w:rPr>
        <w:t> </w:t>
      </w:r>
      <w:r w:rsidRPr="00CC4FCD">
        <w:rPr>
          <w:color w:val="000000"/>
          <w:lang w:val="es-ES_tradnl"/>
        </w:rPr>
        <w:t>630</w:t>
      </w:r>
      <w:r w:rsidR="00EA1686" w:rsidRPr="00CC4FCD">
        <w:rPr>
          <w:color w:val="000000"/>
          <w:lang w:val="es-ES_tradnl"/>
        </w:rPr>
        <w:t> </w:t>
      </w:r>
      <w:r w:rsidRPr="00CC4FCD">
        <w:rPr>
          <w:color w:val="000000"/>
          <w:lang w:val="es-ES_tradnl"/>
        </w:rPr>
        <w:t>MHz.</w:t>
      </w:r>
    </w:p>
    <w:p w:rsidR="000A21A1" w:rsidRDefault="000A21A1" w:rsidP="009E216C">
      <w:pPr>
        <w:rPr>
          <w:lang w:val="es-ES_tradnl"/>
        </w:rPr>
      </w:pPr>
    </w:p>
    <w:p w:rsidR="00AE5472" w:rsidRDefault="00AE5472" w:rsidP="009E216C">
      <w:pPr>
        <w:rPr>
          <w:lang w:val="es-ES_tradnl"/>
        </w:rPr>
      </w:pPr>
    </w:p>
    <w:p w:rsidR="00AE5472" w:rsidRDefault="00AE5472" w:rsidP="009E216C">
      <w:pPr>
        <w:rPr>
          <w:lang w:val="es-ES_tradnl"/>
        </w:rPr>
      </w:pPr>
    </w:p>
    <w:p w:rsidR="009E216C" w:rsidRDefault="009E216C" w:rsidP="009E216C">
      <w:pPr>
        <w:rPr>
          <w:lang w:val="es-ES_tradnl"/>
        </w:rPr>
      </w:pPr>
    </w:p>
    <w:p w:rsidR="009E216C" w:rsidRDefault="009E216C" w:rsidP="009E216C">
      <w:pPr>
        <w:rPr>
          <w:lang w:val="es-ES_tradnl"/>
        </w:rPr>
      </w:pPr>
    </w:p>
    <w:p w:rsidR="009E216C" w:rsidRPr="009E216C" w:rsidRDefault="009E216C" w:rsidP="009E216C">
      <w:pPr>
        <w:spacing w:before="0"/>
        <w:rPr>
          <w:sz w:val="2"/>
          <w:szCs w:val="2"/>
          <w:lang w:val="es-ES_tradnl"/>
        </w:rPr>
      </w:pPr>
      <w:r>
        <w:rPr>
          <w:lang w:val="es-ES_tradnl"/>
        </w:rPr>
        <w:br w:type="page"/>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56"/>
        <w:gridCol w:w="1834"/>
        <w:gridCol w:w="1845"/>
        <w:gridCol w:w="1900"/>
      </w:tblGrid>
      <w:tr w:rsidR="000A21A1" w:rsidRPr="00CC4FCD">
        <w:tblPrEx>
          <w:tblCellMar>
            <w:top w:w="0" w:type="dxa"/>
            <w:bottom w:w="0" w:type="dxa"/>
          </w:tblCellMar>
        </w:tblPrEx>
        <w:trPr>
          <w:trHeight w:val="457"/>
          <w:jc w:val="center"/>
        </w:trPr>
        <w:tc>
          <w:tcPr>
            <w:tcW w:w="3056"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Petición de coordinación (PC): Columna con respecto a fila (</w:t>
            </w:r>
            <w:r w:rsidRPr="00CC4FCD">
              <w:rPr>
                <w:color w:val="000000"/>
                <w:lang w:val="es-ES_tradnl"/>
              </w:rPr>
              <w:sym w:font="Wingdings" w:char="F0E5"/>
            </w:r>
            <w:r w:rsidRPr="00CC4FCD">
              <w:rPr>
                <w:color w:val="000000"/>
                <w:lang w:val="es-ES_tradnl"/>
              </w:rPr>
              <w:t>)</w:t>
            </w:r>
            <w:r w:rsidRPr="00CC4FCD">
              <w:rPr>
                <w:color w:val="000000"/>
                <w:lang w:val="es-ES_tradnl"/>
              </w:rPr>
              <w:br/>
              <w:t>(2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w:t>
            </w:r>
          </w:p>
        </w:tc>
        <w:tc>
          <w:tcPr>
            <w:tcW w:w="1834"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 xml:space="preserve">SRS no OSG (sonora) </w:t>
            </w:r>
            <w:r w:rsidRPr="00CC4FCD">
              <w:rPr>
                <w:color w:val="000000"/>
                <w:sz w:val="18"/>
                <w:lang w:val="es-ES_tradnl"/>
              </w:rPr>
              <w:sym w:font="Symbol" w:char="F0AF"/>
            </w:r>
            <w:r w:rsidRPr="00CC4FCD">
              <w:rPr>
                <w:color w:val="000000"/>
                <w:lang w:val="es-ES_tradnl"/>
              </w:rPr>
              <w:br/>
              <w:t>(</w:t>
            </w:r>
            <w:r w:rsidRPr="00CC4FCD">
              <w:rPr>
                <w:rStyle w:val="Artref"/>
                <w:b/>
                <w:bCs/>
                <w:color w:val="000000"/>
                <w:lang w:val="es-ES_tradnl"/>
              </w:rPr>
              <w:t>5.417A</w:t>
            </w:r>
            <w:r w:rsidRPr="00CC4FCD">
              <w:rPr>
                <w:color w:val="000000"/>
                <w:lang w:val="es-ES_tradnl"/>
              </w:rPr>
              <w:t xml:space="preserve">, </w:t>
            </w:r>
            <w:r w:rsidRPr="00CC4FCD">
              <w:rPr>
                <w:rStyle w:val="Artref"/>
                <w:b/>
                <w:bCs/>
                <w:color w:val="000000"/>
                <w:lang w:val="es-ES_tradnl"/>
              </w:rPr>
              <w:t>5.418</w:t>
            </w:r>
            <w:r w:rsidRPr="00CC4FCD">
              <w:rPr>
                <w:color w:val="000000"/>
                <w:lang w:val="es-ES_tradnl"/>
              </w:rPr>
              <w:t>)</w:t>
            </w:r>
          </w:p>
        </w:tc>
        <w:tc>
          <w:tcPr>
            <w:tcW w:w="1845"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 xml:space="preserve">SRS OSG </w:t>
            </w:r>
            <w:r w:rsidRPr="00CC4FCD">
              <w:rPr>
                <w:color w:val="000000"/>
                <w:sz w:val="18"/>
                <w:lang w:val="es-ES_tradnl"/>
              </w:rPr>
              <w:sym w:font="Symbol" w:char="F0AF"/>
            </w:r>
            <w:r w:rsidRPr="00CC4FCD">
              <w:rPr>
                <w:color w:val="000000"/>
                <w:lang w:val="es-ES_tradnl"/>
              </w:rPr>
              <w:br/>
              <w:t>(</w:t>
            </w:r>
            <w:r w:rsidRPr="00CC4FCD">
              <w:rPr>
                <w:rStyle w:val="Artref"/>
                <w:b/>
                <w:bCs/>
                <w:color w:val="000000"/>
                <w:lang w:val="es-ES_tradnl"/>
              </w:rPr>
              <w:t>5.416</w:t>
            </w:r>
            <w:r w:rsidRPr="00CC4FCD">
              <w:rPr>
                <w:color w:val="000000"/>
                <w:lang w:val="es-ES_tradnl"/>
              </w:rPr>
              <w:t xml:space="preserve">, </w:t>
            </w:r>
            <w:r w:rsidRPr="00CC4FCD">
              <w:rPr>
                <w:rStyle w:val="Artref"/>
                <w:b/>
                <w:bCs/>
                <w:color w:val="000000"/>
                <w:lang w:val="es-ES_tradnl"/>
              </w:rPr>
              <w:t>5.417A</w:t>
            </w:r>
            <w:r w:rsidRPr="00CC4FCD">
              <w:rPr>
                <w:color w:val="000000"/>
                <w:lang w:val="es-ES_tradnl"/>
              </w:rPr>
              <w:t xml:space="preserve">, </w:t>
            </w:r>
            <w:r w:rsidRPr="00CC4FCD">
              <w:rPr>
                <w:rStyle w:val="Artref"/>
                <w:b/>
                <w:bCs/>
                <w:color w:val="000000"/>
                <w:lang w:val="es-ES_tradnl"/>
              </w:rPr>
              <w:t>5.418</w:t>
            </w:r>
            <w:r w:rsidRPr="00CC4FCD">
              <w:rPr>
                <w:color w:val="000000"/>
                <w:lang w:val="es-ES_tradnl"/>
              </w:rPr>
              <w:t>) o</w:t>
            </w:r>
            <w:r w:rsidRPr="00CC4FCD">
              <w:rPr>
                <w:color w:val="000000"/>
                <w:lang w:val="es-ES_tradnl"/>
              </w:rPr>
              <w:br/>
              <w:t xml:space="preserve">SFS </w:t>
            </w:r>
            <w:r w:rsidRPr="00CC4FCD">
              <w:rPr>
                <w:color w:val="000000"/>
                <w:sz w:val="18"/>
                <w:lang w:val="es-ES_tradnl"/>
              </w:rPr>
              <w:sym w:font="Symbol" w:char="F0AF"/>
            </w:r>
            <w:r w:rsidRPr="00CC4FCD">
              <w:rPr>
                <w:color w:val="000000"/>
                <w:lang w:val="es-ES_tradnl"/>
              </w:rPr>
              <w:t xml:space="preserve"> (Región 2)</w:t>
            </w:r>
          </w:p>
        </w:tc>
        <w:tc>
          <w:tcPr>
            <w:tcW w:w="1900"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 xml:space="preserve">SRS no OSG </w:t>
            </w:r>
            <w:r w:rsidRPr="00CC4FCD">
              <w:rPr>
                <w:color w:val="000000"/>
                <w:sz w:val="18"/>
                <w:lang w:val="es-ES_tradnl"/>
              </w:rPr>
              <w:sym w:font="Symbol" w:char="F0AF"/>
            </w:r>
            <w:r w:rsidRPr="00CC4FCD">
              <w:rPr>
                <w:color w:val="000000"/>
                <w:lang w:val="es-ES_tradnl"/>
              </w:rPr>
              <w:br/>
              <w:t>(</w:t>
            </w:r>
            <w:r w:rsidRPr="00CC4FCD">
              <w:rPr>
                <w:rStyle w:val="Artref"/>
                <w:b/>
                <w:bCs/>
                <w:color w:val="000000"/>
                <w:lang w:val="es-ES_tradnl"/>
              </w:rPr>
              <w:t>5.416</w:t>
            </w:r>
            <w:r w:rsidRPr="00CC4FCD">
              <w:rPr>
                <w:color w:val="000000"/>
                <w:lang w:val="es-ES_tradnl"/>
              </w:rPr>
              <w:t xml:space="preserve">) o </w:t>
            </w:r>
            <w:r w:rsidRPr="00CC4FCD">
              <w:rPr>
                <w:color w:val="000000"/>
                <w:lang w:val="es-ES_tradnl"/>
              </w:rPr>
              <w:br/>
              <w:t xml:space="preserve">SFS </w:t>
            </w:r>
            <w:r w:rsidRPr="00CC4FCD">
              <w:rPr>
                <w:color w:val="000000"/>
                <w:sz w:val="18"/>
                <w:lang w:val="es-ES_tradnl"/>
              </w:rPr>
              <w:sym w:font="Symbol" w:char="F0AF"/>
            </w:r>
            <w:r w:rsidRPr="00CC4FCD">
              <w:rPr>
                <w:color w:val="000000"/>
                <w:lang w:val="es-ES_tradnl"/>
              </w:rPr>
              <w:t xml:space="preserve"> (Región 2)</w:t>
            </w:r>
          </w:p>
        </w:tc>
      </w:tr>
      <w:tr w:rsidR="000A21A1" w:rsidRPr="00CC4FCD">
        <w:tblPrEx>
          <w:tblCellMar>
            <w:top w:w="0" w:type="dxa"/>
            <w:bottom w:w="0" w:type="dxa"/>
          </w:tblCellMar>
        </w:tblPrEx>
        <w:trPr>
          <w:trHeight w:val="457"/>
          <w:jc w:val="center"/>
        </w:trPr>
        <w:tc>
          <w:tcPr>
            <w:tcW w:w="3056" w:type="dxa"/>
            <w:tcBorders>
              <w:top w:val="single" w:sz="4" w:space="0" w:color="auto"/>
              <w:bottom w:val="dotted"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 xml:space="preserve">SRS no OSG (sonora) </w:t>
            </w:r>
            <w:r w:rsidRPr="00CC4FCD">
              <w:rPr>
                <w:color w:val="000000"/>
                <w:sz w:val="18"/>
                <w:lang w:val="es-ES_tradnl"/>
              </w:rPr>
              <w:sym w:font="Symbol" w:char="F0AF"/>
            </w:r>
            <w:r w:rsidRPr="00CC4FCD">
              <w:rPr>
                <w:color w:val="000000"/>
                <w:sz w:val="18"/>
                <w:lang w:val="es-ES_tradnl"/>
              </w:rPr>
              <w:br/>
            </w:r>
            <w:r w:rsidRPr="00CC4FCD">
              <w:rPr>
                <w:color w:val="000000"/>
                <w:lang w:val="es-ES_tradnl"/>
              </w:rPr>
              <w:t>(</w:t>
            </w:r>
            <w:r w:rsidRPr="00CC4FCD">
              <w:rPr>
                <w:rStyle w:val="Artref"/>
                <w:b/>
                <w:bCs/>
                <w:color w:val="000000"/>
                <w:lang w:val="es-ES_tradnl"/>
              </w:rPr>
              <w:t>5.417A</w:t>
            </w:r>
            <w:r w:rsidRPr="00CC4FCD">
              <w:rPr>
                <w:color w:val="000000"/>
                <w:lang w:val="es-ES_tradnl"/>
              </w:rPr>
              <w:t xml:space="preserve">, </w:t>
            </w:r>
            <w:r w:rsidRPr="00CC4FCD">
              <w:rPr>
                <w:rStyle w:val="Artref"/>
                <w:b/>
                <w:bCs/>
                <w:color w:val="000000"/>
                <w:lang w:val="es-ES_tradnl"/>
              </w:rPr>
              <w:t>5.418</w:t>
            </w:r>
            <w:r w:rsidRPr="00CC4FCD">
              <w:rPr>
                <w:color w:val="000000"/>
                <w:lang w:val="es-ES_tradnl"/>
              </w:rPr>
              <w:t>)</w:t>
            </w:r>
          </w:p>
        </w:tc>
        <w:tc>
          <w:tcPr>
            <w:tcW w:w="1834" w:type="dxa"/>
            <w:tcBorders>
              <w:top w:val="single" w:sz="4" w:space="0" w:color="auto"/>
              <w:bottom w:val="dotted"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rStyle w:val="Artref"/>
                <w:b/>
                <w:bCs/>
                <w:color w:val="000000"/>
                <w:lang w:val="es-ES_tradnl"/>
              </w:rPr>
              <w:t>9.12</w:t>
            </w:r>
            <w:r w:rsidRPr="00CC4FCD">
              <w:rPr>
                <w:color w:val="000000"/>
                <w:lang w:val="es-ES_tradnl"/>
              </w:rPr>
              <w:br/>
              <w:t>(</w:t>
            </w:r>
            <w:r w:rsidRPr="00CC4FCD">
              <w:rPr>
                <w:rStyle w:val="Artref"/>
                <w:b/>
                <w:bCs/>
                <w:color w:val="000000"/>
                <w:lang w:val="es-ES_tradnl"/>
              </w:rPr>
              <w:t>5.417C</w:t>
            </w:r>
            <w:r w:rsidRPr="00CC4FCD">
              <w:rPr>
                <w:color w:val="000000"/>
                <w:lang w:val="es-ES_tradnl"/>
              </w:rPr>
              <w:t xml:space="preserve">, </w:t>
            </w:r>
            <w:r w:rsidRPr="00CC4FCD">
              <w:rPr>
                <w:rStyle w:val="Artref"/>
                <w:b/>
                <w:bCs/>
                <w:color w:val="000000"/>
                <w:lang w:val="es-ES_tradnl"/>
              </w:rPr>
              <w:t>5.418B</w:t>
            </w:r>
            <w:r w:rsidRPr="00CC4FCD">
              <w:rPr>
                <w:color w:val="000000"/>
                <w:lang w:val="es-ES_tradnl"/>
              </w:rPr>
              <w:t>)</w:t>
            </w:r>
          </w:p>
        </w:tc>
        <w:tc>
          <w:tcPr>
            <w:tcW w:w="1845" w:type="dxa"/>
            <w:tcBorders>
              <w:top w:val="single" w:sz="4" w:space="0" w:color="auto"/>
              <w:bottom w:val="dotted"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rStyle w:val="Artref"/>
                <w:b/>
                <w:bCs/>
                <w:color w:val="000000"/>
                <w:lang w:val="es-ES_tradnl"/>
              </w:rPr>
              <w:t>9.13</w:t>
            </w:r>
            <w:r w:rsidRPr="00CC4FCD">
              <w:rPr>
                <w:color w:val="000000"/>
                <w:lang w:val="es-ES_tradnl"/>
              </w:rPr>
              <w:br/>
              <w:t>(</w:t>
            </w:r>
            <w:r w:rsidRPr="00CC4FCD">
              <w:rPr>
                <w:rStyle w:val="Artref"/>
                <w:b/>
                <w:bCs/>
                <w:color w:val="000000"/>
                <w:lang w:val="es-ES_tradnl"/>
              </w:rPr>
              <w:t>5.417D</w:t>
            </w:r>
            <w:r w:rsidRPr="00CC4FCD">
              <w:rPr>
                <w:color w:val="000000"/>
                <w:lang w:val="es-ES_tradnl"/>
              </w:rPr>
              <w:t xml:space="preserve">, </w:t>
            </w:r>
            <w:r w:rsidRPr="00CC4FCD">
              <w:rPr>
                <w:rStyle w:val="Artref"/>
                <w:b/>
                <w:bCs/>
                <w:color w:val="000000"/>
                <w:lang w:val="es-ES_tradnl"/>
              </w:rPr>
              <w:t>5.418C</w:t>
            </w:r>
            <w:r w:rsidRPr="00CC4FCD">
              <w:rPr>
                <w:color w:val="000000"/>
                <w:lang w:val="es-ES_tradnl"/>
              </w:rPr>
              <w:t>)</w:t>
            </w:r>
          </w:p>
        </w:tc>
        <w:tc>
          <w:tcPr>
            <w:tcW w:w="1900" w:type="dxa"/>
            <w:tcBorders>
              <w:top w:val="single" w:sz="4" w:space="0" w:color="auto"/>
              <w:bottom w:val="dotted"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rStyle w:val="Artref"/>
                <w:b/>
                <w:bCs/>
                <w:color w:val="000000"/>
                <w:lang w:val="es-ES_tradnl"/>
              </w:rPr>
              <w:t>9.12</w:t>
            </w:r>
            <w:r w:rsidRPr="00CC4FCD">
              <w:rPr>
                <w:color w:val="000000"/>
                <w:lang w:val="es-ES_tradnl"/>
              </w:rPr>
              <w:br/>
              <w:t>(</w:t>
            </w:r>
            <w:r w:rsidRPr="00CC4FCD">
              <w:rPr>
                <w:rStyle w:val="Artref"/>
                <w:b/>
                <w:bCs/>
                <w:color w:val="000000"/>
                <w:lang w:val="es-ES_tradnl"/>
              </w:rPr>
              <w:t>5.417C</w:t>
            </w:r>
            <w:r w:rsidRPr="00CC4FCD">
              <w:rPr>
                <w:color w:val="000000"/>
                <w:lang w:val="es-ES_tradnl"/>
              </w:rPr>
              <w:t xml:space="preserve">, </w:t>
            </w:r>
            <w:r w:rsidRPr="00CC4FCD">
              <w:rPr>
                <w:rStyle w:val="Artref"/>
                <w:b/>
                <w:bCs/>
                <w:color w:val="000000"/>
                <w:lang w:val="es-ES_tradnl"/>
              </w:rPr>
              <w:t>5.418B</w:t>
            </w:r>
            <w:r w:rsidRPr="00CC4FCD">
              <w:rPr>
                <w:color w:val="000000"/>
                <w:lang w:val="es-ES_tradnl"/>
              </w:rPr>
              <w:t>)</w:t>
            </w:r>
          </w:p>
        </w:tc>
      </w:tr>
      <w:tr w:rsidR="000A21A1" w:rsidRPr="00CC4FCD">
        <w:tblPrEx>
          <w:tblCellMar>
            <w:top w:w="0" w:type="dxa"/>
            <w:bottom w:w="0" w:type="dxa"/>
          </w:tblCellMar>
        </w:tblPrEx>
        <w:trPr>
          <w:trHeight w:val="442"/>
          <w:jc w:val="center"/>
        </w:trPr>
        <w:tc>
          <w:tcPr>
            <w:tcW w:w="3056"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 xml:space="preserve">SRS OSG </w:t>
            </w:r>
            <w:r w:rsidRPr="00CC4FCD">
              <w:rPr>
                <w:color w:val="000000"/>
                <w:sz w:val="18"/>
                <w:lang w:val="es-ES_tradnl"/>
              </w:rPr>
              <w:sym w:font="Symbol" w:char="F0AF"/>
            </w:r>
            <w:r w:rsidRPr="00CC4FCD">
              <w:rPr>
                <w:color w:val="000000"/>
                <w:lang w:val="es-ES_tradnl"/>
              </w:rPr>
              <w:br/>
              <w:t>(</w:t>
            </w:r>
            <w:r w:rsidRPr="00CC4FCD">
              <w:rPr>
                <w:rStyle w:val="Artref"/>
                <w:b/>
                <w:bCs/>
                <w:color w:val="000000"/>
                <w:lang w:val="es-ES_tradnl"/>
              </w:rPr>
              <w:t>5.416</w:t>
            </w:r>
            <w:r w:rsidRPr="00CC4FCD">
              <w:rPr>
                <w:color w:val="000000"/>
                <w:lang w:val="es-ES_tradnl"/>
              </w:rPr>
              <w:t xml:space="preserve">, </w:t>
            </w:r>
            <w:r w:rsidRPr="00CC4FCD">
              <w:rPr>
                <w:rStyle w:val="Artref"/>
                <w:b/>
                <w:bCs/>
                <w:color w:val="000000"/>
                <w:lang w:val="es-ES_tradnl"/>
              </w:rPr>
              <w:t>5.417A</w:t>
            </w:r>
            <w:r w:rsidRPr="00CC4FCD">
              <w:rPr>
                <w:color w:val="000000"/>
                <w:lang w:val="es-ES_tradnl"/>
              </w:rPr>
              <w:t xml:space="preserve">, </w:t>
            </w:r>
            <w:r w:rsidRPr="00CC4FCD">
              <w:rPr>
                <w:rStyle w:val="Artref"/>
                <w:b/>
                <w:bCs/>
                <w:color w:val="000000"/>
                <w:lang w:val="es-ES_tradnl"/>
              </w:rPr>
              <w:t>5.418</w:t>
            </w:r>
            <w:r w:rsidRPr="00CC4FCD">
              <w:rPr>
                <w:color w:val="000000"/>
                <w:lang w:val="es-ES_tradnl"/>
              </w:rPr>
              <w:t>) o</w:t>
            </w:r>
            <w:r w:rsidRPr="00CC4FCD">
              <w:rPr>
                <w:color w:val="000000"/>
                <w:lang w:val="es-ES_tradnl"/>
              </w:rPr>
              <w:br/>
              <w:t xml:space="preserve">SFS </w:t>
            </w:r>
            <w:r w:rsidRPr="00CC4FCD">
              <w:rPr>
                <w:color w:val="000000"/>
                <w:sz w:val="18"/>
                <w:lang w:val="es-ES_tradnl"/>
              </w:rPr>
              <w:sym w:font="Symbol" w:char="F0AF"/>
            </w:r>
            <w:r w:rsidRPr="00CC4FCD">
              <w:rPr>
                <w:color w:val="000000"/>
                <w:lang w:val="es-ES_tradnl"/>
              </w:rPr>
              <w:t xml:space="preserve"> (Región 2)</w:t>
            </w:r>
          </w:p>
        </w:tc>
        <w:tc>
          <w:tcPr>
            <w:tcW w:w="1834"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rStyle w:val="Artref"/>
                <w:b/>
                <w:bCs/>
                <w:color w:val="000000"/>
                <w:lang w:val="es-ES_tradnl"/>
              </w:rPr>
              <w:t>9.12A</w:t>
            </w:r>
            <w:r w:rsidRPr="00CC4FCD">
              <w:rPr>
                <w:color w:val="000000"/>
                <w:lang w:val="es-ES_tradnl"/>
              </w:rPr>
              <w:br/>
              <w:t>(</w:t>
            </w:r>
            <w:r w:rsidRPr="00CC4FCD">
              <w:rPr>
                <w:rStyle w:val="Artref"/>
                <w:b/>
                <w:bCs/>
                <w:color w:val="000000"/>
                <w:lang w:val="es-ES_tradnl"/>
              </w:rPr>
              <w:t>5.417B</w:t>
            </w:r>
            <w:r w:rsidRPr="00CC4FCD">
              <w:rPr>
                <w:color w:val="000000"/>
                <w:lang w:val="es-ES_tradnl"/>
              </w:rPr>
              <w:t xml:space="preserve">, </w:t>
            </w:r>
            <w:r w:rsidRPr="00CC4FCD">
              <w:rPr>
                <w:rStyle w:val="Artref"/>
                <w:b/>
                <w:bCs/>
                <w:color w:val="000000"/>
                <w:lang w:val="es-ES_tradnl"/>
              </w:rPr>
              <w:t>5.418A</w:t>
            </w:r>
            <w:r w:rsidRPr="00CC4FCD">
              <w:rPr>
                <w:color w:val="000000"/>
                <w:lang w:val="es-ES_tradnl"/>
              </w:rPr>
              <w:t>)</w:t>
            </w:r>
          </w:p>
        </w:tc>
        <w:tc>
          <w:tcPr>
            <w:tcW w:w="1845"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rStyle w:val="Artref"/>
                <w:b/>
                <w:color w:val="000000"/>
                <w:lang w:val="es-ES_tradnl"/>
              </w:rPr>
            </w:pPr>
            <w:r w:rsidRPr="00CC4FCD">
              <w:rPr>
                <w:rStyle w:val="Artref"/>
                <w:b/>
                <w:bCs/>
                <w:color w:val="000000"/>
                <w:lang w:val="es-ES_tradnl"/>
              </w:rPr>
              <w:t>9.7</w:t>
            </w:r>
          </w:p>
        </w:tc>
        <w:tc>
          <w:tcPr>
            <w:tcW w:w="1900"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Sin PC</w:t>
            </w:r>
            <w:r w:rsidRPr="00CC4FCD">
              <w:rPr>
                <w:color w:val="000000"/>
                <w:lang w:val="es-ES_tradnl"/>
              </w:rPr>
              <w:br/>
            </w:r>
            <w:r w:rsidRPr="00CC4FCD">
              <w:rPr>
                <w:rStyle w:val="Artref"/>
                <w:b/>
                <w:bCs/>
                <w:color w:val="000000"/>
                <w:lang w:val="es-ES_tradnl"/>
              </w:rPr>
              <w:t>22.2</w:t>
            </w:r>
          </w:p>
        </w:tc>
      </w:tr>
      <w:tr w:rsidR="000A21A1" w:rsidRPr="00CC4FCD">
        <w:tblPrEx>
          <w:tblCellMar>
            <w:top w:w="0" w:type="dxa"/>
            <w:bottom w:w="0" w:type="dxa"/>
          </w:tblCellMar>
        </w:tblPrEx>
        <w:trPr>
          <w:trHeight w:val="457"/>
          <w:jc w:val="center"/>
        </w:trPr>
        <w:tc>
          <w:tcPr>
            <w:tcW w:w="3056"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 xml:space="preserve">SRS no OSG </w:t>
            </w:r>
            <w:r w:rsidRPr="00CC4FCD">
              <w:rPr>
                <w:color w:val="000000"/>
                <w:sz w:val="18"/>
                <w:lang w:val="es-ES_tradnl"/>
              </w:rPr>
              <w:sym w:font="Symbol" w:char="F0AF"/>
            </w:r>
            <w:r w:rsidRPr="00CC4FCD">
              <w:rPr>
                <w:color w:val="000000"/>
                <w:lang w:val="es-ES_tradnl"/>
              </w:rPr>
              <w:br/>
              <w:t>(</w:t>
            </w:r>
            <w:r w:rsidRPr="00CC4FCD">
              <w:rPr>
                <w:rStyle w:val="Artref"/>
                <w:b/>
                <w:bCs/>
                <w:color w:val="000000"/>
                <w:lang w:val="es-ES_tradnl"/>
              </w:rPr>
              <w:t>5.416</w:t>
            </w:r>
            <w:r w:rsidRPr="00CC4FCD">
              <w:rPr>
                <w:color w:val="000000"/>
                <w:lang w:val="es-ES_tradnl"/>
              </w:rPr>
              <w:t>) o</w:t>
            </w:r>
            <w:r w:rsidRPr="00CC4FCD">
              <w:rPr>
                <w:color w:val="000000"/>
                <w:lang w:val="es-ES_tradnl"/>
              </w:rPr>
              <w:br/>
              <w:t xml:space="preserve">SFS </w:t>
            </w:r>
            <w:r w:rsidRPr="00CC4FCD">
              <w:rPr>
                <w:color w:val="000000"/>
                <w:sz w:val="18"/>
                <w:lang w:val="es-ES_tradnl"/>
              </w:rPr>
              <w:sym w:font="Symbol" w:char="F0AF"/>
            </w:r>
            <w:r w:rsidRPr="00CC4FCD">
              <w:rPr>
                <w:color w:val="000000"/>
                <w:lang w:val="es-ES_tradnl"/>
              </w:rPr>
              <w:t xml:space="preserve"> (Región 2)</w:t>
            </w:r>
          </w:p>
        </w:tc>
        <w:tc>
          <w:tcPr>
            <w:tcW w:w="1834"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rStyle w:val="Artref"/>
                <w:b/>
                <w:bCs/>
                <w:color w:val="000000"/>
                <w:lang w:val="es-ES_tradnl"/>
              </w:rPr>
              <w:t>9.12</w:t>
            </w:r>
            <w:r w:rsidRPr="00CC4FCD">
              <w:rPr>
                <w:color w:val="000000"/>
                <w:lang w:val="es-ES_tradnl"/>
              </w:rPr>
              <w:br/>
              <w:t>(</w:t>
            </w:r>
            <w:r w:rsidRPr="00CC4FCD">
              <w:rPr>
                <w:rStyle w:val="Artref"/>
                <w:b/>
                <w:bCs/>
                <w:color w:val="000000"/>
                <w:lang w:val="es-ES_tradnl"/>
              </w:rPr>
              <w:t>5.417C</w:t>
            </w:r>
            <w:r w:rsidRPr="00CC4FCD">
              <w:rPr>
                <w:color w:val="000000"/>
                <w:lang w:val="es-ES_tradnl"/>
              </w:rPr>
              <w:t xml:space="preserve">, </w:t>
            </w:r>
            <w:r w:rsidRPr="00CC4FCD">
              <w:rPr>
                <w:rStyle w:val="Artref"/>
                <w:b/>
                <w:bCs/>
                <w:color w:val="000000"/>
                <w:lang w:val="es-ES_tradnl"/>
              </w:rPr>
              <w:t>5.418B</w:t>
            </w:r>
            <w:r w:rsidRPr="00CC4FCD">
              <w:rPr>
                <w:color w:val="000000"/>
                <w:lang w:val="es-ES_tradnl"/>
              </w:rPr>
              <w:t>)</w:t>
            </w:r>
          </w:p>
        </w:tc>
        <w:tc>
          <w:tcPr>
            <w:tcW w:w="1845"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Sin PC</w:t>
            </w:r>
            <w:r w:rsidRPr="00CC4FCD">
              <w:rPr>
                <w:color w:val="000000"/>
                <w:lang w:val="es-ES_tradnl"/>
              </w:rPr>
              <w:br/>
            </w:r>
            <w:r w:rsidRPr="00CC4FCD">
              <w:rPr>
                <w:rStyle w:val="Artref"/>
                <w:b/>
                <w:bCs/>
                <w:color w:val="000000"/>
                <w:lang w:val="es-ES_tradnl"/>
              </w:rPr>
              <w:t>22.2</w:t>
            </w:r>
          </w:p>
        </w:tc>
        <w:tc>
          <w:tcPr>
            <w:tcW w:w="1900" w:type="dxa"/>
            <w:tcBorders>
              <w:bottom w:val="single" w:sz="4" w:space="0" w:color="auto"/>
            </w:tcBorders>
          </w:tcPr>
          <w:p w:rsidR="000A21A1" w:rsidRPr="00CC4FCD" w:rsidRDefault="000A21A1">
            <w:pPr>
              <w:pStyle w:val="Tabletext0"/>
              <w:framePr w:hSpace="181" w:wrap="notBeside" w:vAnchor="text" w:hAnchor="text" w:xAlign="center" w:y="1"/>
              <w:spacing w:before="30" w:after="30"/>
              <w:jc w:val="center"/>
              <w:rPr>
                <w:color w:val="000000"/>
                <w:lang w:val="es-ES_tradnl"/>
              </w:rPr>
            </w:pPr>
            <w:r w:rsidRPr="00CC4FCD">
              <w:rPr>
                <w:color w:val="000000"/>
                <w:lang w:val="es-ES_tradnl"/>
              </w:rPr>
              <w:t>Sin PC</w:t>
            </w:r>
          </w:p>
        </w:tc>
      </w:tr>
    </w:tbl>
    <w:p w:rsidR="000A21A1" w:rsidRDefault="000A21A1">
      <w:pPr>
        <w:pStyle w:val="TableFin"/>
        <w:rPr>
          <w:color w:val="000000"/>
          <w:lang w:val="es-ES_tradnl"/>
        </w:rPr>
      </w:pPr>
    </w:p>
    <w:p w:rsidR="009E216C" w:rsidRPr="00CC4FCD" w:rsidRDefault="009E216C" w:rsidP="009E216C">
      <w:pPr>
        <w:rPr>
          <w:lang w:val="es-ES_tradnl"/>
        </w:rPr>
      </w:pPr>
    </w:p>
    <w:p w:rsidR="000A21A1" w:rsidRPr="00CC4FCD" w:rsidRDefault="000A21A1">
      <w:pPr>
        <w:pStyle w:val="Heading8"/>
        <w:rPr>
          <w:color w:val="000000"/>
          <w:lang w:val="es-ES_tradnl"/>
        </w:rPr>
      </w:pPr>
      <w:r w:rsidRPr="00CC4FCD">
        <w:rPr>
          <w:color w:val="000000"/>
          <w:lang w:val="es-ES_tradnl"/>
        </w:rPr>
        <w:t>5.441</w:t>
      </w:r>
    </w:p>
    <w:p w:rsidR="000A21A1" w:rsidRPr="00CC4FCD" w:rsidRDefault="000A21A1">
      <w:pPr>
        <w:rPr>
          <w:color w:val="000000"/>
          <w:lang w:val="es-ES_tradnl"/>
        </w:rPr>
      </w:pPr>
      <w:r w:rsidRPr="00CC4FCD">
        <w:rPr>
          <w:color w:val="000000"/>
          <w:lang w:val="es-ES_tradnl"/>
        </w:rPr>
        <w:t>1</w:t>
      </w:r>
      <w:r w:rsidRPr="00CC4FCD">
        <w:rPr>
          <w:color w:val="000000"/>
          <w:lang w:val="es-ES_tradnl"/>
        </w:rPr>
        <w:tab/>
        <w:t xml:space="preserve">El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rsidR="000A21A1" w:rsidRPr="00CC4FCD" w:rsidRDefault="000A21A1" w:rsidP="009E216C">
      <w:pPr>
        <w:pStyle w:val="enumlev1"/>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 xml:space="preserve">reccional de toda la banda 10,7-11,7 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sub-bandas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rsidR="000A21A1" w:rsidRPr="00CC4FCD" w:rsidRDefault="000A21A1">
      <w:pPr>
        <w:pStyle w:val="enumlev1"/>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espacio-Tierra:</w:t>
      </w:r>
    </w:p>
    <w:p w:rsidR="000A21A1" w:rsidRPr="00CC4FCD" w:rsidRDefault="000A21A1">
      <w:pPr>
        <w:pStyle w:val="enumlev2"/>
        <w:rPr>
          <w:color w:val="000000"/>
          <w:lang w:val="es-ES_tradnl"/>
        </w:rPr>
      </w:pPr>
      <w:r w:rsidRPr="00CC4FCD">
        <w:rPr>
          <w:color w:val="000000"/>
          <w:lang w:val="es-ES_tradnl"/>
        </w:rPr>
        <w:t>10,7-10,95 GHz y 11,2-11,45 GHz:</w:t>
      </w:r>
    </w:p>
    <w:p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 xml:space="preserve">para la utilización OSG:  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 xml:space="preserve">para la utilización no OSG:  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rsidR="000A21A1" w:rsidRPr="00CC4FCD" w:rsidRDefault="000A21A1">
      <w:pPr>
        <w:pStyle w:val="enumlev2"/>
        <w:rPr>
          <w:color w:val="000000"/>
          <w:lang w:val="es-ES_tradnl"/>
        </w:rPr>
      </w:pPr>
      <w:r w:rsidRPr="00CC4FCD">
        <w:rPr>
          <w:color w:val="000000"/>
          <w:lang w:val="es-ES_tradnl"/>
        </w:rPr>
        <w:t>10,95-11,2 GHz y 11,45-11,7 GHz:</w:t>
      </w:r>
    </w:p>
    <w:p w:rsidR="000A21A1" w:rsidRPr="00CC4FCD" w:rsidRDefault="000A21A1">
      <w:pPr>
        <w:pStyle w:val="enumlev3"/>
        <w:rPr>
          <w:rStyle w:val="Artref"/>
          <w:b/>
          <w:color w:val="000000"/>
          <w:lang w:val="es-ES_tradnl"/>
        </w:rPr>
      </w:pPr>
      <w:r w:rsidRPr="00CC4FCD">
        <w:rPr>
          <w:color w:val="000000"/>
          <w:lang w:val="es-ES_tradnl"/>
        </w:rPr>
        <w:t>–</w:t>
      </w:r>
      <w:r w:rsidRPr="00CC4FCD">
        <w:rPr>
          <w:color w:val="000000"/>
          <w:lang w:val="es-ES_tradnl"/>
        </w:rPr>
        <w:tab/>
        <w:t xml:space="preserve">para la utilización OSG: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 xml:space="preserve">para la utilización no OSG:  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rsidR="00284A32" w:rsidRPr="00CC4FCD" w:rsidRDefault="009E216C" w:rsidP="009E216C">
      <w:pPr>
        <w:rPr>
          <w:color w:val="000000"/>
          <w:lang w:val="es-ES_tradnl"/>
        </w:rPr>
      </w:pPr>
      <w:r>
        <w:rPr>
          <w:color w:val="000000"/>
          <w:lang w:val="es-ES_tradnl"/>
        </w:rPr>
        <w:br w:type="page"/>
      </w:r>
      <w:r w:rsidR="00284A32" w:rsidRPr="00CC4FCD">
        <w:rPr>
          <w:color w:val="000000"/>
          <w:lang w:val="es-ES_tradnl"/>
        </w:rPr>
        <w:lastRenderedPageBreak/>
        <w:t>2</w:t>
      </w:r>
      <w:r w:rsidR="00284A32" w:rsidRPr="00CC4FCD">
        <w:rPr>
          <w:color w:val="000000"/>
          <w:lang w:val="es-ES_tradnl"/>
        </w:rPr>
        <w:tab/>
        <w:t xml:space="preserve">Las relaciones reglamentarias entre utilizaciones OSG del SFS, esto es, </w:t>
      </w:r>
      <w:r w:rsidR="00D56DD5" w:rsidRPr="00CC4FCD">
        <w:rPr>
          <w:color w:val="000000"/>
          <w:lang w:val="es-ES_tradnl"/>
        </w:rPr>
        <w:t xml:space="preserve">la utilización del espectro en el </w:t>
      </w:r>
      <w:r w:rsidR="00284A32" w:rsidRPr="00CC4FCD">
        <w:rPr>
          <w:color w:val="000000"/>
          <w:lang w:val="es-ES_tradnl"/>
        </w:rPr>
        <w:t xml:space="preserve">enlace ascendente (Región 1) y </w:t>
      </w:r>
      <w:r w:rsidR="00D56DD5" w:rsidRPr="00CC4FCD">
        <w:rPr>
          <w:color w:val="000000"/>
          <w:lang w:val="es-ES_tradnl"/>
        </w:rPr>
        <w:t xml:space="preserve">el </w:t>
      </w:r>
      <w:r w:rsidR="00284A32" w:rsidRPr="00CC4FCD">
        <w:rPr>
          <w:color w:val="000000"/>
          <w:lang w:val="es-ES_tradnl"/>
        </w:rPr>
        <w:t>enlace descendente (Apéndice</w:t>
      </w:r>
      <w:r w:rsidR="00EA1686" w:rsidRPr="00CC4FCD">
        <w:rPr>
          <w:color w:val="000000"/>
          <w:lang w:val="es-ES_tradnl"/>
        </w:rPr>
        <w:t> </w:t>
      </w:r>
      <w:r w:rsidR="00284A32" w:rsidRPr="00CC4FCD">
        <w:rPr>
          <w:rStyle w:val="Appref"/>
          <w:b/>
          <w:bCs/>
          <w:color w:val="000000"/>
          <w:lang w:val="es-ES_tradnl"/>
        </w:rPr>
        <w:t>30B</w:t>
      </w:r>
      <w:r w:rsidR="00284A32" w:rsidRPr="00CC4FCD">
        <w:rPr>
          <w:color w:val="000000"/>
          <w:lang w:val="es-ES_tradnl"/>
        </w:rPr>
        <w:t>), no está cubierta por ningún procedimiento reglamentario de radiocomuni</w:t>
      </w:r>
      <w:r w:rsidR="00EA1686" w:rsidRPr="00CC4FCD">
        <w:rPr>
          <w:color w:val="000000"/>
          <w:lang w:val="es-ES_tradnl"/>
        </w:rPr>
        <w:softHyphen/>
      </w:r>
      <w:r w:rsidR="00284A32" w:rsidRPr="00CC4FCD">
        <w:rPr>
          <w:color w:val="000000"/>
          <w:lang w:val="es-ES_tradnl"/>
        </w:rPr>
        <w:t>caciones. La Junta considera esa situación como sigue. Sobre la base del principio general de</w:t>
      </w:r>
      <w:r>
        <w:rPr>
          <w:color w:val="000000"/>
          <w:lang w:val="es-ES_tradnl"/>
        </w:rPr>
        <w:t>  </w:t>
      </w:r>
      <w:r w:rsidR="00284A32" w:rsidRPr="00CC4FCD">
        <w:rPr>
          <w:color w:val="000000"/>
          <w:lang w:val="es-ES_tradnl"/>
        </w:rPr>
        <w:t xml:space="preserve">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 </w:t>
      </w:r>
      <w:r w:rsidR="00284A32" w:rsidRPr="00CC4FCD">
        <w:rPr>
          <w:rStyle w:val="Appref"/>
          <w:b/>
          <w:bCs/>
          <w:color w:val="000000"/>
          <w:lang w:val="es-ES_tradnl"/>
        </w:rPr>
        <w:t>30</w:t>
      </w:r>
      <w:r w:rsidR="00284A32" w:rsidRPr="00CC4FCD">
        <w:rPr>
          <w:color w:val="000000"/>
          <w:lang w:val="es-ES_tradnl"/>
        </w:rPr>
        <w:t xml:space="preserve">, Artículo 7 del Apéndice </w:t>
      </w:r>
      <w:r w:rsidR="00284A32" w:rsidRPr="00CC4FCD">
        <w:rPr>
          <w:rStyle w:val="Appref"/>
          <w:b/>
          <w:bCs/>
          <w:color w:val="000000"/>
          <w:lang w:val="es-ES_tradnl"/>
        </w:rPr>
        <w:t>30A</w:t>
      </w:r>
      <w:r w:rsidR="00284A32" w:rsidRPr="00CC4FCD">
        <w:rPr>
          <w:rStyle w:val="Appref"/>
          <w:color w:val="000000"/>
          <w:lang w:val="es-ES_tradnl"/>
        </w:rPr>
        <w:t>)</w:t>
      </w:r>
      <w:r w:rsidR="00284A32" w:rsidRPr="00CC4FCD">
        <w:rPr>
          <w:color w:val="000000"/>
          <w:lang w:val="es-ES_tradnl"/>
        </w:rPr>
        <w:t>, la Junta considerando que:</w:t>
      </w:r>
    </w:p>
    <w:p w:rsidR="00284A32" w:rsidRPr="00CC4FCD" w:rsidRDefault="00284A32" w:rsidP="00284A32">
      <w:pPr>
        <w:pStyle w:val="enumlev1"/>
        <w:rPr>
          <w:color w:val="000000"/>
          <w:lang w:val="es-ES_tradnl"/>
        </w:rPr>
      </w:pPr>
      <w:r w:rsidRPr="00CC4FCD">
        <w:rPr>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rsidR="00284A32" w:rsidRPr="00CC4FCD" w:rsidRDefault="00284A32" w:rsidP="00EA1686">
      <w:pPr>
        <w:rPr>
          <w:color w:val="000000"/>
          <w:lang w:val="es-ES_tradnl"/>
        </w:rPr>
      </w:pPr>
      <w:r w:rsidRPr="00CC4FCD">
        <w:rPr>
          <w:color w:val="000000"/>
          <w:lang w:val="es-ES_tradnl"/>
        </w:rPr>
        <w:t xml:space="preserve">La utilización de los enlaces ascendentes del SFS (conforme al número </w:t>
      </w:r>
      <w:r w:rsidRPr="00CC4FCD">
        <w:rPr>
          <w:rStyle w:val="Artref"/>
          <w:b/>
          <w:bCs/>
          <w:color w:val="000000"/>
          <w:lang w:val="es-ES_tradnl"/>
        </w:rPr>
        <w:t>5.484</w:t>
      </w:r>
      <w:r w:rsidRPr="00CC4FCD">
        <w:rPr>
          <w:color w:val="000000"/>
          <w:lang w:val="es-ES_tradnl"/>
        </w:rPr>
        <w:t xml:space="preserve">) debe proteger los derechos establecidos en el Plan del Apéndice </w:t>
      </w:r>
      <w:r w:rsidRPr="00CC4FCD">
        <w:rPr>
          <w:rStyle w:val="Appref"/>
          <w:b/>
          <w:bCs/>
          <w:color w:val="000000"/>
          <w:lang w:val="es-ES_tradnl"/>
        </w:rPr>
        <w:t>30B</w:t>
      </w:r>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xml:space="preserve">) no sólo de cara a otros enlaces ascendentes de redes del SFS en el mismo sentido (Tierra-espacio), sino también respecto a las anotaciones del Plan y de la Lista en sentido contrario (espacio-Tierra). Para tener en cuenta el Plan del Apéndice </w:t>
      </w:r>
      <w:r w:rsidRPr="00CC4FCD">
        <w:rPr>
          <w:rStyle w:val="Appref"/>
          <w:b/>
          <w:bCs/>
          <w:color w:val="000000"/>
          <w:lang w:val="es-ES_tradnl"/>
        </w:rPr>
        <w:t>30B</w:t>
      </w:r>
      <w:r w:rsidRPr="00CC4FCD">
        <w:rPr>
          <w:color w:val="000000"/>
          <w:lang w:val="es-ES_tradnl"/>
        </w:rPr>
        <w:t xml:space="preserve"> en el procedimiento del Artículo</w:t>
      </w:r>
      <w:r w:rsidR="00EA1686" w:rsidRPr="00CC4FCD">
        <w:rPr>
          <w:color w:val="000000"/>
          <w:lang w:val="es-ES_tradnl"/>
        </w:rPr>
        <w:t xml:space="preserve"> </w:t>
      </w:r>
      <w:r w:rsidRPr="00CC4FCD">
        <w:rPr>
          <w:rStyle w:val="Artref"/>
          <w:b/>
          <w:bCs/>
          <w:color w:val="000000"/>
          <w:lang w:val="es-ES_tradnl"/>
        </w:rPr>
        <w:t>9</w:t>
      </w:r>
      <w:r w:rsidRPr="00CC4FCD">
        <w:rPr>
          <w:color w:val="000000"/>
          <w:lang w:val="es-ES_tradnl"/>
        </w:rPr>
        <w:t xml:space="preserve">,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rsidR="00284A32" w:rsidRPr="00CC4FCD"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 xml:space="preserve">ciales receptoras que funcionan en el enlace ascendente del SFS presentadas con arreglo a los Artículos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rsidR="00284A32" w:rsidRPr="00CC4FCD" w:rsidRDefault="00284A32" w:rsidP="00EA1686">
      <w:pPr>
        <w:pStyle w:val="enumlev1"/>
        <w:rPr>
          <w:color w:val="000000"/>
          <w:lang w:val="es-ES_tradnl"/>
        </w:rPr>
      </w:pPr>
      <w:r w:rsidRPr="00CC4FCD">
        <w:rPr>
          <w:i/>
          <w:color w:val="000000"/>
          <w:lang w:val="es-ES_tradnl"/>
        </w:rPr>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00EA1686" w:rsidRPr="00CC4FCD">
        <w:rPr>
          <w:color w:val="000000"/>
          <w:lang w:val="es-ES_tradnl"/>
        </w:rPr>
        <w:softHyphen/>
      </w:r>
      <w:r w:rsidRPr="00CC4FCD">
        <w:rPr>
          <w:color w:val="000000"/>
          <w:lang w:val="es-ES_tradnl"/>
        </w:rPr>
        <w:t>nación, se utilizará la Recomendación UIT-R más actual.</w:t>
      </w:r>
    </w:p>
    <w:p w:rsidR="00284A32" w:rsidRPr="00CC4FCD" w:rsidRDefault="009E216C" w:rsidP="00E237E2">
      <w:pPr>
        <w:rPr>
          <w:color w:val="000000"/>
          <w:lang w:val="es-ES_tradnl"/>
        </w:rPr>
      </w:pPr>
      <w:r>
        <w:rPr>
          <w:color w:val="000000"/>
          <w:lang w:val="es-ES_tradnl"/>
        </w:rPr>
        <w:br w:type="page"/>
      </w:r>
      <w:r w:rsidR="00284A32" w:rsidRPr="00CC4FCD">
        <w:rPr>
          <w:color w:val="000000"/>
          <w:lang w:val="es-ES_tradnl"/>
        </w:rPr>
        <w:lastRenderedPageBreak/>
        <w:t>2.2</w:t>
      </w:r>
      <w:r w:rsidR="00284A32" w:rsidRPr="00CC4FCD">
        <w:rPr>
          <w:color w:val="000000"/>
          <w:lang w:val="es-ES_tradnl"/>
        </w:rPr>
        <w:tab/>
        <w:t>Aplicaciones de enlaces descendentes del SFS en las bandas 10,7-10,95</w:t>
      </w:r>
      <w:r w:rsidR="00E237E2" w:rsidRPr="00CC4FCD">
        <w:rPr>
          <w:color w:val="000000"/>
          <w:lang w:val="es-ES_tradnl"/>
        </w:rPr>
        <w:t xml:space="preserve"> </w:t>
      </w:r>
      <w:r w:rsidR="00284A32" w:rsidRPr="00CC4FCD">
        <w:rPr>
          <w:color w:val="000000"/>
          <w:lang w:val="es-ES_tradnl"/>
        </w:rPr>
        <w:t>GHz y</w:t>
      </w:r>
      <w:r w:rsidR="00E237E2" w:rsidRPr="00CC4FCD">
        <w:rPr>
          <w:color w:val="000000"/>
          <w:lang w:val="es-ES_tradnl"/>
        </w:rPr>
        <w:t xml:space="preserve"> </w:t>
      </w:r>
      <w:r w:rsidR="00284A32" w:rsidRPr="00CC4FCD">
        <w:rPr>
          <w:color w:val="000000"/>
          <w:lang w:val="es-ES_tradnl"/>
        </w:rPr>
        <w:t>11,2</w:t>
      </w:r>
      <w:r w:rsidR="00E237E2" w:rsidRPr="00CC4FCD">
        <w:rPr>
          <w:color w:val="000000"/>
          <w:lang w:val="es-ES_tradnl"/>
        </w:rPr>
        <w:t>-</w:t>
      </w:r>
      <w:r w:rsidR="00284A32" w:rsidRPr="00CC4FCD">
        <w:rPr>
          <w:color w:val="000000"/>
          <w:lang w:val="es-ES_tradnl"/>
        </w:rPr>
        <w:t>11,45 GHz (Apéndice</w:t>
      </w:r>
      <w:r w:rsidR="00E237E2" w:rsidRPr="00CC4FCD">
        <w:rPr>
          <w:color w:val="000000"/>
          <w:lang w:val="es-ES_tradnl"/>
        </w:rPr>
        <w:t> </w:t>
      </w:r>
      <w:r w:rsidR="00284A32" w:rsidRPr="00CC4FCD">
        <w:rPr>
          <w:rStyle w:val="Appref"/>
          <w:b/>
          <w:bCs/>
          <w:color w:val="000000"/>
          <w:lang w:val="es-ES_tradnl"/>
        </w:rPr>
        <w:t>30B</w:t>
      </w:r>
      <w:r w:rsidR="00284A32" w:rsidRPr="00CC4FCD">
        <w:rPr>
          <w:color w:val="000000"/>
          <w:lang w:val="es-ES_tradnl"/>
        </w:rPr>
        <w:t>, utilización planificada):</w:t>
      </w:r>
    </w:p>
    <w:p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rsidR="00284A32" w:rsidRPr="00CC4FCD"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rsidR="00284A32" w:rsidRPr="00CC4FCD" w:rsidRDefault="00284A32" w:rsidP="00EA1686">
      <w:pPr>
        <w:pStyle w:val="Heading8"/>
        <w:rPr>
          <w:color w:val="000000"/>
          <w:lang w:val="es-ES_tradnl"/>
        </w:rPr>
      </w:pPr>
      <w:r w:rsidRPr="00CC4FCD">
        <w:rPr>
          <w:color w:val="000000"/>
          <w:lang w:val="es-ES_tradnl"/>
        </w:rPr>
        <w:t>5.444B</w:t>
      </w:r>
    </w:p>
    <w:p w:rsidR="00284A32" w:rsidRPr="00CC4FCD" w:rsidRDefault="00284A32" w:rsidP="00180D7D">
      <w:pPr>
        <w:rPr>
          <w:lang w:val="es-ES_tradnl"/>
        </w:rPr>
      </w:pPr>
      <w:r w:rsidRPr="00CC4FCD">
        <w:rPr>
          <w:lang w:val="es-ES_tradnl"/>
        </w:rPr>
        <w:t>1</w:t>
      </w:r>
      <w:r w:rsidRPr="00CC4FCD">
        <w:rPr>
          <w:lang w:val="es-ES_tradnl"/>
        </w:rPr>
        <w:tab/>
        <w:t>Esta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tres aplicaciones distintas. No obstante, el Apéndice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a una estación del servicio móvil aeronáutico con respecto a su conformidad con esta disposición.  </w:t>
      </w:r>
    </w:p>
    <w:p w:rsidR="00284A32" w:rsidRPr="00CC4FCD" w:rsidRDefault="00284A32" w:rsidP="00E237E2">
      <w:pPr>
        <w:rPr>
          <w:lang w:val="es-ES_tradnl"/>
        </w:rPr>
      </w:pPr>
      <w:r w:rsidRPr="00CC4FCD">
        <w:rPr>
          <w:lang w:val="es-ES_tradnl"/>
        </w:rPr>
        <w:t>2</w:t>
      </w:r>
      <w:r w:rsidRPr="00CC4FCD">
        <w:rPr>
          <w:lang w:val="es-ES_tradnl"/>
        </w:rPr>
        <w:tab/>
        <w:t xml:space="preserve">Con respecto a las notificaciones del servicio móvil aeronáutico (R), incluidas las mencionadas en el primer inciso de esta disposición, y a la luz de lo indicado en el </w:t>
      </w:r>
      <w:r w:rsidRPr="00CC4FCD">
        <w:rPr>
          <w:i/>
          <w:iCs/>
          <w:lang w:val="es-ES_tradnl"/>
        </w:rPr>
        <w:t xml:space="preserve">resuelve 1 </w:t>
      </w:r>
      <w:r w:rsidRPr="00CC4FCD">
        <w:rPr>
          <w:lang w:val="es-ES_tradnl"/>
        </w:rPr>
        <w:t xml:space="preserve">de la Resolución </w:t>
      </w:r>
      <w:r w:rsidRPr="00CC4FCD">
        <w:rPr>
          <w:b/>
          <w:bCs/>
          <w:lang w:val="es-ES_tradnl"/>
        </w:rPr>
        <w:t>748 (CMR-07)</w:t>
      </w:r>
      <w:r w:rsidRPr="00CC4FCD">
        <w:rPr>
          <w:lang w:val="es-ES_tradnl"/>
        </w:rPr>
        <w:t>, a la inscripción en el MIFR de estas asignaciones se asociará el símbolo «R» en la columna 13B2 (</w:t>
      </w:r>
      <w:r w:rsidRPr="00CC4FCD">
        <w:rPr>
          <w:i/>
          <w:iCs/>
          <w:lang w:val="es-ES_tradnl"/>
        </w:rPr>
        <w:t xml:space="preserve">«Observaciones a la conclusión») </w:t>
      </w:r>
      <w:r w:rsidRPr="00CC4FCD">
        <w:rPr>
          <w:lang w:val="es-ES_tradnl"/>
        </w:rPr>
        <w:t>y el símbolo «RS748» en la columna 13B1 («</w:t>
      </w:r>
      <w:r w:rsidRPr="00CC4FCD">
        <w:rPr>
          <w:i/>
          <w:iCs/>
          <w:lang w:val="es-ES_tradnl"/>
        </w:rPr>
        <w:t>Referencia de la conclusión</w:t>
      </w:r>
      <w:r w:rsidRPr="00CC4FCD">
        <w:rPr>
          <w:lang w:val="es-ES_tradnl"/>
        </w:rPr>
        <w:t xml:space="preserve">»). La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(CMR-07)</w:t>
      </w:r>
      <w:r w:rsidRPr="00CC4FCD">
        <w:rPr>
          <w:lang w:val="es-ES_tradnl"/>
        </w:rPr>
        <w:t xml:space="preserve">, incluida la referencia al número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(CMR-07)</w:t>
      </w:r>
      <w:r w:rsidRPr="00CC4FCD">
        <w:rPr>
          <w:lang w:val="es-ES_tradnl"/>
        </w:rPr>
        <w:t>.</w:t>
      </w:r>
    </w:p>
    <w:p w:rsidR="00284A32" w:rsidRPr="00CC4FCD" w:rsidRDefault="00284A32" w:rsidP="00E237E2">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CC4FCD">
        <w:rPr>
          <w:i/>
          <w:iCs/>
          <w:lang w:val="es-ES_tradnl"/>
        </w:rPr>
        <w:t xml:space="preserve">1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(CMR-07)</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Pr="00CC4FCD">
        <w:rPr>
          <w:b/>
          <w:bCs/>
          <w:lang w:val="es-ES_tradnl"/>
        </w:rPr>
        <w:t>418 (CMR-07)</w:t>
      </w:r>
      <w:r w:rsidRPr="00CC4FCD">
        <w:rPr>
          <w:lang w:val="es-ES_tradnl"/>
        </w:rPr>
        <w:t>.</w:t>
      </w:r>
    </w:p>
    <w:p w:rsidR="00284A32" w:rsidRPr="00CC4FCD" w:rsidRDefault="00284A32" w:rsidP="00E237E2">
      <w:pPr>
        <w:rPr>
          <w:lang w:val="es-ES_tradnl"/>
        </w:rPr>
      </w:pPr>
      <w:r w:rsidRPr="00CC4FCD">
        <w:rPr>
          <w:lang w:val="es-ES_tradnl"/>
        </w:rPr>
        <w:t>4</w:t>
      </w:r>
      <w:r w:rsidRPr="00CC4FCD">
        <w:rPr>
          <w:lang w:val="es-ES_tradnl"/>
        </w:rPr>
        <w:tab/>
        <w:t>Con respecto a las notificaciones relacionadas con las transmisiones de seguridad aeronáutica a que se hace referencia en el tercer inciso de esta disposición, además de las consideraciones del párrafo 1 de la presente Regla de Procedimiento que también se aplica a las transmisiones de seguridad aeronáutica, la Junta consideró que lo indicado en la Reso</w:t>
      </w:r>
      <w:r w:rsidR="00E237E2" w:rsidRPr="00CC4FCD">
        <w:rPr>
          <w:lang w:val="es-ES_tradnl"/>
        </w:rPr>
        <w:softHyphen/>
      </w:r>
      <w:r w:rsidRPr="00CC4FCD">
        <w:rPr>
          <w:lang w:val="es-ES_tradnl"/>
        </w:rPr>
        <w:t xml:space="preserve">lución </w:t>
      </w:r>
      <w:r w:rsidRPr="00CC4FCD">
        <w:rPr>
          <w:b/>
          <w:bCs/>
          <w:lang w:val="es-ES_tradnl"/>
        </w:rPr>
        <w:t>419</w:t>
      </w:r>
      <w:r w:rsidR="00E237E2" w:rsidRPr="00CC4FCD">
        <w:rPr>
          <w:b/>
          <w:bCs/>
          <w:lang w:val="es-ES_tradnl"/>
        </w:rPr>
        <w:t xml:space="preserve"> </w:t>
      </w:r>
      <w:r w:rsidRPr="00CC4FCD">
        <w:rPr>
          <w:b/>
          <w:bCs/>
          <w:lang w:val="es-ES_tradnl"/>
        </w:rPr>
        <w:t>(CMR-07)</w:t>
      </w:r>
      <w:r w:rsidRPr="00CC4FCD">
        <w:rPr>
          <w:lang w:val="es-ES_tradnl"/>
        </w:rPr>
        <w:t xml:space="preserve"> atañe a las administraciones y que la Oficina no habrá de examinar las asignaciones de frecuencias notificadas a una estación del servicio móvil aeronáutico con respecto a su conformidad con la Resolución</w:t>
      </w:r>
      <w:r w:rsidR="00E237E2" w:rsidRPr="00CC4FCD">
        <w:rPr>
          <w:lang w:val="es-ES_tradnl"/>
        </w:rPr>
        <w:t> </w:t>
      </w:r>
      <w:r w:rsidRPr="00CC4FCD">
        <w:rPr>
          <w:b/>
          <w:bCs/>
          <w:lang w:val="es-ES_tradnl"/>
        </w:rPr>
        <w:t>419 (CMR-07)</w:t>
      </w:r>
      <w:r w:rsidRPr="00CC4FCD">
        <w:rPr>
          <w:lang w:val="es-ES_tradnl"/>
        </w:rPr>
        <w:t>.</w:t>
      </w:r>
    </w:p>
    <w:p w:rsidR="000A21A1" w:rsidRPr="00CC4FCD" w:rsidRDefault="009E216C">
      <w:pPr>
        <w:pStyle w:val="Heading8"/>
        <w:spacing w:before="240"/>
        <w:rPr>
          <w:color w:val="000000"/>
          <w:lang w:val="es-ES_tradnl"/>
        </w:rPr>
      </w:pPr>
      <w:r>
        <w:rPr>
          <w:color w:val="000000"/>
          <w:lang w:val="es-ES_tradnl"/>
        </w:rPr>
        <w:br w:type="page"/>
      </w:r>
      <w:r w:rsidR="000A21A1" w:rsidRPr="00CC4FCD">
        <w:rPr>
          <w:color w:val="000000"/>
          <w:lang w:val="es-ES_tradnl"/>
        </w:rPr>
        <w:lastRenderedPageBreak/>
        <w:t>5.446A</w:t>
      </w:r>
    </w:p>
    <w:p w:rsidR="00284A32" w:rsidRPr="00CC4FCD" w:rsidRDefault="00284A32" w:rsidP="00EA1686">
      <w:pPr>
        <w:rPr>
          <w:color w:val="000000"/>
          <w:lang w:val="es-ES_tradnl"/>
        </w:rPr>
      </w:pPr>
      <w:r w:rsidRPr="00CC4FCD">
        <w:rPr>
          <w:color w:val="000000"/>
          <w:lang w:val="es-ES_tradnl"/>
        </w:rPr>
        <w:t>1</w:t>
      </w:r>
      <w:r w:rsidRPr="00CC4FCD">
        <w:rPr>
          <w:color w:val="000000"/>
          <w:lang w:val="es-ES_tradnl"/>
        </w:rPr>
        <w:tab/>
        <w:t>Esta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t>03)</w:t>
      </w:r>
      <w:r w:rsidRPr="00CC4FCD">
        <w:rPr>
          <w:color w:val="000000"/>
          <w:lang w:val="es-ES_tradnl"/>
        </w:rPr>
        <w:t xml:space="preserve">. En este sentido,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t>03)</w:t>
      </w:r>
      <w:r w:rsidRPr="00CC4FCD">
        <w:rPr>
          <w:color w:val="000000"/>
          <w:lang w:val="es-ES_tradnl"/>
        </w:rPr>
        <w:t xml:space="preserve"> especifica que la utilización de estas bandas por el servicio móvil se efectuará para la implementación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p.i.r.e. para las estaciones del servicio móvil (véanse los </w:t>
      </w:r>
      <w:r w:rsidRPr="00CC4FCD">
        <w:rPr>
          <w:i/>
          <w:iCs/>
          <w:color w:val="000000"/>
          <w:lang w:val="es-ES_tradnl"/>
        </w:rPr>
        <w:t>resuelve</w:t>
      </w:r>
      <w:r w:rsidRPr="00CC4FCD">
        <w:rPr>
          <w:color w:val="000000"/>
          <w:lang w:val="es-ES_tradnl"/>
        </w:rPr>
        <w:t> 2, 4 y 6).</w:t>
      </w:r>
    </w:p>
    <w:p w:rsidR="00284A32" w:rsidRPr="00CC4FCD" w:rsidRDefault="00284A32" w:rsidP="00284A32">
      <w:pPr>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 xml:space="preserve">350 MHz, la situación es bastante sencilla, dado que las disposiciones de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t>03)</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rsidR="00284A32" w:rsidRPr="00CC4FCD" w:rsidRDefault="00284A32" w:rsidP="00EA1686">
      <w:pPr>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que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t>03)</w:t>
      </w:r>
      <w:r w:rsidRPr="00CC4FCD">
        <w:rPr>
          <w:color w:val="000000"/>
          <w:lang w:val="es-ES_tradnl"/>
        </w:rPr>
        <w:t>. En consecuencia, las adminis</w:t>
      </w:r>
      <w:r w:rsidR="00E237E2" w:rsidRPr="00CC4FCD">
        <w:rPr>
          <w:color w:val="000000"/>
          <w:lang w:val="es-ES_tradnl"/>
        </w:rPr>
        <w:softHyphen/>
      </w:r>
      <w:r w:rsidRPr="00CC4FCD">
        <w:rPr>
          <w:color w:val="000000"/>
          <w:lang w:val="es-ES_tradnl"/>
        </w:rPr>
        <w:t>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p>
    <w:p w:rsidR="00284A32" w:rsidRPr="00CC4FCD" w:rsidRDefault="00284A32" w:rsidP="00E237E2">
      <w:pPr>
        <w:rPr>
          <w:color w:val="000000"/>
          <w:lang w:val="es-ES_tradnl"/>
        </w:rPr>
      </w:pPr>
      <w:r w:rsidRPr="00CC4FCD">
        <w:rPr>
          <w:color w:val="000000"/>
          <w:lang w:val="es-ES_tradnl"/>
        </w:rPr>
        <w:t>2</w:t>
      </w:r>
      <w:r w:rsidRPr="00CC4FCD">
        <w:rPr>
          <w:color w:val="000000"/>
          <w:lang w:val="es-ES_tradnl"/>
        </w:rPr>
        <w:tab/>
        <w:t>Dado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 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en los países no mencionados en el número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xml:space="preserve">, junto con el Cuadro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t>03)</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MHz para los países indicados en el número</w:t>
      </w:r>
      <w:r w:rsidR="00E237E2"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siempre que el valor máximo de la p.i.r.e.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 MHz (con una p.i.r.e. inferior o igual a 1 W) forma parte de un WAS.</w:t>
      </w:r>
    </w:p>
    <w:p w:rsidR="000A21A1" w:rsidRPr="00CC4FCD" w:rsidRDefault="009E216C">
      <w:pPr>
        <w:pStyle w:val="Heading8"/>
        <w:rPr>
          <w:color w:val="000000"/>
          <w:lang w:val="es-ES_tradnl"/>
        </w:rPr>
      </w:pPr>
      <w:r>
        <w:rPr>
          <w:color w:val="000000"/>
          <w:lang w:val="es-ES_tradnl"/>
        </w:rPr>
        <w:br w:type="page"/>
      </w:r>
      <w:r w:rsidR="000A21A1" w:rsidRPr="00CC4FCD">
        <w:rPr>
          <w:color w:val="000000"/>
          <w:lang w:val="es-ES_tradnl"/>
        </w:rPr>
        <w:lastRenderedPageBreak/>
        <w:t>5.484</w:t>
      </w:r>
    </w:p>
    <w:p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rsidR="000A21A1" w:rsidRPr="00CC4FCD" w:rsidRDefault="000A21A1">
      <w:pPr>
        <w:pStyle w:val="Heading8"/>
        <w:rPr>
          <w:color w:val="000000"/>
          <w:lang w:val="es-ES_tradnl"/>
        </w:rPr>
      </w:pPr>
      <w:r w:rsidRPr="00CC4FCD">
        <w:rPr>
          <w:color w:val="000000"/>
          <w:lang w:val="es-ES_tradnl"/>
        </w:rPr>
        <w:t>5.485</w:t>
      </w:r>
    </w:p>
    <w:p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t>El texto de esta disposición ha suscitado la siguiente cuestión fundamental: «¿Está atribuida la banda 11,7-12,2 GHz en la Región 2 al servicio de radiodifusión por satélite?». La Junta ha tenido en cuenta lo siguiente:</w:t>
      </w:r>
    </w:p>
    <w:p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que la disposición no se titula «atribución adicional». Algunas disposiciones no llevan tal título y la Junta las considera atribuciones adicionales pero en este caso no está claro que el propósito fuese permitir una atribución adicional;</w:t>
      </w:r>
    </w:p>
    <w:p w:rsidR="00284A32" w:rsidRPr="00CC4FCD" w:rsidRDefault="00284A32" w:rsidP="00180D7D">
      <w:pPr>
        <w:pStyle w:val="enumlev1"/>
        <w:rPr>
          <w:color w:val="000000"/>
          <w:lang w:val="es-ES_tradnl"/>
        </w:rPr>
      </w:pPr>
      <w:r w:rsidRPr="00CC4FCD">
        <w:rPr>
          <w:i/>
          <w:color w:val="000000"/>
          <w:lang w:val="es-ES_tradnl"/>
        </w:rPr>
        <w:t>b)</w:t>
      </w:r>
      <w:r w:rsidRPr="00CC4FCD">
        <w:rPr>
          <w:color w:val="000000"/>
          <w:lang w:val="es-ES_tradnl"/>
        </w:rPr>
        <w:tab/>
        <w:t>en la disposición se dice que «los transpondedores de estaciones espaciales del servicio fijo por satélite pueden ser utilizados adicionalmente... para transmisiones del servicio de radiodifusión por satélite» y la utilización de la palabra «adicionalmente» junto con la última frase en la que se dice «esta banda será utilizada principalmente por el servicio fijo por satélite» conduce a interpretar que la utilización en el caso de la radiodifusión por satélite no tiene igual naturaleza que tendría la utilización de una banda determinada por un servicio al que esté atribuida la banda;</w:t>
      </w:r>
    </w:p>
    <w:p w:rsidR="00284A32" w:rsidRPr="00CC4FCD" w:rsidRDefault="00284A32" w:rsidP="00E237E2">
      <w:pPr>
        <w:pStyle w:val="enumlev1"/>
        <w:rPr>
          <w:color w:val="000000"/>
          <w:lang w:val="es-ES_tradnl"/>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de la Reso</w:t>
      </w:r>
      <w:r w:rsidR="00E237E2" w:rsidRPr="00CC4FCD">
        <w:rPr>
          <w:color w:val="000000"/>
          <w:lang w:val="es-ES_tradnl"/>
        </w:rPr>
        <w:softHyphen/>
      </w:r>
      <w:r w:rsidRPr="00CC4FCD">
        <w:rPr>
          <w:color w:val="000000"/>
          <w:lang w:val="es-ES_tradnl"/>
        </w:rPr>
        <w:t xml:space="preserve">lución </w:t>
      </w:r>
      <w:r w:rsidRPr="00CC4FCD">
        <w:rPr>
          <w:b/>
          <w:bCs/>
          <w:color w:val="000000"/>
          <w:lang w:val="es-ES_tradnl"/>
        </w:rPr>
        <w:t>33</w:t>
      </w:r>
      <w:r w:rsidRPr="00CC4FCD">
        <w:rPr>
          <w:color w:val="000000"/>
          <w:lang w:val="es-ES_tradnl"/>
        </w:rPr>
        <w:t xml:space="preserve"> </w:t>
      </w:r>
      <w:r w:rsidRPr="00CC4FCD">
        <w:rPr>
          <w:b/>
          <w:color w:val="000000"/>
          <w:lang w:val="es-ES_tradnl"/>
        </w:rPr>
        <w:t>(Rev.CMR-03)</w:t>
      </w:r>
      <w:r w:rsidRPr="00CC4FCD">
        <w:rPr>
          <w:color w:val="000000"/>
          <w:lang w:val="es-ES_tradnl"/>
        </w:rPr>
        <w:t xml:space="preserve"> se aplican a cada asignación, cada transpondedor se examinará separadamente de los demás. Por consiguiente, la disposición se puede interpretar de cualquiera de las dos maneras siguientes:</w:t>
      </w:r>
    </w:p>
    <w:p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  banda entre dos servicios y se plantea la siguiente duda sobre la palabra «principalmente»: ¿cuántos transpondedores se admitirán para cada uno de esos dos servicios?</w:t>
      </w:r>
    </w:p>
    <w:p w:rsidR="001D044B" w:rsidRPr="00CC4FCD" w:rsidRDefault="001D044B" w:rsidP="00EA1686">
      <w:pPr>
        <w:pStyle w:val="enumlev2"/>
        <w:rPr>
          <w:color w:val="000000"/>
          <w:sz w:val="16"/>
          <w:szCs w:val="16"/>
          <w:lang w:val="es-ES_tradnl"/>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señal de imagen entre dos puntos fijos). Si la disposición se ha de considerar en este caso una atribución adicional, se plantea una duda en cuanto al procedimiento que se debe aplicar: ¿debería ser el de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o el de la Resolución </w:t>
      </w:r>
      <w:r w:rsidRPr="00CC4FCD">
        <w:rPr>
          <w:b/>
          <w:bCs/>
          <w:color w:val="000000"/>
          <w:lang w:val="es-ES_tradnl"/>
        </w:rPr>
        <w:t>33</w:t>
      </w:r>
      <w:r w:rsidRPr="00CC4FCD">
        <w:rPr>
          <w:color w:val="000000"/>
          <w:lang w:val="es-ES_tradnl"/>
        </w:rPr>
        <w:t xml:space="preserve"> </w:t>
      </w:r>
      <w:r w:rsidRPr="00CC4FCD">
        <w:rPr>
          <w:b/>
          <w:color w:val="000000"/>
          <w:lang w:val="es-ES_tradnl"/>
        </w:rPr>
        <w:t>(Rev.CMR</w:t>
      </w:r>
      <w:r w:rsidRPr="00CC4FCD">
        <w:rPr>
          <w:b/>
          <w:color w:val="000000"/>
          <w:lang w:val="es-ES_tradnl"/>
        </w:rPr>
        <w:noBreakHyphen/>
        <w:t>03)</w:t>
      </w:r>
      <w:r w:rsidRPr="00CC4FCD">
        <w:rPr>
          <w:color w:val="000000"/>
          <w:lang w:val="es-ES_tradnl"/>
        </w:rPr>
        <w:t>?</w:t>
      </w:r>
    </w:p>
    <w:p w:rsidR="001D044B" w:rsidRPr="00CC4FCD" w:rsidRDefault="001D044B" w:rsidP="001D044B">
      <w:pPr>
        <w:rPr>
          <w:color w:val="000000"/>
          <w:lang w:val="es-ES_tradnl"/>
        </w:rPr>
      </w:pPr>
      <w:r w:rsidRPr="00CC4FCD">
        <w:rPr>
          <w:color w:val="000000"/>
          <w:lang w:val="es-ES_tradnl"/>
        </w:rPr>
        <w:t>2</w:t>
      </w:r>
      <w:r w:rsidRPr="00CC4FCD">
        <w:rPr>
          <w:color w:val="000000"/>
          <w:lang w:val="es-ES_tradnl"/>
        </w:rPr>
        <w:tab/>
        <w:t>Teniendo en cuenta estos comentarios, la Junta ha llegado a la conclusión de que la banda 11,7-12,2 GHz no está atribuida en la Región 2 al servicio de radiodifusión por satélite. Los transpondedores del servicio fijo por satélite que se utilicen para fines de radio</w:t>
      </w:r>
      <w:r w:rsidRPr="00CC4FCD">
        <w:rPr>
          <w:color w:val="000000"/>
          <w:lang w:val="es-ES_tradnl"/>
        </w:rPr>
        <w:softHyphen/>
        <w:t xml:space="preserve">difusión por satélite se tramitarán de conformidad con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p.i.r.e. no excederá de la p.i.r.e. notificada para el servicio fijo por satélite. Como el servicio fijo por satélite utiliza una p.i.r.e. relativamente baja, la Oficina considerará el valor de 53 dBW como un límite del que no se debe exceder.</w:t>
      </w:r>
    </w:p>
    <w:p w:rsidR="000A21A1" w:rsidRPr="00CC4FCD" w:rsidRDefault="009E216C">
      <w:pPr>
        <w:pStyle w:val="Heading8"/>
        <w:rPr>
          <w:color w:val="000000"/>
          <w:lang w:val="es-ES_tradnl"/>
        </w:rPr>
      </w:pPr>
      <w:r>
        <w:rPr>
          <w:color w:val="000000"/>
          <w:lang w:val="es-ES_tradnl"/>
        </w:rPr>
        <w:br w:type="page"/>
      </w:r>
      <w:r w:rsidR="000A21A1" w:rsidRPr="00CC4FCD">
        <w:rPr>
          <w:color w:val="000000"/>
          <w:lang w:val="es-ES_tradnl"/>
        </w:rPr>
        <w:lastRenderedPageBreak/>
        <w:t>5.488</w:t>
      </w:r>
    </w:p>
    <w:p w:rsidR="001D044B" w:rsidRPr="00CC4FCD" w:rsidRDefault="001D044B" w:rsidP="00EA1686">
      <w:pPr>
        <w:pStyle w:val="Headingb0"/>
        <w:jc w:val="both"/>
        <w:rPr>
          <w:color w:val="000000"/>
          <w:lang w:val="es-ES_tradnl"/>
        </w:rPr>
      </w:pPr>
      <w:r w:rsidRPr="00CC4FCD">
        <w:rPr>
          <w:color w:val="000000"/>
          <w:lang w:val="es-ES_tradnl"/>
        </w:rPr>
        <w:t>Aplicación de los umbrales de coordinación de la densidad de flujo de potencia (DFP) del número 9.14 (SFS OSG de la Región 2 en la banda 11,7-12,2 GHz) a los haces orientables</w:t>
      </w:r>
    </w:p>
    <w:p w:rsidR="001D044B" w:rsidRPr="00CC4FCD" w:rsidRDefault="001D044B" w:rsidP="001D044B">
      <w:pPr>
        <w:rPr>
          <w:color w:val="000000"/>
          <w:lang w:val="es-ES_tradnl"/>
        </w:rPr>
      </w:pPr>
      <w:r w:rsidRPr="00CC4FCD">
        <w:rPr>
          <w:color w:val="000000"/>
          <w:lang w:val="es-ES_tradnl"/>
        </w:rPr>
        <w:t>1</w:t>
      </w:r>
      <w:r w:rsidRPr="00CC4FCD">
        <w:rPr>
          <w:color w:val="000000"/>
          <w:lang w:val="es-ES_tradnl"/>
        </w:rPr>
        <w:tab/>
        <w:t>La utilización de haces orientables se está generalizando. Los valores de la DFP producidos por las asignaciones de haces orientables suelen rebasar los umbrales aplicables de la DFP de coordinación en algunas o en todas las posiciones de dichos haces. En estos casos, las administraciones suelen declarar que los umbrales de la DFP de coordinación no se rebasarán y en ocasiones aportan una descripción técnica adecuada de la forma en que se realizará esto.</w:t>
      </w:r>
    </w:p>
    <w:p w:rsidR="001D044B" w:rsidRPr="00CC4FCD" w:rsidRDefault="001D044B" w:rsidP="001D044B">
      <w:pPr>
        <w:rPr>
          <w:color w:val="000000"/>
          <w:lang w:val="es-ES_tradnl"/>
        </w:rPr>
      </w:pPr>
      <w:r w:rsidRPr="00CC4FCD">
        <w:rPr>
          <w:color w:val="000000"/>
          <w:lang w:val="es-ES_tradnl"/>
        </w:rPr>
        <w:t>2</w:t>
      </w:r>
      <w:r w:rsidRPr="00CC4FCD">
        <w:rPr>
          <w:color w:val="000000"/>
          <w:lang w:val="es-ES_tradnl"/>
        </w:rPr>
        <w:tab/>
        <w:t>Por motivos de transparencia y para establecer un límite superior de la medida aceptable del control de la DFP, y con el fin de evitar la subjetividad en la evaluación del método de control de la DFP, la Junta llegó a la conclusión de que, hasta que se disponga de una Recomendación UIT</w:t>
      </w:r>
      <w:r w:rsidRPr="00CC4FCD">
        <w:rPr>
          <w:color w:val="000000"/>
          <w:lang w:val="es-ES_tradnl"/>
        </w:rPr>
        <w:noBreakHyphen/>
        <w:t>R pertinente, se aplique con carácter provisional la Regla indicada a continuación.</w:t>
      </w:r>
    </w:p>
    <w:p w:rsidR="001D044B" w:rsidRPr="00CC4FCD" w:rsidRDefault="001D044B" w:rsidP="001D044B">
      <w:pPr>
        <w:rPr>
          <w:color w:val="000000"/>
          <w:lang w:val="es-ES_tradnl"/>
        </w:rPr>
      </w:pPr>
      <w:r w:rsidRPr="00CC4FCD">
        <w:rPr>
          <w:color w:val="000000"/>
          <w:lang w:val="es-ES_tradnl"/>
        </w:rPr>
        <w:t>3</w:t>
      </w:r>
      <w:r w:rsidRPr="00CC4FCD">
        <w:rPr>
          <w:color w:val="000000"/>
          <w:lang w:val="es-ES_tradnl"/>
        </w:rPr>
        <w:tab/>
        <w:t xml:space="preserve">En los casos en que las asignaciones de frecuencia de haces orientables de una red de satélite del SFS OSG con funcionamiento en la banda 11,7-12,2 GHz rebase para ciertas posiciones de estos haces, los umbrales de la DFP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haya al menos una posición del haz orientable en la que no se rebasen los umbrales de la DFP de coordinación sin ninguna reducción de la densidad de potencia notificada; y</w:t>
      </w:r>
    </w:p>
    <w:p w:rsidR="001D044B" w:rsidRPr="00CC4FCD" w:rsidRDefault="001D044B" w:rsidP="009E216C">
      <w:pPr>
        <w:pStyle w:val="enumlev1"/>
        <w:rPr>
          <w:color w:val="000000"/>
          <w:lang w:val="es-ES_tradnl"/>
        </w:rPr>
      </w:pPr>
      <w:r w:rsidRPr="00CC4FCD">
        <w:rPr>
          <w:i/>
          <w:color w:val="000000"/>
          <w:lang w:val="es-ES_tradnl"/>
        </w:rPr>
        <w:t>b)</w:t>
      </w:r>
      <w:r w:rsidRPr="00CC4FCD">
        <w:rPr>
          <w:color w:val="000000"/>
          <w:lang w:val="es-ES_tradnl"/>
        </w:rPr>
        <w:tab/>
        <w:t>la administración indique, para las otras posiciones del haz orientable, que los umbrales aplicables de DFP de coordinación no se rebasarán aplicando un método cuya des</w:t>
      </w:r>
      <w:r w:rsidR="009E216C">
        <w:rPr>
          <w:color w:val="000000"/>
          <w:lang w:val="es-ES_tradnl"/>
        </w:rPr>
        <w:softHyphen/>
      </w:r>
      <w:r w:rsidRPr="00CC4FCD">
        <w:rPr>
          <w:color w:val="000000"/>
          <w:lang w:val="es-ES_tradnl"/>
        </w:rPr>
        <w:t>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rsidR="000A21A1" w:rsidRPr="00CC4FCD" w:rsidRDefault="000A21A1" w:rsidP="00EA1686">
      <w:pPr>
        <w:pStyle w:val="Heading8"/>
        <w:rPr>
          <w:color w:val="000000"/>
          <w:lang w:val="es-ES_tradnl"/>
        </w:rPr>
      </w:pPr>
      <w:r w:rsidRPr="00CC4FCD">
        <w:rPr>
          <w:color w:val="000000"/>
          <w:lang w:val="es-ES_tradnl"/>
        </w:rPr>
        <w:t>5.492</w:t>
      </w:r>
    </w:p>
    <w:p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La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rsidR="00EC4B1E" w:rsidRPr="00CC4FCD" w:rsidRDefault="00EC4B1E" w:rsidP="00EC4B1E">
      <w:pPr>
        <w:rPr>
          <w:color w:val="000000"/>
          <w:lang w:val="es-ES_tradnl"/>
        </w:rPr>
      </w:pPr>
      <w:r w:rsidRPr="00CC4FCD">
        <w:rPr>
          <w:color w:val="000000"/>
          <w:lang w:val="es-ES_tradnl"/>
        </w:rPr>
        <w:t>2</w:t>
      </w:r>
      <w:r w:rsidRPr="00CC4FCD">
        <w:rPr>
          <w:color w:val="000000"/>
          <w:lang w:val="es-ES_tradnl"/>
        </w:rPr>
        <w:tab/>
        <w:t>Las estaciones terrenas que reciben transmisiones del SFS desde transpondedores del SRS se tratarán como estaciones terrenas del SRS y no tienen que ser notificadas como estaciones terrenas individuales.</w:t>
      </w:r>
    </w:p>
    <w:p w:rsidR="000A21A1" w:rsidRPr="00CC4FCD" w:rsidRDefault="000A21A1">
      <w:pPr>
        <w:pStyle w:val="Heading8"/>
        <w:rPr>
          <w:color w:val="000000"/>
          <w:lang w:val="es-ES_tradnl"/>
        </w:rPr>
      </w:pPr>
      <w:r w:rsidRPr="00CC4FCD">
        <w:rPr>
          <w:color w:val="000000"/>
          <w:lang w:val="es-ES_tradnl"/>
        </w:rPr>
        <w:t>5.496</w:t>
      </w:r>
    </w:p>
    <w:p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Los servicios fijo y móvil (salvo móvil aeronáutico) en los países enumerados en esta disposición:</w:t>
      </w:r>
    </w:p>
    <w:p w:rsidR="00EC4B1E" w:rsidRPr="00CC4FCD" w:rsidRDefault="00EC4B1E" w:rsidP="00E237E2">
      <w:pPr>
        <w:pStyle w:val="enumlev1"/>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rsidR="00EC4B1E" w:rsidRPr="00CC4FCD" w:rsidRDefault="009E216C" w:rsidP="00EA1686">
      <w:pPr>
        <w:pStyle w:val="enumlev1"/>
        <w:rPr>
          <w:color w:val="000000"/>
          <w:lang w:val="es-ES_tradnl"/>
        </w:rPr>
      </w:pPr>
      <w:r>
        <w:rPr>
          <w:color w:val="000000"/>
          <w:lang w:val="es-ES_tradnl"/>
        </w:rPr>
        <w:br w:type="page"/>
      </w:r>
      <w:r w:rsidR="00EC4B1E" w:rsidRPr="00CC4FCD">
        <w:rPr>
          <w:color w:val="000000"/>
          <w:lang w:val="es-ES_tradnl"/>
        </w:rPr>
        <w:lastRenderedPageBreak/>
        <w:t>–</w:t>
      </w:r>
      <w:r w:rsidR="00EC4B1E" w:rsidRPr="00CC4FCD">
        <w:rPr>
          <w:color w:val="000000"/>
          <w:lang w:val="es-ES_tradnl"/>
        </w:rPr>
        <w:tab/>
        <w:t xml:space="preserve">serán explotados con arreglo al número </w:t>
      </w:r>
      <w:r w:rsidR="00EC4B1E" w:rsidRPr="00CC4FCD">
        <w:rPr>
          <w:rStyle w:val="Artref"/>
          <w:b/>
          <w:bCs/>
          <w:color w:val="000000"/>
          <w:lang w:val="es-ES_tradnl"/>
        </w:rPr>
        <w:t>5.43</w:t>
      </w:r>
      <w:r w:rsidR="00EC4B1E" w:rsidRPr="00CC4FCD">
        <w:rPr>
          <w:color w:val="000000"/>
          <w:lang w:val="es-ES_tradnl"/>
        </w:rPr>
        <w:t xml:space="preserve"> en relación con el SFS en los demás países de la Región 1 y la coordinación prescrita en el número </w:t>
      </w:r>
      <w:r w:rsidR="00EC4B1E" w:rsidRPr="00CC4FCD">
        <w:rPr>
          <w:rStyle w:val="Artref"/>
          <w:b/>
          <w:bCs/>
          <w:color w:val="000000"/>
          <w:lang w:val="es-ES_tradnl"/>
        </w:rPr>
        <w:t>9.17</w:t>
      </w:r>
      <w:r w:rsidR="00EC4B1E"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00EC4B1E" w:rsidRPr="00CC4FCD">
        <w:rPr>
          <w:color w:val="000000"/>
          <w:lang w:val="es-ES_tradnl"/>
        </w:rPr>
        <w:t>nación prescrita en el número </w:t>
      </w:r>
      <w:r w:rsidR="00EC4B1E" w:rsidRPr="00CC4FCD">
        <w:rPr>
          <w:rStyle w:val="Artref"/>
          <w:b/>
          <w:bCs/>
          <w:color w:val="000000"/>
          <w:lang w:val="es-ES_tradnl"/>
        </w:rPr>
        <w:t>9.18</w:t>
      </w:r>
      <w:r w:rsidR="00EC4B1E" w:rsidRPr="00CC4FCD">
        <w:rPr>
          <w:color w:val="000000"/>
          <w:lang w:val="es-ES_tradnl"/>
        </w:rPr>
        <w:t>;</w:t>
      </w:r>
    </w:p>
    <w:p w:rsidR="00EC4B1E" w:rsidRPr="00CC4FCD" w:rsidRDefault="00EC4B1E" w:rsidP="00EC4B1E">
      <w:pPr>
        <w:pStyle w:val="enumlev1"/>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rsidR="00EC4B1E" w:rsidRPr="00CC4FCD" w:rsidRDefault="00EC4B1E" w:rsidP="00EC4B1E">
      <w:pPr>
        <w:rPr>
          <w:color w:val="000000"/>
          <w:lang w:val="es-ES_tradnl"/>
        </w:rPr>
      </w:pPr>
      <w:r w:rsidRPr="00CC4FCD">
        <w:rPr>
          <w:color w:val="000000"/>
          <w:lang w:val="es-ES_tradnl"/>
        </w:rPr>
        <w:t>2</w:t>
      </w:r>
      <w:r w:rsidRPr="00CC4FCD">
        <w:rPr>
          <w:color w:val="000000"/>
          <w:lang w:val="es-ES_tradnl"/>
        </w:rPr>
        <w:tab/>
        <w:t>Se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rsidR="000A21A1" w:rsidRPr="00CC4FCD" w:rsidRDefault="000A21A1">
      <w:pPr>
        <w:pStyle w:val="Heading8"/>
        <w:rPr>
          <w:color w:val="000000"/>
          <w:lang w:val="es-ES_tradnl"/>
        </w:rPr>
      </w:pPr>
      <w:r w:rsidRPr="00CC4FCD">
        <w:rPr>
          <w:color w:val="000000"/>
          <w:lang w:val="es-ES_tradnl"/>
        </w:rPr>
        <w:t>5.502</w:t>
      </w:r>
    </w:p>
    <w:p w:rsidR="00EC4B1E" w:rsidRPr="00CC4FCD" w:rsidRDefault="00EC4B1E" w:rsidP="00072ED0">
      <w:pPr>
        <w:spacing w:line="260" w:lineRule="exact"/>
        <w:rPr>
          <w:color w:val="000000"/>
          <w:lang w:val="es-ES_tradnl"/>
        </w:rPr>
      </w:pPr>
      <w:r w:rsidRPr="00CC4FCD">
        <w:rPr>
          <w:color w:val="000000"/>
          <w:lang w:val="es-ES_tradnl"/>
        </w:rPr>
        <w:t>1</w:t>
      </w:r>
      <w:r w:rsidRPr="00CC4FCD">
        <w:rPr>
          <w:color w:val="000000"/>
          <w:lang w:val="es-ES_tradnl"/>
        </w:rPr>
        <w:tab/>
        <w:t xml:space="preserve">A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rsidR="00EC4B1E" w:rsidRPr="00CC4FCD" w:rsidRDefault="00EC4B1E" w:rsidP="00E237E2">
      <w:pPr>
        <w:spacing w:line="260" w:lineRule="exact"/>
        <w:rPr>
          <w:color w:val="000000"/>
          <w:lang w:val="es-ES_tradnl"/>
        </w:rPr>
      </w:pPr>
      <w:r w:rsidRPr="00CC4FCD">
        <w:rPr>
          <w:color w:val="000000"/>
          <w:lang w:val="es-ES_tradnl"/>
        </w:rPr>
        <w:t>2</w:t>
      </w:r>
      <w:r w:rsidRPr="00CC4FCD">
        <w:rPr>
          <w:color w:val="000000"/>
          <w:lang w:val="es-ES_tradnl"/>
        </w:rPr>
        <w:tab/>
        <w:t xml:space="preserve">Los límites de la densidad de flujo de potencia (DFP)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rsidR="000A21A1" w:rsidRPr="00CC4FCD" w:rsidRDefault="000A21A1">
      <w:pPr>
        <w:pStyle w:val="Heading8"/>
        <w:rPr>
          <w:color w:val="000000"/>
          <w:lang w:val="es-ES_tradnl"/>
        </w:rPr>
      </w:pPr>
      <w:r w:rsidRPr="00CC4FCD">
        <w:rPr>
          <w:color w:val="000000"/>
          <w:lang w:val="es-ES_tradnl"/>
        </w:rPr>
        <w:t>5.503</w:t>
      </w:r>
    </w:p>
    <w:p w:rsidR="00EC4B1E" w:rsidRPr="00CC4FCD" w:rsidRDefault="00EC4B1E" w:rsidP="009E216C">
      <w:pPr>
        <w:rPr>
          <w:lang w:val="es-ES_tradnl"/>
        </w:rPr>
      </w:pPr>
      <w:r w:rsidRPr="00CC4FCD">
        <w:rPr>
          <w:lang w:val="es-ES_tradnl"/>
        </w:rPr>
        <w:t>1</w:t>
      </w:r>
      <w:r w:rsidRPr="00CC4FCD">
        <w:rPr>
          <w:lang w:val="es-ES_tradnl"/>
        </w:rPr>
        <w:tab/>
        <w:t>En el número</w:t>
      </w:r>
      <w:r w:rsidR="00EA1686" w:rsidRPr="00CC4FCD">
        <w:rPr>
          <w:lang w:val="es-ES_tradnl"/>
        </w:rPr>
        <w:t xml:space="preserve"> </w:t>
      </w:r>
      <w:r w:rsidRPr="00CC4FCD">
        <w:rPr>
          <w:b/>
          <w:bCs/>
          <w:lang w:val="es-ES_tradnl"/>
        </w:rPr>
        <w:t>5.503</w:t>
      </w:r>
      <w:r w:rsidRPr="00CC4FCD">
        <w:rPr>
          <w:lang w:val="es-ES_tradnl"/>
        </w:rPr>
        <w:t xml:space="preserve"> se especifica la densidad p.i.r.e. máxima de las emisiones de una estación terrena transmisora del SFS en la banda de frecuencias</w:t>
      </w:r>
      <w:r w:rsidR="00E237E2" w:rsidRPr="00CC4FCD">
        <w:rPr>
          <w:lang w:val="es-ES_tradnl"/>
        </w:rPr>
        <w:t xml:space="preserve"> </w:t>
      </w:r>
      <w:r w:rsidRPr="00CC4FCD">
        <w:rPr>
          <w:lang w:val="es-ES_tradnl"/>
        </w:rPr>
        <w:t>13,77</w:t>
      </w:r>
      <w:r w:rsidR="00E237E2" w:rsidRPr="00CC4FCD">
        <w:rPr>
          <w:lang w:val="es-ES_tradnl"/>
        </w:rPr>
        <w:t>-</w:t>
      </w:r>
      <w:r w:rsidRPr="00CC4FCD">
        <w:rPr>
          <w:lang w:val="es-ES_tradnl"/>
        </w:rPr>
        <w:t>13,78</w:t>
      </w:r>
      <w:r w:rsidR="00E237E2" w:rsidRPr="00CC4FCD">
        <w:rPr>
          <w:lang w:val="es-ES_tradnl"/>
        </w:rPr>
        <w:t xml:space="preserve"> </w:t>
      </w:r>
      <w:r w:rsidRPr="00CC4FCD">
        <w:rPr>
          <w:lang w:val="es-ES_tradnl"/>
        </w:rPr>
        <w:t>GHz. La inobservancia de estos límites da lugar a una conclusión desfavorable con arreglo al número </w:t>
      </w:r>
      <w:r w:rsidRPr="00CC4FCD">
        <w:rPr>
          <w:b/>
          <w:bCs/>
          <w:lang w:val="es-ES_tradnl"/>
        </w:rPr>
        <w:t>9.35/11.31</w:t>
      </w:r>
      <w:r w:rsidRPr="00CC4FCD">
        <w:rPr>
          <w:lang w:val="es-ES_tradnl"/>
        </w:rPr>
        <w:t>. A tenor del número</w:t>
      </w:r>
      <w:r w:rsidR="00E237E2" w:rsidRPr="00CC4FCD">
        <w:rPr>
          <w:lang w:val="es-ES_tradnl"/>
        </w:rPr>
        <w:t xml:space="preserve"> </w:t>
      </w:r>
      <w:r w:rsidRPr="00CC4FCD">
        <w:rPr>
          <w:b/>
          <w:bCs/>
          <w:lang w:val="es-ES_tradnl"/>
        </w:rPr>
        <w:t>5.503</w:t>
      </w:r>
      <w:r w:rsidRPr="00CC4FCD">
        <w:rPr>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p.i.r.e. que cumpla con los límites anteriores en condiciones de cielo despejado. No obstante, en el número</w:t>
      </w:r>
      <w:r w:rsidR="00E237E2" w:rsidRPr="00CC4FCD">
        <w:rPr>
          <w:lang w:val="es-ES_tradnl"/>
        </w:rPr>
        <w:t xml:space="preserve"> </w:t>
      </w:r>
      <w:r w:rsidRPr="00CC4FCD">
        <w:rPr>
          <w:b/>
          <w:bCs/>
          <w:lang w:val="es-ES_tradnl"/>
        </w:rPr>
        <w:t>5.503</w:t>
      </w:r>
      <w:r w:rsidRPr="00CC4FCD">
        <w:rPr>
          <w:lang w:val="es-ES_tradnl"/>
        </w:rPr>
        <w:t xml:space="preserve"> y en el Apéndice</w:t>
      </w:r>
      <w:r w:rsidR="00E237E2" w:rsidRPr="00CC4FCD">
        <w:rPr>
          <w:lang w:val="es-ES_tradnl"/>
        </w:rPr>
        <w:t xml:space="preserve"> </w:t>
      </w:r>
      <w:r w:rsidRPr="00CC4FCD">
        <w:rPr>
          <w:b/>
          <w:bCs/>
          <w:lang w:val="es-ES_tradnl"/>
        </w:rPr>
        <w:t>4</w:t>
      </w:r>
      <w:r w:rsidRPr="00CC4FCD">
        <w:rPr>
          <w:lang w:val="es-ES_tradnl"/>
        </w:rPr>
        <w:t xml:space="preserve"> no se especifica cuál es el valor de la densidad de potencia y de la potencia total de una emisión (con la ganancia máxima de antena constituyen la p.i.r.e. y la densidad de p.i.r.e. en el eje) que se debe proporcionar:</w:t>
      </w:r>
    </w:p>
    <w:p w:rsidR="00EC4B1E" w:rsidRPr="00CC4FCD" w:rsidRDefault="00EC4B1E" w:rsidP="00EA1686">
      <w:pPr>
        <w:pStyle w:val="enumlev1"/>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rsidR="00EC4B1E" w:rsidRPr="00CC4FCD" w:rsidRDefault="00EC4B1E" w:rsidP="009E216C">
      <w:pPr>
        <w:pStyle w:val="enumlev1"/>
        <w:spacing w:before="60"/>
        <w:rPr>
          <w:lang w:val="es-ES_tradnl"/>
        </w:rPr>
      </w:pPr>
      <w:r w:rsidRPr="00CC4FCD">
        <w:rPr>
          <w:lang w:val="es-ES_tradnl"/>
        </w:rPr>
        <w:t>ii)</w:t>
      </w:r>
      <w:r w:rsidR="00EA1686" w:rsidRPr="00CC4FCD">
        <w:rPr>
          <w:lang w:val="es-ES_tradnl"/>
        </w:rPr>
        <w:tab/>
      </w:r>
      <w:r w:rsidRPr="00CC4FCD">
        <w:rPr>
          <w:lang w:val="es-ES_tradnl"/>
        </w:rPr>
        <w:t>los prevalecientes durante la precipitación.</w:t>
      </w:r>
    </w:p>
    <w:p w:rsidR="00EC4B1E" w:rsidRPr="00CC4FCD" w:rsidRDefault="009E216C" w:rsidP="00EA1686">
      <w:pPr>
        <w:rPr>
          <w:sz w:val="16"/>
          <w:szCs w:val="16"/>
          <w:lang w:val="es-ES_tradnl"/>
        </w:rPr>
      </w:pPr>
      <w:r>
        <w:rPr>
          <w:lang w:val="es-ES_tradnl"/>
        </w:rPr>
        <w:br w:type="page"/>
      </w:r>
      <w:r w:rsidR="00EC4B1E" w:rsidRPr="00CC4FCD">
        <w:rPr>
          <w:lang w:val="es-ES_tradnl"/>
        </w:rPr>
        <w:lastRenderedPageBreak/>
        <w:t>Por lo tanto, la Junta decidió que, para las asignaciones de frecuencias a las que se aplica el número </w:t>
      </w:r>
      <w:r w:rsidR="00EC4B1E" w:rsidRPr="00CC4FCD">
        <w:rPr>
          <w:b/>
          <w:bCs/>
          <w:lang w:val="es-ES_tradnl"/>
        </w:rPr>
        <w:t>5.503</w:t>
      </w:r>
      <w:r w:rsidR="00EC4B1E" w:rsidRPr="00CC4FCD">
        <w:rPr>
          <w:lang w:val="es-ES_tradnl"/>
        </w:rPr>
        <w:t xml:space="preserve">, las administraciones han de proporcionar valores de densidad de potencia máxima (datos de los puntos </w:t>
      </w:r>
      <w:r w:rsidR="00EC4B1E" w:rsidRPr="00CC4FCD">
        <w:rPr>
          <w:szCs w:val="22"/>
          <w:lang w:val="es-ES_tradnl"/>
        </w:rPr>
        <w:t>C.8.a.2 o C.8.b.2 del Apéndice</w:t>
      </w:r>
      <w:r w:rsidR="00EA1686" w:rsidRPr="00CC4FCD">
        <w:rPr>
          <w:szCs w:val="22"/>
          <w:lang w:val="es-ES_tradnl"/>
        </w:rPr>
        <w:t xml:space="preserve"> </w:t>
      </w:r>
      <w:r w:rsidR="00EC4B1E" w:rsidRPr="00CC4FCD">
        <w:rPr>
          <w:b/>
          <w:bCs/>
          <w:szCs w:val="22"/>
          <w:lang w:val="es-ES_tradnl"/>
        </w:rPr>
        <w:t>4</w:t>
      </w:r>
      <w:r w:rsidR="00EC4B1E" w:rsidRPr="00CC4FCD">
        <w:rPr>
          <w:szCs w:val="22"/>
          <w:lang w:val="es-ES_tradnl"/>
        </w:rPr>
        <w:t>)</w:t>
      </w:r>
      <w:r w:rsidR="00EC4B1E" w:rsidRPr="00CC4FCD">
        <w:rPr>
          <w:lang w:val="es-ES_tradnl"/>
        </w:rPr>
        <w:t xml:space="preserve"> y densidad de potencia máxima de las emisiones (datos de los puntos </w:t>
      </w:r>
      <w:r w:rsidR="00EC4B1E" w:rsidRPr="00CC4FCD">
        <w:rPr>
          <w:szCs w:val="22"/>
          <w:lang w:val="es-ES_tradnl"/>
        </w:rPr>
        <w:t>C.8.a.1 o C.8.b.1 del Apéndice</w:t>
      </w:r>
      <w:r w:rsidR="00EA1686" w:rsidRPr="00CC4FCD">
        <w:rPr>
          <w:szCs w:val="22"/>
          <w:lang w:val="es-ES_tradnl"/>
        </w:rPr>
        <w:t xml:space="preserve"> </w:t>
      </w:r>
      <w:r w:rsidR="00EC4B1E" w:rsidRPr="00CC4FCD">
        <w:rPr>
          <w:b/>
          <w:bCs/>
          <w:szCs w:val="22"/>
          <w:lang w:val="es-ES_tradnl"/>
        </w:rPr>
        <w:t>4</w:t>
      </w:r>
      <w:r w:rsidR="00EC4B1E" w:rsidRPr="00CC4FCD">
        <w:rPr>
          <w:szCs w:val="22"/>
          <w:lang w:val="es-ES_tradnl"/>
        </w:rPr>
        <w:t>)</w:t>
      </w:r>
      <w:r w:rsidR="00EC4B1E" w:rsidRPr="00CC4FCD">
        <w:rPr>
          <w:lang w:val="es-ES_tradnl"/>
        </w:rPr>
        <w:t xml:space="preserve"> en condi</w:t>
      </w:r>
      <w:r w:rsidR="00EA1686" w:rsidRPr="00CC4FCD">
        <w:rPr>
          <w:lang w:val="es-ES_tradnl"/>
        </w:rPr>
        <w:softHyphen/>
      </w:r>
      <w:r w:rsidR="00EC4B1E"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rsidR="00EC4B1E" w:rsidRPr="00CC4FCD" w:rsidRDefault="00EC4B1E" w:rsidP="00EA1686">
      <w:pPr>
        <w:rPr>
          <w:color w:val="000000"/>
          <w:lang w:val="es-ES_tradnl"/>
        </w:rPr>
      </w:pPr>
      <w:r w:rsidRPr="00CC4FCD">
        <w:rPr>
          <w:color w:val="000000"/>
          <w:lang w:val="es-ES_tradnl"/>
        </w:rPr>
        <w:t>2</w:t>
      </w:r>
      <w:r w:rsidRPr="00CC4FCD">
        <w:rPr>
          <w:color w:val="000000"/>
          <w:lang w:val="es-ES_tradnl"/>
        </w:rPr>
        <w:tab/>
        <w:t xml:space="preserve">En el número </w:t>
      </w:r>
      <w:r w:rsidRPr="00CC4FCD">
        <w:rPr>
          <w:rStyle w:val="Artref"/>
          <w:b/>
          <w:bCs/>
          <w:color w:val="000000"/>
          <w:lang w:val="es-ES_tradnl"/>
        </w:rPr>
        <w:t>5.503</w:t>
      </w:r>
      <w:r w:rsidRPr="00CC4FCD">
        <w:rPr>
          <w:color w:val="000000"/>
          <w:lang w:val="es-ES_tradnl"/>
        </w:rPr>
        <w:t>, la CMR-03 incluyó límites de la densidad de la p.i.r.e.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la Oficina utilizará los límites de la densidad de la p.i.r.e. indicados a continuación, en función de la ganancia máxima de la antena (o del diámetro de la antena) de la estación terrena, a fin de poder examinar las notificaciones recibidas entre el 5 de julio de 2003 y el 1 de enero de 2004.</w:t>
      </w:r>
    </w:p>
    <w:p w:rsidR="00EC4B1E" w:rsidRPr="00CC4FCD" w:rsidRDefault="00EC4B1E" w:rsidP="00EA1686">
      <w:pPr>
        <w:rPr>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6"/>
        <w:gridCol w:w="3103"/>
        <w:gridCol w:w="3068"/>
      </w:tblGrid>
      <w:tr w:rsidR="00EC4B1E" w:rsidRPr="00CC4FCD" w:rsidTr="00281017">
        <w:tblPrEx>
          <w:tblCellMar>
            <w:top w:w="0" w:type="dxa"/>
            <w:bottom w:w="0" w:type="dxa"/>
          </w:tblCellMar>
        </w:tblPrEx>
        <w:tc>
          <w:tcPr>
            <w:tcW w:w="3116" w:type="dxa"/>
            <w:tcBorders>
              <w:top w:val="nil"/>
              <w:left w:val="nil"/>
            </w:tcBorders>
          </w:tcPr>
          <w:p w:rsidR="00EC4B1E" w:rsidRPr="00CC4FCD" w:rsidRDefault="00EC4B1E" w:rsidP="00281017">
            <w:pPr>
              <w:pStyle w:val="Tablehead0"/>
              <w:framePr w:hSpace="181" w:wrap="around" w:vAnchor="text" w:hAnchor="margin" w:xAlign="center" w:y="1"/>
              <w:rPr>
                <w:bCs/>
                <w:color w:val="000000"/>
                <w:lang w:val="es-ES_tradnl"/>
              </w:rPr>
            </w:pPr>
          </w:p>
        </w:tc>
        <w:tc>
          <w:tcPr>
            <w:tcW w:w="6171" w:type="dxa"/>
            <w:gridSpan w:val="2"/>
            <w:vAlign w:val="center"/>
          </w:tcPr>
          <w:p w:rsidR="00EC4B1E" w:rsidRPr="00CC4FCD" w:rsidRDefault="00EC4B1E" w:rsidP="00281017">
            <w:pPr>
              <w:pStyle w:val="Tablehead0"/>
              <w:framePr w:hSpace="181" w:wrap="around" w:vAnchor="text" w:hAnchor="margin" w:xAlign="center" w:y="1"/>
              <w:rPr>
                <w:color w:val="000000"/>
                <w:lang w:val="es-ES_tradnl"/>
              </w:rPr>
            </w:pPr>
            <w:r w:rsidRPr="00CC4FCD">
              <w:rPr>
                <w:color w:val="000000"/>
                <w:lang w:val="es-ES_tradnl"/>
              </w:rPr>
              <w:t>Límites de la densidad de la p.i.r.e. en la banda de frecuencias 13,77-13,78 GHz  para estaciones terrenas del SFS que funcionan con una estación espacial OSG</w:t>
            </w:r>
          </w:p>
        </w:tc>
      </w:tr>
      <w:tr w:rsidR="00EC4B1E" w:rsidRPr="00CC4FCD" w:rsidTr="00281017">
        <w:tblPrEx>
          <w:tblCellMar>
            <w:top w:w="0" w:type="dxa"/>
            <w:bottom w:w="0" w:type="dxa"/>
          </w:tblCellMar>
        </w:tblPrEx>
        <w:trPr>
          <w:cantSplit/>
        </w:trPr>
        <w:tc>
          <w:tcPr>
            <w:tcW w:w="3116" w:type="dxa"/>
            <w:vMerge w:val="restart"/>
            <w:vAlign w:val="center"/>
          </w:tcPr>
          <w:p w:rsidR="00EC4B1E" w:rsidRPr="00CC4FCD" w:rsidRDefault="00EC4B1E" w:rsidP="00281017">
            <w:pPr>
              <w:pStyle w:val="Tablehead0"/>
              <w:framePr w:hSpace="181" w:wrap="around" w:vAnchor="text" w:hAnchor="margin" w:xAlign="center" w:y="1"/>
              <w:rPr>
                <w:color w:val="000000"/>
                <w:lang w:val="es-ES_tradnl"/>
              </w:rPr>
            </w:pPr>
            <w:r w:rsidRPr="00CC4FCD">
              <w:rPr>
                <w:color w:val="000000"/>
                <w:lang w:val="es-ES_tradnl"/>
              </w:rPr>
              <w:t>Tamaño de la antena de</w:t>
            </w:r>
            <w:r w:rsidRPr="00CC4FCD">
              <w:rPr>
                <w:color w:val="000000"/>
                <w:lang w:val="es-ES_tradnl"/>
              </w:rPr>
              <w:br/>
              <w:t xml:space="preserve">la estación terrena (medido por su diámetro, </w:t>
            </w:r>
            <w:r w:rsidRPr="00CC4FCD">
              <w:rPr>
                <w:i/>
                <w:iCs/>
                <w:color w:val="000000"/>
                <w:lang w:val="es-ES_tradnl"/>
              </w:rPr>
              <w:t>D</w:t>
            </w:r>
            <w:r w:rsidRPr="00CC4FCD">
              <w:rPr>
                <w:color w:val="000000"/>
                <w:lang w:val="es-ES_tradnl"/>
              </w:rPr>
              <w:t> (m) o</w:t>
            </w:r>
            <w:r w:rsidRPr="00CC4FCD">
              <w:rPr>
                <w:color w:val="000000"/>
                <w:lang w:val="es-ES_tradnl"/>
              </w:rPr>
              <w:br/>
              <w:t xml:space="preserve">su ganancia máxima de antena, </w:t>
            </w:r>
            <w:r w:rsidRPr="00CC4FCD">
              <w:rPr>
                <w:i/>
                <w:iCs/>
                <w:color w:val="000000"/>
                <w:lang w:val="es-ES_tradnl"/>
              </w:rPr>
              <w:t>G</w:t>
            </w:r>
            <w:r w:rsidRPr="00CC4FCD">
              <w:rPr>
                <w:color w:val="000000"/>
                <w:lang w:val="es-ES_tradnl"/>
              </w:rPr>
              <w:t xml:space="preserve"> (dBi))</w:t>
            </w:r>
          </w:p>
        </w:tc>
        <w:tc>
          <w:tcPr>
            <w:tcW w:w="6171" w:type="dxa"/>
            <w:gridSpan w:val="2"/>
          </w:tcPr>
          <w:p w:rsidR="00EC4B1E" w:rsidRPr="00CC4FCD" w:rsidRDefault="00EC4B1E" w:rsidP="00281017">
            <w:pPr>
              <w:pStyle w:val="Tablehead0"/>
              <w:framePr w:hSpace="181" w:wrap="around" w:vAnchor="text" w:hAnchor="margin" w:xAlign="center" w:y="1"/>
              <w:rPr>
                <w:bCs/>
                <w:color w:val="000000"/>
                <w:lang w:val="es-ES_tradnl"/>
              </w:rPr>
            </w:pPr>
            <w:r w:rsidRPr="00CC4FCD">
              <w:rPr>
                <w:color w:val="000000"/>
                <w:lang w:val="es-ES_tradnl"/>
              </w:rPr>
              <w:t>Para emisiones con anchura de banda necesaria</w:t>
            </w:r>
          </w:p>
        </w:tc>
      </w:tr>
      <w:tr w:rsidR="00EC4B1E" w:rsidRPr="00CC4FCD" w:rsidTr="00281017">
        <w:tblPrEx>
          <w:tblCellMar>
            <w:top w:w="0" w:type="dxa"/>
            <w:bottom w:w="0" w:type="dxa"/>
          </w:tblCellMar>
        </w:tblPrEx>
        <w:trPr>
          <w:cantSplit/>
        </w:trPr>
        <w:tc>
          <w:tcPr>
            <w:tcW w:w="3116" w:type="dxa"/>
            <w:vMerge/>
            <w:tcBorders>
              <w:bottom w:val="single" w:sz="4" w:space="0" w:color="auto"/>
            </w:tcBorders>
          </w:tcPr>
          <w:p w:rsidR="00EC4B1E" w:rsidRPr="00CC4FCD" w:rsidRDefault="00EC4B1E" w:rsidP="00281017">
            <w:pPr>
              <w:pStyle w:val="Tablehead0"/>
              <w:framePr w:hSpace="181" w:wrap="around" w:vAnchor="text" w:hAnchor="margin" w:xAlign="center" w:y="1"/>
              <w:rPr>
                <w:bCs/>
                <w:color w:val="000000"/>
                <w:lang w:val="es-ES_tradnl"/>
              </w:rPr>
            </w:pPr>
          </w:p>
        </w:tc>
        <w:tc>
          <w:tcPr>
            <w:tcW w:w="3103" w:type="dxa"/>
            <w:vAlign w:val="center"/>
          </w:tcPr>
          <w:p w:rsidR="00EC4B1E" w:rsidRPr="00CC4FCD" w:rsidRDefault="00EC4B1E" w:rsidP="00281017">
            <w:pPr>
              <w:pStyle w:val="Tablehead0"/>
              <w:framePr w:hSpace="181" w:wrap="around" w:vAnchor="text" w:hAnchor="margin" w:xAlign="center" w:y="1"/>
              <w:rPr>
                <w:bCs/>
                <w:color w:val="000000"/>
                <w:lang w:val="es-ES_tradnl"/>
              </w:rPr>
            </w:pPr>
            <w:r w:rsidRPr="00CC4FCD">
              <w:rPr>
                <w:rFonts w:ascii="Symbol" w:hAnsi="Symbol"/>
                <w:bCs/>
                <w:color w:val="000000"/>
                <w:lang w:val="es-ES_tradnl"/>
              </w:rPr>
              <w:sym w:font="Symbol" w:char="F0B3"/>
            </w:r>
            <w:r w:rsidRPr="00CC4FCD">
              <w:rPr>
                <w:bCs/>
                <w:color w:val="000000"/>
                <w:lang w:val="es-ES_tradnl"/>
              </w:rPr>
              <w:t xml:space="preserve"> 40 kHz</w:t>
            </w:r>
          </w:p>
        </w:tc>
        <w:tc>
          <w:tcPr>
            <w:tcW w:w="3068" w:type="dxa"/>
            <w:vAlign w:val="center"/>
          </w:tcPr>
          <w:p w:rsidR="00EC4B1E" w:rsidRPr="00CC4FCD" w:rsidRDefault="00EC4B1E" w:rsidP="00281017">
            <w:pPr>
              <w:pStyle w:val="Tablehead0"/>
              <w:framePr w:hSpace="181" w:wrap="around" w:vAnchor="text" w:hAnchor="margin" w:xAlign="center" w:y="1"/>
              <w:rPr>
                <w:bCs/>
                <w:color w:val="000000"/>
                <w:lang w:val="es-ES_tradnl"/>
              </w:rPr>
            </w:pPr>
            <w:r w:rsidRPr="00CC4FCD">
              <w:rPr>
                <w:rFonts w:ascii="Symbol" w:hAnsi="Symbol"/>
                <w:bCs/>
                <w:color w:val="000000"/>
                <w:lang w:val="es-ES_tradnl"/>
              </w:rPr>
              <w:t></w:t>
            </w:r>
            <w:r w:rsidRPr="00CC4FCD">
              <w:rPr>
                <w:bCs/>
                <w:color w:val="000000"/>
                <w:lang w:val="es-ES_tradnl"/>
              </w:rPr>
              <w:t xml:space="preserve"> 40 kHz</w:t>
            </w:r>
          </w:p>
        </w:tc>
      </w:tr>
      <w:tr w:rsidR="00EC4B1E" w:rsidRPr="00CC4FCD" w:rsidTr="00281017">
        <w:tblPrEx>
          <w:tblCellMar>
            <w:top w:w="0" w:type="dxa"/>
            <w:bottom w:w="0" w:type="dxa"/>
          </w:tblCellMar>
        </w:tblPrEx>
        <w:trPr>
          <w:cantSplit/>
        </w:trPr>
        <w:tc>
          <w:tcPr>
            <w:tcW w:w="3116" w:type="dxa"/>
            <w:tcBorders>
              <w:bottom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 xml:space="preserve">42,3 dBi </w:t>
            </w:r>
            <w:r w:rsidRPr="00CC4FCD">
              <w:rPr>
                <w:color w:val="000000"/>
                <w:lang w:val="es-ES_tradnl"/>
              </w:rPr>
              <w:sym w:font="Symbol" w:char="F0A3"/>
            </w:r>
            <w:r w:rsidRPr="00CC4FCD">
              <w:rPr>
                <w:color w:val="000000"/>
                <w:lang w:val="es-ES_tradnl"/>
              </w:rPr>
              <w:t xml:space="preserve"> </w:t>
            </w:r>
            <w:r w:rsidRPr="00CC4FCD">
              <w:rPr>
                <w:i/>
                <w:iCs/>
                <w:color w:val="000000"/>
                <w:lang w:val="es-ES_tradnl"/>
              </w:rPr>
              <w:t>G</w:t>
            </w:r>
            <w:r w:rsidRPr="00CC4FCD">
              <w:rPr>
                <w:color w:val="000000"/>
                <w:lang w:val="es-ES_tradnl"/>
              </w:rPr>
              <w:t xml:space="preserve"> &lt; 53,8 dBi</w:t>
            </w:r>
          </w:p>
        </w:tc>
        <w:tc>
          <w:tcPr>
            <w:tcW w:w="6171" w:type="dxa"/>
            <w:gridSpan w:val="2"/>
            <w:tcBorders>
              <w:bottom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0,04324 </w:t>
            </w:r>
            <w:r w:rsidRPr="00CC4FCD">
              <w:rPr>
                <w:rFonts w:ascii="Symbol" w:hAnsi="Symbol"/>
                <w:color w:val="000000"/>
                <w:lang w:val="es-ES_tradnl"/>
              </w:rPr>
              <w:t></w:t>
            </w:r>
            <w:r w:rsidRPr="00CC4FCD">
              <w:rPr>
                <w:color w:val="000000"/>
                <w:lang w:val="es-ES_tradnl"/>
              </w:rPr>
              <w:t> 10</w:t>
            </w:r>
            <w:r w:rsidRPr="00CC4FCD">
              <w:rPr>
                <w:i/>
                <w:iCs/>
                <w:color w:val="000000"/>
                <w:vertAlign w:val="superscript"/>
                <w:lang w:val="es-ES_tradnl"/>
              </w:rPr>
              <w:t>G</w:t>
            </w:r>
            <w:r w:rsidRPr="00CC4FCD">
              <w:rPr>
                <w:color w:val="000000"/>
                <w:vertAlign w:val="superscript"/>
                <w:lang w:val="es-ES_tradnl"/>
              </w:rPr>
              <w:t>/20</w:t>
            </w:r>
            <w:r w:rsidRPr="00CC4FCD">
              <w:rPr>
                <w:color w:val="000000"/>
                <w:lang w:val="es-ES_tradnl"/>
              </w:rPr>
              <w:t xml:space="preserve"> + 28   dB(W/40 kHz)</w:t>
            </w:r>
          </w:p>
        </w:tc>
      </w:tr>
      <w:tr w:rsidR="00EC4B1E" w:rsidRPr="00CC4FCD" w:rsidTr="00281017">
        <w:tblPrEx>
          <w:tblCellMar>
            <w:top w:w="0" w:type="dxa"/>
            <w:bottom w:w="0" w:type="dxa"/>
          </w:tblCellMar>
        </w:tblPrEx>
        <w:trPr>
          <w:cantSplit/>
        </w:trPr>
        <w:tc>
          <w:tcPr>
            <w:tcW w:w="3116" w:type="dxa"/>
            <w:tcBorders>
              <w:top w:val="nil"/>
              <w:bottom w:val="single" w:sz="4" w:space="0" w:color="auto"/>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 xml:space="preserve">(1,2 m </w:t>
            </w:r>
            <w:r w:rsidRPr="00CC4FCD">
              <w:rPr>
                <w:color w:val="000000"/>
                <w:lang w:val="es-ES_tradnl"/>
              </w:rPr>
              <w:sym w:font="Symbol" w:char="F0A3"/>
            </w:r>
            <w:r w:rsidRPr="00CC4FCD">
              <w:rPr>
                <w:color w:val="000000"/>
                <w:lang w:val="es-ES_tradnl"/>
              </w:rPr>
              <w:t xml:space="preserve"> </w:t>
            </w:r>
            <w:r w:rsidRPr="00CC4FCD">
              <w:rPr>
                <w:i/>
                <w:iCs/>
                <w:color w:val="000000"/>
                <w:lang w:val="es-ES_tradnl"/>
              </w:rPr>
              <w:t>D</w:t>
            </w:r>
            <w:r w:rsidRPr="00CC4FCD">
              <w:rPr>
                <w:color w:val="000000"/>
                <w:lang w:val="es-ES_tradnl"/>
              </w:rPr>
              <w:t xml:space="preserve"> &lt; 4,5 m)</w:t>
            </w:r>
          </w:p>
        </w:tc>
        <w:tc>
          <w:tcPr>
            <w:tcW w:w="6171" w:type="dxa"/>
            <w:gridSpan w:val="2"/>
            <w:tcBorders>
              <w:top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(4,7</w:t>
            </w:r>
            <w:r w:rsidRPr="00CC4FCD">
              <w:rPr>
                <w:i/>
                <w:iCs/>
                <w:color w:val="000000"/>
                <w:lang w:val="es-ES_tradnl"/>
              </w:rPr>
              <w:t>D</w:t>
            </w:r>
            <w:r w:rsidRPr="00CC4FCD">
              <w:rPr>
                <w:color w:val="000000"/>
                <w:lang w:val="es-ES_tradnl"/>
              </w:rPr>
              <w:t xml:space="preserve"> </w:t>
            </w:r>
            <w:r w:rsidRPr="00CC4FCD">
              <w:rPr>
                <w:rFonts w:ascii="Symbol" w:hAnsi="Symbol"/>
                <w:color w:val="000000"/>
                <w:lang w:val="es-ES_tradnl"/>
              </w:rPr>
              <w:t></w:t>
            </w:r>
            <w:r w:rsidRPr="00CC4FCD">
              <w:rPr>
                <w:color w:val="000000"/>
                <w:lang w:val="es-ES_tradnl"/>
              </w:rPr>
              <w:t xml:space="preserve"> 28    dB(W/40 kHz))</w:t>
            </w:r>
          </w:p>
        </w:tc>
      </w:tr>
      <w:tr w:rsidR="00EC4B1E" w:rsidRPr="00CC4FCD" w:rsidTr="00281017">
        <w:tblPrEx>
          <w:tblCellMar>
            <w:top w:w="0" w:type="dxa"/>
            <w:bottom w:w="0" w:type="dxa"/>
          </w:tblCellMar>
        </w:tblPrEx>
        <w:trPr>
          <w:cantSplit/>
        </w:trPr>
        <w:tc>
          <w:tcPr>
            <w:tcW w:w="3116" w:type="dxa"/>
            <w:tcBorders>
              <w:bottom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 xml:space="preserve">53,8 dBi </w:t>
            </w:r>
            <w:r w:rsidRPr="00CC4FCD">
              <w:rPr>
                <w:color w:val="000000"/>
                <w:lang w:val="es-ES_tradnl"/>
              </w:rPr>
              <w:sym w:font="Symbol" w:char="F0A3"/>
            </w:r>
            <w:r w:rsidRPr="00CC4FCD">
              <w:rPr>
                <w:color w:val="000000"/>
                <w:lang w:val="es-ES_tradnl"/>
              </w:rPr>
              <w:t xml:space="preserve"> </w:t>
            </w:r>
            <w:r w:rsidRPr="00CC4FCD">
              <w:rPr>
                <w:i/>
                <w:iCs/>
                <w:color w:val="000000"/>
                <w:lang w:val="es-ES_tradnl"/>
              </w:rPr>
              <w:t>G</w:t>
            </w:r>
            <w:r w:rsidRPr="00CC4FCD">
              <w:rPr>
                <w:color w:val="000000"/>
                <w:lang w:val="es-ES_tradnl"/>
              </w:rPr>
              <w:t xml:space="preserve"> &lt; 70,8 dBi</w:t>
            </w:r>
          </w:p>
        </w:tc>
        <w:tc>
          <w:tcPr>
            <w:tcW w:w="3103" w:type="dxa"/>
            <w:tcBorders>
              <w:bottom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i/>
                <w:iCs/>
                <w:color w:val="000000"/>
                <w:lang w:val="es-ES_tradnl"/>
              </w:rPr>
              <w:t>G</w:t>
            </w:r>
            <w:r w:rsidRPr="00CC4FCD">
              <w:rPr>
                <w:color w:val="000000"/>
                <w:lang w:val="es-ES_tradnl"/>
              </w:rPr>
              <w:t xml:space="preserve"> – 4,6       dB(W/40 kHz)</w:t>
            </w:r>
          </w:p>
        </w:tc>
        <w:tc>
          <w:tcPr>
            <w:tcW w:w="3068" w:type="dxa"/>
            <w:vMerge w:val="restart"/>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56,2      dB(W/4 kHz)</w:t>
            </w:r>
          </w:p>
        </w:tc>
      </w:tr>
      <w:tr w:rsidR="00EC4B1E" w:rsidRPr="00CC4FCD" w:rsidTr="00281017">
        <w:tblPrEx>
          <w:tblCellMar>
            <w:top w:w="0" w:type="dxa"/>
            <w:bottom w:w="0" w:type="dxa"/>
          </w:tblCellMar>
        </w:tblPrEx>
        <w:trPr>
          <w:cantSplit/>
        </w:trPr>
        <w:tc>
          <w:tcPr>
            <w:tcW w:w="3116" w:type="dxa"/>
            <w:tcBorders>
              <w:top w:val="nil"/>
              <w:bottom w:val="single" w:sz="4" w:space="0" w:color="auto"/>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 xml:space="preserve">(4,5 m </w:t>
            </w:r>
            <w:r w:rsidRPr="00CC4FCD">
              <w:rPr>
                <w:color w:val="000000"/>
                <w:lang w:val="es-ES_tradnl"/>
              </w:rPr>
              <w:sym w:font="Symbol" w:char="F0A3"/>
            </w:r>
            <w:r w:rsidRPr="00CC4FCD">
              <w:rPr>
                <w:color w:val="000000"/>
                <w:lang w:val="es-ES_tradnl"/>
              </w:rPr>
              <w:t xml:space="preserve"> </w:t>
            </w:r>
            <w:r w:rsidRPr="00CC4FCD">
              <w:rPr>
                <w:i/>
                <w:iCs/>
                <w:color w:val="000000"/>
                <w:lang w:val="es-ES_tradnl"/>
              </w:rPr>
              <w:t>D</w:t>
            </w:r>
            <w:r w:rsidRPr="00CC4FCD">
              <w:rPr>
                <w:color w:val="000000"/>
                <w:lang w:val="es-ES_tradnl"/>
              </w:rPr>
              <w:t xml:space="preserve"> &lt; 31,9 m)</w:t>
            </w:r>
          </w:p>
        </w:tc>
        <w:tc>
          <w:tcPr>
            <w:tcW w:w="3103" w:type="dxa"/>
            <w:tcBorders>
              <w:top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 xml:space="preserve">(49,2 </w:t>
            </w:r>
            <w:r w:rsidRPr="00CC4FCD">
              <w:rPr>
                <w:rFonts w:ascii="Symbol" w:hAnsi="Symbol"/>
                <w:color w:val="000000"/>
                <w:lang w:val="es-ES_tradnl"/>
              </w:rPr>
              <w:t></w:t>
            </w:r>
            <w:r w:rsidRPr="00CC4FCD">
              <w:rPr>
                <w:color w:val="000000"/>
                <w:lang w:val="es-ES_tradnl"/>
              </w:rPr>
              <w:t xml:space="preserve"> 20 log(</w:t>
            </w:r>
            <w:r w:rsidRPr="00CC4FCD">
              <w:rPr>
                <w:i/>
                <w:iCs/>
                <w:color w:val="000000"/>
                <w:lang w:val="es-ES_tradnl"/>
              </w:rPr>
              <w:t>D</w:t>
            </w:r>
            <w:r w:rsidRPr="00CC4FCD">
              <w:rPr>
                <w:color w:val="000000"/>
                <w:lang w:val="es-ES_tradnl"/>
              </w:rPr>
              <w:t>/4,5)</w:t>
            </w:r>
            <w:r w:rsidRPr="00CC4FCD">
              <w:rPr>
                <w:color w:val="000000"/>
                <w:lang w:val="es-ES_tradnl"/>
              </w:rPr>
              <w:br/>
              <w:t>dB(W/40 kHz))</w:t>
            </w:r>
          </w:p>
        </w:tc>
        <w:tc>
          <w:tcPr>
            <w:tcW w:w="3068" w:type="dxa"/>
            <w:vMerge/>
          </w:tcPr>
          <w:p w:rsidR="00EC4B1E" w:rsidRPr="00CC4FCD" w:rsidRDefault="00EC4B1E" w:rsidP="00281017">
            <w:pPr>
              <w:pStyle w:val="Tabletext0"/>
              <w:framePr w:hSpace="181" w:wrap="around" w:vAnchor="text" w:hAnchor="margin" w:xAlign="center" w:y="1"/>
              <w:jc w:val="center"/>
              <w:rPr>
                <w:color w:val="000000"/>
                <w:lang w:val="es-ES_tradnl"/>
              </w:rPr>
            </w:pPr>
          </w:p>
        </w:tc>
      </w:tr>
      <w:tr w:rsidR="00EC4B1E" w:rsidRPr="00CC4FCD" w:rsidTr="00281017">
        <w:tblPrEx>
          <w:tblCellMar>
            <w:top w:w="0" w:type="dxa"/>
            <w:bottom w:w="0" w:type="dxa"/>
          </w:tblCellMar>
        </w:tblPrEx>
        <w:trPr>
          <w:cantSplit/>
        </w:trPr>
        <w:tc>
          <w:tcPr>
            <w:tcW w:w="3116" w:type="dxa"/>
            <w:tcBorders>
              <w:bottom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i/>
                <w:iCs/>
                <w:color w:val="000000"/>
                <w:lang w:val="es-ES_tradnl"/>
              </w:rPr>
              <w:t>G</w:t>
            </w:r>
            <w:r w:rsidRPr="00CC4FCD">
              <w:rPr>
                <w:color w:val="000000"/>
                <w:lang w:val="es-ES_tradnl"/>
              </w:rPr>
              <w:t xml:space="preserve"> </w:t>
            </w:r>
            <w:r w:rsidRPr="00CC4FCD">
              <w:rPr>
                <w:color w:val="000000"/>
                <w:lang w:val="es-ES_tradnl"/>
              </w:rPr>
              <w:sym w:font="Symbol" w:char="F0B3"/>
            </w:r>
            <w:r w:rsidRPr="00CC4FCD">
              <w:rPr>
                <w:color w:val="000000"/>
                <w:lang w:val="es-ES_tradnl"/>
              </w:rPr>
              <w:t xml:space="preserve"> 70,8 dBi</w:t>
            </w:r>
          </w:p>
        </w:tc>
        <w:tc>
          <w:tcPr>
            <w:tcW w:w="3103" w:type="dxa"/>
            <w:vMerge w:val="restart"/>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66,2       dB(W/40 kHz)</w:t>
            </w:r>
          </w:p>
        </w:tc>
        <w:tc>
          <w:tcPr>
            <w:tcW w:w="3068" w:type="dxa"/>
            <w:vMerge/>
          </w:tcPr>
          <w:p w:rsidR="00EC4B1E" w:rsidRPr="00CC4FCD" w:rsidRDefault="00EC4B1E" w:rsidP="00281017">
            <w:pPr>
              <w:pStyle w:val="Tabletext0"/>
              <w:framePr w:hSpace="181" w:wrap="around" w:vAnchor="text" w:hAnchor="margin" w:xAlign="center" w:y="1"/>
              <w:jc w:val="center"/>
              <w:rPr>
                <w:color w:val="000000"/>
                <w:lang w:val="es-ES_tradnl"/>
              </w:rPr>
            </w:pPr>
          </w:p>
        </w:tc>
      </w:tr>
      <w:tr w:rsidR="00EC4B1E" w:rsidRPr="00CC4FCD" w:rsidTr="00281017">
        <w:tblPrEx>
          <w:tblCellMar>
            <w:top w:w="0" w:type="dxa"/>
            <w:bottom w:w="0" w:type="dxa"/>
          </w:tblCellMar>
        </w:tblPrEx>
        <w:trPr>
          <w:cantSplit/>
        </w:trPr>
        <w:tc>
          <w:tcPr>
            <w:tcW w:w="3116" w:type="dxa"/>
            <w:tcBorders>
              <w:top w:val="nil"/>
            </w:tcBorders>
            <w:vAlign w:val="center"/>
          </w:tcPr>
          <w:p w:rsidR="00EC4B1E" w:rsidRPr="00CC4FCD" w:rsidRDefault="00EC4B1E" w:rsidP="00281017">
            <w:pPr>
              <w:pStyle w:val="Tabletext0"/>
              <w:framePr w:hSpace="181" w:wrap="around" w:vAnchor="text" w:hAnchor="margin" w:xAlign="center" w:y="1"/>
              <w:jc w:val="center"/>
              <w:rPr>
                <w:color w:val="000000"/>
                <w:lang w:val="es-ES_tradnl"/>
              </w:rPr>
            </w:pPr>
            <w:r w:rsidRPr="00CC4FCD">
              <w:rPr>
                <w:color w:val="000000"/>
                <w:lang w:val="es-ES_tradnl"/>
              </w:rPr>
              <w:t>(</w:t>
            </w:r>
            <w:r w:rsidRPr="00CC4FCD">
              <w:rPr>
                <w:i/>
                <w:iCs/>
                <w:color w:val="000000"/>
                <w:lang w:val="es-ES_tradnl"/>
              </w:rPr>
              <w:t>D</w:t>
            </w:r>
            <w:r w:rsidRPr="00CC4FCD">
              <w:rPr>
                <w:color w:val="000000"/>
                <w:lang w:val="es-ES_tradnl"/>
              </w:rPr>
              <w:t xml:space="preserve"> </w:t>
            </w:r>
            <w:r w:rsidRPr="00CC4FCD">
              <w:rPr>
                <w:color w:val="000000"/>
                <w:lang w:val="es-ES_tradnl"/>
              </w:rPr>
              <w:sym w:font="Symbol" w:char="F0B3"/>
            </w:r>
            <w:r w:rsidRPr="00CC4FCD">
              <w:rPr>
                <w:color w:val="000000"/>
                <w:lang w:val="es-ES_tradnl"/>
              </w:rPr>
              <w:t xml:space="preserve"> 31,9 m)</w:t>
            </w:r>
          </w:p>
        </w:tc>
        <w:tc>
          <w:tcPr>
            <w:tcW w:w="3103" w:type="dxa"/>
            <w:vMerge/>
            <w:vAlign w:val="center"/>
          </w:tcPr>
          <w:p w:rsidR="00EC4B1E" w:rsidRPr="00CC4FCD" w:rsidRDefault="00EC4B1E" w:rsidP="00281017">
            <w:pPr>
              <w:pStyle w:val="Tabletext0"/>
              <w:framePr w:hSpace="181" w:wrap="around" w:vAnchor="text" w:hAnchor="margin" w:xAlign="center" w:y="1"/>
              <w:jc w:val="center"/>
              <w:rPr>
                <w:color w:val="000000"/>
                <w:lang w:val="es-ES_tradnl"/>
              </w:rPr>
            </w:pPr>
          </w:p>
        </w:tc>
        <w:tc>
          <w:tcPr>
            <w:tcW w:w="3068" w:type="dxa"/>
            <w:vMerge/>
          </w:tcPr>
          <w:p w:rsidR="00EC4B1E" w:rsidRPr="00CC4FCD" w:rsidRDefault="00EC4B1E" w:rsidP="00281017">
            <w:pPr>
              <w:pStyle w:val="Tabletext0"/>
              <w:framePr w:hSpace="181" w:wrap="around" w:vAnchor="text" w:hAnchor="margin" w:xAlign="center" w:y="1"/>
              <w:jc w:val="center"/>
              <w:rPr>
                <w:color w:val="000000"/>
                <w:lang w:val="es-ES_tradnl"/>
              </w:rPr>
            </w:pPr>
          </w:p>
        </w:tc>
      </w:tr>
    </w:tbl>
    <w:p w:rsidR="00EC4B1E" w:rsidRPr="00CC4FCD" w:rsidRDefault="00EC4B1E" w:rsidP="00EC4B1E">
      <w:pPr>
        <w:pStyle w:val="TableFin"/>
        <w:rPr>
          <w:color w:val="000000"/>
          <w:lang w:val="es-ES_tradnl"/>
        </w:rPr>
      </w:pPr>
    </w:p>
    <w:p w:rsidR="00EC4B1E" w:rsidRPr="00CC4FCD" w:rsidRDefault="00EC4B1E" w:rsidP="00EC4B1E">
      <w:pPr>
        <w:rPr>
          <w:color w:val="000000"/>
          <w:lang w:val="es-ES_tradnl"/>
        </w:rPr>
      </w:pPr>
      <w:r w:rsidRPr="00CC4FCD">
        <w:rPr>
          <w:color w:val="000000"/>
          <w:lang w:val="es-ES_tradnl"/>
        </w:rPr>
        <w:t>La conversión de los límites de la p.i.r.e. pasando de una función del diámetro de la antena a una función de la ganancia máxima de la antena se obtiene para la frecuencia 13,75 GHz, y una eficacia de antena del 57,2%.</w:t>
      </w:r>
    </w:p>
    <w:p w:rsidR="000A21A1" w:rsidRPr="00CC4FCD" w:rsidRDefault="000A21A1" w:rsidP="00EA1686">
      <w:pPr>
        <w:pStyle w:val="Heading8"/>
        <w:rPr>
          <w:color w:val="000000"/>
          <w:lang w:val="es-ES_tradnl"/>
        </w:rPr>
      </w:pPr>
      <w:r w:rsidRPr="00CC4FCD">
        <w:rPr>
          <w:color w:val="000000"/>
          <w:lang w:val="es-ES_tradnl"/>
        </w:rPr>
        <w:t>5.504B</w:t>
      </w:r>
    </w:p>
    <w:p w:rsidR="00FA6BE9" w:rsidRPr="00FF37B7" w:rsidRDefault="00FA6BE9" w:rsidP="00FA6BE9">
      <w:pPr>
        <w:rPr>
          <w:color w:val="000000"/>
        </w:rPr>
      </w:pPr>
      <w:r w:rsidRPr="00CC4FCD">
        <w:rPr>
          <w:color w:val="000000"/>
          <w:lang w:val="es-ES_tradnl"/>
        </w:rPr>
        <w:t>En relación con el cumplimiento de los límites obligatorios de la densidad de flujo de potencia y de otras condiciones de la Recomendación UIT</w:t>
      </w:r>
      <w:r w:rsidRPr="00CC4FCD">
        <w:rPr>
          <w:color w:val="000000"/>
          <w:lang w:val="es-ES_tradnl"/>
        </w:rPr>
        <w:noBreakHyphen/>
        <w:t>R M.1643, aplicable según los nú</w:t>
      </w:r>
      <w:r>
        <w:rPr>
          <w:color w:val="000000"/>
          <w:lang w:val="es-ES_tradnl"/>
        </w:rPr>
        <w:softHyphen/>
      </w:r>
      <w:r w:rsidRPr="00CC4FCD">
        <w:rPr>
          <w:color w:val="000000"/>
          <w:lang w:val="es-ES_tradnl"/>
        </w:rPr>
        <w:t>meros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 en el servicio móvil por satélite aeronáutico secundario, la Junta opina que se trata de un tema operacional. Por tanto, corresponde a la administración notificante de la red de satélite y a las administraciones notificantes de las estaciones terrenas de aeronave garantizar el cumpli</w:t>
      </w:r>
      <w:r>
        <w:rPr>
          <w:color w:val="000000"/>
          <w:lang w:val="es-ES_tradnl"/>
        </w:rPr>
        <w:softHyphen/>
      </w:r>
      <w:r w:rsidRPr="00CC4FCD">
        <w:rPr>
          <w:color w:val="000000"/>
          <w:lang w:val="es-ES_tradnl"/>
        </w:rPr>
        <w:t>miento de dichos límites. La Oficina no realizará exámenes según el número</w:t>
      </w:r>
      <w:r>
        <w:rPr>
          <w:color w:val="000000"/>
          <w:lang w:val="es-ES_tradnl"/>
        </w:rPr>
        <w:t xml:space="preserve"> </w:t>
      </w:r>
      <w:r w:rsidRPr="00CC4FCD">
        <w:rPr>
          <w:rStyle w:val="Artref"/>
          <w:b/>
          <w:bCs/>
          <w:color w:val="000000"/>
          <w:lang w:val="es-ES_tradnl"/>
        </w:rPr>
        <w:t>9.35/11.31</w:t>
      </w:r>
      <w:r w:rsidRPr="00CC4FCD">
        <w:rPr>
          <w:color w:val="000000"/>
          <w:lang w:val="es-ES_tradnl"/>
        </w:rPr>
        <w:t xml:space="preserve"> respecto a la conformidad con esas condiciones.</w:t>
      </w:r>
    </w:p>
    <w:p w:rsidR="00FA6BE9" w:rsidRDefault="00FA6BE9" w:rsidP="00FA6BE9">
      <w:pPr>
        <w:pStyle w:val="Heading8"/>
        <w:rPr>
          <w:color w:val="000000"/>
        </w:rPr>
        <w:sectPr w:rsidR="00FA6BE9" w:rsidSect="00FA6BE9">
          <w:headerReference w:type="even" r:id="rId7"/>
          <w:headerReference w:type="default" r:id="rId8"/>
          <w:footerReference w:type="even" r:id="rId9"/>
          <w:footerReference w:type="default" r:id="rId10"/>
          <w:footnotePr>
            <w:pos w:val="beneathText"/>
          </w:footnotePr>
          <w:pgSz w:w="11907" w:h="16840" w:code="9"/>
          <w:pgMar w:top="1701" w:right="851" w:bottom="1134" w:left="1985" w:header="720" w:footer="482" w:gutter="0"/>
          <w:cols w:space="720"/>
          <w:vAlign w:val="both"/>
        </w:sectPr>
      </w:pPr>
    </w:p>
    <w:p w:rsidR="00FA6BE9" w:rsidRPr="00FF37B7" w:rsidRDefault="00FA6BE9" w:rsidP="00FA6BE9">
      <w:pPr>
        <w:pStyle w:val="Heading8"/>
        <w:rPr>
          <w:color w:val="000000"/>
        </w:rPr>
      </w:pPr>
      <w:r w:rsidRPr="00FF37B7">
        <w:rPr>
          <w:color w:val="000000"/>
        </w:rPr>
        <w:lastRenderedPageBreak/>
        <w:t>5.504C</w:t>
      </w:r>
    </w:p>
    <w:p w:rsidR="00FA6BE9" w:rsidRPr="00FA6BE9" w:rsidRDefault="00FA6BE9" w:rsidP="00FA6BE9">
      <w:pPr>
        <w:rPr>
          <w:color w:val="000000"/>
          <w:lang w:val="fr-CH"/>
        </w:rPr>
      </w:pPr>
      <w:r w:rsidRPr="00FA6BE9">
        <w:rPr>
          <w:color w:val="000000"/>
          <w:lang w:val="fr-CH"/>
        </w:rPr>
        <w:t xml:space="preserve">Véase la Regla de Procedimiento relativa al número </w:t>
      </w:r>
      <w:r w:rsidRPr="00FA6BE9">
        <w:rPr>
          <w:rStyle w:val="Artref"/>
          <w:b/>
          <w:bCs/>
          <w:color w:val="000000"/>
          <w:lang w:val="fr-CH"/>
        </w:rPr>
        <w:t>5.504B</w:t>
      </w:r>
      <w:r w:rsidRPr="00FA6BE9">
        <w:rPr>
          <w:color w:val="000000"/>
          <w:lang w:val="fr-CH"/>
        </w:rPr>
        <w:t>.</w:t>
      </w:r>
    </w:p>
    <w:p w:rsidR="00FA6BE9" w:rsidRPr="00FF37B7" w:rsidRDefault="00FA6BE9" w:rsidP="00FA6BE9">
      <w:pPr>
        <w:pStyle w:val="Heading8"/>
      </w:pPr>
      <w:r w:rsidRPr="00FF37B7">
        <w:t>5.506A</w:t>
      </w:r>
    </w:p>
    <w:p w:rsidR="00FA6BE9" w:rsidRPr="00FA6BE9" w:rsidRDefault="00FA6BE9" w:rsidP="00FA6BE9">
      <w:pPr>
        <w:tabs>
          <w:tab w:val="left" w:pos="567"/>
        </w:tabs>
        <w:spacing w:line="270" w:lineRule="exact"/>
        <w:rPr>
          <w:lang w:val="fr-CH"/>
        </w:rPr>
      </w:pPr>
      <w:r w:rsidRPr="00FA6BE9">
        <w:rPr>
          <w:lang w:val="fr-CH"/>
        </w:rPr>
        <w:t xml:space="preserve">En virtud del número </w:t>
      </w:r>
      <w:r w:rsidRPr="00FA6BE9">
        <w:rPr>
          <w:rStyle w:val="Artref"/>
          <w:b/>
          <w:bCs/>
          <w:color w:val="000000"/>
          <w:lang w:val="fr-CH"/>
        </w:rPr>
        <w:t>5.506A</w:t>
      </w:r>
      <w:r w:rsidRPr="00FA6BE9">
        <w:rPr>
          <w:lang w:val="fr-CH"/>
        </w:rPr>
        <w:t>, las</w:t>
      </w:r>
      <w:r w:rsidRPr="00FA6BE9">
        <w:rPr>
          <w:b/>
          <w:lang w:val="fr-CH"/>
        </w:rPr>
        <w:t xml:space="preserve"> </w:t>
      </w:r>
      <w:r w:rsidRPr="00FA6BE9">
        <w:rPr>
          <w:lang w:val="fr-CH"/>
        </w:rPr>
        <w:t xml:space="preserve">estaciones terrenas de barco que emplean la banda de frecuencias 14-14,5 GHz con una p.i.r.e. mayor que 21 dBW tendrán que funcionar, a partir del 5 de julio de 2003, en las mismas condiciones que las estaciones terrenas a bordo de barcos, de acuerdo con la Resolución </w:t>
      </w:r>
      <w:r w:rsidRPr="00FA6BE9">
        <w:rPr>
          <w:b/>
          <w:bCs/>
          <w:color w:val="000000"/>
          <w:lang w:val="fr-CH"/>
        </w:rPr>
        <w:t>902</w:t>
      </w:r>
      <w:r w:rsidRPr="00FA6BE9">
        <w:rPr>
          <w:b/>
          <w:lang w:val="fr-CH"/>
        </w:rPr>
        <w:t xml:space="preserve"> (CMR-03)</w:t>
      </w:r>
      <w:r w:rsidRPr="00FA6BE9">
        <w:rPr>
          <w:lang w:val="fr-CH"/>
        </w:rPr>
        <w:t xml:space="preserve">. Si bien el Anexo 2 de esta Resolución especifica un diámetro de antena mínimo de 1,2 m, el Apéndice </w:t>
      </w:r>
      <w:r w:rsidRPr="00FA6BE9">
        <w:rPr>
          <w:rStyle w:val="Appref"/>
          <w:b/>
          <w:color w:val="000000"/>
          <w:lang w:val="fr-CH"/>
        </w:rPr>
        <w:t>4</w:t>
      </w:r>
      <w:r w:rsidRPr="00FA6BE9">
        <w:rPr>
          <w:lang w:val="fr-CH"/>
        </w:rPr>
        <w:t xml:space="preserve"> no indica que el diámetro de las antenas de estas estaciones terrenas de barco sea un dato obligatorio. Se encarga a la Oficina que utilice un valor de la ganancia de antena de 42,5 dBi para verificar la confor</w:t>
      </w:r>
      <w:r w:rsidRPr="00FA6BE9">
        <w:rPr>
          <w:lang w:val="fr-CH"/>
        </w:rPr>
        <w:softHyphen/>
        <w:t xml:space="preserve">midad con el requisito de diámetro mínimo de antena de la estación terrena de barco (la relación entre la ganancia y el diámetro se calcula para la menor frecuencia de la banda, es decir para </w:t>
      </w:r>
      <w:r w:rsidRPr="00FA6BE9">
        <w:rPr>
          <w:i/>
          <w:lang w:val="fr-CH"/>
        </w:rPr>
        <w:t>f</w:t>
      </w:r>
      <w:r w:rsidRPr="00FA6BE9">
        <w:rPr>
          <w:lang w:val="fr-CH"/>
        </w:rPr>
        <w:t> </w:t>
      </w:r>
      <w:r w:rsidRPr="00FA6BE9">
        <w:rPr>
          <w:rFonts w:ascii="Tms Rmn" w:hAnsi="Tms Rmn"/>
          <w:sz w:val="12"/>
          <w:lang w:val="fr-CH"/>
        </w:rPr>
        <w:t> </w:t>
      </w:r>
      <w:r w:rsidRPr="00CC4FCD">
        <w:rPr>
          <w:rFonts w:ascii="Symbol" w:hAnsi="Symbol"/>
        </w:rPr>
        <w:t></w:t>
      </w:r>
      <w:r w:rsidRPr="00FA6BE9">
        <w:rPr>
          <w:lang w:val="fr-CH"/>
        </w:rPr>
        <w:t> 14 GHz, y un rendimiento de la antena del 57,2%).</w:t>
      </w:r>
    </w:p>
    <w:p w:rsidR="00FA6BE9" w:rsidRPr="00FF37B7" w:rsidRDefault="00FA6BE9" w:rsidP="00FA6BE9">
      <w:pPr>
        <w:pStyle w:val="Heading8"/>
        <w:rPr>
          <w:color w:val="000000"/>
        </w:rPr>
      </w:pPr>
      <w:r w:rsidRPr="00FF37B7">
        <w:rPr>
          <w:color w:val="000000"/>
        </w:rPr>
        <w:t>5.508A</w:t>
      </w:r>
    </w:p>
    <w:p w:rsidR="00FA6BE9" w:rsidRPr="00FA6BE9" w:rsidRDefault="00FA6BE9" w:rsidP="00FA6BE9">
      <w:pPr>
        <w:rPr>
          <w:color w:val="000000"/>
          <w:lang w:val="fr-CH"/>
        </w:rPr>
      </w:pPr>
      <w:r w:rsidRPr="00FA6BE9">
        <w:rPr>
          <w:color w:val="000000"/>
          <w:lang w:val="fr-CH"/>
        </w:rPr>
        <w:t xml:space="preserve">Véase la Regla de Procedimiento relativa al número </w:t>
      </w:r>
      <w:r w:rsidRPr="00FA6BE9">
        <w:rPr>
          <w:rStyle w:val="Artref"/>
          <w:b/>
          <w:bCs/>
          <w:color w:val="000000"/>
          <w:lang w:val="fr-CH"/>
        </w:rPr>
        <w:t>5.504B</w:t>
      </w:r>
      <w:r w:rsidRPr="00FA6BE9">
        <w:rPr>
          <w:color w:val="000000"/>
          <w:lang w:val="fr-CH"/>
        </w:rPr>
        <w:t>.</w:t>
      </w:r>
    </w:p>
    <w:p w:rsidR="00FA6BE9" w:rsidRPr="00FF37B7" w:rsidRDefault="00FA6BE9" w:rsidP="00FA6BE9">
      <w:pPr>
        <w:pStyle w:val="Heading8"/>
        <w:rPr>
          <w:color w:val="000000"/>
        </w:rPr>
      </w:pPr>
      <w:r w:rsidRPr="00FF37B7">
        <w:rPr>
          <w:color w:val="000000"/>
        </w:rPr>
        <w:t>5.509A</w:t>
      </w:r>
    </w:p>
    <w:p w:rsidR="00FA6BE9" w:rsidRPr="00FA6BE9" w:rsidRDefault="00FA6BE9" w:rsidP="00FA6BE9">
      <w:pPr>
        <w:rPr>
          <w:rStyle w:val="Artref"/>
          <w:color w:val="000000"/>
          <w:lang w:val="fr-CH"/>
        </w:rPr>
      </w:pPr>
      <w:r w:rsidRPr="00FA6BE9">
        <w:rPr>
          <w:color w:val="000000"/>
          <w:lang w:val="fr-CH"/>
        </w:rPr>
        <w:t xml:space="preserve">Véase la Regla de Procedimiento relativa al número </w:t>
      </w:r>
      <w:r w:rsidRPr="00FA6BE9">
        <w:rPr>
          <w:rStyle w:val="Artref"/>
          <w:b/>
          <w:bCs/>
          <w:color w:val="000000"/>
          <w:lang w:val="fr-CH"/>
        </w:rPr>
        <w:t>5.504B</w:t>
      </w:r>
      <w:r w:rsidRPr="00FA6BE9">
        <w:rPr>
          <w:color w:val="000000"/>
          <w:lang w:val="fr-CH"/>
        </w:rPr>
        <w:t>.</w:t>
      </w:r>
    </w:p>
    <w:p w:rsidR="00FA6BE9" w:rsidRPr="00FF37B7" w:rsidRDefault="00FA6BE9" w:rsidP="00FA6BE9">
      <w:pPr>
        <w:pStyle w:val="Heading8"/>
      </w:pPr>
      <w:r w:rsidRPr="00FF37B7">
        <w:t>5.</w:t>
      </w:r>
      <w:r>
        <w:t>510</w:t>
      </w:r>
    </w:p>
    <w:p w:rsidR="00FA6BE9" w:rsidRPr="00A20DDD" w:rsidRDefault="00FA6BE9" w:rsidP="00FA6BE9">
      <w:pPr>
        <w:rPr>
          <w:sz w:val="16"/>
          <w:szCs w:val="16"/>
        </w:rPr>
      </w:pPr>
      <w:r>
        <w:rPr>
          <w:sz w:val="16"/>
          <w:szCs w:val="16"/>
        </w:rPr>
        <w:t>(ADD</w:t>
      </w:r>
      <w:r w:rsidRPr="00B5368A">
        <w:rPr>
          <w:sz w:val="16"/>
          <w:szCs w:val="16"/>
        </w:rPr>
        <w:t xml:space="preserve"> RRB0</w:t>
      </w:r>
      <w:r>
        <w:rPr>
          <w:sz w:val="16"/>
          <w:szCs w:val="16"/>
        </w:rPr>
        <w:t>9</w:t>
      </w:r>
      <w:r w:rsidRPr="00B5368A">
        <w:rPr>
          <w:sz w:val="16"/>
          <w:szCs w:val="16"/>
        </w:rPr>
        <w:t>/</w:t>
      </w:r>
      <w:r>
        <w:rPr>
          <w:sz w:val="16"/>
          <w:szCs w:val="16"/>
        </w:rPr>
        <w:t>53</w:t>
      </w:r>
      <w:r w:rsidRPr="00B5368A">
        <w:rPr>
          <w:sz w:val="16"/>
          <w:szCs w:val="16"/>
        </w:rPr>
        <w:t>)</w:t>
      </w:r>
    </w:p>
    <w:p w:rsidR="00FA6BE9" w:rsidRPr="00FA6BE9" w:rsidRDefault="00FA6BE9" w:rsidP="00FA6BE9">
      <w:pPr>
        <w:rPr>
          <w:lang w:val="fr-CH"/>
        </w:rPr>
      </w:pPr>
      <w:r>
        <w:rPr>
          <w:lang w:val="es-ES"/>
        </w:rPr>
        <w:t>1</w:t>
      </w:r>
      <w:r>
        <w:rPr>
          <w:lang w:val="es-ES"/>
        </w:rPr>
        <w:tab/>
      </w:r>
      <w:r w:rsidRPr="00956FBF">
        <w:rPr>
          <w:lang w:val="es-ES"/>
        </w:rPr>
        <w:t>El número </w:t>
      </w:r>
      <w:r w:rsidRPr="00956FBF">
        <w:rPr>
          <w:b/>
          <w:lang w:val="es-ES"/>
        </w:rPr>
        <w:t>5.510</w:t>
      </w:r>
      <w:r w:rsidRPr="00956FBF">
        <w:rPr>
          <w:lang w:val="es-ES"/>
        </w:rPr>
        <w:t xml:space="preserve"> limita la utilización de la banda 14,5</w:t>
      </w:r>
      <w:r w:rsidRPr="00956FBF">
        <w:rPr>
          <w:lang w:val="es-ES"/>
        </w:rPr>
        <w:noBreakHyphen/>
        <w:t>14,8 GHz por el servicio fijo por satélite (SFS) (Tierra</w:t>
      </w:r>
      <w:r w:rsidRPr="00956FBF">
        <w:rPr>
          <w:lang w:val="es-ES"/>
        </w:rPr>
        <w:noBreakHyphen/>
        <w:t>espacio) a los enlaces de conexión del servicio de radiodifusión por satélite (SRS) en países fuera de Europa, lo que significa que en la Región 2 su utilización está autorizada. Esta atribución fue realizada en la CAMR</w:t>
      </w:r>
      <w:r w:rsidRPr="00956FBF">
        <w:rPr>
          <w:lang w:val="es-ES"/>
        </w:rPr>
        <w:noBreakHyphen/>
        <w:t xml:space="preserve">79 con objeto de proporcionar enlaces de conexión al servicio de radiodifusión por satélite en la banda de 12 GHz en las tres Regiones. El Artículo 2 del </w:t>
      </w:r>
      <w:r w:rsidR="00B04016" w:rsidRPr="00FA6BE9">
        <w:rPr>
          <w:lang w:val="fr-CH"/>
        </w:rPr>
        <w:t>Apéndice</w:t>
      </w:r>
      <w:r w:rsidR="00B04016">
        <w:rPr>
          <w:lang w:val="fr-CH"/>
        </w:rPr>
        <w:t> </w:t>
      </w:r>
      <w:r w:rsidRPr="00956FBF">
        <w:rPr>
          <w:b/>
          <w:lang w:val="es-ES"/>
        </w:rPr>
        <w:t>30A</w:t>
      </w:r>
      <w:r w:rsidRPr="00956FBF">
        <w:rPr>
          <w:lang w:val="es-ES"/>
        </w:rPr>
        <w:t xml:space="preserve"> indica que las disposiciones de dicho Apéndice se aplican a los enlaces de conexión del SFS (Tierra</w:t>
      </w:r>
      <w:r w:rsidRPr="00956FBF">
        <w:rPr>
          <w:lang w:val="es-ES"/>
        </w:rPr>
        <w:noBreakHyphen/>
        <w:t>espacio) en la banda 14,5</w:t>
      </w:r>
      <w:r w:rsidRPr="00956FBF">
        <w:rPr>
          <w:lang w:val="es-ES"/>
        </w:rPr>
        <w:noBreakHyphen/>
        <w:t>14,8 GHz del SRS en las Regiones 1 y 3, pero no hace mención de su aplicación en la Región 2. Los Artículos </w:t>
      </w:r>
      <w:r w:rsidRPr="00B04016">
        <w:rPr>
          <w:lang w:val="es-ES"/>
        </w:rPr>
        <w:t>4 y 7</w:t>
      </w:r>
      <w:r w:rsidRPr="00956FBF">
        <w:rPr>
          <w:lang w:val="es-ES"/>
        </w:rPr>
        <w:t xml:space="preserve"> del</w:t>
      </w:r>
      <w:r w:rsidR="00B04016">
        <w:rPr>
          <w:lang w:val="es-ES"/>
        </w:rPr>
        <w:t xml:space="preserve"> </w:t>
      </w:r>
      <w:r w:rsidR="00B04016" w:rsidRPr="00FA6BE9">
        <w:rPr>
          <w:lang w:val="fr-CH"/>
        </w:rPr>
        <w:t>Apéndice</w:t>
      </w:r>
      <w:r w:rsidR="00B04016">
        <w:rPr>
          <w:lang w:val="fr-CH"/>
        </w:rPr>
        <w:t> </w:t>
      </w:r>
      <w:r w:rsidRPr="00956FBF">
        <w:rPr>
          <w:b/>
          <w:lang w:val="es-ES"/>
        </w:rPr>
        <w:t>30A</w:t>
      </w:r>
      <w:r w:rsidRPr="00956FBF">
        <w:rPr>
          <w:lang w:val="es-ES"/>
        </w:rPr>
        <w:t xml:space="preserve"> no incluyen procedimientos reglamentarios relativos a la posible situación de compartición entre las redes de enlaces de conexión del SFS para el SRS en la Región 2 y la Lista y el Plan de enlaces de conexión del SRS en las Regiones</w:t>
      </w:r>
      <w:r w:rsidR="00B04016">
        <w:rPr>
          <w:lang w:val="es-ES"/>
        </w:rPr>
        <w:t> </w:t>
      </w:r>
      <w:r w:rsidRPr="00956FBF">
        <w:rPr>
          <w:lang w:val="es-ES"/>
        </w:rPr>
        <w:t>1 y 3 (fuera de Europa) en la banda 14,5</w:t>
      </w:r>
      <w:r w:rsidRPr="00956FBF">
        <w:rPr>
          <w:lang w:val="es-ES"/>
        </w:rPr>
        <w:noBreakHyphen/>
        <w:t>14,8 GHz.</w:t>
      </w:r>
    </w:p>
    <w:p w:rsidR="00FA6BE9" w:rsidRPr="00FA6BE9" w:rsidRDefault="00FA6BE9" w:rsidP="00FA6BE9">
      <w:pPr>
        <w:rPr>
          <w:lang w:val="fr-CH"/>
        </w:rPr>
      </w:pPr>
    </w:p>
    <w:p w:rsidR="00FA6BE9" w:rsidRPr="00FA6BE9" w:rsidRDefault="00FA6BE9" w:rsidP="00FA6BE9">
      <w:pPr>
        <w:rPr>
          <w:lang w:val="fr-CH"/>
        </w:rPr>
      </w:pPr>
    </w:p>
    <w:p w:rsidR="00FA6BE9" w:rsidRPr="00FA6BE9" w:rsidRDefault="00FA6BE9" w:rsidP="00FA6BE9">
      <w:pPr>
        <w:rPr>
          <w:lang w:val="fr-CH"/>
        </w:rPr>
        <w:sectPr w:rsidR="00FA6BE9" w:rsidRPr="00FA6BE9" w:rsidSect="00E84D36">
          <w:headerReference w:type="default" r:id="rId11"/>
          <w:footnotePr>
            <w:pos w:val="beneathText"/>
          </w:footnotePr>
          <w:pgSz w:w="11907" w:h="16840" w:code="9"/>
          <w:pgMar w:top="1701" w:right="851" w:bottom="1134" w:left="1985" w:header="720" w:footer="482" w:gutter="0"/>
          <w:cols w:space="720"/>
          <w:vAlign w:val="both"/>
        </w:sectPr>
      </w:pPr>
    </w:p>
    <w:p w:rsidR="00FA6BE9" w:rsidRPr="00956FBF" w:rsidRDefault="00FA6BE9" w:rsidP="00FA6BE9">
      <w:pPr>
        <w:rPr>
          <w:lang w:val="es-ES"/>
        </w:rPr>
      </w:pPr>
      <w:r>
        <w:rPr>
          <w:lang w:val="es-ES"/>
        </w:rPr>
        <w:lastRenderedPageBreak/>
        <w:t>2</w:t>
      </w:r>
      <w:r>
        <w:rPr>
          <w:lang w:val="es-ES"/>
        </w:rPr>
        <w:tab/>
      </w:r>
      <w:r w:rsidRPr="00956FBF">
        <w:rPr>
          <w:lang w:val="es-ES"/>
        </w:rPr>
        <w:t>Habida cuenta del contexto anterior, en el que no existen procedimientos específicos para una determinada utilización del espectro, y de que a los servicios con atribuciones en igualdad de derechos deben aplicarse los procedimientos similares existentes, la Junta llegó a la siguiente conclusión:</w:t>
      </w:r>
    </w:p>
    <w:p w:rsidR="00FA6BE9" w:rsidRDefault="00FA6BE9" w:rsidP="00FA6BE9">
      <w:pPr>
        <w:pStyle w:val="enumlev1"/>
        <w:rPr>
          <w:lang w:val="es-ES"/>
        </w:rPr>
      </w:pPr>
      <w:r w:rsidRPr="00B04016">
        <w:rPr>
          <w:i/>
          <w:lang w:val="es-ES"/>
        </w:rPr>
        <w:t>a)</w:t>
      </w:r>
      <w:r>
        <w:rPr>
          <w:lang w:val="es-ES"/>
        </w:rPr>
        <w:tab/>
      </w:r>
      <w:r w:rsidRPr="00956FBF">
        <w:rPr>
          <w:lang w:val="es-ES"/>
        </w:rPr>
        <w:t>la utilización de la banda 14,5-14,8 GHz para los enlaces de conexión del SRS en el SFS (Tierra-espacio) en Región 2 está en consonancia con el Cuadro de atribución de bandas de frecuencias;</w:t>
      </w:r>
    </w:p>
    <w:p w:rsidR="00FA6BE9" w:rsidRDefault="00FA6BE9" w:rsidP="00FA6BE9">
      <w:pPr>
        <w:pStyle w:val="enumlev1"/>
        <w:rPr>
          <w:rFonts w:cs="Arial"/>
          <w:color w:val="000000"/>
          <w:lang w:val="es-ES"/>
        </w:rPr>
      </w:pPr>
      <w:r w:rsidRPr="00B04016">
        <w:rPr>
          <w:i/>
          <w:lang w:val="es-ES"/>
        </w:rPr>
        <w:t>b)</w:t>
      </w:r>
      <w:r>
        <w:rPr>
          <w:lang w:val="es-ES"/>
        </w:rPr>
        <w:tab/>
      </w:r>
      <w:r w:rsidRPr="00956FBF">
        <w:rPr>
          <w:lang w:val="es-ES"/>
        </w:rPr>
        <w:t>la coordinación de una asignación de frecuencias al enlace de conexión del SRS en el</w:t>
      </w:r>
      <w:r w:rsidR="00B04016">
        <w:rPr>
          <w:lang w:val="es-ES"/>
        </w:rPr>
        <w:t> </w:t>
      </w:r>
      <w:r w:rsidRPr="00956FBF">
        <w:rPr>
          <w:lang w:val="es-ES"/>
        </w:rPr>
        <w:t xml:space="preserve">SFS (Tierra-espacio) en la Región 2 en la banda 14,5-14,8 GHz con asignaciones de frecuencias del enlace de conexión del SRS sujeto a un plan debe efectuarse con arreglo a lo dispuesto en la Sección I del Artículo 7 del Apéndice </w:t>
      </w:r>
      <w:r w:rsidRPr="00B04016">
        <w:rPr>
          <w:rFonts w:cs="Arial"/>
          <w:b/>
          <w:color w:val="000000"/>
          <w:lang w:val="es-ES"/>
        </w:rPr>
        <w:t>30A</w:t>
      </w:r>
      <w:r w:rsidRPr="00956FBF">
        <w:rPr>
          <w:rFonts w:cs="Arial"/>
          <w:color w:val="000000"/>
          <w:lang w:val="es-ES"/>
        </w:rPr>
        <w:t>;</w:t>
      </w:r>
      <w:r w:rsidRPr="00956FBF">
        <w:rPr>
          <w:lang w:val="es-ES"/>
        </w:rPr>
        <w:t xml:space="preserve"> </w:t>
      </w:r>
      <w:r w:rsidRPr="00956FBF">
        <w:rPr>
          <w:rFonts w:cs="Arial"/>
          <w:color w:val="000000"/>
          <w:lang w:val="es-ES"/>
        </w:rPr>
        <w:t>y,</w:t>
      </w:r>
    </w:p>
    <w:p w:rsidR="00FA6BE9" w:rsidRPr="00FA6BE9" w:rsidRDefault="00FA6BE9" w:rsidP="00FA6BE9">
      <w:pPr>
        <w:pStyle w:val="enumlev1"/>
        <w:rPr>
          <w:lang w:val="fr-CH"/>
        </w:rPr>
      </w:pPr>
      <w:r w:rsidRPr="00B04016">
        <w:rPr>
          <w:rFonts w:cs="Arial"/>
          <w:i/>
          <w:color w:val="000000"/>
          <w:lang w:val="es-ES"/>
        </w:rPr>
        <w:t>c)</w:t>
      </w:r>
      <w:r>
        <w:rPr>
          <w:rFonts w:cs="Arial"/>
          <w:color w:val="000000"/>
          <w:lang w:val="es-ES"/>
        </w:rPr>
        <w:tab/>
      </w:r>
      <w:r w:rsidRPr="00956FBF">
        <w:rPr>
          <w:rFonts w:cs="Arial"/>
          <w:color w:val="000000"/>
          <w:lang w:val="es-ES"/>
        </w:rPr>
        <w:t>la coordinación de una asignación de frecuencia que se vaya a incluir en la lista de enlaces de conexión de las Regiones 1 y 3 con asignaciones de frecuencia del enlace de conexión del SRS en el SFS</w:t>
      </w:r>
      <w:r w:rsidRPr="00956FBF">
        <w:rPr>
          <w:lang w:val="es-ES"/>
        </w:rPr>
        <w:t xml:space="preserve"> (Tierra-espacio) en la Región 2</w:t>
      </w:r>
      <w:r w:rsidRPr="00956FBF">
        <w:rPr>
          <w:rFonts w:cs="Arial"/>
          <w:color w:val="000000"/>
          <w:lang w:val="es-ES"/>
        </w:rPr>
        <w:t xml:space="preserve"> en la banda 14,5-14,8 GHz, deberá efectuarse con arreglo a lo dispuesto en el </w:t>
      </w:r>
      <w:r w:rsidRPr="00956FBF">
        <w:rPr>
          <w:color w:val="000000"/>
          <w:lang w:val="es-ES"/>
        </w:rPr>
        <w:t>§</w:t>
      </w:r>
      <w:r w:rsidR="00B04016">
        <w:rPr>
          <w:rFonts w:cs="Arial"/>
          <w:color w:val="000000"/>
          <w:lang w:val="es-ES"/>
        </w:rPr>
        <w:t> </w:t>
      </w:r>
      <w:r w:rsidRPr="00956FBF">
        <w:rPr>
          <w:rFonts w:cs="Arial"/>
          <w:color w:val="000000"/>
          <w:lang w:val="es-ES"/>
        </w:rPr>
        <w:t>4.1.1</w:t>
      </w:r>
      <w:r w:rsidR="00B04016">
        <w:rPr>
          <w:rFonts w:cs="Arial"/>
          <w:color w:val="000000"/>
          <w:lang w:val="es-ES"/>
        </w:rPr>
        <w:t> </w:t>
      </w:r>
      <w:r w:rsidRPr="00B04016">
        <w:rPr>
          <w:rFonts w:cs="Arial"/>
          <w:i/>
          <w:color w:val="000000"/>
          <w:lang w:val="es-ES"/>
        </w:rPr>
        <w:t>d)</w:t>
      </w:r>
      <w:r w:rsidRPr="00956FBF">
        <w:rPr>
          <w:rFonts w:cs="Arial"/>
          <w:color w:val="000000"/>
          <w:lang w:val="es-ES"/>
        </w:rPr>
        <w:t xml:space="preserve"> del Apéndice </w:t>
      </w:r>
      <w:r w:rsidRPr="00B04016">
        <w:rPr>
          <w:rFonts w:cs="Arial"/>
          <w:b/>
          <w:color w:val="000000"/>
          <w:lang w:val="es-ES"/>
        </w:rPr>
        <w:t>30A</w:t>
      </w:r>
      <w:r w:rsidRPr="00956FBF">
        <w:rPr>
          <w:rFonts w:cs="Arial"/>
          <w:color w:val="000000"/>
          <w:lang w:val="es-ES"/>
        </w:rPr>
        <w:t>.</w:t>
      </w:r>
    </w:p>
    <w:p w:rsidR="00FA6BE9" w:rsidRPr="00FF37B7" w:rsidRDefault="00FA6BE9" w:rsidP="00FA6BE9">
      <w:pPr>
        <w:pStyle w:val="Heading8"/>
      </w:pPr>
      <w:r w:rsidRPr="00FF37B7">
        <w:t>5.523A</w:t>
      </w:r>
    </w:p>
    <w:p w:rsidR="00FA6BE9" w:rsidRPr="00FA6BE9" w:rsidRDefault="00FA6BE9" w:rsidP="00FA6BE9">
      <w:pPr>
        <w:rPr>
          <w:color w:val="000000"/>
          <w:lang w:val="fr-CH"/>
        </w:rPr>
      </w:pPr>
      <w:r w:rsidRPr="00FA6BE9">
        <w:rPr>
          <w:color w:val="000000"/>
          <w:lang w:val="fr-CH"/>
        </w:rPr>
        <w:t xml:space="preserve">La disposición número </w:t>
      </w:r>
      <w:r w:rsidRPr="00FA6BE9">
        <w:rPr>
          <w:rStyle w:val="Artref"/>
          <w:b/>
          <w:bCs/>
          <w:color w:val="000000"/>
          <w:lang w:val="fr-CH"/>
        </w:rPr>
        <w:t>5.523A</w:t>
      </w:r>
      <w:r w:rsidRPr="00FA6BE9">
        <w:rPr>
          <w:color w:val="000000"/>
          <w:lang w:val="fr-CH"/>
        </w:rPr>
        <w:t xml:space="preserve"> obliga a las administraciones que hayan comunicado sus sistemas de satélite OSG en las bandas 18,8-19,3 GHz y 28,6-29,1 GHz a la Oficina, antes del 18 de noviembre de 1995, a «</w:t>
      </w:r>
      <w:r w:rsidRPr="00FA6BE9">
        <w:rPr>
          <w:i/>
          <w:color w:val="000000"/>
          <w:lang w:val="fr-CH"/>
        </w:rPr>
        <w:t>cooperar al máximo</w:t>
      </w:r>
      <w:r w:rsidRPr="00FA6BE9">
        <w:rPr>
          <w:color w:val="000000"/>
          <w:lang w:val="fr-CH"/>
        </w:rPr>
        <w:t xml:space="preserve"> </w:t>
      </w:r>
      <w:r w:rsidRPr="00FA6BE9">
        <w:rPr>
          <w:i/>
          <w:color w:val="000000"/>
          <w:lang w:val="fr-CH"/>
        </w:rPr>
        <w:t>para concluir satisfactoriamente</w:t>
      </w:r>
      <w:r w:rsidRPr="00FA6BE9">
        <w:rPr>
          <w:color w:val="000000"/>
          <w:lang w:val="fr-CH"/>
        </w:rPr>
        <w:t xml:space="preserve"> la coordi</w:t>
      </w:r>
      <w:r w:rsidRPr="00FA6BE9">
        <w:rPr>
          <w:color w:val="000000"/>
          <w:lang w:val="fr-CH"/>
        </w:rPr>
        <w:softHyphen/>
        <w:t xml:space="preserve">nación, en cumplimiento del número </w:t>
      </w:r>
      <w:r w:rsidRPr="00FA6BE9">
        <w:rPr>
          <w:rStyle w:val="Artref"/>
          <w:b/>
          <w:bCs/>
          <w:color w:val="000000"/>
          <w:lang w:val="fr-CH"/>
        </w:rPr>
        <w:t>9.11A</w:t>
      </w:r>
      <w:r w:rsidRPr="00FA6BE9">
        <w:rPr>
          <w:color w:val="000000"/>
          <w:lang w:val="fr-CH"/>
        </w:rPr>
        <w:t>, con las redes de satélite no geoestacionarias cuya información de notificación se haya recibido en la Oficina antes de esa fecha, con el fin de llegar a resultados aceptables para todas las partes en cuestión». Como no hay base sobre la que la Oficina pudiera formular una conclusión reglamentaria en este sentido, la Junta decidió actuar de la siguiente manera:</w:t>
      </w:r>
    </w:p>
    <w:p w:rsidR="00FA6BE9" w:rsidRPr="00FA6BE9" w:rsidRDefault="00FA6BE9" w:rsidP="00FA6BE9">
      <w:pPr>
        <w:rPr>
          <w:color w:val="000000"/>
          <w:lang w:val="fr-CH"/>
        </w:rPr>
      </w:pPr>
      <w:r w:rsidRPr="00FA6BE9">
        <w:rPr>
          <w:color w:val="000000"/>
          <w:lang w:val="fr-CH"/>
        </w:rPr>
        <w:t>La administración o administraciones responsables de la red de satélite OSG, al notificar a la Oficina las asignaciones, incluirán una declaración indicando que se ha cumplido la obligación de «cooperar al máximo» indicada en esta disposición, y la Oficina publicará esta información consecuentemente en la BR IFIC.</w:t>
      </w:r>
    </w:p>
    <w:p w:rsidR="00FA6BE9" w:rsidRPr="00FA6BE9" w:rsidRDefault="00FA6BE9" w:rsidP="00FA6BE9">
      <w:pPr>
        <w:rPr>
          <w:color w:val="000000"/>
          <w:lang w:val="fr-CH"/>
        </w:rPr>
      </w:pPr>
      <w:r w:rsidRPr="00FA6BE9">
        <w:rPr>
          <w:color w:val="000000"/>
          <w:lang w:val="fr-CH"/>
        </w:rPr>
        <w:t>La presente Regla de Procedimiento tenía que ser aplicada por las administraciones y la Oficina de Radiocomunicaciones desde el 14 de julio de 1998.</w:t>
      </w:r>
    </w:p>
    <w:p w:rsidR="00FA6BE9" w:rsidRPr="00FA6BE9" w:rsidRDefault="00FA6BE9" w:rsidP="00FA6BE9">
      <w:pPr>
        <w:rPr>
          <w:lang w:val="fr-CH"/>
        </w:rPr>
      </w:pPr>
    </w:p>
    <w:p w:rsidR="00FA6BE9" w:rsidRPr="00FA6BE9" w:rsidRDefault="00FA6BE9" w:rsidP="00FA6BE9">
      <w:pPr>
        <w:rPr>
          <w:lang w:val="fr-CH"/>
        </w:rPr>
      </w:pPr>
    </w:p>
    <w:p w:rsidR="00FA6BE9" w:rsidRPr="00FA6BE9" w:rsidRDefault="00FA6BE9" w:rsidP="00FA6BE9">
      <w:pPr>
        <w:rPr>
          <w:lang w:val="fr-CH"/>
        </w:rPr>
      </w:pPr>
    </w:p>
    <w:p w:rsidR="00FA6BE9" w:rsidRPr="00FA6BE9" w:rsidRDefault="00FA6BE9" w:rsidP="00FA6BE9">
      <w:pPr>
        <w:rPr>
          <w:lang w:val="fr-CH"/>
        </w:rPr>
      </w:pPr>
    </w:p>
    <w:p w:rsidR="00FA6BE9" w:rsidRPr="00FA6BE9" w:rsidRDefault="00FA6BE9" w:rsidP="00FA6BE9">
      <w:pPr>
        <w:rPr>
          <w:lang w:val="fr-CH"/>
        </w:rPr>
      </w:pPr>
    </w:p>
    <w:p w:rsidR="00FA6BE9" w:rsidRPr="00FA6BE9" w:rsidRDefault="00FA6BE9" w:rsidP="00FA6BE9">
      <w:pPr>
        <w:rPr>
          <w:lang w:val="fr-CH"/>
        </w:rPr>
        <w:sectPr w:rsidR="00FA6BE9" w:rsidRPr="00FA6BE9" w:rsidSect="00E84D36">
          <w:headerReference w:type="even" r:id="rId12"/>
          <w:footnotePr>
            <w:pos w:val="beneathText"/>
          </w:footnotePr>
          <w:pgSz w:w="11907" w:h="16840" w:code="9"/>
          <w:pgMar w:top="1701" w:right="851" w:bottom="1134" w:left="1985" w:header="720" w:footer="482" w:gutter="0"/>
          <w:cols w:space="720"/>
          <w:vAlign w:val="both"/>
        </w:sectPr>
      </w:pPr>
    </w:p>
    <w:p w:rsidR="00FA6BE9" w:rsidRPr="00FF37B7" w:rsidRDefault="00FA6BE9" w:rsidP="00FA6BE9">
      <w:pPr>
        <w:pStyle w:val="Heading8"/>
        <w:spacing w:before="0"/>
        <w:ind w:right="6804"/>
        <w:jc w:val="left"/>
        <w:rPr>
          <w:color w:val="000000"/>
        </w:rPr>
      </w:pPr>
      <w:r w:rsidRPr="00FF37B7">
        <w:rPr>
          <w:color w:val="000000"/>
        </w:rPr>
        <w:lastRenderedPageBreak/>
        <w:t>5.523B, 5.523C, 5.523D, 5.523E</w:t>
      </w:r>
    </w:p>
    <w:p w:rsidR="00FA6BE9" w:rsidRPr="00FA6BE9" w:rsidRDefault="00FA6BE9" w:rsidP="00FA6BE9">
      <w:pPr>
        <w:rPr>
          <w:color w:val="000000"/>
          <w:lang w:val="fr-CH"/>
        </w:rPr>
      </w:pPr>
      <w:r w:rsidRPr="00FA6BE9">
        <w:rPr>
          <w:color w:val="000000"/>
          <w:lang w:val="fr-CH"/>
        </w:rPr>
        <w:t xml:space="preserve">Las disposiciones de los números </w:t>
      </w:r>
      <w:r w:rsidRPr="00FA6BE9">
        <w:rPr>
          <w:rStyle w:val="Artref"/>
          <w:b/>
          <w:bCs/>
          <w:color w:val="000000"/>
          <w:lang w:val="fr-CH"/>
        </w:rPr>
        <w:t>5.523B</w:t>
      </w:r>
      <w:r w:rsidRPr="00FA6BE9">
        <w:rPr>
          <w:color w:val="000000"/>
          <w:lang w:val="fr-CH"/>
        </w:rPr>
        <w:t xml:space="preserve">, </w:t>
      </w:r>
      <w:r w:rsidRPr="00FA6BE9">
        <w:rPr>
          <w:rStyle w:val="Artref"/>
          <w:b/>
          <w:bCs/>
          <w:color w:val="000000"/>
          <w:lang w:val="fr-CH"/>
        </w:rPr>
        <w:t>5.523C</w:t>
      </w:r>
      <w:r w:rsidRPr="00FA6BE9">
        <w:rPr>
          <w:color w:val="000000"/>
          <w:lang w:val="fr-CH"/>
        </w:rPr>
        <w:t xml:space="preserve">, </w:t>
      </w:r>
      <w:r w:rsidRPr="00FA6BE9">
        <w:rPr>
          <w:rStyle w:val="Artref"/>
          <w:b/>
          <w:bCs/>
          <w:color w:val="000000"/>
          <w:lang w:val="fr-CH"/>
        </w:rPr>
        <w:t>5.523D</w:t>
      </w:r>
      <w:r w:rsidRPr="00FA6BE9">
        <w:rPr>
          <w:color w:val="000000"/>
          <w:lang w:val="fr-CH"/>
        </w:rPr>
        <w:t xml:space="preserve"> y </w:t>
      </w:r>
      <w:r w:rsidRPr="00FA6BE9">
        <w:rPr>
          <w:rStyle w:val="Artref"/>
          <w:b/>
          <w:bCs/>
          <w:color w:val="000000"/>
          <w:lang w:val="fr-CH"/>
        </w:rPr>
        <w:t>5.523E</w:t>
      </w:r>
      <w:r w:rsidRPr="00FA6BE9">
        <w:rPr>
          <w:color w:val="000000"/>
          <w:lang w:val="fr-CH"/>
        </w:rPr>
        <w:t xml:space="preserve"> proporcionan infor</w:t>
      </w:r>
      <w:r w:rsidRPr="00FA6BE9">
        <w:rPr>
          <w:color w:val="000000"/>
          <w:lang w:val="fr-CH"/>
        </w:rPr>
        <w:softHyphen/>
        <w:t>mación sobre las distintas restricciones y procedimientos que se aplican al SFS en la gama de frecuencias 19,3</w:t>
      </w:r>
      <w:r w:rsidRPr="00FA6BE9">
        <w:rPr>
          <w:color w:val="000000"/>
          <w:lang w:val="fr-CH"/>
        </w:rPr>
        <w:noBreakHyphen/>
        <w:t>19,7 GHz. La Junta ha estudiado la interrelación entre las diferentes utilizaciones del SFS y también con respecto a las estaciones terrenales. Los Cuadros relativos a las bandas 19,3</w:t>
      </w:r>
      <w:r w:rsidRPr="00FA6BE9">
        <w:rPr>
          <w:color w:val="000000"/>
          <w:lang w:val="fr-CH"/>
        </w:rPr>
        <w:noBreakHyphen/>
        <w:t>19,6 GHz y 19,6</w:t>
      </w:r>
      <w:r w:rsidRPr="00FA6BE9">
        <w:rPr>
          <w:color w:val="000000"/>
          <w:lang w:val="fr-CH"/>
        </w:rPr>
        <w:noBreakHyphen/>
        <w:t>19,7 GHz que aparecen a continuación contienen las conclusiones de la Junta sobre este asunto.</w:t>
      </w:r>
    </w:p>
    <w:p w:rsidR="00FA6BE9" w:rsidRPr="00FA6BE9" w:rsidRDefault="00FA6BE9" w:rsidP="00FA6BE9">
      <w:pPr>
        <w:rPr>
          <w:lang w:val="fr-CH"/>
        </w:rPr>
      </w:pPr>
    </w:p>
    <w:p w:rsidR="00FA6BE9" w:rsidRPr="00CC4FCD" w:rsidRDefault="00FA6BE9" w:rsidP="00FA6BE9">
      <w:pPr>
        <w:pStyle w:val="Tabletitle0"/>
        <w:rPr>
          <w:color w:val="000000"/>
        </w:rPr>
      </w:pPr>
      <w:r w:rsidRPr="00CC4FCD">
        <w:rPr>
          <w:color w:val="000000"/>
        </w:rPr>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6"/>
        <w:gridCol w:w="1455"/>
        <w:gridCol w:w="1496"/>
        <w:gridCol w:w="947"/>
        <w:gridCol w:w="1264"/>
        <w:gridCol w:w="1338"/>
        <w:gridCol w:w="1036"/>
      </w:tblGrid>
      <w:tr w:rsidR="00FA6BE9" w:rsidRPr="00CC4FCD" w:rsidTr="00E84D36">
        <w:trPr>
          <w:jc w:val="center"/>
        </w:trPr>
        <w:tc>
          <w:tcPr>
            <w:tcW w:w="1536" w:type="dxa"/>
            <w:tcBorders>
              <w:bottom w:val="single" w:sz="4" w:space="0" w:color="auto"/>
            </w:tcBorders>
            <w:vAlign w:val="center"/>
          </w:tcPr>
          <w:p w:rsidR="00FA6BE9" w:rsidRPr="00CC4FCD" w:rsidRDefault="00FA6BE9" w:rsidP="00E84D36">
            <w:pPr>
              <w:pStyle w:val="Tablehead0"/>
              <w:framePr w:hSpace="181" w:wrap="notBeside" w:vAnchor="text" w:hAnchor="text" w:xAlign="center" w:y="1"/>
              <w:spacing w:before="60" w:after="60"/>
              <w:rPr>
                <w:b w:val="0"/>
                <w:bCs/>
                <w:color w:val="000000"/>
                <w:sz w:val="16"/>
              </w:rPr>
            </w:pPr>
            <w:r w:rsidRPr="00CC4FCD">
              <w:rPr>
                <w:b w:val="0"/>
                <w:bCs/>
                <w:color w:val="000000"/>
                <w:sz w:val="16"/>
              </w:rPr>
              <w:t>Petición de coordinación (PC): Columna con respecto a fila (</w:t>
            </w:r>
            <w:r w:rsidRPr="00CC4FCD">
              <w:rPr>
                <w:b w:val="0"/>
                <w:bCs/>
                <w:color w:val="000000"/>
                <w:sz w:val="16"/>
              </w:rPr>
              <w:sym w:font="Wingdings" w:char="F0E4"/>
            </w:r>
            <w:r w:rsidRPr="00CC4FCD">
              <w:rPr>
                <w:b w:val="0"/>
                <w:bCs/>
                <w:color w:val="000000"/>
                <w:sz w:val="16"/>
              </w:rPr>
              <w:t>)</w:t>
            </w:r>
          </w:p>
        </w:tc>
        <w:tc>
          <w:tcPr>
            <w:tcW w:w="1455" w:type="dxa"/>
            <w:tcBorders>
              <w:bottom w:val="single" w:sz="4" w:space="0" w:color="auto"/>
            </w:tcBorders>
            <w:vAlign w:val="center"/>
          </w:tcPr>
          <w:p w:rsidR="00FA6BE9" w:rsidRPr="00FA6BE9" w:rsidRDefault="00FA6BE9" w:rsidP="00E84D36">
            <w:pPr>
              <w:pStyle w:val="Tablehead0"/>
              <w:framePr w:hSpace="181" w:wrap="notBeside" w:vAnchor="text" w:hAnchor="text" w:xAlign="center" w:y="1"/>
              <w:spacing w:before="60" w:after="60"/>
              <w:rPr>
                <w:b w:val="0"/>
                <w:bCs/>
                <w:color w:val="000000"/>
                <w:sz w:val="16"/>
                <w:lang w:val="en-US"/>
              </w:rPr>
            </w:pPr>
            <w:r w:rsidRPr="00FA6BE9">
              <w:rPr>
                <w:b w:val="0"/>
                <w:bCs/>
                <w:color w:val="000000"/>
                <w:sz w:val="16"/>
                <w:lang w:val="en-US"/>
              </w:rPr>
              <w:t xml:space="preserve">SFS no OSG </w:t>
            </w:r>
            <w:r w:rsidRPr="00CC4FCD">
              <w:rPr>
                <w:b w:val="0"/>
                <w:bCs/>
                <w:color w:val="000000"/>
                <w:sz w:val="14"/>
              </w:rPr>
              <w:sym w:font="Symbol" w:char="F0AD"/>
            </w:r>
            <w:r w:rsidRPr="00FA6BE9">
              <w:rPr>
                <w:b w:val="0"/>
                <w:bCs/>
                <w:color w:val="000000"/>
                <w:sz w:val="16"/>
                <w:lang w:val="en-US"/>
              </w:rPr>
              <w:br/>
              <w:t>(enlace de conexión del SMS)</w:t>
            </w:r>
            <w:r w:rsidRPr="00FA6BE9">
              <w:rPr>
                <w:b w:val="0"/>
                <w:bCs/>
                <w:color w:val="000000"/>
                <w:sz w:val="16"/>
                <w:lang w:val="en-US"/>
              </w:rPr>
              <w:br/>
              <w:t>(número del RR)</w:t>
            </w:r>
          </w:p>
        </w:tc>
        <w:tc>
          <w:tcPr>
            <w:tcW w:w="1496" w:type="dxa"/>
            <w:tcBorders>
              <w:bottom w:val="single" w:sz="4" w:space="0" w:color="auto"/>
            </w:tcBorders>
            <w:vAlign w:val="center"/>
          </w:tcPr>
          <w:p w:rsidR="00FA6BE9" w:rsidRPr="00FA6BE9" w:rsidRDefault="00FA6BE9" w:rsidP="00E84D36">
            <w:pPr>
              <w:pStyle w:val="Tablehead0"/>
              <w:framePr w:hSpace="181" w:wrap="notBeside" w:vAnchor="text" w:hAnchor="text" w:xAlign="center" w:y="1"/>
              <w:spacing w:before="60" w:after="60"/>
              <w:rPr>
                <w:b w:val="0"/>
                <w:bCs/>
                <w:color w:val="000000"/>
                <w:sz w:val="16"/>
                <w:lang w:val="en-US"/>
              </w:rPr>
            </w:pPr>
            <w:r w:rsidRPr="00FA6BE9">
              <w:rPr>
                <w:b w:val="0"/>
                <w:bCs/>
                <w:color w:val="000000"/>
                <w:sz w:val="16"/>
                <w:lang w:val="en-US"/>
              </w:rPr>
              <w:t xml:space="preserve">SFS no OSG </w:t>
            </w:r>
            <w:r w:rsidRPr="00CC4FCD">
              <w:rPr>
                <w:b w:val="0"/>
                <w:bCs/>
                <w:color w:val="000000"/>
                <w:sz w:val="14"/>
              </w:rPr>
              <w:sym w:font="Symbol" w:char="F0AF"/>
            </w:r>
            <w:r w:rsidRPr="00FA6BE9">
              <w:rPr>
                <w:b w:val="0"/>
                <w:bCs/>
                <w:color w:val="000000"/>
                <w:sz w:val="16"/>
                <w:lang w:val="en-US"/>
              </w:rPr>
              <w:br/>
              <w:t>(enlace de conexión del SMS)</w:t>
            </w:r>
            <w:r w:rsidRPr="00FA6BE9">
              <w:rPr>
                <w:b w:val="0"/>
                <w:bCs/>
                <w:color w:val="000000"/>
                <w:sz w:val="16"/>
                <w:lang w:val="en-US"/>
              </w:rPr>
              <w:br/>
              <w:t>(número del RR)</w:t>
            </w:r>
          </w:p>
        </w:tc>
        <w:tc>
          <w:tcPr>
            <w:tcW w:w="947" w:type="dxa"/>
            <w:tcBorders>
              <w:bottom w:val="single" w:sz="4" w:space="0" w:color="auto"/>
            </w:tcBorders>
            <w:vAlign w:val="center"/>
          </w:tcPr>
          <w:p w:rsidR="00FA6BE9" w:rsidRPr="00FA6BE9" w:rsidRDefault="00FA6BE9" w:rsidP="00E84D36">
            <w:pPr>
              <w:pStyle w:val="Tablehead0"/>
              <w:framePr w:hSpace="181" w:wrap="notBeside" w:vAnchor="text" w:hAnchor="text" w:xAlign="center" w:y="1"/>
              <w:spacing w:before="60" w:after="60"/>
              <w:rPr>
                <w:b w:val="0"/>
                <w:bCs/>
                <w:color w:val="000000"/>
                <w:sz w:val="16"/>
                <w:lang w:val="en-US"/>
              </w:rPr>
            </w:pPr>
            <w:r w:rsidRPr="00FA6BE9">
              <w:rPr>
                <w:b w:val="0"/>
                <w:bCs/>
                <w:color w:val="000000"/>
                <w:sz w:val="16"/>
                <w:lang w:val="en-US"/>
              </w:rPr>
              <w:t xml:space="preserve">SFS no OSG </w:t>
            </w:r>
            <w:r w:rsidRPr="00CC4FCD">
              <w:rPr>
                <w:b w:val="0"/>
                <w:bCs/>
                <w:color w:val="000000"/>
                <w:sz w:val="14"/>
              </w:rPr>
              <w:sym w:font="Symbol" w:char="F0AF"/>
            </w:r>
            <w:r w:rsidRPr="00FA6BE9">
              <w:rPr>
                <w:b w:val="0"/>
                <w:bCs/>
                <w:color w:val="000000"/>
                <w:sz w:val="16"/>
                <w:lang w:val="en-US"/>
              </w:rPr>
              <w:t xml:space="preserve"> (otros)</w:t>
            </w:r>
            <w:r w:rsidRPr="00FA6BE9">
              <w:rPr>
                <w:b w:val="0"/>
                <w:bCs/>
                <w:color w:val="000000"/>
                <w:sz w:val="16"/>
                <w:lang w:val="en-US"/>
              </w:rPr>
              <w:br/>
              <w:t>(número del RR)</w:t>
            </w:r>
          </w:p>
        </w:tc>
        <w:tc>
          <w:tcPr>
            <w:tcW w:w="1264" w:type="dxa"/>
            <w:tcBorders>
              <w:bottom w:val="single" w:sz="4" w:space="0" w:color="auto"/>
            </w:tcBorders>
            <w:vAlign w:val="center"/>
          </w:tcPr>
          <w:p w:rsidR="00FA6BE9" w:rsidRPr="00CC4FCD" w:rsidRDefault="00FA6BE9" w:rsidP="00E84D36">
            <w:pPr>
              <w:pStyle w:val="Tablehead0"/>
              <w:framePr w:hSpace="181" w:wrap="notBeside" w:vAnchor="text" w:hAnchor="text" w:xAlign="center" w:y="1"/>
              <w:spacing w:before="60" w:after="60"/>
              <w:rPr>
                <w:b w:val="0"/>
                <w:bCs/>
                <w:color w:val="000000"/>
                <w:sz w:val="16"/>
              </w:rPr>
            </w:pPr>
            <w:r w:rsidRPr="00CC4FCD">
              <w:rPr>
                <w:b w:val="0"/>
                <w:bCs/>
                <w:color w:val="000000"/>
                <w:sz w:val="16"/>
              </w:rPr>
              <w:t xml:space="preserve">SFS OSG </w:t>
            </w:r>
            <w:r w:rsidRPr="00CC4FCD">
              <w:rPr>
                <w:b w:val="0"/>
                <w:bCs/>
                <w:color w:val="000000"/>
                <w:sz w:val="14"/>
              </w:rPr>
              <w:sym w:font="Symbol" w:char="F0AF"/>
            </w:r>
            <w:r w:rsidRPr="00CC4FCD">
              <w:rPr>
                <w:b w:val="0"/>
                <w:bCs/>
                <w:color w:val="000000"/>
                <w:sz w:val="16"/>
              </w:rPr>
              <w:br/>
              <w:t xml:space="preserve">(PC </w:t>
            </w:r>
            <w:r w:rsidRPr="00CC4FCD">
              <w:rPr>
                <w:b w:val="0"/>
                <w:bCs/>
                <w:color w:val="000000"/>
                <w:sz w:val="16"/>
              </w:rPr>
              <w:sym w:font="Symbol" w:char="F03C"/>
            </w:r>
            <w:r w:rsidRPr="00CC4FCD">
              <w:rPr>
                <w:b w:val="0"/>
                <w:bCs/>
                <w:color w:val="000000"/>
                <w:sz w:val="16"/>
              </w:rPr>
              <w:t xml:space="preserve"> 18.11.95)</w:t>
            </w:r>
            <w:r w:rsidRPr="00CC4FCD">
              <w:rPr>
                <w:b w:val="0"/>
                <w:bCs/>
                <w:color w:val="000000"/>
                <w:sz w:val="16"/>
              </w:rPr>
              <w:br/>
              <w:t>(número del RR)</w:t>
            </w:r>
          </w:p>
        </w:tc>
        <w:tc>
          <w:tcPr>
            <w:tcW w:w="1338" w:type="dxa"/>
            <w:tcBorders>
              <w:bottom w:val="single" w:sz="4" w:space="0" w:color="auto"/>
            </w:tcBorders>
            <w:vAlign w:val="center"/>
          </w:tcPr>
          <w:p w:rsidR="00FA6BE9" w:rsidRPr="00CC4FCD" w:rsidRDefault="00FA6BE9" w:rsidP="00E84D36">
            <w:pPr>
              <w:pStyle w:val="Tablehead0"/>
              <w:framePr w:hSpace="181" w:wrap="notBeside" w:vAnchor="text" w:hAnchor="text" w:xAlign="center" w:y="1"/>
              <w:spacing w:before="60" w:after="60"/>
              <w:rPr>
                <w:b w:val="0"/>
                <w:bCs/>
                <w:color w:val="000000"/>
                <w:sz w:val="16"/>
              </w:rPr>
            </w:pPr>
            <w:r w:rsidRPr="00CC4FCD">
              <w:rPr>
                <w:b w:val="0"/>
                <w:bCs/>
                <w:color w:val="000000"/>
                <w:sz w:val="16"/>
              </w:rPr>
              <w:t xml:space="preserve">SFS OSG </w:t>
            </w:r>
            <w:r w:rsidRPr="00CC4FCD">
              <w:rPr>
                <w:b w:val="0"/>
                <w:bCs/>
                <w:color w:val="000000"/>
                <w:sz w:val="14"/>
              </w:rPr>
              <w:sym w:font="Symbol" w:char="F0AF"/>
            </w:r>
            <w:r w:rsidRPr="00CC4FCD">
              <w:rPr>
                <w:b w:val="0"/>
                <w:bCs/>
                <w:color w:val="000000"/>
                <w:sz w:val="16"/>
              </w:rPr>
              <w:br/>
              <w:t xml:space="preserve">(18.11.95 </w:t>
            </w:r>
            <w:r w:rsidRPr="00CC4FCD">
              <w:rPr>
                <w:b w:val="0"/>
                <w:bCs/>
                <w:color w:val="000000"/>
                <w:sz w:val="16"/>
              </w:rPr>
              <w:sym w:font="Symbol" w:char="F0A3"/>
            </w:r>
            <w:r w:rsidRPr="00CC4FCD">
              <w:rPr>
                <w:b w:val="0"/>
                <w:bCs/>
                <w:color w:val="000000"/>
                <w:sz w:val="16"/>
              </w:rPr>
              <w:t xml:space="preserve"> PC)</w:t>
            </w:r>
            <w:r w:rsidRPr="00CC4FCD">
              <w:rPr>
                <w:b w:val="0"/>
                <w:bCs/>
                <w:color w:val="000000"/>
                <w:sz w:val="16"/>
              </w:rPr>
              <w:br/>
              <w:t>(número del RR)</w:t>
            </w:r>
          </w:p>
        </w:tc>
        <w:tc>
          <w:tcPr>
            <w:tcW w:w="1036" w:type="dxa"/>
            <w:tcBorders>
              <w:bottom w:val="single" w:sz="4" w:space="0" w:color="auto"/>
            </w:tcBorders>
            <w:vAlign w:val="center"/>
          </w:tcPr>
          <w:p w:rsidR="00FA6BE9" w:rsidRPr="00CC4FCD" w:rsidRDefault="00FA6BE9" w:rsidP="00E84D36">
            <w:pPr>
              <w:pStyle w:val="Tablehead0"/>
              <w:framePr w:hSpace="181" w:wrap="notBeside" w:vAnchor="text" w:hAnchor="text" w:xAlign="center" w:y="1"/>
              <w:spacing w:before="60" w:after="60"/>
              <w:rPr>
                <w:b w:val="0"/>
                <w:bCs/>
                <w:color w:val="000000"/>
                <w:sz w:val="16"/>
              </w:rPr>
            </w:pPr>
            <w:r w:rsidRPr="00CC4FCD">
              <w:rPr>
                <w:b w:val="0"/>
                <w:bCs/>
                <w:color w:val="000000"/>
                <w:sz w:val="16"/>
              </w:rPr>
              <w:t>Terrenal</w:t>
            </w:r>
            <w:r w:rsidRPr="00CC4FCD">
              <w:rPr>
                <w:b w:val="0"/>
                <w:bCs/>
                <w:color w:val="000000"/>
                <w:sz w:val="16"/>
              </w:rPr>
              <w:br/>
              <w:t>(número del RR)</w:t>
            </w:r>
          </w:p>
        </w:tc>
      </w:tr>
      <w:tr w:rsidR="00FA6BE9" w:rsidRPr="00CC4FCD" w:rsidTr="00E84D36">
        <w:trPr>
          <w:jc w:val="center"/>
        </w:trPr>
        <w:tc>
          <w:tcPr>
            <w:tcW w:w="15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D"/>
            </w:r>
            <w:r w:rsidRPr="00CC4FCD">
              <w:rPr>
                <w:color w:val="000000"/>
                <w:sz w:val="16"/>
              </w:rPr>
              <w:br/>
              <w:t>(enlace de conexión del SMS)</w:t>
            </w:r>
          </w:p>
        </w:tc>
        <w:tc>
          <w:tcPr>
            <w:tcW w:w="1455"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338"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5.523B</w:t>
            </w:r>
            <w:r w:rsidRPr="00CC4FCD">
              <w:rPr>
                <w:color w:val="000000"/>
                <w:sz w:val="16"/>
              </w:rPr>
              <w:t>)</w:t>
            </w:r>
          </w:p>
        </w:tc>
        <w:tc>
          <w:tcPr>
            <w:tcW w:w="10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w:t>
            </w:r>
            <w:r w:rsidRPr="00CC4FCD">
              <w:rPr>
                <w:rStyle w:val="Artref"/>
                <w:b/>
                <w:bCs/>
                <w:color w:val="000000"/>
                <w:sz w:val="16"/>
              </w:rPr>
              <w:t>5.523B</w:t>
            </w:r>
            <w:r w:rsidRPr="00CC4FCD">
              <w:rPr>
                <w:color w:val="000000"/>
                <w:sz w:val="16"/>
              </w:rPr>
              <w:t>)</w:t>
            </w:r>
          </w:p>
        </w:tc>
      </w:tr>
      <w:tr w:rsidR="00FA6BE9" w:rsidRPr="00CC4FCD" w:rsidTr="00E84D36">
        <w:trPr>
          <w:jc w:val="center"/>
        </w:trPr>
        <w:tc>
          <w:tcPr>
            <w:tcW w:w="1536"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FA6BE9" w:rsidRPr="00CC4FCD" w:rsidTr="00E84D36">
        <w:trPr>
          <w:jc w:val="center"/>
        </w:trPr>
        <w:tc>
          <w:tcPr>
            <w:tcW w:w="1536" w:type="dxa"/>
            <w:tcBorders>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br/>
              <w:t>(enlace de conexión del SMS)</w:t>
            </w:r>
          </w:p>
        </w:tc>
        <w:tc>
          <w:tcPr>
            <w:tcW w:w="1455" w:type="dxa"/>
            <w:tcBorders>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r w:rsidRPr="00CC4FCD">
              <w:rPr>
                <w:color w:val="000000"/>
                <w:sz w:val="16"/>
              </w:rPr>
              <w:br/>
              <w:t>(</w:t>
            </w:r>
            <w:r w:rsidRPr="00CC4FCD">
              <w:rPr>
                <w:rStyle w:val="Artref"/>
                <w:b/>
                <w:bCs/>
                <w:color w:val="000000"/>
                <w:sz w:val="16"/>
              </w:rPr>
              <w:t>5.523D</w:t>
            </w:r>
            <w:r w:rsidRPr="00CC4FCD">
              <w:rPr>
                <w:color w:val="000000"/>
                <w:sz w:val="16"/>
              </w:rPr>
              <w:t>)</w:t>
            </w:r>
          </w:p>
        </w:tc>
      </w:tr>
      <w:tr w:rsidR="00FA6BE9" w:rsidRPr="00CC4FCD" w:rsidTr="00E84D36">
        <w:trPr>
          <w:jc w:val="center"/>
        </w:trPr>
        <w:tc>
          <w:tcPr>
            <w:tcW w:w="1536" w:type="dxa"/>
            <w:tcBorders>
              <w:top w:val="single"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single"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FA6BE9" w:rsidRPr="00CC4FCD" w:rsidTr="00E84D36">
        <w:trPr>
          <w:jc w:val="center"/>
        </w:trPr>
        <w:tc>
          <w:tcPr>
            <w:tcW w:w="15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(otros)</w:t>
            </w:r>
          </w:p>
        </w:tc>
        <w:tc>
          <w:tcPr>
            <w:tcW w:w="1455"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r w:rsidRPr="00CC4FCD">
              <w:rPr>
                <w:color w:val="000000"/>
                <w:sz w:val="16"/>
              </w:rPr>
              <w:br/>
              <w:t>(</w:t>
            </w:r>
            <w:r w:rsidRPr="00CC4FCD">
              <w:rPr>
                <w:rStyle w:val="Artref"/>
                <w:b/>
                <w:bCs/>
                <w:color w:val="000000"/>
                <w:sz w:val="16"/>
              </w:rPr>
              <w:t>5.523D</w:t>
            </w:r>
            <w:r w:rsidRPr="00CC4FCD">
              <w:rPr>
                <w:color w:val="000000"/>
                <w:sz w:val="16"/>
              </w:rPr>
              <w:t>)</w:t>
            </w:r>
          </w:p>
        </w:tc>
      </w:tr>
      <w:tr w:rsidR="00FA6BE9" w:rsidRPr="00CC4FCD" w:rsidTr="00E84D36">
        <w:trPr>
          <w:jc w:val="center"/>
        </w:trPr>
        <w:tc>
          <w:tcPr>
            <w:tcW w:w="1536"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FA6BE9" w:rsidRPr="00CC4FCD" w:rsidTr="00E84D36">
        <w:trPr>
          <w:jc w:val="center"/>
        </w:trPr>
        <w:tc>
          <w:tcPr>
            <w:tcW w:w="15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Límites de DFP</w:t>
            </w:r>
          </w:p>
        </w:tc>
      </w:tr>
      <w:tr w:rsidR="00FA6BE9" w:rsidRPr="00CC4FCD" w:rsidTr="00E84D36">
        <w:trPr>
          <w:jc w:val="center"/>
        </w:trPr>
        <w:tc>
          <w:tcPr>
            <w:tcW w:w="1536"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FA6BE9" w:rsidRPr="00CC4FCD" w:rsidTr="00E84D36">
        <w:trPr>
          <w:jc w:val="center"/>
        </w:trPr>
        <w:tc>
          <w:tcPr>
            <w:tcW w:w="15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rsidR="00FA6BE9" w:rsidRPr="00CC4FCD" w:rsidRDefault="00FA6BE9" w:rsidP="00E84D36">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t>Límites de DFP</w:t>
            </w:r>
          </w:p>
        </w:tc>
      </w:tr>
      <w:tr w:rsidR="00FA6BE9" w:rsidRPr="00CC4FCD" w:rsidTr="00E84D36">
        <w:trPr>
          <w:jc w:val="center"/>
        </w:trPr>
        <w:tc>
          <w:tcPr>
            <w:tcW w:w="1536"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FA6BE9" w:rsidRPr="00CC4FCD" w:rsidTr="00E84D36">
        <w:trPr>
          <w:jc w:val="center"/>
        </w:trPr>
        <w:tc>
          <w:tcPr>
            <w:tcW w:w="1536" w:type="dxa"/>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Terrenal</w:t>
            </w:r>
          </w:p>
        </w:tc>
        <w:tc>
          <w:tcPr>
            <w:tcW w:w="1455" w:type="dxa"/>
          </w:tcPr>
          <w:p w:rsidR="00FA6BE9" w:rsidRPr="00CC4FCD" w:rsidRDefault="00FA6BE9" w:rsidP="00E84D36">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rsidR="00FA6BE9" w:rsidRPr="00CC4FCD" w:rsidRDefault="00FA6BE9" w:rsidP="00E84D36">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rsidR="00FA6BE9" w:rsidRPr="00CC4FCD" w:rsidRDefault="00FA6BE9" w:rsidP="00E84D36">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rsidR="00FA6BE9" w:rsidRPr="00CC4FCD" w:rsidRDefault="00FA6BE9" w:rsidP="00E84D36">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rsidR="00FA6BE9" w:rsidRPr="00CC4FCD" w:rsidRDefault="00FA6BE9" w:rsidP="00E84D36">
            <w:pPr>
              <w:framePr w:hSpace="181" w:wrap="notBeside" w:vAnchor="text" w:hAnchor="text" w:xAlign="center" w:y="1"/>
              <w:spacing w:before="68" w:after="68"/>
              <w:jc w:val="center"/>
              <w:rPr>
                <w:i/>
                <w:iCs/>
                <w:color w:val="000000"/>
                <w:sz w:val="16"/>
              </w:rPr>
            </w:pPr>
            <w:r w:rsidRPr="00CC4FCD">
              <w:rPr>
                <w:i/>
                <w:iCs/>
                <w:color w:val="000000"/>
                <w:sz w:val="16"/>
              </w:rPr>
              <w:t>---</w:t>
            </w:r>
          </w:p>
        </w:tc>
      </w:tr>
    </w:tbl>
    <w:p w:rsidR="00FA6BE9" w:rsidRDefault="00FA6BE9" w:rsidP="00FA6BE9">
      <w:pPr>
        <w:pStyle w:val="TableFin"/>
        <w:rPr>
          <w:color w:val="000000"/>
          <w:lang w:val="es-ES_tradnl"/>
        </w:rPr>
      </w:pPr>
    </w:p>
    <w:p w:rsidR="00FA6BE9" w:rsidRDefault="00FA6BE9" w:rsidP="00FA6BE9"/>
    <w:p w:rsidR="00FA6BE9" w:rsidRPr="00FF37B7" w:rsidRDefault="00FA6BE9" w:rsidP="00FA6BE9"/>
    <w:p w:rsidR="00FA6BE9" w:rsidRPr="00FF37B7" w:rsidRDefault="00FA6BE9" w:rsidP="00FA6BE9"/>
    <w:p w:rsidR="00FA6BE9" w:rsidRPr="00FF37B7" w:rsidRDefault="00FA6BE9" w:rsidP="00FA6BE9"/>
    <w:p w:rsidR="00FA6BE9" w:rsidRPr="00FF37B7" w:rsidRDefault="00FA6BE9" w:rsidP="00FA6BE9"/>
    <w:p w:rsidR="00FA6BE9" w:rsidRPr="00FF37B7" w:rsidRDefault="00FA6BE9" w:rsidP="00FA6BE9">
      <w:pPr>
        <w:rPr>
          <w:color w:val="000000"/>
        </w:rPr>
        <w:sectPr w:rsidR="00FA6BE9" w:rsidRPr="00FF37B7" w:rsidSect="00E84D36">
          <w:headerReference w:type="even" r:id="rId13"/>
          <w:footnotePr>
            <w:pos w:val="beneathText"/>
          </w:footnotePr>
          <w:pgSz w:w="11907" w:h="16840" w:code="9"/>
          <w:pgMar w:top="1701" w:right="851" w:bottom="1134" w:left="1985" w:header="720" w:footer="482" w:gutter="0"/>
          <w:pgNumType w:start="20"/>
          <w:cols w:space="720"/>
          <w:vAlign w:val="both"/>
        </w:sectPr>
      </w:pPr>
    </w:p>
    <w:p w:rsidR="000A21A1" w:rsidRPr="00CC4FCD" w:rsidRDefault="00FA6BE9" w:rsidP="00FA6BE9">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0"/>
        <w:gridCol w:w="1431"/>
        <w:gridCol w:w="1371"/>
        <w:gridCol w:w="1432"/>
        <w:gridCol w:w="1372"/>
        <w:gridCol w:w="1372"/>
        <w:gridCol w:w="1370"/>
        <w:gridCol w:w="1372"/>
        <w:gridCol w:w="1354"/>
        <w:gridCol w:w="1551"/>
      </w:tblGrid>
      <w:tr w:rsidR="000A21A1" w:rsidRPr="00CC4FCD">
        <w:tblPrEx>
          <w:tblCellMar>
            <w:top w:w="0" w:type="dxa"/>
            <w:bottom w:w="0" w:type="dxa"/>
          </w:tblCellMar>
        </w:tblPrEx>
        <w:trPr>
          <w:jc w:val="center"/>
        </w:trPr>
        <w:tc>
          <w:tcPr>
            <w:tcW w:w="1550"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blPrEx>
          <w:tblCellMar>
            <w:top w:w="0" w:type="dxa"/>
            <w:bottom w:w="0" w:type="dxa"/>
          </w:tblCellMar>
        </w:tblPrEx>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rsidR="000A21A1" w:rsidRPr="00CC4FCD" w:rsidRDefault="000A21A1">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blPrEx>
          <w:tblCellMar>
            <w:top w:w="0" w:type="dxa"/>
            <w:bottom w:w="0" w:type="dxa"/>
          </w:tblCellMar>
        </w:tblPrEx>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Límites de DFP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blPrEx>
          <w:tblCellMar>
            <w:top w:w="0" w:type="dxa"/>
            <w:bottom w:w="0" w:type="dxa"/>
          </w:tblCellMar>
        </w:tblPrEx>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rsidR="000A21A1" w:rsidRPr="00CC4FCD" w:rsidRDefault="000A21A1">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rsidR="000A21A1" w:rsidRPr="00CC4FCD" w:rsidRDefault="000A21A1">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Límites de DFP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tblPrEx>
          <w:tblCellMar>
            <w:top w:w="0" w:type="dxa"/>
            <w:bottom w:w="0" w:type="dxa"/>
          </w:tblCellMar>
        </w:tblPrEx>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tblPrEx>
          <w:tblCellMar>
            <w:top w:w="0" w:type="dxa"/>
            <w:bottom w:w="0" w:type="dxa"/>
          </w:tblCellMar>
        </w:tblPrEx>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Límites de DFP (21/Sección V)</w:t>
            </w:r>
          </w:p>
        </w:tc>
      </w:tr>
      <w:tr w:rsidR="000A21A1" w:rsidRPr="00CC4FCD">
        <w:tblPrEx>
          <w:tblCellMar>
            <w:top w:w="0" w:type="dxa"/>
            <w:bottom w:w="0" w:type="dxa"/>
          </w:tblCellMar>
        </w:tblPrEx>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tblPrEx>
          <w:tblCellMar>
            <w:top w:w="0" w:type="dxa"/>
            <w:bottom w:w="0" w:type="dxa"/>
          </w:tblCellMar>
        </w:tblPrEx>
        <w:trPr>
          <w:jc w:val="center"/>
        </w:trPr>
        <w:tc>
          <w:tcPr>
            <w:tcW w:w="1550"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blPrEx>
          <w:tblCellMar>
            <w:top w:w="0" w:type="dxa"/>
            <w:bottom w:w="0" w:type="dxa"/>
          </w:tblCellMar>
        </w:tblPrEx>
        <w:trPr>
          <w:jc w:val="center"/>
        </w:trPr>
        <w:tc>
          <w:tcPr>
            <w:tcW w:w="1550"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Límites de DFP (21/Sección V)</w:t>
            </w:r>
          </w:p>
        </w:tc>
      </w:tr>
      <w:tr w:rsidR="000A21A1" w:rsidRPr="00CC4FCD">
        <w:tblPrEx>
          <w:tblCellMar>
            <w:top w:w="0" w:type="dxa"/>
            <w:bottom w:w="0" w:type="dxa"/>
          </w:tblCellMar>
        </w:tblPrEx>
        <w:trPr>
          <w:jc w:val="center"/>
        </w:trPr>
        <w:tc>
          <w:tcPr>
            <w:tcW w:w="1550"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tblPrEx>
          <w:tblCellMar>
            <w:top w:w="0" w:type="dxa"/>
            <w:bottom w:w="0" w:type="dxa"/>
          </w:tblCellMar>
        </w:tblPrEx>
        <w:trPr>
          <w:jc w:val="center"/>
        </w:trPr>
        <w:tc>
          <w:tcPr>
            <w:tcW w:w="1550" w:type="dxa"/>
          </w:tcPr>
          <w:p w:rsidR="000A21A1" w:rsidRPr="00CC4FCD" w:rsidRDefault="000A21A1">
            <w:pPr>
              <w:spacing w:before="50" w:after="50"/>
              <w:jc w:val="center"/>
              <w:rPr>
                <w:color w:val="000000"/>
                <w:sz w:val="16"/>
                <w:lang w:val="es-ES_tradnl"/>
              </w:rPr>
            </w:pPr>
            <w:r w:rsidRPr="00CC4FCD">
              <w:rPr>
                <w:color w:val="000000"/>
                <w:sz w:val="16"/>
                <w:lang w:val="es-ES_tradnl"/>
              </w:rPr>
              <w:t>Terrenal</w:t>
            </w:r>
          </w:p>
        </w:tc>
        <w:tc>
          <w:tcPr>
            <w:tcW w:w="1431"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1"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432" w:type="dxa"/>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Pr>
          <w:p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rsidR="000A21A1" w:rsidRPr="00CC4FCD" w:rsidRDefault="000A21A1">
            <w:pPr>
              <w:spacing w:before="50" w:after="50"/>
              <w:jc w:val="center"/>
              <w:rPr>
                <w:color w:val="000000"/>
                <w:sz w:val="16"/>
                <w:lang w:val="es-ES_tradnl"/>
              </w:rPr>
            </w:pPr>
            <w:r w:rsidRPr="00CC4FCD">
              <w:rPr>
                <w:color w:val="000000"/>
                <w:sz w:val="16"/>
                <w:lang w:val="es-ES_tradnl"/>
              </w:rPr>
              <w:t>---</w:t>
            </w:r>
          </w:p>
        </w:tc>
      </w:tr>
    </w:tbl>
    <w:p w:rsidR="000A21A1" w:rsidRPr="00CC4FCD" w:rsidRDefault="000A21A1">
      <w:pPr>
        <w:pStyle w:val="TableFin"/>
        <w:rPr>
          <w:lang w:val="es-ES_tradnl"/>
        </w:rPr>
      </w:pPr>
    </w:p>
    <w:p w:rsidR="000A21A1" w:rsidRPr="00CC4FCD" w:rsidRDefault="000A21A1">
      <w:pPr>
        <w:rPr>
          <w:color w:val="000000"/>
          <w:lang w:val="es-ES_tradnl"/>
        </w:rPr>
        <w:sectPr w:rsidR="000A21A1" w:rsidRPr="00CC4FCD" w:rsidSect="00EE09F0">
          <w:headerReference w:type="even" r:id="rId14"/>
          <w:headerReference w:type="default" r:id="rId15"/>
          <w:footnotePr>
            <w:pos w:val="beneathText"/>
          </w:footnotePr>
          <w:type w:val="oddPage"/>
          <w:pgSz w:w="16840" w:h="11907" w:orient="landscape" w:code="9"/>
          <w:pgMar w:top="1985" w:right="1701" w:bottom="851" w:left="1134" w:header="720" w:footer="482" w:gutter="0"/>
          <w:pgNumType w:start="21"/>
          <w:cols w:space="720"/>
        </w:sectPr>
      </w:pPr>
    </w:p>
    <w:p w:rsidR="000A21A1" w:rsidRPr="00CC4FCD" w:rsidRDefault="000A21A1">
      <w:pPr>
        <w:pStyle w:val="Heading8"/>
        <w:spacing w:before="0"/>
        <w:rPr>
          <w:color w:val="000000"/>
          <w:lang w:val="es-ES_tradnl"/>
        </w:rPr>
      </w:pPr>
      <w:r w:rsidRPr="00CC4FCD">
        <w:rPr>
          <w:color w:val="000000"/>
          <w:lang w:val="es-ES_tradnl"/>
        </w:rPr>
        <w:lastRenderedPageBreak/>
        <w:t>5.538</w:t>
      </w:r>
    </w:p>
    <w:p w:rsidR="000A21A1" w:rsidRPr="00CC4FCD" w:rsidRDefault="000A21A1">
      <w:pPr>
        <w:rPr>
          <w:color w:val="000000"/>
          <w:lang w:val="es-ES_tradnl"/>
        </w:rPr>
      </w:pPr>
      <w:r w:rsidRPr="00CC4FCD">
        <w:rPr>
          <w:color w:val="000000"/>
          <w:lang w:val="es-ES_tradnl"/>
        </w:rPr>
        <w:t>En lo tocante a las balizas de control de la potencia del enlace ascendente, esta disposición fija un límite de p.i.r.e. «en la dirección de los satélites adyacentes en la órbita de los satélites geoestacionarios».</w:t>
      </w:r>
    </w:p>
    <w:p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rsidR="000A21A1" w:rsidRPr="00CC4FCD" w:rsidRDefault="000A21A1">
      <w:pPr>
        <w:pStyle w:val="Heading8"/>
        <w:rPr>
          <w:color w:val="000000"/>
          <w:lang w:val="es-ES_tradnl"/>
        </w:rPr>
      </w:pPr>
      <w:r w:rsidRPr="00CC4FCD">
        <w:rPr>
          <w:color w:val="000000"/>
          <w:lang w:val="es-ES_tradnl"/>
        </w:rPr>
        <w:t>5.543</w:t>
      </w:r>
    </w:p>
    <w:p w:rsidR="000A21A1" w:rsidRPr="00CC4FCD" w:rsidRDefault="000A21A1">
      <w:pPr>
        <w:rPr>
          <w:color w:val="000000"/>
          <w:lang w:val="es-ES_tradnl"/>
        </w:rPr>
      </w:pPr>
      <w:r w:rsidRPr="00CC4FCD">
        <w:rPr>
          <w:color w:val="000000"/>
          <w:lang w:val="es-ES_tradnl"/>
        </w:rPr>
        <w:t>La Junta estima que esta disposición es como una atribución adicional al servicio de exploración de la Tierra por satélite para enlaces entre satélites. La utilización de las palabras «con fines de telemedida, seguimiento y telemando» conducen a la Junta a interpretar que la utilización está limitada a las operaciones espaciales.</w:t>
      </w:r>
    </w:p>
    <w:p w:rsidR="000A21A1" w:rsidRPr="00CC4FCD" w:rsidRDefault="000A21A1">
      <w:pPr>
        <w:pStyle w:val="Heading8"/>
        <w:rPr>
          <w:color w:val="000000"/>
          <w:lang w:val="es-ES_tradnl"/>
        </w:rPr>
      </w:pPr>
      <w:r w:rsidRPr="00CC4FCD">
        <w:rPr>
          <w:color w:val="000000"/>
          <w:lang w:val="es-ES_tradnl"/>
        </w:rPr>
        <w:t>5.554</w:t>
      </w:r>
    </w:p>
    <w:p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A1686" w:rsidRPr="00CC4FCD">
        <w:rPr>
          <w:color w:val="000000"/>
          <w:lang w:val="es-ES_tradnl"/>
        </w:rPr>
        <w:t xml:space="preserve">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rsidR="000A21A1" w:rsidRPr="00CC4FCD" w:rsidRDefault="000A21A1">
      <w:pPr>
        <w:pStyle w:val="Heading8"/>
        <w:rPr>
          <w:color w:val="000000"/>
          <w:lang w:val="es-ES_tradnl"/>
        </w:rPr>
      </w:pPr>
      <w:r w:rsidRPr="00CC4FCD">
        <w:rPr>
          <w:color w:val="000000"/>
          <w:lang w:val="es-ES_tradnl"/>
        </w:rPr>
        <w:t>5.556</w:t>
      </w:r>
    </w:p>
    <w:p w:rsidR="000A21A1" w:rsidRPr="00CC4FCD" w:rsidRDefault="000A21A1">
      <w:pPr>
        <w:rPr>
          <w:color w:val="000000"/>
          <w:lang w:val="es-ES_tradnl"/>
        </w:rPr>
      </w:pPr>
      <w:r w:rsidRPr="00CC4FCD">
        <w:rPr>
          <w:color w:val="000000"/>
          <w:lang w:val="es-ES_tradnl"/>
        </w:rPr>
        <w:t>No hay ninguna atribución para radioastronomía en las bandas enumeradas en esta disposición. La Junta estima que las palabras «disposiciones nacionales»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rsidR="000A21A1" w:rsidRPr="00CC4FCD" w:rsidRDefault="000A21A1" w:rsidP="00EA1686">
      <w:pPr>
        <w:rPr>
          <w:lang w:val="es-ES_tradnl"/>
        </w:rPr>
      </w:pPr>
    </w:p>
    <w:p w:rsidR="000A21A1" w:rsidRPr="00CC4FCD" w:rsidRDefault="000A21A1">
      <w:pPr>
        <w:jc w:val="center"/>
        <w:rPr>
          <w:color w:val="000000"/>
          <w:lang w:val="es-ES_tradnl"/>
        </w:rPr>
      </w:pPr>
      <w:r w:rsidRPr="00CC4FCD">
        <w:rPr>
          <w:color w:val="000000"/>
          <w:lang w:val="es-ES_tradnl"/>
        </w:rPr>
        <w:t>____________________</w:t>
      </w:r>
    </w:p>
    <w:p w:rsidR="000A21A1" w:rsidRPr="00CC4FCD" w:rsidRDefault="000A21A1" w:rsidP="00EA1686">
      <w:pPr>
        <w:rPr>
          <w:lang w:val="es-ES_tradnl"/>
        </w:rPr>
      </w:pPr>
    </w:p>
    <w:p w:rsidR="000A21A1" w:rsidRPr="00CC4FCD" w:rsidRDefault="000A21A1" w:rsidP="00EA1686">
      <w:pPr>
        <w:rPr>
          <w:lang w:val="es-ES_tradnl"/>
        </w:rPr>
        <w:sectPr w:rsidR="000A21A1" w:rsidRPr="00CC4FCD">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0A21A1" w:rsidRPr="00CC4FCD" w:rsidRDefault="000A21A1" w:rsidP="00EA1686">
      <w:pPr>
        <w:rPr>
          <w:lang w:val="es-ES_tradnl"/>
        </w:rPr>
      </w:pPr>
    </w:p>
    <w:sectPr w:rsidR="000A21A1" w:rsidRPr="00CC4FCD" w:rsidSect="00EA1686">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D36" w:rsidRDefault="00E84D36">
      <w:r>
        <w:separator/>
      </w:r>
    </w:p>
  </w:endnote>
  <w:endnote w:type="continuationSeparator" w:id="0">
    <w:p w:rsidR="00E84D36" w:rsidRDefault="00E84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BE9" w:rsidRDefault="00FA6BE9" w:rsidP="00E84D3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BE9" w:rsidRDefault="00FA6BE9" w:rsidP="00E84D36">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D36" w:rsidRDefault="00E84D36">
      <w:r>
        <w:rPr>
          <w:b/>
        </w:rPr>
        <w:t>_______________</w:t>
      </w:r>
    </w:p>
  </w:footnote>
  <w:footnote w:type="continuationSeparator" w:id="0">
    <w:p w:rsidR="00E84D36" w:rsidRDefault="00E84D36">
      <w:r>
        <w:continuationSeparator/>
      </w:r>
    </w:p>
  </w:footnote>
  <w:footnote w:id="1">
    <w:p w:rsidR="00894766" w:rsidRPr="00FA6BE9" w:rsidRDefault="00894766" w:rsidP="00571D5A">
      <w:pPr>
        <w:pStyle w:val="FootnoteText"/>
        <w:rPr>
          <w:lang w:val="fr-CH"/>
        </w:rPr>
      </w:pPr>
      <w:r w:rsidRPr="00FA6BE9">
        <w:rPr>
          <w:rStyle w:val="FootnoteReference"/>
          <w:szCs w:val="16"/>
          <w:lang w:val="fr-CH"/>
        </w:rPr>
        <w:t>*</w:t>
      </w:r>
      <w:r w:rsidRPr="00FA6BE9">
        <w:rPr>
          <w:lang w:val="fr-CH"/>
        </w:rPr>
        <w:tab/>
        <w:t>En el Prefacio a la Circular Internacional de Información sobre Frecuencias de la BR se explica el significado de estos datos.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FA6BE9" w:rsidTr="00E84D36">
      <w:trPr>
        <w:cantSplit/>
      </w:trPr>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jc w:val="left"/>
            <w:rPr>
              <w:color w:val="000000"/>
              <w:lang w:val="en-US"/>
            </w:rPr>
          </w:pPr>
          <w:r>
            <w:rPr>
              <w:color w:val="000000"/>
              <w:lang w:val="en-US"/>
            </w:rPr>
            <w:t>Part</w:t>
          </w:r>
          <w:r w:rsidR="00544FE8">
            <w:rPr>
              <w:color w:val="000000"/>
              <w:lang w:val="en-US"/>
            </w:rPr>
            <w:t>e</w:t>
          </w:r>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en-US"/>
            </w:rPr>
          </w:pPr>
          <w:fldSimple w:instr=" DOCPROPERTY &quot;Header&quot; \* MERGEFORMAT ">
            <w:r w:rsidR="00B04016" w:rsidRPr="00B0401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3737BE">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544FE8" w:rsidP="00544FE8">
          <w:pPr>
            <w:pStyle w:val="HeaderRegProc"/>
            <w:rPr>
              <w:color w:val="000000"/>
              <w:lang w:val="fr-CH"/>
            </w:rPr>
          </w:pPr>
          <w:r>
            <w:rPr>
              <w:color w:val="000000"/>
              <w:lang w:val="fr-FR"/>
            </w:rPr>
            <w:t>p</w:t>
          </w:r>
          <w:r>
            <w:rPr>
              <w:lang w:val="es-ES_tradnl"/>
            </w:rPr>
            <w:t>á</w:t>
          </w:r>
          <w:r>
            <w:rPr>
              <w:color w:val="000000"/>
              <w:lang w:val="fr-FR"/>
            </w:rPr>
            <w:t xml:space="preserve">gina </w:t>
          </w:r>
          <w:r w:rsidR="00FA6BE9">
            <w:rPr>
              <w:rStyle w:val="PageNumber"/>
            </w:rPr>
            <w:fldChar w:fldCharType="begin"/>
          </w:r>
          <w:r w:rsidR="00FA6BE9">
            <w:rPr>
              <w:rStyle w:val="PageNumber"/>
            </w:rPr>
            <w:instrText xml:space="preserve">PAGE  </w:instrText>
          </w:r>
          <w:r w:rsidR="00FA6BE9">
            <w:rPr>
              <w:rStyle w:val="PageNumber"/>
            </w:rPr>
            <w:fldChar w:fldCharType="separate"/>
          </w:r>
          <w:r w:rsidR="003737BE">
            <w:rPr>
              <w:rStyle w:val="PageNumber"/>
              <w:noProof/>
            </w:rPr>
            <w:t>18</w:t>
          </w:r>
          <w:r w:rsidR="00FA6BE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fr-CH"/>
            </w:rPr>
          </w:pPr>
          <w:r>
            <w:rPr>
              <w:color w:val="000000"/>
              <w:lang w:val="fr-CH"/>
            </w:rPr>
            <w:t>rev.</w:t>
          </w:r>
          <w:r>
            <w:rPr>
              <w:color w:val="000000"/>
            </w:rPr>
            <w:t>-</w:t>
          </w:r>
        </w:p>
      </w:tc>
    </w:tr>
  </w:tbl>
  <w:p w:rsidR="00FA6BE9" w:rsidRPr="00BA2AB6" w:rsidRDefault="00FA6BE9" w:rsidP="00E84D36">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1A1" w:rsidRDefault="000A21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FA6BE9">
      <w:trPr>
        <w:cantSplit/>
        <w:jc w:val="right"/>
      </w:trPr>
      <w:tc>
        <w:tcPr>
          <w:tcW w:w="1701" w:type="dxa"/>
          <w:tcBorders>
            <w:top w:val="single" w:sz="6" w:space="0" w:color="auto"/>
            <w:left w:val="single" w:sz="6" w:space="0" w:color="auto"/>
            <w:bottom w:val="single" w:sz="6" w:space="0" w:color="auto"/>
            <w:right w:val="single" w:sz="6" w:space="0" w:color="auto"/>
          </w:tcBorders>
        </w:tcPr>
        <w:p w:rsidR="00FA6BE9" w:rsidRDefault="00FA6BE9">
          <w:pPr>
            <w:pStyle w:val="HeaderRegProc"/>
            <w:rPr>
              <w:color w:val="000000"/>
              <w:lang w:val="en-US"/>
            </w:rPr>
          </w:pPr>
          <w:r>
            <w:rPr>
              <w:color w:val="000000"/>
              <w:lang w:val="en-US"/>
            </w:rPr>
            <w:t>Part</w:t>
          </w:r>
          <w:r w:rsidR="00544FE8">
            <w:rPr>
              <w:color w:val="000000"/>
              <w:lang w:val="en-US"/>
            </w:rPr>
            <w:t>e</w:t>
          </w:r>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FA6BE9" w:rsidRDefault="00FA6BE9">
          <w:pPr>
            <w:pStyle w:val="HeaderRegProc"/>
            <w:rPr>
              <w:color w:val="000000"/>
              <w:lang w:val="en-US"/>
            </w:rPr>
          </w:pPr>
          <w:fldSimple w:instr=" DOCPROPERTY &quot;Header&quot; \* MERGEFORMAT ">
            <w:r w:rsidR="00B04016" w:rsidRPr="00B0401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3737BE">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544FE8">
          <w:pPr>
            <w:pStyle w:val="HeaderRegProc"/>
            <w:rPr>
              <w:color w:val="000000"/>
              <w:lang w:val="fr-CH"/>
            </w:rPr>
          </w:pPr>
          <w:r>
            <w:rPr>
              <w:color w:val="000000"/>
              <w:lang w:val="fr-FR"/>
            </w:rPr>
            <w:t>p</w:t>
          </w:r>
          <w:r w:rsidR="00544FE8">
            <w:rPr>
              <w:lang w:val="es-ES_tradnl"/>
            </w:rPr>
            <w:t>á</w:t>
          </w:r>
          <w:r>
            <w:rPr>
              <w:color w:val="000000"/>
              <w:lang w:val="fr-FR"/>
            </w:rPr>
            <w:t>g</w:t>
          </w:r>
          <w:r w:rsidR="00544FE8">
            <w:rPr>
              <w:color w:val="000000"/>
              <w:lang w:val="fr-FR"/>
            </w:rPr>
            <w:t>ina</w:t>
          </w:r>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sidR="003737BE">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fr-CH"/>
            </w:rPr>
          </w:pPr>
          <w:r>
            <w:rPr>
              <w:color w:val="000000"/>
              <w:lang w:val="fr-CH"/>
            </w:rPr>
            <w:t>rev.</w:t>
          </w:r>
          <w:r>
            <w:rPr>
              <w:color w:val="000000"/>
            </w:rPr>
            <w:t>-</w:t>
          </w:r>
        </w:p>
      </w:tc>
    </w:tr>
  </w:tbl>
  <w:p w:rsidR="00FA6BE9" w:rsidRDefault="00FA6BE9">
    <w:pPr>
      <w:pStyle w:val="Header"/>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FA6BE9">
      <w:trPr>
        <w:cantSplit/>
        <w:jc w:val="right"/>
      </w:trPr>
      <w:tc>
        <w:tcPr>
          <w:tcW w:w="1701" w:type="dxa"/>
          <w:tcBorders>
            <w:top w:val="single" w:sz="6" w:space="0" w:color="auto"/>
            <w:left w:val="single" w:sz="6" w:space="0" w:color="auto"/>
            <w:bottom w:val="single" w:sz="6" w:space="0" w:color="auto"/>
            <w:right w:val="single" w:sz="6" w:space="0" w:color="auto"/>
          </w:tcBorders>
        </w:tcPr>
        <w:p w:rsidR="00FA6BE9" w:rsidRDefault="00FA6BE9">
          <w:pPr>
            <w:pStyle w:val="HeaderRegProc"/>
            <w:rPr>
              <w:color w:val="000000"/>
              <w:lang w:val="en-US"/>
            </w:rPr>
          </w:pPr>
          <w:r>
            <w:rPr>
              <w:color w:val="000000"/>
              <w:lang w:val="en-US"/>
            </w:rPr>
            <w:t>Part</w:t>
          </w:r>
          <w:r w:rsidR="00544FE8">
            <w:rPr>
              <w:color w:val="000000"/>
              <w:lang w:val="en-US"/>
            </w:rPr>
            <w:t>e</w:t>
          </w:r>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FA6BE9" w:rsidRDefault="00FA6BE9">
          <w:pPr>
            <w:pStyle w:val="HeaderRegProc"/>
            <w:rPr>
              <w:color w:val="000000"/>
              <w:lang w:val="en-US"/>
            </w:rPr>
          </w:pPr>
          <w:fldSimple w:instr=" DOCPROPERTY &quot;Header&quot; \* MERGEFORMAT ">
            <w:r w:rsidR="00B04016" w:rsidRPr="00B0401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3737BE">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544FE8">
          <w:pPr>
            <w:pStyle w:val="HeaderRegProc"/>
            <w:rPr>
              <w:color w:val="000000"/>
              <w:lang w:val="fr-CH"/>
            </w:rPr>
          </w:pPr>
          <w:r>
            <w:rPr>
              <w:color w:val="000000"/>
              <w:lang w:val="fr-FR"/>
            </w:rPr>
            <w:t>p</w:t>
          </w:r>
          <w:r>
            <w:rPr>
              <w:lang w:val="es-ES_tradnl"/>
            </w:rPr>
            <w:t>á</w:t>
          </w:r>
          <w:r>
            <w:rPr>
              <w:color w:val="000000"/>
              <w:lang w:val="fr-FR"/>
            </w:rPr>
            <w:t>gina</w:t>
          </w:r>
          <w:r w:rsidR="00FA6BE9">
            <w:rPr>
              <w:color w:val="000000"/>
              <w:lang w:val="fr-FR"/>
            </w:rPr>
            <w:t xml:space="preserve"> </w:t>
          </w:r>
          <w:r w:rsidR="00FA6BE9">
            <w:rPr>
              <w:rStyle w:val="PageNumber"/>
            </w:rPr>
            <w:fldChar w:fldCharType="begin"/>
          </w:r>
          <w:r w:rsidR="00FA6BE9">
            <w:rPr>
              <w:rStyle w:val="PageNumber"/>
            </w:rPr>
            <w:instrText xml:space="preserve">PAGE  </w:instrText>
          </w:r>
          <w:r w:rsidR="00FA6BE9">
            <w:rPr>
              <w:rStyle w:val="PageNumber"/>
            </w:rPr>
            <w:fldChar w:fldCharType="separate"/>
          </w:r>
          <w:r w:rsidR="003737BE">
            <w:rPr>
              <w:rStyle w:val="PageNumber"/>
              <w:noProof/>
            </w:rPr>
            <w:t>19</w:t>
          </w:r>
          <w:r w:rsidR="00FA6BE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fr-CH"/>
            </w:rPr>
          </w:pPr>
          <w:r>
            <w:rPr>
              <w:color w:val="000000"/>
              <w:lang w:val="fr-CH"/>
            </w:rPr>
            <w:t>rev.</w:t>
          </w:r>
          <w:r>
            <w:rPr>
              <w:color w:val="000000"/>
            </w:rPr>
            <w:t>1</w:t>
          </w:r>
        </w:p>
      </w:tc>
    </w:tr>
  </w:tbl>
  <w:p w:rsidR="00FA6BE9" w:rsidRDefault="00FA6BE9">
    <w:pPr>
      <w:pStyle w:val="Header"/>
      <w:rPr>
        <w:color w:val="00000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FA6BE9" w:rsidTr="00E84D36">
      <w:trPr>
        <w:cantSplit/>
      </w:trPr>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jc w:val="left"/>
            <w:rPr>
              <w:color w:val="000000"/>
              <w:lang w:val="en-US"/>
            </w:rPr>
          </w:pPr>
          <w:r>
            <w:rPr>
              <w:color w:val="000000"/>
              <w:lang w:val="en-US"/>
            </w:rPr>
            <w:t>Part</w:t>
          </w:r>
          <w:r w:rsidR="00544FE8">
            <w:rPr>
              <w:color w:val="000000"/>
              <w:lang w:val="en-US"/>
            </w:rPr>
            <w:t>e</w:t>
          </w:r>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en-US"/>
            </w:rPr>
          </w:pPr>
          <w:fldSimple w:instr=" DOCPROPERTY &quot;Header&quot; \* MERGEFORMAT ">
            <w:r w:rsidR="00B04016" w:rsidRPr="00B0401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3737BE">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544FE8" w:rsidP="00E84D36">
          <w:pPr>
            <w:pStyle w:val="HeaderRegProc"/>
            <w:rPr>
              <w:color w:val="000000"/>
              <w:lang w:val="fr-CH"/>
            </w:rPr>
          </w:pPr>
          <w:r>
            <w:rPr>
              <w:color w:val="000000"/>
              <w:lang w:val="fr-FR"/>
            </w:rPr>
            <w:t>p</w:t>
          </w:r>
          <w:r>
            <w:rPr>
              <w:lang w:val="es-ES_tradnl"/>
            </w:rPr>
            <w:t>á</w:t>
          </w:r>
          <w:r>
            <w:rPr>
              <w:color w:val="000000"/>
              <w:lang w:val="fr-FR"/>
            </w:rPr>
            <w:t>gina</w:t>
          </w:r>
          <w:r>
            <w:rPr>
              <w:rStyle w:val="PageNumber"/>
            </w:rPr>
            <w:t xml:space="preserve"> </w:t>
          </w:r>
          <w:r w:rsidR="00FA6BE9">
            <w:rPr>
              <w:rStyle w:val="PageNumber"/>
            </w:rPr>
            <w:t>19</w:t>
          </w:r>
          <w:r w:rsidR="00FA6BE9" w:rsidRPr="005D0D07">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fr-CH"/>
            </w:rPr>
          </w:pPr>
          <w:r>
            <w:rPr>
              <w:color w:val="000000"/>
              <w:lang w:val="fr-CH"/>
            </w:rPr>
            <w:t>rev.</w:t>
          </w:r>
          <w:r>
            <w:rPr>
              <w:color w:val="000000"/>
            </w:rPr>
            <w:t>1</w:t>
          </w:r>
        </w:p>
      </w:tc>
    </w:tr>
  </w:tbl>
  <w:p w:rsidR="00FA6BE9" w:rsidRPr="00BA2AB6" w:rsidRDefault="00FA6BE9" w:rsidP="00E84D3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FA6BE9" w:rsidTr="00E84D36">
      <w:trPr>
        <w:cantSplit/>
      </w:trPr>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jc w:val="left"/>
            <w:rPr>
              <w:color w:val="000000"/>
              <w:lang w:val="en-US"/>
            </w:rPr>
          </w:pPr>
          <w:r>
            <w:rPr>
              <w:color w:val="000000"/>
              <w:lang w:val="en-US"/>
            </w:rPr>
            <w:t>Part</w:t>
          </w:r>
          <w:r w:rsidR="00544FE8">
            <w:rPr>
              <w:color w:val="000000"/>
              <w:lang w:val="en-US"/>
            </w:rPr>
            <w:t>e</w:t>
          </w:r>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en-US"/>
            </w:rPr>
          </w:pPr>
          <w:fldSimple w:instr=" DOCPROPERTY &quot;Header&quot; \* MERGEFORMAT ">
            <w:r w:rsidR="00B04016" w:rsidRPr="00B0401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3737BE">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A6BE9" w:rsidRDefault="00544FE8" w:rsidP="00E84D36">
          <w:pPr>
            <w:pStyle w:val="HeaderRegProc"/>
            <w:rPr>
              <w:color w:val="000000"/>
              <w:lang w:val="fr-CH"/>
            </w:rPr>
          </w:pPr>
          <w:r>
            <w:rPr>
              <w:color w:val="000000"/>
              <w:lang w:val="fr-FR"/>
            </w:rPr>
            <w:t>p</w:t>
          </w:r>
          <w:r>
            <w:rPr>
              <w:lang w:val="es-ES_tradnl"/>
            </w:rPr>
            <w:t>á</w:t>
          </w:r>
          <w:r>
            <w:rPr>
              <w:color w:val="000000"/>
              <w:lang w:val="fr-FR"/>
            </w:rPr>
            <w:t>gina</w:t>
          </w:r>
          <w:r>
            <w:rPr>
              <w:rStyle w:val="PageNumber"/>
            </w:rPr>
            <w:t xml:space="preserve"> </w:t>
          </w:r>
          <w:r w:rsidR="00FA6BE9">
            <w:rPr>
              <w:rStyle w:val="PageNumber"/>
            </w:rPr>
            <w:t>20</w:t>
          </w:r>
        </w:p>
      </w:tc>
      <w:tc>
        <w:tcPr>
          <w:tcW w:w="1701" w:type="dxa"/>
          <w:tcBorders>
            <w:top w:val="single" w:sz="6" w:space="0" w:color="auto"/>
            <w:left w:val="single" w:sz="6" w:space="0" w:color="auto"/>
            <w:bottom w:val="single" w:sz="6" w:space="0" w:color="auto"/>
            <w:right w:val="single" w:sz="6" w:space="0" w:color="auto"/>
          </w:tcBorders>
        </w:tcPr>
        <w:p w:rsidR="00FA6BE9" w:rsidRDefault="00FA6BE9" w:rsidP="00E84D36">
          <w:pPr>
            <w:pStyle w:val="HeaderRegProc"/>
            <w:rPr>
              <w:color w:val="000000"/>
              <w:lang w:val="fr-CH"/>
            </w:rPr>
          </w:pPr>
          <w:r>
            <w:rPr>
              <w:color w:val="000000"/>
              <w:lang w:val="fr-CH"/>
            </w:rPr>
            <w:t>rev.</w:t>
          </w:r>
          <w:r>
            <w:rPr>
              <w:color w:val="000000"/>
            </w:rPr>
            <w:t>1</w:t>
          </w:r>
        </w:p>
      </w:tc>
    </w:tr>
  </w:tbl>
  <w:p w:rsidR="00FA6BE9" w:rsidRPr="00BA2AB6" w:rsidRDefault="00FA6BE9" w:rsidP="00E84D3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1A1" w:rsidRPr="00EE09F0" w:rsidRDefault="00EE09F0" w:rsidP="00EE09F0">
    <w:pPr>
      <w:pStyle w:val="Header"/>
    </w:pPr>
    <w:r>
      <w:rPr>
        <w:noProof/>
        <w:lang w:val="en-US" w:eastAsia="zh-CN"/>
      </w:rPr>
      <w:pict>
        <v:shapetype id="_x0000_t202" coordsize="21600,21600" o:spt="202" path="m,l,21600r21600,l21600,xe">
          <v:stroke joinstyle="miter"/>
          <v:path gradientshapeok="t" o:connecttype="rect"/>
        </v:shapetype>
        <v:shape id="_x0000_s1028" type="#_x0000_t202" style="position:absolute;left:0;text-align:left;margin-left:714.1pt;margin-top:18.4pt;width:36pt;height:450.7pt;z-index:251657728" stroked="f" strokecolor="red">
          <v:textbox style="mso-next-textbox:#_x0000_s102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tblPr>
                <w:tblGrid>
                  <w:gridCol w:w="255"/>
                </w:tblGrid>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r>
                        <w:rPr>
                          <w:lang w:val="es-ES_tradnl"/>
                        </w:rPr>
                        <w:t>Parte A1</w:t>
                      </w:r>
                    </w:p>
                  </w:tc>
                </w:tr>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fldSimple w:instr=" DOCPROPERTY &quot;Header&quot; \* MERGEFORMAT ">
                        <w:r w:rsidR="00B04016">
                          <w:rPr>
                            <w:lang w:val="es-ES_tradnl"/>
                          </w:rPr>
                          <w:t>AR</w:t>
                        </w:r>
                      </w:fldSimple>
                      <w:r>
                        <w:fldChar w:fldCharType="begin"/>
                      </w:r>
                      <w:r>
                        <w:rPr>
                          <w:lang w:val="es-ES_tradnl"/>
                        </w:rPr>
                        <w:instrText>styleref href2</w:instrText>
                      </w:r>
                      <w:r>
                        <w:fldChar w:fldCharType="separate"/>
                      </w:r>
                      <w:r w:rsidR="00B04016">
                        <w:rPr>
                          <w:noProof/>
                          <w:lang w:val="es-ES_tradnl"/>
                        </w:rPr>
                        <w:t>5</w:t>
                      </w:r>
                      <w:r>
                        <w:fldChar w:fldCharType="end"/>
                      </w:r>
                    </w:p>
                  </w:tc>
                </w:tr>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r>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r>
                        <w:rPr>
                          <w:lang w:val="es-ES_tradnl"/>
                        </w:rPr>
                        <w:t>rev.</w:t>
                      </w:r>
                      <w:r>
                        <w:t>4</w:t>
                      </w:r>
                    </w:p>
                  </w:tc>
                </w:tr>
              </w:tbl>
              <w:p w:rsidR="00EE09F0" w:rsidRDefault="00EE09F0" w:rsidP="00EE09F0">
                <w:pPr>
                  <w:rPr>
                    <w:lang w:val="es-ES_tradnl"/>
                  </w:rPr>
                </w:pPr>
              </w:p>
            </w:txbxContent>
          </v:textbox>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1A1" w:rsidRDefault="000A21A1">
    <w:pPr>
      <w:pStyle w:val="Header"/>
    </w:pPr>
    <w:r>
      <w:rPr>
        <w:noProof/>
        <w:sz w:val="20"/>
        <w:lang w:val="en-US"/>
      </w:rPr>
      <w:pict>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6704" stroked="f" strokecolor="red">
          <v:textbox style="mso-next-textbox:#_x0000_s1025" inset="0,0,0,0">
            <w:txbxContent>
              <w:p w:rsidR="000A21A1" w:rsidRDefault="000A21A1">
                <w:pPr>
                  <w:pStyle w:val="listitem"/>
                  <w:keepLines w:val="0"/>
                  <w:rPr>
                    <w:sz w:val="16"/>
                  </w:rPr>
                </w:pPr>
              </w:p>
              <w:p w:rsidR="000A21A1" w:rsidRDefault="000A21A1">
                <w:pPr>
                  <w:pStyle w:val="listitem"/>
                  <w:keepLines w:val="0"/>
                  <w:spacing w:before="190"/>
                  <w:rPr>
                    <w:sz w:val="16"/>
                  </w:rPr>
                </w:pPr>
              </w:p>
              <w:p w:rsidR="000A21A1" w:rsidRDefault="000A21A1">
                <w:pPr>
                  <w:pStyle w:val="listitem"/>
                  <w:keepLines w:val="0"/>
                  <w:spacing w:before="190"/>
                  <w:rPr>
                    <w:sz w:val="16"/>
                  </w:rPr>
                </w:pPr>
              </w:p>
              <w:p w:rsidR="000A21A1" w:rsidRDefault="000A21A1">
                <w:pPr>
                  <w:pStyle w:val="listitem"/>
                  <w:keepLines w:val="0"/>
                  <w:spacing w:before="190"/>
                  <w:rPr>
                    <w:sz w:val="16"/>
                  </w:rPr>
                </w:pPr>
              </w:p>
              <w:p w:rsidR="000A21A1" w:rsidRDefault="000A21A1">
                <w:pPr>
                  <w:pStyle w:val="listitem"/>
                  <w:keepLines w:val="0"/>
                  <w:spacing w:before="190"/>
                  <w:rPr>
                    <w:sz w:val="16"/>
                  </w:rPr>
                </w:pPr>
              </w:p>
              <w:p w:rsidR="000A21A1" w:rsidRDefault="000A21A1">
                <w:pPr>
                  <w:pStyle w:val="listitem"/>
                  <w:keepLines w:val="0"/>
                  <w:rPr>
                    <w:sz w:val="16"/>
                  </w:rPr>
                </w:pPr>
              </w:p>
              <w:p w:rsidR="000A21A1" w:rsidRDefault="000A21A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tblPr>
                <w:tblGrid>
                  <w:gridCol w:w="255"/>
                </w:tblGrid>
                <w:tr w:rsidR="000A21A1">
                  <w:trPr>
                    <w:cantSplit/>
                    <w:trHeight w:hRule="exact" w:val="1605"/>
                    <w:jc w:val="right"/>
                  </w:trPr>
                  <w:tc>
                    <w:tcPr>
                      <w:tcW w:w="255" w:type="dxa"/>
                      <w:textDirection w:val="tbRl"/>
                    </w:tcPr>
                    <w:p w:rsidR="000A21A1" w:rsidRDefault="000A21A1">
                      <w:pPr>
                        <w:pStyle w:val="HeaderRegProc"/>
                        <w:spacing w:before="0"/>
                        <w:ind w:left="0"/>
                        <w:rPr>
                          <w:lang w:val="es-ES_tradnl"/>
                        </w:rPr>
                      </w:pPr>
                      <w:r>
                        <w:rPr>
                          <w:lang w:val="es-ES_tradnl"/>
                        </w:rPr>
                        <w:t>Parte A1</w:t>
                      </w:r>
                    </w:p>
                  </w:tc>
                </w:tr>
                <w:tr w:rsidR="000A21A1">
                  <w:trPr>
                    <w:cantSplit/>
                    <w:trHeight w:hRule="exact" w:val="1605"/>
                    <w:jc w:val="right"/>
                  </w:trPr>
                  <w:tc>
                    <w:tcPr>
                      <w:tcW w:w="255" w:type="dxa"/>
                      <w:textDirection w:val="tbRl"/>
                    </w:tcPr>
                    <w:p w:rsidR="000A21A1" w:rsidRDefault="000A21A1">
                      <w:pPr>
                        <w:pStyle w:val="HeaderRegProc"/>
                        <w:spacing w:before="0"/>
                        <w:ind w:left="0"/>
                        <w:rPr>
                          <w:lang w:val="es-ES_tradnl"/>
                        </w:rPr>
                      </w:pPr>
                      <w:fldSimple w:instr=" DOCPROPERTY &quot;Header&quot; \* MERGEFORMAT ">
                        <w:r w:rsidR="00B04016">
                          <w:rPr>
                            <w:lang w:val="es-ES_tradnl"/>
                          </w:rPr>
                          <w:t>AR</w:t>
                        </w:r>
                      </w:fldSimple>
                      <w:r>
                        <w:fldChar w:fldCharType="begin"/>
                      </w:r>
                      <w:r>
                        <w:rPr>
                          <w:lang w:val="es-ES_tradnl"/>
                        </w:rPr>
                        <w:instrText>styleref href2</w:instrText>
                      </w:r>
                      <w:r>
                        <w:fldChar w:fldCharType="separate"/>
                      </w:r>
                      <w:r w:rsidR="003737BE">
                        <w:rPr>
                          <w:noProof/>
                        </w:rPr>
                        <w:t>5</w:t>
                      </w:r>
                      <w:r>
                        <w:fldChar w:fldCharType="end"/>
                      </w:r>
                    </w:p>
                  </w:tc>
                </w:tr>
                <w:tr w:rsidR="000A21A1">
                  <w:trPr>
                    <w:cantSplit/>
                    <w:trHeight w:hRule="exact" w:val="1605"/>
                    <w:jc w:val="right"/>
                  </w:trPr>
                  <w:tc>
                    <w:tcPr>
                      <w:tcW w:w="255" w:type="dxa"/>
                      <w:textDirection w:val="tbRl"/>
                    </w:tcPr>
                    <w:p w:rsidR="000A21A1" w:rsidRDefault="000A21A1">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sidR="003737BE">
                        <w:rPr>
                          <w:rStyle w:val="PageNumber"/>
                          <w:noProof/>
                          <w:lang w:val="es-ES_tradnl"/>
                        </w:rPr>
                        <w:t>21</w:t>
                      </w:r>
                      <w:r>
                        <w:rPr>
                          <w:rStyle w:val="PageNumber"/>
                        </w:rPr>
                        <w:fldChar w:fldCharType="end"/>
                      </w:r>
                    </w:p>
                  </w:tc>
                </w:tr>
                <w:tr w:rsidR="000A21A1">
                  <w:trPr>
                    <w:cantSplit/>
                    <w:trHeight w:hRule="exact" w:val="1605"/>
                    <w:jc w:val="right"/>
                  </w:trPr>
                  <w:tc>
                    <w:tcPr>
                      <w:tcW w:w="255" w:type="dxa"/>
                      <w:textDirection w:val="tbRl"/>
                    </w:tcPr>
                    <w:p w:rsidR="000A21A1" w:rsidRDefault="000A21A1">
                      <w:pPr>
                        <w:pStyle w:val="HeaderRegProc"/>
                        <w:spacing w:before="0"/>
                        <w:ind w:left="0"/>
                        <w:rPr>
                          <w:lang w:val="fr-CH"/>
                        </w:rPr>
                      </w:pPr>
                      <w:r>
                        <w:rPr>
                          <w:lang w:val="es-ES_tradnl"/>
                        </w:rPr>
                        <w:t>rev.</w:t>
                      </w:r>
                      <w:fldSimple w:instr=" DOCPROPERTY &quot;Header10&quot; \* MERGEFORMAT ">
                        <w:r w:rsidR="00B04016" w:rsidRPr="00B04016">
                          <w:rPr>
                            <w:lang w:val="fr-CH"/>
                          </w:rPr>
                          <w:t>-</w:t>
                        </w:r>
                      </w:fldSimple>
                    </w:p>
                  </w:tc>
                </w:tr>
              </w:tbl>
              <w:p w:rsidR="000A21A1" w:rsidRDefault="000A21A1">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EE09F0">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E09F0" w:rsidRDefault="00EE09F0"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EE09F0" w:rsidRDefault="00EE09F0" w:rsidP="000A21A1">
          <w:pPr>
            <w:pStyle w:val="HeaderRegProc"/>
            <w:rPr>
              <w:lang w:val="es-ES_tradnl"/>
            </w:rPr>
          </w:pPr>
          <w:fldSimple w:instr=" DOCPROPERTY &quot;Header&quot; \* MERGEFORMAT ">
            <w:r w:rsidR="00B04016">
              <w:t>AR</w:t>
            </w:r>
          </w:fldSimple>
          <w:fldSimple w:instr="styleref href2">
            <w:r w:rsidR="003737BE">
              <w:rPr>
                <w:noProof/>
              </w:rPr>
              <w:t>5</w:t>
            </w:r>
          </w:fldSimple>
        </w:p>
      </w:tc>
      <w:tc>
        <w:tcPr>
          <w:tcW w:w="1701" w:type="dxa"/>
          <w:tcBorders>
            <w:top w:val="single" w:sz="6" w:space="0" w:color="auto"/>
            <w:left w:val="single" w:sz="6" w:space="0" w:color="auto"/>
            <w:bottom w:val="single" w:sz="6" w:space="0" w:color="auto"/>
            <w:right w:val="single" w:sz="6" w:space="0" w:color="auto"/>
          </w:tcBorders>
        </w:tcPr>
        <w:p w:rsidR="00EE09F0" w:rsidRDefault="00EE09F0" w:rsidP="000A21A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3737BE">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E09F0" w:rsidRDefault="00EE09F0" w:rsidP="000A21A1">
          <w:pPr>
            <w:pStyle w:val="HeaderRegProc"/>
            <w:rPr>
              <w:lang w:val="fr-CH"/>
            </w:rPr>
          </w:pPr>
          <w:r>
            <w:rPr>
              <w:lang w:val="fr-CH"/>
            </w:rPr>
            <w:t>rev.</w:t>
          </w:r>
          <w:fldSimple w:instr=" DOCPROPERTY &quot;Header10&quot; \* MERGEFORMAT ">
            <w:r w:rsidR="00B04016">
              <w:rPr>
                <w:lang w:val="fr-CH"/>
              </w:rPr>
              <w:t>-</w:t>
            </w:r>
          </w:fldSimple>
        </w:p>
      </w:tc>
    </w:tr>
  </w:tbl>
  <w:p w:rsidR="00EE09F0" w:rsidRPr="00EE09F0" w:rsidRDefault="00EE09F0" w:rsidP="00EE09F0">
    <w:pPr>
      <w:pStyle w:val="Header"/>
    </w:pPr>
    <w:r>
      <w:rPr>
        <w:noProof/>
        <w:lang w:val="en-US" w:eastAsia="zh-CN"/>
      </w:rPr>
      <w:pict>
        <v:shapetype id="_x0000_t202" coordsize="21600,21600" o:spt="202" path="m,l,21600r21600,l21600,xe">
          <v:stroke joinstyle="miter"/>
          <v:path gradientshapeok="t" o:connecttype="rect"/>
        </v:shapetype>
        <v:shape id="_x0000_s1029" type="#_x0000_t202" style="position:absolute;left:0;text-align:left;margin-left:714.1pt;margin-top:18.4pt;width:36pt;height:450.7pt;z-index:251658752;mso-position-horizontal-relative:text;mso-position-vertical-relative:text" stroked="f" strokecolor="red">
          <v:textbox style="mso-next-textbox:#_x0000_s102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tblPr>
                <w:tblGrid>
                  <w:gridCol w:w="255"/>
                </w:tblGrid>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r>
                        <w:rPr>
                          <w:lang w:val="es-ES_tradnl"/>
                        </w:rPr>
                        <w:t>Parte A1</w:t>
                      </w:r>
                    </w:p>
                  </w:tc>
                </w:tr>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fldSimple w:instr=" DOCPROPERTY &quot;Header&quot; \* MERGEFORMAT ">
                        <w:r w:rsidR="00B04016">
                          <w:rPr>
                            <w:lang w:val="es-ES_tradnl"/>
                          </w:rPr>
                          <w:t>AR</w:t>
                        </w:r>
                      </w:fldSimple>
                      <w:r>
                        <w:fldChar w:fldCharType="begin"/>
                      </w:r>
                      <w:r>
                        <w:rPr>
                          <w:lang w:val="es-ES_tradnl"/>
                        </w:rPr>
                        <w:instrText>styleref href2</w:instrText>
                      </w:r>
                      <w:r>
                        <w:fldChar w:fldCharType="separate"/>
                      </w:r>
                      <w:r w:rsidR="003737BE">
                        <w:rPr>
                          <w:noProof/>
                        </w:rPr>
                        <w:t>5</w:t>
                      </w:r>
                      <w:r>
                        <w:fldChar w:fldCharType="end"/>
                      </w:r>
                    </w:p>
                  </w:tc>
                </w:tr>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3737BE">
                        <w:rPr>
                          <w:rStyle w:val="PageNumber"/>
                          <w:noProof/>
                        </w:rPr>
                        <w:t>22</w:t>
                      </w:r>
                      <w:r>
                        <w:rPr>
                          <w:rStyle w:val="PageNumber"/>
                        </w:rPr>
                        <w:fldChar w:fldCharType="end"/>
                      </w:r>
                    </w:p>
                  </w:tc>
                </w:tr>
                <w:tr w:rsidR="00EE09F0">
                  <w:trPr>
                    <w:cantSplit/>
                    <w:trHeight w:hRule="exact" w:val="1605"/>
                    <w:jc w:val="right"/>
                  </w:trPr>
                  <w:tc>
                    <w:tcPr>
                      <w:tcW w:w="255" w:type="dxa"/>
                      <w:textDirection w:val="tbRl"/>
                    </w:tcPr>
                    <w:p w:rsidR="00EE09F0" w:rsidRDefault="00EE09F0">
                      <w:pPr>
                        <w:pStyle w:val="HeaderRegProc"/>
                        <w:spacing w:before="0"/>
                        <w:ind w:left="0"/>
                        <w:rPr>
                          <w:lang w:val="es-ES_tradnl"/>
                        </w:rPr>
                      </w:pPr>
                      <w:r>
                        <w:rPr>
                          <w:lang w:val="es-ES_tradnl"/>
                        </w:rPr>
                        <w:t>rev.</w:t>
                      </w:r>
                      <w:r>
                        <w:t>4</w:t>
                      </w:r>
                    </w:p>
                  </w:tc>
                </w:tr>
              </w:tbl>
              <w:p w:rsidR="00EE09F0" w:rsidRDefault="00EE09F0" w:rsidP="00EE09F0">
                <w:pPr>
                  <w:rPr>
                    <w:lang w:val="es-ES_tradnl"/>
                  </w:rPr>
                </w:pPr>
              </w:p>
            </w:txbxContent>
          </v:textbox>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0A21A1">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0A21A1" w:rsidRDefault="000A21A1">
          <w:pPr>
            <w:pStyle w:val="HeaderRegProc"/>
          </w:pPr>
          <w:r>
            <w:t xml:space="preserve">Parte </w:t>
          </w:r>
          <w:r>
            <w:fldChar w:fldCharType="begin"/>
          </w:r>
          <w:r>
            <w:instrText>styleref href</w:instrText>
          </w:r>
          <w:r>
            <w:fldChar w:fldCharType="separate"/>
          </w:r>
          <w:r w:rsidR="00B04016">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A21A1" w:rsidRDefault="000A21A1">
          <w:pPr>
            <w:pStyle w:val="HeaderRegProc"/>
            <w:rPr>
              <w:lang w:val="fr-FR"/>
            </w:rPr>
          </w:pPr>
          <w:fldSimple w:instr=" DOCPROPERTY &quot;Header&quot; \* MERGEFORMAT ">
            <w:r w:rsidR="00B04016">
              <w:t>AR</w:t>
            </w:r>
          </w:fldSimple>
          <w:fldSimple w:instr="styleref href2">
            <w:r w:rsidR="00B04016">
              <w:rPr>
                <w:noProof/>
              </w:rPr>
              <w:t>5</w:t>
            </w:r>
          </w:fldSimple>
        </w:p>
      </w:tc>
      <w:tc>
        <w:tcPr>
          <w:tcW w:w="1701" w:type="dxa"/>
          <w:tcBorders>
            <w:top w:val="single" w:sz="6" w:space="0" w:color="auto"/>
            <w:left w:val="single" w:sz="6" w:space="0" w:color="auto"/>
            <w:bottom w:val="single" w:sz="6" w:space="0" w:color="auto"/>
            <w:right w:val="single" w:sz="6" w:space="0" w:color="auto"/>
          </w:tcBorders>
        </w:tcPr>
        <w:p w:rsidR="000A21A1" w:rsidRDefault="000A21A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E09F0">
            <w:rPr>
              <w:rStyle w:val="PageNumber"/>
              <w:noProof/>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A21A1" w:rsidRDefault="000A21A1">
          <w:pPr>
            <w:pStyle w:val="HeaderRegProc"/>
            <w:rPr>
              <w:lang w:val="fr-CH"/>
            </w:rPr>
          </w:pPr>
          <w:r>
            <w:rPr>
              <w:lang w:val="fr-CH"/>
            </w:rPr>
            <w:t>rev.</w:t>
          </w:r>
          <w:fldSimple w:instr=" DOCPROPERTY &quot;Header10&quot; \* MERGEFORMAT ">
            <w:r w:rsidR="00B04016">
              <w:rPr>
                <w:lang w:val="fr-CH"/>
              </w:rPr>
              <w:t>-</w:t>
            </w:r>
          </w:fldSimple>
        </w:p>
      </w:tc>
    </w:tr>
  </w:tbl>
  <w:p w:rsidR="000A21A1" w:rsidRDefault="000A21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attachedTemplate r:id="rId1"/>
  <w:stylePaneFormatFilter w:val="3F01"/>
  <w:doNotTrackMoves/>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o:shapelayout v:ext="edit">
      <o:idmap v:ext="edit" data="1"/>
    </o:shapelayout>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728"/>
    <w:rsid w:val="00050097"/>
    <w:rsid w:val="000506E0"/>
    <w:rsid w:val="00071EC6"/>
    <w:rsid w:val="00072ED0"/>
    <w:rsid w:val="00080F1E"/>
    <w:rsid w:val="000A0725"/>
    <w:rsid w:val="000A1EF1"/>
    <w:rsid w:val="000A21A1"/>
    <w:rsid w:val="000C1033"/>
    <w:rsid w:val="001675D4"/>
    <w:rsid w:val="00180D7D"/>
    <w:rsid w:val="001C2373"/>
    <w:rsid w:val="001D044B"/>
    <w:rsid w:val="001F523A"/>
    <w:rsid w:val="00217834"/>
    <w:rsid w:val="00237A99"/>
    <w:rsid w:val="0024529F"/>
    <w:rsid w:val="002564F8"/>
    <w:rsid w:val="00281017"/>
    <w:rsid w:val="00284A32"/>
    <w:rsid w:val="002F1CFA"/>
    <w:rsid w:val="00311F80"/>
    <w:rsid w:val="003737BE"/>
    <w:rsid w:val="003C0EDC"/>
    <w:rsid w:val="004030CE"/>
    <w:rsid w:val="00437BCA"/>
    <w:rsid w:val="00442B88"/>
    <w:rsid w:val="00490627"/>
    <w:rsid w:val="004B2498"/>
    <w:rsid w:val="004D27FA"/>
    <w:rsid w:val="004E2728"/>
    <w:rsid w:val="004F27D2"/>
    <w:rsid w:val="004F6421"/>
    <w:rsid w:val="004F6EE8"/>
    <w:rsid w:val="005060FD"/>
    <w:rsid w:val="00535729"/>
    <w:rsid w:val="00544FE8"/>
    <w:rsid w:val="00571D5A"/>
    <w:rsid w:val="005846AC"/>
    <w:rsid w:val="00590189"/>
    <w:rsid w:val="0059171D"/>
    <w:rsid w:val="005A55F9"/>
    <w:rsid w:val="005B0C33"/>
    <w:rsid w:val="005B5F8B"/>
    <w:rsid w:val="00604297"/>
    <w:rsid w:val="00671FC7"/>
    <w:rsid w:val="006C4EB2"/>
    <w:rsid w:val="00737D7E"/>
    <w:rsid w:val="00746445"/>
    <w:rsid w:val="007473B3"/>
    <w:rsid w:val="00780DA9"/>
    <w:rsid w:val="007A0A18"/>
    <w:rsid w:val="007E2625"/>
    <w:rsid w:val="008511E5"/>
    <w:rsid w:val="0085392A"/>
    <w:rsid w:val="00894766"/>
    <w:rsid w:val="008F6A8F"/>
    <w:rsid w:val="009020C8"/>
    <w:rsid w:val="009030F2"/>
    <w:rsid w:val="00906C9C"/>
    <w:rsid w:val="00936946"/>
    <w:rsid w:val="00966A02"/>
    <w:rsid w:val="009936F8"/>
    <w:rsid w:val="00995B38"/>
    <w:rsid w:val="009E216C"/>
    <w:rsid w:val="009F3322"/>
    <w:rsid w:val="00A14FEF"/>
    <w:rsid w:val="00A3250B"/>
    <w:rsid w:val="00A36BBB"/>
    <w:rsid w:val="00A602BF"/>
    <w:rsid w:val="00A711CF"/>
    <w:rsid w:val="00AA1CA8"/>
    <w:rsid w:val="00AB4CBA"/>
    <w:rsid w:val="00AD3BCD"/>
    <w:rsid w:val="00AE5472"/>
    <w:rsid w:val="00B04016"/>
    <w:rsid w:val="00B31615"/>
    <w:rsid w:val="00B76779"/>
    <w:rsid w:val="00B877B4"/>
    <w:rsid w:val="00BA47F1"/>
    <w:rsid w:val="00BE2A1C"/>
    <w:rsid w:val="00C2147B"/>
    <w:rsid w:val="00C37AB3"/>
    <w:rsid w:val="00C504AF"/>
    <w:rsid w:val="00C70A77"/>
    <w:rsid w:val="00C81CBC"/>
    <w:rsid w:val="00CA2285"/>
    <w:rsid w:val="00CC4FCD"/>
    <w:rsid w:val="00CF65EF"/>
    <w:rsid w:val="00D175CA"/>
    <w:rsid w:val="00D452D6"/>
    <w:rsid w:val="00D56DD5"/>
    <w:rsid w:val="00D5725B"/>
    <w:rsid w:val="00D7689F"/>
    <w:rsid w:val="00DD1463"/>
    <w:rsid w:val="00E237E2"/>
    <w:rsid w:val="00E84D36"/>
    <w:rsid w:val="00E9646F"/>
    <w:rsid w:val="00EA1686"/>
    <w:rsid w:val="00EA5848"/>
    <w:rsid w:val="00EC30C8"/>
    <w:rsid w:val="00EC4B1E"/>
    <w:rsid w:val="00ED00B1"/>
    <w:rsid w:val="00EE09F0"/>
    <w:rsid w:val="00F1750F"/>
    <w:rsid w:val="00F256E4"/>
    <w:rsid w:val="00F26B1B"/>
    <w:rsid w:val="00F365B2"/>
    <w:rsid w:val="00FA6B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25</Pages>
  <Words>10268</Words>
  <Characters>52075</Characters>
  <Application>Microsoft Office Word</Application>
  <DocSecurity>0</DocSecurity>
  <Lines>433</Lines>
  <Paragraphs>124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11.02.2009/DD (dict. ok)</dc:description>
  <cp:lastModifiedBy>kabbaj</cp:lastModifiedBy>
  <cp:revision>2</cp:revision>
  <cp:lastPrinted>2009-02-17T10:46:00Z</cp:lastPrinted>
  <dcterms:created xsi:type="dcterms:W3CDTF">2010-04-30T09:09:00Z</dcterms:created>
  <dcterms:modified xsi:type="dcterms:W3CDTF">2010-04-30T09:09:00Z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