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0BD" w:rsidRPr="00FF37B7" w:rsidRDefault="004060BD">
      <w:pPr>
        <w:pStyle w:val="Heading1"/>
        <w:spacing w:before="300"/>
        <w:jc w:val="center"/>
        <w:rPr>
          <w:color w:val="000000"/>
        </w:rPr>
      </w:pPr>
      <w:r w:rsidRPr="00FF37B7">
        <w:rPr>
          <w:color w:val="000000"/>
        </w:rPr>
        <w:t>Rules concerning</w:t>
      </w:r>
    </w:p>
    <w:p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rsidR="004060BD" w:rsidRPr="00FF37B7" w:rsidRDefault="004060BD">
      <w:pPr>
        <w:pStyle w:val="Heading8"/>
        <w:rPr>
          <w:color w:val="000000"/>
        </w:rPr>
      </w:pPr>
      <w:r w:rsidRPr="00FF37B7">
        <w:rPr>
          <w:rStyle w:val="href2"/>
          <w:color w:val="000000"/>
        </w:rPr>
        <w:t>5</w:t>
      </w:r>
      <w:r w:rsidRPr="00FF37B7">
        <w:rPr>
          <w:color w:val="000000"/>
        </w:rPr>
        <w:t>.33</w:t>
      </w:r>
    </w:p>
    <w:p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is located in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rsidR="004060BD" w:rsidRPr="00FF37B7" w:rsidRDefault="004060BD">
      <w:pPr>
        <w:pStyle w:val="Heading8"/>
        <w:rPr>
          <w:color w:val="000000"/>
        </w:rPr>
      </w:pPr>
      <w:r w:rsidRPr="00FF37B7">
        <w:rPr>
          <w:color w:val="000000"/>
        </w:rPr>
        <w:t>5.36</w:t>
      </w:r>
    </w:p>
    <w:p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a number of footnotes of the Table of Frequency Allocations stipulating that an additional or alternative allocation is made “subject to agreement obtained under the procedure set forth in No. </w:t>
      </w:r>
      <w:r w:rsidRPr="00FF37B7">
        <w:rPr>
          <w:rStyle w:val="Artref"/>
          <w:b/>
          <w:bCs/>
          <w:color w:val="000000"/>
        </w:rPr>
        <w:t>9.21</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“If restrictions are imposed on an additional allocation ... this is indicated in the footnote of the Table”.</w:t>
      </w:r>
    </w:p>
    <w:p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rsidR="004060BD" w:rsidRPr="00FF37B7" w:rsidRDefault="004060BD">
      <w:pPr>
        <w:pStyle w:val="Heading8"/>
        <w:rPr>
          <w:color w:val="000000"/>
        </w:rPr>
      </w:pPr>
      <w:r w:rsidRPr="00FF37B7">
        <w:rPr>
          <w:color w:val="000000"/>
        </w:rPr>
        <w:t>5.40</w:t>
      </w:r>
    </w:p>
    <w:p w:rsidR="004060BD" w:rsidRPr="00FF37B7"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rsidR="004060BD" w:rsidRPr="00FF37B7" w:rsidRDefault="00FE282F">
      <w:pPr>
        <w:pStyle w:val="Heading8"/>
        <w:rPr>
          <w:color w:val="000000"/>
        </w:rPr>
      </w:pPr>
      <w:r w:rsidRPr="00FF37B7">
        <w:rPr>
          <w:color w:val="000000"/>
        </w:rPr>
        <w:br w:type="page"/>
      </w:r>
      <w:r w:rsidR="004060BD" w:rsidRPr="00FF37B7">
        <w:rPr>
          <w:color w:val="000000"/>
        </w:rPr>
        <w:lastRenderedPageBreak/>
        <w:t>5.43</w:t>
      </w:r>
    </w:p>
    <w:p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rsidR="0002351C" w:rsidRPr="00FF37B7" w:rsidRDefault="0002351C" w:rsidP="0002351C">
      <w:pPr>
        <w:pStyle w:val="Heading8"/>
        <w:rPr>
          <w:color w:val="000000"/>
        </w:rPr>
      </w:pPr>
      <w:r w:rsidRPr="00FF37B7">
        <w:rPr>
          <w:color w:val="000000"/>
        </w:rPr>
        <w:t>5.43A</w:t>
      </w:r>
    </w:p>
    <w:p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rsidR="004060BD" w:rsidRPr="00FF37B7" w:rsidRDefault="004060BD">
      <w:pPr>
        <w:pStyle w:val="Heading8"/>
        <w:rPr>
          <w:color w:val="000000"/>
        </w:rPr>
      </w:pPr>
      <w:r w:rsidRPr="00FF37B7">
        <w:rPr>
          <w:color w:val="000000"/>
        </w:rPr>
        <w:t>5.49</w:t>
      </w:r>
    </w:p>
    <w:p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87 where such restrictions were made.) Consequently the Board decided that no symbol relating to these types of restrictions should be included in Column 13C of the Master International Frequency Register (MIFR or Master Register).</w:t>
      </w:r>
    </w:p>
    <w:p w:rsidR="004060BD" w:rsidRPr="00FF37B7" w:rsidRDefault="004060BD">
      <w:pPr>
        <w:pStyle w:val="Heading8"/>
        <w:rPr>
          <w:color w:val="000000"/>
        </w:rPr>
      </w:pPr>
      <w:r w:rsidRPr="00FF37B7">
        <w:rPr>
          <w:color w:val="000000"/>
        </w:rPr>
        <w:t>5.73</w:t>
      </w:r>
    </w:p>
    <w:p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radiobeacon stations operating in the radionavigation service.</w:t>
      </w:r>
    </w:p>
    <w:p w:rsidR="004060BD" w:rsidRPr="00FF37B7"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rsidR="004060BD" w:rsidRPr="00FF37B7" w:rsidRDefault="00FE282F">
      <w:pPr>
        <w:pStyle w:val="Heading8"/>
        <w:rPr>
          <w:color w:val="000000"/>
        </w:rPr>
      </w:pPr>
      <w:r w:rsidRPr="00FF37B7">
        <w:rPr>
          <w:color w:val="000000"/>
        </w:rPr>
        <w:br w:type="page"/>
      </w:r>
      <w:r w:rsidR="004060BD" w:rsidRPr="00FF37B7">
        <w:rPr>
          <w:color w:val="000000"/>
        </w:rPr>
        <w:lastRenderedPageBreak/>
        <w:t>5.149</w:t>
      </w:r>
    </w:p>
    <w:p w:rsidR="004060BD" w:rsidRPr="00FF37B7" w:rsidRDefault="004060BD" w:rsidP="001106F3">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w:t>
      </w:r>
      <w:r w:rsidR="001106F3" w:rsidRPr="00FF37B7">
        <w:rPr>
          <w:color w:val="000000"/>
        </w:rPr>
        <w:t> </w:t>
      </w:r>
      <w:r w:rsidR="001106F3" w:rsidRPr="00FF37B7">
        <w:rPr>
          <w:rFonts w:ascii="Tms Rmn" w:hAnsi="Tms Rmn"/>
          <w:color w:val="000000"/>
          <w:sz w:val="12"/>
        </w:rPr>
        <w:t> </w:t>
      </w:r>
      <w:r w:rsidRPr="00FF37B7">
        <w:rPr>
          <w:color w:val="000000"/>
        </w:rPr>
        <w:t>KOR), 173.52-173.85</w:t>
      </w:r>
      <w:r w:rsidR="001106F3" w:rsidRPr="00FF37B7">
        <w:rPr>
          <w:color w:val="000000"/>
        </w:rPr>
        <w:t xml:space="preserve"> </w:t>
      </w:r>
      <w:r w:rsidRPr="00FF37B7">
        <w:rPr>
          <w:color w:val="000000"/>
        </w:rPr>
        <w:t>GHz (except for KOR) and 195.75-196.15 GHz. Notification of frequency assignments to radio astronomy stations in the bands 73-74.6 MHz (Regions</w:t>
      </w:r>
      <w:r w:rsidR="001106F3" w:rsidRPr="00FF37B7">
        <w:rPr>
          <w:color w:val="000000"/>
        </w:rPr>
        <w:t> </w:t>
      </w:r>
      <w:r w:rsidRPr="00FF37B7">
        <w:rPr>
          <w:color w:val="000000"/>
        </w:rPr>
        <w:t>1 and</w:t>
      </w:r>
      <w:r w:rsidR="001106F3" w:rsidRPr="00FF37B7">
        <w:rPr>
          <w:color w:val="000000"/>
        </w:rPr>
        <w:t> </w:t>
      </w:r>
      <w:r w:rsidRPr="00FF37B7">
        <w:rPr>
          <w:color w:val="000000"/>
        </w:rPr>
        <w:t>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w:t>
      </w:r>
      <w:r w:rsidR="001106F3" w:rsidRPr="00FF37B7">
        <w:rPr>
          <w:color w:val="000000"/>
        </w:rPr>
        <w:t xml:space="preserve"> </w:t>
      </w:r>
      <w:r w:rsidRPr="00FF37B7">
        <w:rPr>
          <w:color w:val="000000"/>
        </w:rPr>
        <w:t xml:space="preserve">GHz (except for KOR) and 195.75-196.15 GHz will be </w:t>
      </w:r>
      <w:r w:rsidR="00345017" w:rsidRPr="00FF37B7">
        <w:rPr>
          <w:color w:val="000000"/>
        </w:rPr>
        <w:t>c</w:t>
      </w:r>
      <w:r w:rsidRPr="00FF37B7">
        <w:rPr>
          <w:color w:val="000000"/>
        </w:rPr>
        <w:t>onsidered by the Bureau not to be in conformity with the Table of Frequency Allocations.</w:t>
      </w:r>
    </w:p>
    <w:p w:rsidR="004060BD" w:rsidRPr="00FF37B7" w:rsidRDefault="004060BD" w:rsidP="000513A2">
      <w:pPr>
        <w:pStyle w:val="Heading8"/>
      </w:pPr>
      <w:r w:rsidRPr="00FF37B7">
        <w:t>5.164</w:t>
      </w:r>
    </w:p>
    <w:p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rsidR="004060BD" w:rsidRPr="00FF37B7" w:rsidRDefault="004060BD">
      <w:pPr>
        <w:pStyle w:val="enumlev1"/>
        <w:rPr>
          <w:color w:val="000000"/>
        </w:rPr>
      </w:pPr>
      <w:r w:rsidRPr="00FF37B7">
        <w:rPr>
          <w:color w:val="000000"/>
        </w:rPr>
        <w:t>–</w:t>
      </w:r>
      <w:r w:rsidRPr="00FF37B7">
        <w:rPr>
          <w:color w:val="000000"/>
        </w:rPr>
        <w:tab/>
        <w:t>etc.</w:t>
      </w:r>
    </w:p>
    <w:p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rsidR="004060BD" w:rsidRPr="00FF37B7" w:rsidRDefault="004060BD">
      <w:pPr>
        <w:pStyle w:val="Heading8"/>
        <w:rPr>
          <w:color w:val="000000"/>
        </w:rPr>
      </w:pPr>
      <w:r w:rsidRPr="00FF37B7">
        <w:rPr>
          <w:color w:val="000000"/>
        </w:rPr>
        <w:t>5.172</w:t>
      </w:r>
    </w:p>
    <w:p w:rsidR="000258DE" w:rsidRPr="00FF37B7" w:rsidRDefault="000258DE" w:rsidP="001106F3">
      <w:r w:rsidRPr="00FF37B7">
        <w:t>The French overseas departments and communities in Region 2 are the following geographical areas:</w:t>
      </w:r>
    </w:p>
    <w:p w:rsidR="004060BD" w:rsidRPr="00FF37B7" w:rsidRDefault="000258DE" w:rsidP="001106F3">
      <w:pPr>
        <w:pStyle w:val="enumlev1"/>
        <w:rPr>
          <w:color w:val="000000"/>
        </w:rPr>
      </w:pPr>
      <w:r w:rsidRPr="00FF37B7">
        <w:tab/>
        <w:t xml:space="preserve">Guadeloupe, Saint Barthélemy, the French part of Saint Martin, French Guyana, </w:t>
      </w:r>
      <w:r w:rsidR="00D27CAE" w:rsidRPr="00FF37B7">
        <w:t xml:space="preserve">Martinique </w:t>
      </w:r>
      <w:r w:rsidRPr="00FF37B7">
        <w:t>and Saint Pierre and Miquelon.</w:t>
      </w:r>
    </w:p>
    <w:p w:rsidR="000513A2" w:rsidRPr="00FF37B7" w:rsidRDefault="00FE282F" w:rsidP="000513A2">
      <w:pPr>
        <w:pStyle w:val="Heading8"/>
        <w:rPr>
          <w:color w:val="000000"/>
        </w:rPr>
      </w:pPr>
      <w:r w:rsidRPr="00FF37B7">
        <w:rPr>
          <w:color w:val="000000"/>
        </w:rPr>
        <w:br w:type="page"/>
      </w:r>
      <w:r w:rsidR="000513A2" w:rsidRPr="00FF37B7">
        <w:rPr>
          <w:color w:val="000000"/>
        </w:rPr>
        <w:lastRenderedPageBreak/>
        <w:t>5.233</w:t>
      </w:r>
    </w:p>
    <w:p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rsidR="004060BD" w:rsidRPr="00FF37B7"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rsidR="004060BD" w:rsidRPr="00FF37B7" w:rsidRDefault="004060BD">
      <w:pPr>
        <w:pStyle w:val="Heading8"/>
        <w:rPr>
          <w:color w:val="000000"/>
        </w:rPr>
      </w:pPr>
      <w:r w:rsidRPr="00FF37B7">
        <w:rPr>
          <w:color w:val="000000"/>
        </w:rPr>
        <w:t>5.257</w:t>
      </w:r>
    </w:p>
    <w:p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rsidR="004060BD" w:rsidRPr="00FF37B7" w:rsidRDefault="004060BD">
      <w:pPr>
        <w:rPr>
          <w:color w:val="000000"/>
        </w:rPr>
      </w:pPr>
      <w:r w:rsidRPr="00FF37B7">
        <w:rPr>
          <w:color w:val="000000"/>
        </w:rPr>
        <w:t>2</w:t>
      </w:r>
      <w:r w:rsidRPr="00FF37B7">
        <w:rPr>
          <w:color w:val="000000"/>
        </w:rPr>
        <w:tab/>
        <w:t>The qualification “in their countries” can be easily checked when an earth station is concerned, but it is unclear for a space station. The Board considers that this provision will apply to those space stations having a service area mainly limited to the territory of the notifying administration.</w:t>
      </w:r>
    </w:p>
    <w:p w:rsidR="004060BD" w:rsidRPr="00FF37B7" w:rsidRDefault="004060BD">
      <w:pPr>
        <w:pStyle w:val="Heading8"/>
        <w:rPr>
          <w:color w:val="000000"/>
        </w:rPr>
      </w:pPr>
      <w:r w:rsidRPr="00FF37B7">
        <w:rPr>
          <w:color w:val="000000"/>
        </w:rPr>
        <w:t>5.281</w:t>
      </w:r>
    </w:p>
    <w:p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in Region 2, see comments under the Rules of Procedure concerning No. </w:t>
      </w:r>
      <w:r w:rsidRPr="00FF37B7">
        <w:rPr>
          <w:rStyle w:val="Artref"/>
          <w:b/>
          <w:bCs/>
          <w:color w:val="000000"/>
        </w:rPr>
        <w:t>5.172</w:t>
      </w:r>
      <w:r w:rsidRPr="00FF37B7">
        <w:rPr>
          <w:color w:val="000000"/>
        </w:rPr>
        <w:t>.</w:t>
      </w:r>
    </w:p>
    <w:p w:rsidR="004060BD" w:rsidRPr="00FF37B7" w:rsidRDefault="004060BD">
      <w:pPr>
        <w:pStyle w:val="Heading8"/>
        <w:rPr>
          <w:color w:val="000000"/>
        </w:rPr>
      </w:pPr>
      <w:r w:rsidRPr="00FF37B7">
        <w:rPr>
          <w:color w:val="000000"/>
        </w:rPr>
        <w:t>5.291</w:t>
      </w:r>
    </w:p>
    <w:p w:rsidR="004060BD" w:rsidRPr="00FF37B7" w:rsidRDefault="004060BD">
      <w:pPr>
        <w:rPr>
          <w:color w:val="000000"/>
        </w:rPr>
      </w:pPr>
      <w:r w:rsidRPr="00FF37B7">
        <w:rPr>
          <w:color w:val="000000"/>
        </w:rPr>
        <w:t>This footnote is similar to No. </w:t>
      </w:r>
      <w:r w:rsidRPr="00FF37B7">
        <w:rPr>
          <w:rStyle w:val="Artref"/>
          <w:b/>
          <w:bCs/>
          <w:color w:val="000000"/>
        </w:rPr>
        <w:t>5.233</w:t>
      </w:r>
      <w:r w:rsidRPr="00FF37B7">
        <w:rPr>
          <w:color w:val="000000"/>
        </w:rPr>
        <w:t>; the same Rule applies.</w:t>
      </w:r>
    </w:p>
    <w:p w:rsidR="0002351C" w:rsidRPr="00FF37B7" w:rsidRDefault="001106F3" w:rsidP="000258DE">
      <w:pPr>
        <w:pStyle w:val="Heading8"/>
        <w:rPr>
          <w:color w:val="000000"/>
        </w:rPr>
      </w:pPr>
      <w:r w:rsidRPr="00FF37B7">
        <w:rPr>
          <w:color w:val="000000"/>
        </w:rPr>
        <w:br w:type="page"/>
      </w:r>
      <w:r w:rsidR="0002351C" w:rsidRPr="00FF37B7">
        <w:rPr>
          <w:color w:val="000000"/>
        </w:rPr>
        <w:lastRenderedPageBreak/>
        <w:t>5.</w:t>
      </w:r>
      <w:r w:rsidR="000258DE" w:rsidRPr="00FF37B7">
        <w:rPr>
          <w:color w:val="000000"/>
        </w:rPr>
        <w:t>316</w:t>
      </w:r>
      <w:r w:rsidR="0002351C" w:rsidRPr="00FF37B7">
        <w:rPr>
          <w:color w:val="000000"/>
        </w:rPr>
        <w:t>A</w:t>
      </w:r>
    </w:p>
    <w:p w:rsidR="000258DE" w:rsidRPr="00FF37B7" w:rsidRDefault="000258DE" w:rsidP="001106F3">
      <w:r w:rsidRPr="00FF37B7">
        <w:t>1</w:t>
      </w:r>
      <w:r w:rsidRPr="00FF37B7">
        <w:tab/>
        <w:t xml:space="preserve">The term “unacceptable interference” referred to in this provision is not defined anywhere in the Radio Regulations. The Board considers that the evaluation of the “acceptable” and “unacceptable” interference is a matter for the administrations concerned and the Bureau shall make no examination in this respect. When recorded in the Master Register, the assignment governed by the allocation situation of No. </w:t>
      </w:r>
      <w:r w:rsidRPr="00FF37B7">
        <w:rPr>
          <w:b/>
          <w:bCs/>
        </w:rPr>
        <w:t>5.316A</w:t>
      </w:r>
      <w:r w:rsidRPr="00FF37B7">
        <w:t xml:space="preserve"> will bear the symbol </w:t>
      </w:r>
      <w:r w:rsidR="001106F3" w:rsidRPr="00FF37B7">
        <w:t>“</w:t>
      </w:r>
      <w:r w:rsidRPr="00FF37B7">
        <w:t>R</w:t>
      </w:r>
      <w:r w:rsidR="001106F3" w:rsidRPr="00FF37B7">
        <w:t>”</w:t>
      </w:r>
      <w:r w:rsidRPr="00FF37B7">
        <w:t xml:space="preserve"> in 13B2 (</w:t>
      </w:r>
      <w:r w:rsidRPr="00FF37B7">
        <w:rPr>
          <w:i/>
          <w:iCs/>
        </w:rPr>
        <w:t>“Finding observation”</w:t>
      </w:r>
      <w:r w:rsidRPr="00FF37B7">
        <w:t xml:space="preserve">) and the symbol </w:t>
      </w:r>
      <w:r w:rsidR="001106F3" w:rsidRPr="00FF37B7">
        <w:t>“</w:t>
      </w:r>
      <w:r w:rsidRPr="00FF37B7">
        <w:t>RR5.316A</w:t>
      </w:r>
      <w:r w:rsidR="001106F3" w:rsidRPr="00FF37B7">
        <w:t>”</w:t>
      </w:r>
      <w:r w:rsidRPr="00FF37B7">
        <w:t xml:space="preserve"> in 13B1 (“</w:t>
      </w:r>
      <w:r w:rsidRPr="00FF37B7">
        <w:rPr>
          <w:i/>
          <w:iCs/>
        </w:rPr>
        <w:t>Finding reference</w:t>
      </w:r>
      <w:r w:rsidRPr="00FF37B7">
        <w:t>”), which indicate that the recording and the status of the assignment with respect to other administrations is to be derived from No.</w:t>
      </w:r>
      <w:r w:rsidR="001106F3" w:rsidRPr="00FF37B7">
        <w:t> </w:t>
      </w:r>
      <w:r w:rsidRPr="00FF37B7">
        <w:rPr>
          <w:b/>
          <w:bCs/>
        </w:rPr>
        <w:t>5.316A</w:t>
      </w:r>
      <w:r w:rsidRPr="00FF37B7">
        <w:t>.</w:t>
      </w:r>
    </w:p>
    <w:p w:rsidR="000258DE" w:rsidRPr="00FF37B7" w:rsidRDefault="000258DE" w:rsidP="001106F3">
      <w:r w:rsidRPr="00FF37B7">
        <w:t>2</w:t>
      </w:r>
      <w:r w:rsidRPr="00FF37B7">
        <w:tab/>
        <w:t>In the context of the application of No. </w:t>
      </w:r>
      <w:r w:rsidRPr="00FF37B7">
        <w:rPr>
          <w:b/>
          <w:bCs/>
        </w:rPr>
        <w:t>9.21</w:t>
      </w:r>
      <w:r w:rsidRPr="00FF37B7">
        <w:t xml:space="preserve"> procedure to an assignment governed by the allocation situation of No. </w:t>
      </w:r>
      <w:r w:rsidRPr="00FF37B7">
        <w:rPr>
          <w:b/>
          <w:bCs/>
        </w:rPr>
        <w:t>5.316A</w:t>
      </w:r>
      <w:r w:rsidRPr="00FF37B7">
        <w:t>, the identification of potentially affected admini</w:t>
      </w:r>
      <w:r w:rsidR="001106F3" w:rsidRPr="00FF37B7">
        <w:softHyphen/>
      </w:r>
      <w:r w:rsidRPr="00FF37B7">
        <w:t>strations with respect to their assignments in the fixed and mobile, except aeronautical mobile, services would be performed using the coordination distances given in Table 2 of Section B6 of the Rules of Procedure. In the absence of criteria for protection of the aeronautical radionavigation service against the mobile service, the identification of potentially affected administrations entitled to operate aeronautical radionavigation service under No.</w:t>
      </w:r>
      <w:r w:rsidR="001106F3" w:rsidRPr="00FF37B7">
        <w:t> </w:t>
      </w:r>
      <w:r w:rsidRPr="00FF37B7">
        <w:rPr>
          <w:b/>
          <w:bCs/>
        </w:rPr>
        <w:t>5.312</w:t>
      </w:r>
      <w:r w:rsidRPr="00FF37B7">
        <w:t xml:space="preserve"> would be provisionally carried out using the coordination triggers, the propagation data and other assumptions contained in Section I of Annex 4 to the GE06 Agreement, complemented with the relevant Rules of Procedure as given in Part A10. Recognizing the fact that the protection criteria of the GE06 Agreement are not fully appropriate for the protection of the aeronautical radionavigation service against the mobile service, a Note would be added into Special Section RR9.21/C indicating that the list of administrations identified by the Bureau as potentially affected is only for information purpose, to assist administrations.</w:t>
      </w:r>
    </w:p>
    <w:p w:rsidR="0002351C" w:rsidRPr="00FF37B7" w:rsidRDefault="000258DE" w:rsidP="001106F3">
      <w:r w:rsidRPr="00FF37B7">
        <w:t>3</w:t>
      </w:r>
      <w:r w:rsidRPr="00FF37B7">
        <w:tab/>
        <w:t>If the procedure is initiated by the Administration of Lithuania or by the Admini</w:t>
      </w:r>
      <w:r w:rsidR="001106F3" w:rsidRPr="00FF37B7">
        <w:softHyphen/>
      </w:r>
      <w:r w:rsidRPr="00FF37B7">
        <w:t>stration of Poland, the Administrations of Belarus and the Russian</w:t>
      </w:r>
      <w:r w:rsidR="001106F3" w:rsidRPr="00FF37B7">
        <w:t xml:space="preserve"> </w:t>
      </w:r>
      <w:r w:rsidRPr="00FF37B7">
        <w:t>Federation would be indicated as affected administrations in the relevant Special Section (GE06 and/or RR9.21/C).</w:t>
      </w:r>
    </w:p>
    <w:p w:rsidR="000258DE" w:rsidRPr="00FF37B7" w:rsidRDefault="000258DE" w:rsidP="000258DE">
      <w:pPr>
        <w:pStyle w:val="Heading8"/>
        <w:rPr>
          <w:color w:val="000000"/>
        </w:rPr>
      </w:pPr>
      <w:r w:rsidRPr="00FF37B7">
        <w:rPr>
          <w:color w:val="000000"/>
        </w:rPr>
        <w:t>5.327A</w:t>
      </w:r>
    </w:p>
    <w:p w:rsidR="000258DE" w:rsidRPr="00FF37B7" w:rsidRDefault="000258DE" w:rsidP="001106F3">
      <w:pPr>
        <w:spacing w:before="240"/>
      </w:pPr>
      <w:r w:rsidRPr="00FF37B7">
        <w:t xml:space="preserve">Appendix </w:t>
      </w:r>
      <w:r w:rsidRPr="00FF37B7">
        <w:rPr>
          <w:b/>
          <w:bCs/>
        </w:rPr>
        <w:t>4</w:t>
      </w:r>
      <w:r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from the view point of its conformity with this provision. On the other hand, given the indications in </w:t>
      </w:r>
      <w:r w:rsidRPr="00FF37B7">
        <w:rPr>
          <w:i/>
          <w:iCs/>
        </w:rPr>
        <w:t xml:space="preserve">resolves </w:t>
      </w:r>
      <w:r w:rsidRPr="00FF37B7">
        <w:t>2</w:t>
      </w:r>
      <w:r w:rsidRPr="00FF37B7">
        <w:rPr>
          <w:i/>
          <w:iCs/>
        </w:rPr>
        <w:t xml:space="preserve"> </w:t>
      </w:r>
      <w:r w:rsidRPr="00FF37B7">
        <w:t xml:space="preserve">of Resolution </w:t>
      </w:r>
      <w:r w:rsidRPr="00FF37B7">
        <w:rPr>
          <w:b/>
          <w:bCs/>
        </w:rPr>
        <w:t>417 (WRC-07)</w:t>
      </w:r>
      <w:r w:rsidRPr="00FF37B7">
        <w:t>, the recording of any such assignment in the MIFR will be associated with the symbol “R” in column 13B2 (</w:t>
      </w:r>
      <w:r w:rsidRPr="00FF37B7">
        <w:rPr>
          <w:i/>
          <w:iCs/>
        </w:rPr>
        <w:t>“Finding observation”</w:t>
      </w:r>
      <w:r w:rsidRPr="00FF37B7">
        <w:t>) and with symbol “RS417” in column 13B1 (</w:t>
      </w:r>
      <w:r w:rsidRPr="00FF37B7">
        <w:rPr>
          <w:i/>
          <w:iCs/>
        </w:rPr>
        <w:t>“Finding reference”</w:t>
      </w:r>
      <w:r w:rsidRPr="00FF37B7">
        <w:t>)</w:t>
      </w:r>
      <w:r w:rsidRPr="00FF37B7">
        <w:rPr>
          <w:rStyle w:val="FootnoteReference"/>
        </w:rPr>
        <w:footnoteReference w:customMarkFollows="1" w:id="1"/>
        <w:sym w:font="Symbol" w:char="F02A"/>
      </w:r>
      <w:r w:rsidRPr="00FF37B7">
        <w:t>.</w:t>
      </w:r>
    </w:p>
    <w:p w:rsidR="001106F3" w:rsidRPr="00FF37B7" w:rsidRDefault="001106F3" w:rsidP="001106F3"/>
    <w:p w:rsidR="004060BD" w:rsidRPr="00FF37B7" w:rsidRDefault="001106F3">
      <w:pPr>
        <w:pStyle w:val="Heading8"/>
        <w:rPr>
          <w:color w:val="000000"/>
        </w:rPr>
      </w:pPr>
      <w:r w:rsidRPr="00FF37B7">
        <w:rPr>
          <w:color w:val="000000"/>
        </w:rPr>
        <w:br w:type="page"/>
      </w:r>
      <w:r w:rsidR="004060BD" w:rsidRPr="00FF37B7">
        <w:rPr>
          <w:color w:val="000000"/>
        </w:rPr>
        <w:lastRenderedPageBreak/>
        <w:t>5.329</w:t>
      </w:r>
    </w:p>
    <w:p w:rsidR="00D33D89" w:rsidRPr="00FF37B7" w:rsidRDefault="004060BD" w:rsidP="00047B75">
      <w:pPr>
        <w:rPr>
          <w:color w:val="000000"/>
        </w:rPr>
      </w:pPr>
      <w:r w:rsidRPr="00FF37B7">
        <w:rPr>
          <w:color w:val="000000"/>
        </w:rPr>
        <w:t>Assignments to stations of the radionavigation-satellite service if recorded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rsidR="000513A2" w:rsidRPr="00FF37B7" w:rsidRDefault="000513A2" w:rsidP="000513A2">
      <w:pPr>
        <w:pStyle w:val="Heading8"/>
        <w:rPr>
          <w:color w:val="000000"/>
        </w:rPr>
      </w:pPr>
      <w:r w:rsidRPr="00FF37B7">
        <w:rPr>
          <w:color w:val="000000"/>
        </w:rPr>
        <w:t>5.340</w:t>
      </w:r>
    </w:p>
    <w:p w:rsidR="00D33D89" w:rsidRPr="00FF37B7"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rsidR="000513A2" w:rsidRPr="00FF37B7" w:rsidRDefault="000513A2" w:rsidP="000513A2">
      <w:pPr>
        <w:pStyle w:val="Heading8"/>
        <w:rPr>
          <w:color w:val="000000"/>
        </w:rPr>
      </w:pPr>
      <w:r w:rsidRPr="00FF37B7">
        <w:rPr>
          <w:color w:val="000000"/>
        </w:rPr>
        <w:t>5.351</w:t>
      </w:r>
    </w:p>
    <w:p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rsidR="004060BD" w:rsidRPr="00FF37B7" w:rsidRDefault="004060BD">
      <w:pPr>
        <w:pStyle w:val="Heading8"/>
        <w:rPr>
          <w:color w:val="000000"/>
        </w:rPr>
      </w:pPr>
      <w:r w:rsidRPr="00FF37B7">
        <w:rPr>
          <w:color w:val="000000"/>
        </w:rPr>
        <w:t>5.357</w:t>
      </w:r>
    </w:p>
    <w:p w:rsidR="004060BD" w:rsidRPr="00FF37B7"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rsidR="004060BD" w:rsidRPr="00FF37B7" w:rsidRDefault="004060BD">
      <w:pPr>
        <w:pStyle w:val="Heading8"/>
        <w:rPr>
          <w:color w:val="000000"/>
        </w:rPr>
      </w:pPr>
      <w:r w:rsidRPr="00FF37B7">
        <w:rPr>
          <w:color w:val="000000"/>
        </w:rPr>
        <w:t>5.364</w:t>
      </w:r>
    </w:p>
    <w:p w:rsidR="004060BD" w:rsidRPr="00FF37B7" w:rsidRDefault="004060BD">
      <w:pPr>
        <w:rPr>
          <w:color w:val="000000"/>
        </w:rPr>
      </w:pPr>
      <w:r w:rsidRPr="00FF37B7">
        <w:rPr>
          <w:color w:val="000000"/>
        </w:rPr>
        <w:t>This provision contains two different types of equivalent isotropically radiated power (e.i.r.p.)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rsidR="004060BD" w:rsidRPr="00FF37B7" w:rsidRDefault="004060BD">
      <w:pPr>
        <w:pStyle w:val="enumlev1"/>
        <w:rPr>
          <w:color w:val="000000"/>
        </w:rPr>
      </w:pPr>
      <w:r w:rsidRPr="00FF37B7">
        <w:rPr>
          <w:i/>
          <w:iCs/>
          <w:color w:val="000000"/>
        </w:rPr>
        <w:t>a)</w:t>
      </w:r>
      <w:r w:rsidRPr="00FF37B7">
        <w:rPr>
          <w:color w:val="000000"/>
        </w:rPr>
        <w:tab/>
        <w:t>peak e.i.r.p. density limit, and</w:t>
      </w:r>
    </w:p>
    <w:p w:rsidR="004060BD" w:rsidRPr="00FF37B7" w:rsidRDefault="004060BD">
      <w:pPr>
        <w:pStyle w:val="enumlev1"/>
        <w:rPr>
          <w:color w:val="000000"/>
        </w:rPr>
      </w:pPr>
      <w:r w:rsidRPr="00FF37B7">
        <w:rPr>
          <w:i/>
          <w:iCs/>
          <w:color w:val="000000"/>
        </w:rPr>
        <w:t>b)</w:t>
      </w:r>
      <w:r w:rsidRPr="00FF37B7">
        <w:rPr>
          <w:color w:val="000000"/>
        </w:rPr>
        <w:tab/>
        <w:t>mean e.i.r.p. density limit.</w:t>
      </w:r>
    </w:p>
    <w:p w:rsidR="004060BD" w:rsidRPr="00FF37B7" w:rsidRDefault="004060BD">
      <w:pPr>
        <w:rPr>
          <w:color w:val="000000"/>
        </w:rPr>
      </w:pPr>
      <w:r w:rsidRPr="00FF37B7">
        <w:rPr>
          <w:color w:val="000000"/>
        </w:rPr>
        <w:t>The peak e.i.r.p. density limit is derived from the maximum power density of the assignment as submitted by the responsible administration.</w:t>
      </w:r>
    </w:p>
    <w:p w:rsidR="004060BD" w:rsidRPr="00FF37B7" w:rsidRDefault="001106F3" w:rsidP="001106F3">
      <w:r w:rsidRPr="00FF37B7">
        <w:br w:type="page"/>
      </w:r>
      <w:r w:rsidR="004060BD" w:rsidRPr="00FF37B7">
        <w:lastRenderedPageBreak/>
        <w:t>For the second type, it is not clear whether it is spectral mean, or temporal mean, or spatial mean. The Board decided that, on a provisional basis, and until the relevant ITU</w:t>
      </w:r>
      <w:r w:rsidR="004060BD" w:rsidRPr="00FF37B7">
        <w:noBreakHyphen/>
        <w:t>R Recommendation is available, the Bureau use a spectral mean e.i.r.p. density when applying this provision. This spectral mean e.i.r.p. will be derived from the mean power density of an assignment, which is obtained from its total power divided by its necessary bandwidth and multiplied by 4 kHz.</w:t>
      </w:r>
    </w:p>
    <w:p w:rsidR="004060BD" w:rsidRPr="00FF37B7" w:rsidRDefault="004060BD">
      <w:pPr>
        <w:pStyle w:val="Heading8"/>
        <w:rPr>
          <w:color w:val="000000"/>
        </w:rPr>
      </w:pPr>
      <w:r w:rsidRPr="00FF37B7">
        <w:rPr>
          <w:color w:val="000000"/>
        </w:rPr>
        <w:t>5.366</w:t>
      </w:r>
    </w:p>
    <w:p w:rsidR="004060BD" w:rsidRPr="00FF37B7" w:rsidRDefault="004060BD" w:rsidP="001106F3">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“airborne electronic aids to air navigation and any directly associated ground-based or satellite-borne facilities”.</w:t>
      </w:r>
    </w:p>
    <w:p w:rsidR="004060BD" w:rsidRPr="00FF37B7" w:rsidRDefault="004060BD">
      <w:pPr>
        <w:pStyle w:val="Heading8"/>
        <w:rPr>
          <w:color w:val="000000"/>
        </w:rPr>
      </w:pPr>
      <w:r w:rsidRPr="00FF37B7">
        <w:rPr>
          <w:color w:val="000000"/>
        </w:rPr>
        <w:t>5.376</w:t>
      </w:r>
    </w:p>
    <w:p w:rsidR="004060BD" w:rsidRPr="00FF37B7" w:rsidRDefault="004060BD">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rsidR="004060BD" w:rsidRPr="00FF37B7" w:rsidRDefault="004060BD">
      <w:pPr>
        <w:pStyle w:val="Heading8"/>
      </w:pPr>
      <w:r w:rsidRPr="00FF37B7">
        <w:t>5.397</w:t>
      </w:r>
    </w:p>
    <w:p w:rsidR="004060BD" w:rsidRPr="00FF37B7" w:rsidRDefault="004060BD" w:rsidP="001106F3">
      <w:pPr>
        <w:rPr>
          <w:color w:val="000000"/>
        </w:rPr>
      </w:pPr>
      <w:r w:rsidRPr="00FF37B7">
        <w:rPr>
          <w:color w:val="000000"/>
        </w:rPr>
        <w:t>The Board has no means to identify the administrations concerned and instructed the Bureau to treat notices from France as follows:</w:t>
      </w:r>
    </w:p>
    <w:p w:rsidR="004060BD" w:rsidRPr="00FF37B7" w:rsidRDefault="004060BD">
      <w:pPr>
        <w:pStyle w:val="enumlev1"/>
        <w:rPr>
          <w:color w:val="000000"/>
        </w:rPr>
      </w:pPr>
      <w:r w:rsidRPr="00FF37B7">
        <w:rPr>
          <w:color w:val="000000"/>
        </w:rPr>
        <w:t>–</w:t>
      </w:r>
      <w:r w:rsidRPr="00FF37B7">
        <w:rPr>
          <w:color w:val="000000"/>
        </w:rPr>
        <w:tab/>
        <w:t>Complete notices from France will receive a favourable regulatory Finding under No. </w:t>
      </w:r>
      <w:r w:rsidRPr="00FF37B7">
        <w:rPr>
          <w:rStyle w:val="Artref"/>
          <w:b/>
          <w:bCs/>
          <w:color w:val="000000"/>
        </w:rPr>
        <w:t>11.31</w:t>
      </w:r>
      <w:r w:rsidRPr="00FF37B7">
        <w:rPr>
          <w:color w:val="000000"/>
        </w:rPr>
        <w:t>, assuming that, when the agreement of country B is not indicated in the notice, that agreement is not required.</w:t>
      </w:r>
    </w:p>
    <w:p w:rsidR="004060BD" w:rsidRPr="00FF37B7" w:rsidRDefault="004060BD">
      <w:pPr>
        <w:pStyle w:val="enumlev1"/>
        <w:rPr>
          <w:color w:val="000000"/>
        </w:rPr>
      </w:pPr>
      <w:r w:rsidRPr="00FF37B7">
        <w:rPr>
          <w:color w:val="000000"/>
        </w:rPr>
        <w:t>–</w:t>
      </w:r>
      <w:r w:rsidRPr="00FF37B7">
        <w:rPr>
          <w:color w:val="000000"/>
        </w:rPr>
        <w:tab/>
        <w:t>If, following the publication of the assignment, country B objects to the notified use, the Bureau will modify its Finding and request France to seek the agreement of country B.</w:t>
      </w:r>
    </w:p>
    <w:p w:rsidR="004060BD" w:rsidRPr="00FF37B7" w:rsidRDefault="004060BD" w:rsidP="001106F3">
      <w:pPr>
        <w:pStyle w:val="Heading8"/>
        <w:rPr>
          <w:color w:val="000000"/>
        </w:rPr>
      </w:pPr>
      <w:r w:rsidRPr="00FF37B7">
        <w:rPr>
          <w:color w:val="000000"/>
        </w:rPr>
        <w:t>5.399</w:t>
      </w:r>
    </w:p>
    <w:p w:rsidR="004060BD" w:rsidRPr="00FF37B7" w:rsidRDefault="004060BD">
      <w:pPr>
        <w:rPr>
          <w:color w:val="000000"/>
        </w:rPr>
      </w:pPr>
      <w:r w:rsidRPr="00FF37B7">
        <w:rPr>
          <w:color w:val="000000"/>
        </w:rPr>
        <w:t>1</w:t>
      </w:r>
      <w:r w:rsidRPr="00FF37B7">
        <w:rPr>
          <w:color w:val="000000"/>
        </w:rPr>
        <w:tab/>
        <w:t>This provision does not indicate the frequency band in which it is applicable. The Board concluded that it applies in the band 2</w:t>
      </w:r>
      <w:r w:rsidRPr="00FF37B7">
        <w:rPr>
          <w:rFonts w:ascii="Tms Rmn" w:hAnsi="Tms Rmn"/>
          <w:color w:val="000000"/>
          <w:sz w:val="12"/>
        </w:rPr>
        <w:t> </w:t>
      </w:r>
      <w:r w:rsidRPr="00FF37B7">
        <w:rPr>
          <w:color w:val="000000"/>
        </w:rPr>
        <w:t>483.5-2</w:t>
      </w:r>
      <w:r w:rsidRPr="00FF37B7">
        <w:rPr>
          <w:rFonts w:ascii="Tms Rmn" w:hAnsi="Tms Rmn"/>
          <w:color w:val="000000"/>
          <w:sz w:val="12"/>
        </w:rPr>
        <w:t> </w:t>
      </w:r>
      <w:r w:rsidRPr="00FF37B7">
        <w:rPr>
          <w:color w:val="000000"/>
        </w:rPr>
        <w:t>500 MHz.</w:t>
      </w:r>
    </w:p>
    <w:p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rsidR="000513A2" w:rsidRPr="00FF37B7" w:rsidRDefault="000513A2" w:rsidP="000513A2">
      <w:pPr>
        <w:pStyle w:val="Heading8"/>
        <w:rPr>
          <w:color w:val="000000"/>
        </w:rPr>
      </w:pPr>
      <w:r w:rsidRPr="00FF37B7">
        <w:rPr>
          <w:color w:val="000000"/>
        </w:rPr>
        <w:t>5.410</w:t>
      </w:r>
    </w:p>
    <w:p w:rsidR="000513A2" w:rsidRPr="00FF37B7" w:rsidRDefault="000513A2" w:rsidP="001106F3">
      <w:r w:rsidRPr="00FF37B7">
        <w:t>1</w:t>
      </w:r>
      <w:r w:rsidRPr="00FF37B7">
        <w:tab/>
        <w:t>The first sentence of this provision subjects the use of tropospheric scatter systems in the band 2</w:t>
      </w:r>
      <w:r w:rsidR="0049768F" w:rsidRPr="00FF37B7">
        <w:rPr>
          <w:rFonts w:ascii="Tms Rmn" w:hAnsi="Tms Rmn"/>
          <w:sz w:val="12"/>
        </w:rPr>
        <w:t> </w:t>
      </w:r>
      <w:r w:rsidRPr="00FF37B7">
        <w:t>500-2</w:t>
      </w:r>
      <w:r w:rsidR="0049768F" w:rsidRPr="00FF37B7">
        <w:rPr>
          <w:rFonts w:ascii="Tms Rmn" w:hAnsi="Tms Rmn"/>
          <w:sz w:val="12"/>
        </w:rPr>
        <w:t> </w:t>
      </w:r>
      <w:r w:rsidRPr="00FF37B7">
        <w:t>690 MHz, in Region 1, to the application of the procedure of No. </w:t>
      </w:r>
      <w:r w:rsidRPr="00FF37B7">
        <w:rPr>
          <w:b/>
          <w:bCs/>
        </w:rPr>
        <w:t>9.21</w:t>
      </w:r>
      <w:r w:rsidRPr="00FF37B7">
        <w:t>. There is no such obligation regarding the use of tropospheric scatter systems in this band in Regions</w:t>
      </w:r>
      <w:r w:rsidR="001106F3" w:rsidRPr="00FF37B7">
        <w:t> </w:t>
      </w:r>
      <w:r w:rsidRPr="00FF37B7">
        <w:t>2 and 3, provided that the link is situated entirely in Regions</w:t>
      </w:r>
      <w:r w:rsidR="001106F3" w:rsidRPr="00FF37B7">
        <w:t> </w:t>
      </w:r>
      <w:r w:rsidRPr="00FF37B7">
        <w:t>2 and</w:t>
      </w:r>
      <w:r w:rsidR="001106F3" w:rsidRPr="00FF37B7">
        <w:t> </w:t>
      </w:r>
      <w:r w:rsidRPr="00FF37B7">
        <w:t>3.</w:t>
      </w:r>
    </w:p>
    <w:p w:rsidR="000513A2" w:rsidRPr="00FF37B7" w:rsidRDefault="001106F3" w:rsidP="001106F3">
      <w:r w:rsidRPr="00FF37B7">
        <w:br w:type="page"/>
      </w:r>
      <w:r w:rsidR="000513A2" w:rsidRPr="00FF37B7">
        <w:lastRenderedPageBreak/>
        <w:t>2</w:t>
      </w:r>
      <w:r w:rsidR="000513A2" w:rsidRPr="00FF37B7">
        <w:tab/>
        <w:t>It is to be noted that tropospheric scatter systems in Regions 2 and 3 in the band 2</w:t>
      </w:r>
      <w:r w:rsidR="0049768F" w:rsidRPr="00FF37B7">
        <w:rPr>
          <w:rFonts w:ascii="Tms Rmn" w:hAnsi="Tms Rmn"/>
          <w:sz w:val="12"/>
        </w:rPr>
        <w:t> </w:t>
      </w:r>
      <w:r w:rsidR="000513A2" w:rsidRPr="00FF37B7">
        <w:t>655-2</w:t>
      </w:r>
      <w:r w:rsidR="0049768F" w:rsidRPr="00FF37B7">
        <w:rPr>
          <w:rFonts w:ascii="Tms Rmn" w:hAnsi="Tms Rmn"/>
          <w:sz w:val="12"/>
        </w:rPr>
        <w:t> </w:t>
      </w:r>
      <w:r w:rsidR="000513A2" w:rsidRPr="00FF37B7">
        <w:t xml:space="preserve">690 MHz are also subject to the power limits set forth in Nos. </w:t>
      </w:r>
      <w:r w:rsidR="000513A2" w:rsidRPr="00FF37B7">
        <w:rPr>
          <w:b/>
          <w:bCs/>
        </w:rPr>
        <w:t>21.3</w:t>
      </w:r>
      <w:r w:rsidR="000513A2" w:rsidRPr="00FF37B7">
        <w:t xml:space="preserve">, </w:t>
      </w:r>
      <w:r w:rsidR="000513A2" w:rsidRPr="00FF37B7">
        <w:rPr>
          <w:b/>
          <w:bCs/>
        </w:rPr>
        <w:t>21.4</w:t>
      </w:r>
      <w:r w:rsidR="000513A2" w:rsidRPr="00FF37B7">
        <w:t xml:space="preserve"> and </w:t>
      </w:r>
      <w:r w:rsidR="000513A2" w:rsidRPr="00FF37B7">
        <w:rPr>
          <w:b/>
          <w:bCs/>
        </w:rPr>
        <w:t>21.5</w:t>
      </w:r>
      <w:r w:rsidR="000513A2" w:rsidRPr="00FF37B7">
        <w:t xml:space="preserve"> (see Table </w:t>
      </w:r>
      <w:r w:rsidR="000513A2" w:rsidRPr="00FF37B7">
        <w:rPr>
          <w:b/>
          <w:bCs/>
        </w:rPr>
        <w:t>21-2</w:t>
      </w:r>
      <w:r w:rsidR="000513A2" w:rsidRPr="00FF37B7">
        <w:t xml:space="preserve"> in Article </w:t>
      </w:r>
      <w:r w:rsidR="000513A2" w:rsidRPr="00FF37B7">
        <w:rPr>
          <w:b/>
          <w:bCs/>
        </w:rPr>
        <w:t>21</w:t>
      </w:r>
      <w:r w:rsidR="000513A2" w:rsidRPr="00FF37B7">
        <w:t xml:space="preserve">). Table </w:t>
      </w:r>
      <w:r w:rsidR="000513A2" w:rsidRPr="00FF37B7">
        <w:rPr>
          <w:b/>
          <w:bCs/>
        </w:rPr>
        <w:t>21-2</w:t>
      </w:r>
      <w:r w:rsidR="000513A2" w:rsidRPr="00FF37B7">
        <w:t xml:space="preserve"> in Article </w:t>
      </w:r>
      <w:r w:rsidR="000513A2" w:rsidRPr="00FF37B7">
        <w:rPr>
          <w:b/>
          <w:bCs/>
        </w:rPr>
        <w:t>21</w:t>
      </w:r>
      <w:r w:rsidR="000513A2" w:rsidRPr="00FF37B7">
        <w:t xml:space="preserve"> also indicates that the power limits set forth in Nos. </w:t>
      </w:r>
      <w:r w:rsidR="000513A2" w:rsidRPr="00FF37B7">
        <w:rPr>
          <w:b/>
          <w:bCs/>
        </w:rPr>
        <w:t>21.3</w:t>
      </w:r>
      <w:r w:rsidR="000513A2" w:rsidRPr="00FF37B7">
        <w:t xml:space="preserve">, </w:t>
      </w:r>
      <w:r w:rsidR="000513A2" w:rsidRPr="00FF37B7">
        <w:rPr>
          <w:b/>
          <w:bCs/>
        </w:rPr>
        <w:t>21.4</w:t>
      </w:r>
      <w:r w:rsidR="000513A2" w:rsidRPr="00FF37B7">
        <w:t xml:space="preserve"> and </w:t>
      </w:r>
      <w:r w:rsidR="000513A2" w:rsidRPr="00FF37B7">
        <w:rPr>
          <w:b/>
          <w:bCs/>
        </w:rPr>
        <w:t>21.5</w:t>
      </w:r>
      <w:r w:rsidR="000513A2" w:rsidRPr="00FF37B7">
        <w:t xml:space="preserve"> are applicable to stations in the fixed and mobile services in Region 1 in the band 2</w:t>
      </w:r>
      <w:r w:rsidR="0049768F" w:rsidRPr="00FF37B7">
        <w:rPr>
          <w:rFonts w:ascii="Tms Rmn" w:hAnsi="Tms Rmn"/>
          <w:sz w:val="12"/>
        </w:rPr>
        <w:t> </w:t>
      </w:r>
      <w:r w:rsidR="000513A2" w:rsidRPr="00FF37B7">
        <w:t>670-2</w:t>
      </w:r>
      <w:r w:rsidR="0049768F" w:rsidRPr="00FF37B7">
        <w:rPr>
          <w:rFonts w:ascii="Tms Rmn" w:hAnsi="Tms Rmn"/>
          <w:sz w:val="12"/>
        </w:rPr>
        <w:t> </w:t>
      </w:r>
      <w:r w:rsidR="000513A2" w:rsidRPr="00FF37B7">
        <w:t>690 MHz. However, given the formulation of No</w:t>
      </w:r>
      <w:r w:rsidR="00BE7A2C" w:rsidRPr="00FF37B7">
        <w:t>s</w:t>
      </w:r>
      <w:r w:rsidR="000513A2" w:rsidRPr="00FF37B7">
        <w:t xml:space="preserve">. </w:t>
      </w:r>
      <w:r w:rsidR="000513A2" w:rsidRPr="00FF37B7">
        <w:rPr>
          <w:b/>
          <w:bCs/>
        </w:rPr>
        <w:t>21.6</w:t>
      </w:r>
      <w:r w:rsidR="000513A2" w:rsidRPr="00FF37B7">
        <w:t xml:space="preserve"> and</w:t>
      </w:r>
      <w:r w:rsidR="000513A2" w:rsidRPr="00FF37B7">
        <w:rPr>
          <w:b/>
          <w:bCs/>
        </w:rPr>
        <w:t xml:space="preserve"> 21.6.1</w:t>
      </w:r>
      <w:r w:rsidR="000513A2" w:rsidRPr="00FF37B7">
        <w:t>, and the fact that after the removal of the allocation to the MSS (Earth-to-space) from this band at WRC-07, there is no primary allocation in Region 1 to any space service in the band 2</w:t>
      </w:r>
      <w:r w:rsidR="0049768F" w:rsidRPr="00FF37B7">
        <w:rPr>
          <w:rFonts w:ascii="Tms Rmn" w:hAnsi="Tms Rmn"/>
          <w:sz w:val="12"/>
        </w:rPr>
        <w:t> </w:t>
      </w:r>
      <w:r w:rsidR="000513A2" w:rsidRPr="00FF37B7">
        <w:t>670-2</w:t>
      </w:r>
      <w:r w:rsidR="0049768F" w:rsidRPr="00FF37B7">
        <w:rPr>
          <w:rFonts w:ascii="Tms Rmn" w:hAnsi="Tms Rmn"/>
          <w:sz w:val="12"/>
        </w:rPr>
        <w:t> </w:t>
      </w:r>
      <w:r w:rsidR="000513A2" w:rsidRPr="00FF37B7">
        <w:t xml:space="preserve">690 MHz in the Earth-to-space direction, the Board concluded that the power limits set forth in Nos. </w:t>
      </w:r>
      <w:r w:rsidR="000513A2" w:rsidRPr="00FF37B7">
        <w:rPr>
          <w:b/>
          <w:bCs/>
        </w:rPr>
        <w:t>21.3</w:t>
      </w:r>
      <w:r w:rsidR="000513A2" w:rsidRPr="00FF37B7">
        <w:t xml:space="preserve">, </w:t>
      </w:r>
      <w:r w:rsidR="000513A2" w:rsidRPr="00FF37B7">
        <w:rPr>
          <w:b/>
          <w:bCs/>
        </w:rPr>
        <w:t>21.4</w:t>
      </w:r>
      <w:r w:rsidR="000513A2" w:rsidRPr="00FF37B7">
        <w:t xml:space="preserve"> and </w:t>
      </w:r>
      <w:r w:rsidR="000513A2" w:rsidRPr="00FF37B7">
        <w:rPr>
          <w:b/>
          <w:bCs/>
        </w:rPr>
        <w:t>21.5</w:t>
      </w:r>
      <w:r w:rsidR="000513A2" w:rsidRPr="00FF37B7">
        <w:t>, in the band 2</w:t>
      </w:r>
      <w:r w:rsidR="0049768F" w:rsidRPr="00FF37B7">
        <w:rPr>
          <w:rFonts w:ascii="Tms Rmn" w:hAnsi="Tms Rmn"/>
          <w:sz w:val="12"/>
        </w:rPr>
        <w:t> </w:t>
      </w:r>
      <w:r w:rsidR="000513A2" w:rsidRPr="00FF37B7">
        <w:t>670-2</w:t>
      </w:r>
      <w:r w:rsidR="0049768F" w:rsidRPr="00FF37B7">
        <w:rPr>
          <w:rFonts w:ascii="Tms Rmn" w:hAnsi="Tms Rmn"/>
          <w:sz w:val="12"/>
        </w:rPr>
        <w:t> </w:t>
      </w:r>
      <w:r w:rsidR="000513A2" w:rsidRPr="00FF37B7">
        <w:t xml:space="preserve">690 MHz, are applicable only to stations in the fixed and mobile services in Regions 2 and 3 and that No. </w:t>
      </w:r>
      <w:r w:rsidR="000513A2" w:rsidRPr="00FF37B7">
        <w:rPr>
          <w:b/>
          <w:bCs/>
        </w:rPr>
        <w:t>21.6.1</w:t>
      </w:r>
      <w:r w:rsidR="000513A2" w:rsidRPr="00FF37B7">
        <w:t xml:space="preserve"> applies in this case.</w:t>
      </w:r>
    </w:p>
    <w:p w:rsidR="000513A2" w:rsidRPr="00FF37B7" w:rsidRDefault="000513A2" w:rsidP="000513A2">
      <w:r w:rsidRPr="00FF37B7">
        <w:t>3</w:t>
      </w:r>
      <w:r w:rsidRPr="00FF37B7">
        <w:tab/>
        <w:t>The second and third sentences of this provision are considered recommendations to administrations, and the Bureau has no action to take in their respect.</w:t>
      </w:r>
    </w:p>
    <w:p w:rsidR="000513A2" w:rsidRPr="00FF37B7" w:rsidRDefault="000513A2" w:rsidP="000513A2">
      <w:pPr>
        <w:pStyle w:val="Heading8"/>
        <w:rPr>
          <w:color w:val="000000"/>
        </w:rPr>
      </w:pPr>
      <w:r w:rsidRPr="00FF37B7">
        <w:rPr>
          <w:color w:val="000000"/>
        </w:rPr>
        <w:t>5.415</w:t>
      </w:r>
    </w:p>
    <w:p w:rsidR="000513A2" w:rsidRPr="00FF37B7" w:rsidRDefault="000513A2" w:rsidP="000513A2">
      <w:pPr>
        <w:rPr>
          <w:color w:val="000000"/>
        </w:rPr>
      </w:pPr>
      <w:r w:rsidRPr="00FF37B7">
        <w:rPr>
          <w:color w:val="000000"/>
        </w:rPr>
        <w:t>1</w:t>
      </w:r>
      <w:r w:rsidRPr="00FF37B7">
        <w:rPr>
          <w:color w:val="000000"/>
        </w:rPr>
        <w:tab/>
        <w:t>In this provision, the allocation “is limited to national and regional systems”.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relating to the interpretation of the word “regional” without a capital “R”.</w:t>
      </w:r>
    </w:p>
    <w:p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690 MHz in Region 3. Only those assignments which satisfy the following conditions shall be considered to be in conformity with the Table of Frequency Allocations:</w:t>
      </w:r>
    </w:p>
    <w:p w:rsidR="000513A2" w:rsidRPr="00FF37B7" w:rsidRDefault="000513A2" w:rsidP="000513A2">
      <w:pPr>
        <w:pStyle w:val="enumlev1"/>
        <w:rPr>
          <w:color w:val="000000"/>
        </w:rPr>
      </w:pPr>
      <w:r w:rsidRPr="00FF37B7">
        <w:rPr>
          <w:i/>
          <w:color w:val="000000"/>
        </w:rPr>
        <w:t>a)</w:t>
      </w:r>
      <w:r w:rsidRPr="00FF37B7">
        <w:rPr>
          <w:color w:val="000000"/>
        </w:rPr>
        <w:tab/>
        <w:t>The service area for a regional system is within the Region concerned, i.e. in Region 2 only in the band 2</w:t>
      </w:r>
      <w:r w:rsidRPr="00FF37B7">
        <w:rPr>
          <w:color w:val="000000"/>
          <w:sz w:val="12"/>
        </w:rPr>
        <w:t> </w:t>
      </w:r>
      <w:r w:rsidRPr="00FF37B7">
        <w:rPr>
          <w:color w:val="000000"/>
        </w:rPr>
        <w:t>535-2</w:t>
      </w:r>
      <w:r w:rsidRPr="00FF37B7">
        <w:rPr>
          <w:color w:val="000000"/>
          <w:sz w:val="12"/>
        </w:rPr>
        <w:t> </w:t>
      </w:r>
      <w:r w:rsidRPr="00FF37B7">
        <w:rPr>
          <w:color w:val="000000"/>
        </w:rPr>
        <w:t>655 MHz or in Regions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rsidR="000513A2" w:rsidRPr="00FF37B7" w:rsidRDefault="000513A2" w:rsidP="001106F3">
      <w:pPr>
        <w:pStyle w:val="enumlev2"/>
        <w:rPr>
          <w:sz w:val="16"/>
          <w:szCs w:val="16"/>
        </w:rPr>
      </w:pPr>
      <w:r w:rsidRPr="00FF37B7">
        <w:t>i)</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be in compliance with the Table of Frequency Allocations and the finding shall be unfavourable. </w:t>
      </w:r>
    </w:p>
    <w:p w:rsidR="000513A2" w:rsidRPr="00FF37B7" w:rsidRDefault="001106F3" w:rsidP="000513A2">
      <w:pPr>
        <w:pStyle w:val="enumlev1"/>
        <w:rPr>
          <w:color w:val="000000"/>
        </w:rPr>
      </w:pPr>
      <w:r w:rsidRPr="00FF37B7">
        <w:rPr>
          <w:i/>
          <w:color w:val="000000"/>
        </w:rPr>
        <w:br w:type="page"/>
      </w:r>
      <w:r w:rsidR="000513A2" w:rsidRPr="00FF37B7">
        <w:rPr>
          <w:i/>
          <w:color w:val="000000"/>
        </w:rPr>
        <w:lastRenderedPageBreak/>
        <w:t>b)</w:t>
      </w:r>
      <w:r w:rsidR="000513A2" w:rsidRPr="00FF37B7">
        <w:rPr>
          <w:color w:val="000000"/>
        </w:rPr>
        <w:tab/>
        <w:t>In the case of a national system, the service area is limited to the territory under the jurisdiction of the notifying administration.</w:t>
      </w:r>
    </w:p>
    <w:p w:rsidR="000513A2" w:rsidRPr="00FF37B7"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rsidR="000513A2" w:rsidRPr="00FF37B7" w:rsidRDefault="000513A2" w:rsidP="000513A2">
      <w:pPr>
        <w:pStyle w:val="Heading8"/>
        <w:rPr>
          <w:color w:val="000000"/>
        </w:rPr>
      </w:pPr>
      <w:r w:rsidRPr="00FF37B7">
        <w:rPr>
          <w:color w:val="000000"/>
        </w:rPr>
        <w:t>5.416</w:t>
      </w:r>
    </w:p>
    <w:p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rsidR="000513A2" w:rsidRPr="00FF37B7" w:rsidRDefault="000513A2" w:rsidP="001106F3">
      <w:pPr>
        <w:pStyle w:val="Heading8"/>
        <w:rPr>
          <w:color w:val="000000"/>
        </w:rPr>
      </w:pPr>
      <w:r w:rsidRPr="00FF37B7">
        <w:rPr>
          <w:color w:val="000000"/>
        </w:rPr>
        <w:t>5.418C</w:t>
      </w:r>
    </w:p>
    <w:p w:rsidR="000513A2" w:rsidRPr="00FF37B7" w:rsidRDefault="000513A2" w:rsidP="000513A2">
      <w:pPr>
        <w:rPr>
          <w:color w:val="000000"/>
        </w:rPr>
      </w:pPr>
      <w:r w:rsidRPr="00FF37B7">
        <w:rPr>
          <w:color w:val="000000"/>
        </w:rPr>
        <w:t>1</w:t>
      </w:r>
      <w:r w:rsidRPr="00FF37B7">
        <w:rPr>
          <w:color w:val="000000"/>
        </w:rPr>
        <w:tab/>
        <w:t>In accordance with provision No. </w:t>
      </w:r>
      <w:r w:rsidRPr="00FF37B7">
        <w:rPr>
          <w:rStyle w:val="Artref"/>
          <w:b/>
          <w:bCs/>
          <w:color w:val="000000"/>
        </w:rPr>
        <w:t>5.418C</w:t>
      </w:r>
      <w:r w:rsidRPr="00FF37B7">
        <w:rPr>
          <w:color w:val="000000"/>
        </w:rPr>
        <w:t>, modified by WRC-03, the use of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by geostationary-satellite networks is subject to the application of the provisions of No. </w:t>
      </w:r>
      <w:r w:rsidRPr="00FF37B7">
        <w:rPr>
          <w:rStyle w:val="Artref"/>
          <w:b/>
          <w:bCs/>
          <w:color w:val="000000"/>
        </w:rPr>
        <w:t>9.13</w:t>
      </w:r>
      <w:r w:rsidRPr="00FF37B7">
        <w:rPr>
          <w:color w:val="000000"/>
        </w:rPr>
        <w:t xml:space="preserve"> with respect to non-GSO satellite systems in the BSS (sound) pursuant to No. </w:t>
      </w:r>
      <w:r w:rsidRPr="00FF37B7">
        <w:rPr>
          <w:rStyle w:val="Artref"/>
          <w:b/>
          <w:bCs/>
          <w:color w:val="000000"/>
        </w:rPr>
        <w:t>5.418</w:t>
      </w:r>
      <w:r w:rsidRPr="00FF37B7">
        <w:rPr>
          <w:color w:val="000000"/>
        </w:rPr>
        <w:t xml:space="preserve">, as of 3 June 2000. Resolution </w:t>
      </w:r>
      <w:r w:rsidRPr="00FF37B7">
        <w:rPr>
          <w:rStyle w:val="Resref"/>
          <w:b/>
          <w:bCs/>
          <w:color w:val="000000"/>
        </w:rPr>
        <w:t>33</w:t>
      </w:r>
      <w:r w:rsidRPr="00FF37B7">
        <w:rPr>
          <w:color w:val="000000"/>
        </w:rPr>
        <w:t xml:space="preserve"> (</w:t>
      </w:r>
      <w:r w:rsidRPr="00FF37B7">
        <w:rPr>
          <w:b/>
          <w:bCs/>
          <w:color w:val="000000"/>
        </w:rPr>
        <w:t>Rev.WRC-03</w:t>
      </w:r>
      <w:r w:rsidRPr="00FF37B7">
        <w:rPr>
          <w:color w:val="000000"/>
        </w:rPr>
        <w:t xml:space="preserve">) resolves that for satellite networks for which the API has been received by the Bureau prior to 1 January 1999, only the procedure in Sections A to C in Resolution </w:t>
      </w:r>
      <w:r w:rsidRPr="00FF37B7">
        <w:rPr>
          <w:rStyle w:val="Resref"/>
          <w:b/>
          <w:bCs/>
          <w:color w:val="000000"/>
        </w:rPr>
        <w:t>33</w:t>
      </w:r>
      <w:r w:rsidRPr="00FF37B7">
        <w:rPr>
          <w:b/>
          <w:color w:val="000000"/>
        </w:rPr>
        <w:t xml:space="preserve"> </w:t>
      </w:r>
      <w:r w:rsidRPr="00FF37B7">
        <w:rPr>
          <w:bCs/>
          <w:color w:val="000000"/>
        </w:rPr>
        <w:t>(</w:t>
      </w:r>
      <w:r w:rsidRPr="00FF37B7">
        <w:rPr>
          <w:b/>
          <w:color w:val="000000"/>
        </w:rPr>
        <w:t>Rev.WRC-03</w:t>
      </w:r>
      <w:r w:rsidRPr="00FF37B7">
        <w:rPr>
          <w:bCs/>
          <w:color w:val="000000"/>
        </w:rPr>
        <w:t>)</w:t>
      </w:r>
      <w:r w:rsidRPr="00FF37B7">
        <w:rPr>
          <w:color w:val="000000"/>
        </w:rPr>
        <w:t xml:space="preserve"> shall be applied.</w:t>
      </w:r>
    </w:p>
    <w:p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“notification information”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rsidR="000513A2" w:rsidRPr="00FF37B7" w:rsidRDefault="000513A2" w:rsidP="000513A2">
      <w:pPr>
        <w:rPr>
          <w:color w:val="000000"/>
        </w:rPr>
      </w:pPr>
      <w:r w:rsidRPr="00FF37B7">
        <w:rPr>
          <w:color w:val="000000"/>
        </w:rPr>
        <w:t>3</w:t>
      </w:r>
      <w:r w:rsidRPr="00FF37B7">
        <w:rPr>
          <w:color w:val="000000"/>
        </w:rPr>
        <w:tab/>
        <w:t>In the above context, and taking into account of WRC-03 discussion and decision, the Board understands that No. </w:t>
      </w:r>
      <w:r w:rsidRPr="00FF37B7">
        <w:rPr>
          <w:rStyle w:val="Artref"/>
          <w:b/>
          <w:bCs/>
          <w:color w:val="000000"/>
        </w:rPr>
        <w:t>9.13</w:t>
      </w:r>
      <w:r w:rsidRPr="00FF37B7">
        <w:rPr>
          <w:color w:val="000000"/>
        </w:rPr>
        <w:t xml:space="preserve"> coordination applies as described in the Table below.</w:t>
      </w:r>
    </w:p>
    <w:p w:rsidR="001106F3" w:rsidRPr="00FF37B7" w:rsidRDefault="001106F3" w:rsidP="001C70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2155"/>
        <w:gridCol w:w="2155"/>
        <w:gridCol w:w="1701"/>
      </w:tblGrid>
      <w:tr w:rsidR="001106F3" w:rsidRPr="00FF37B7" w:rsidTr="00476B4C">
        <w:trPr>
          <w:jc w:val="center"/>
        </w:trPr>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rsidTr="00476B4C">
        <w:trPr>
          <w:cantSplit/>
          <w:jc w:val="center"/>
        </w:trPr>
        <w:tc>
          <w:tcPr>
            <w:tcW w:w="1701" w:type="dxa"/>
            <w:vMerge w:val="restart"/>
          </w:tcPr>
          <w:p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rsidTr="00476B4C">
        <w:trPr>
          <w:cantSplit/>
          <w:jc w:val="center"/>
        </w:trPr>
        <w:tc>
          <w:tcPr>
            <w:tcW w:w="1701" w:type="dxa"/>
            <w:vMerge/>
          </w:tcPr>
          <w:p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rsidR="00BA2AB6" w:rsidRDefault="00BA2AB6" w:rsidP="000513A2">
      <w:pPr>
        <w:pStyle w:val="TableFin"/>
        <w:rPr>
          <w:color w:val="000000"/>
        </w:rPr>
      </w:pPr>
    </w:p>
    <w:p w:rsidR="00FF37B7" w:rsidRPr="00FF37B7" w:rsidRDefault="00FF37B7" w:rsidP="00FF37B7"/>
    <w:p w:rsidR="001C70B8" w:rsidRPr="00FF37B7" w:rsidRDefault="001106F3" w:rsidP="001C70B8">
      <w:pPr>
        <w:spacing w:before="0"/>
        <w:rPr>
          <w:sz w:val="2"/>
          <w:szCs w:val="2"/>
        </w:rPr>
      </w:pPr>
      <w:r w:rsidRPr="00FF37B7">
        <w:rPr>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43"/>
      </w:tblGrid>
      <w:tr w:rsidR="001C70B8" w:rsidRPr="00FF37B7" w:rsidTr="00476B4C">
        <w:tc>
          <w:tcPr>
            <w:tcW w:w="2943" w:type="dxa"/>
            <w:tcBorders>
              <w:top w:val="double" w:sz="4" w:space="0" w:color="auto"/>
              <w:left w:val="double" w:sz="4" w:space="0" w:color="auto"/>
              <w:bottom w:val="double" w:sz="4" w:space="0" w:color="auto"/>
              <w:right w:val="double" w:sz="4" w:space="0" w:color="auto"/>
            </w:tcBorders>
          </w:tcPr>
          <w:p w:rsidR="001C70B8" w:rsidRPr="00FF37B7" w:rsidRDefault="001C70B8" w:rsidP="00476B4C">
            <w:pPr>
              <w:pStyle w:val="Headingb0"/>
              <w:keepNext w:val="0"/>
              <w:spacing w:after="100"/>
              <w:ind w:right="-391"/>
              <w:rPr>
                <w:bCs/>
                <w:color w:val="000000"/>
                <w:lang w:val="en-GB"/>
              </w:rPr>
            </w:pPr>
            <w:r w:rsidRPr="00FF37B7">
              <w:rPr>
                <w:bCs/>
                <w:color w:val="000000"/>
                <w:lang w:val="en-GB"/>
              </w:rPr>
              <w:lastRenderedPageBreak/>
              <w:t>Band 2</w:t>
            </w:r>
            <w:r w:rsidRPr="00FF37B7">
              <w:rPr>
                <w:rFonts w:ascii="Tms Rmn" w:hAnsi="Tms Rmn"/>
                <w:bCs/>
                <w:color w:val="000000"/>
                <w:sz w:val="12"/>
                <w:lang w:val="en-GB"/>
              </w:rPr>
              <w:t> </w:t>
            </w:r>
            <w:r w:rsidRPr="00FF37B7">
              <w:rPr>
                <w:bCs/>
                <w:color w:val="000000"/>
                <w:lang w:val="en-GB"/>
              </w:rPr>
              <w:t>605-2</w:t>
            </w:r>
            <w:r w:rsidRPr="00FF37B7">
              <w:rPr>
                <w:rFonts w:ascii="Tms Rmn" w:hAnsi="Tms Rmn"/>
                <w:bCs/>
                <w:color w:val="000000"/>
                <w:sz w:val="12"/>
                <w:lang w:val="en-GB"/>
              </w:rPr>
              <w:t> </w:t>
            </w:r>
            <w:r w:rsidRPr="00FF37B7">
              <w:rPr>
                <w:bCs/>
                <w:color w:val="000000"/>
                <w:lang w:val="en-GB"/>
              </w:rPr>
              <w:t>655 MHz</w:t>
            </w:r>
          </w:p>
        </w:tc>
      </w:tr>
    </w:tbl>
    <w:p w:rsidR="004060BD" w:rsidRDefault="004060BD" w:rsidP="00503F01">
      <w:pPr>
        <w:spacing w:before="360"/>
      </w:pPr>
      <w:r w:rsidRPr="00FF37B7">
        <w:t>1</w:t>
      </w:r>
      <w:r w:rsidRPr="00FF37B7">
        <w:tab/>
        <w:t>Provisions Nos. </w:t>
      </w:r>
      <w:r w:rsidRPr="00FF37B7">
        <w:rPr>
          <w:rStyle w:val="Artref"/>
          <w:b/>
          <w:bCs/>
          <w:color w:val="000000"/>
        </w:rPr>
        <w:t>5.416</w:t>
      </w:r>
      <w:r w:rsidRPr="00FF37B7">
        <w:t xml:space="preserve">, </w:t>
      </w:r>
      <w:r w:rsidRPr="00FF37B7">
        <w:rPr>
          <w:rStyle w:val="Artref"/>
          <w:b/>
          <w:bCs/>
          <w:color w:val="000000"/>
        </w:rPr>
        <w:t>5.417A</w:t>
      </w:r>
      <w:r w:rsidRPr="00FF37B7">
        <w:t xml:space="preserve">, </w:t>
      </w:r>
      <w:r w:rsidRPr="00FF37B7">
        <w:rPr>
          <w:rStyle w:val="Artref"/>
          <w:b/>
          <w:bCs/>
          <w:color w:val="000000"/>
        </w:rPr>
        <w:t>5.417B</w:t>
      </w:r>
      <w:r w:rsidRPr="00FF37B7">
        <w:t xml:space="preserve">, </w:t>
      </w:r>
      <w:r w:rsidRPr="00FF37B7">
        <w:rPr>
          <w:rStyle w:val="Artref"/>
          <w:b/>
          <w:bCs/>
          <w:color w:val="000000"/>
        </w:rPr>
        <w:t>5.417C</w:t>
      </w:r>
      <w:r w:rsidRPr="00FF37B7">
        <w:t xml:space="preserve">, </w:t>
      </w:r>
      <w:r w:rsidRPr="00FF37B7">
        <w:rPr>
          <w:rStyle w:val="Artref"/>
          <w:b/>
          <w:bCs/>
          <w:color w:val="000000"/>
        </w:rPr>
        <w:t>5.417D</w:t>
      </w:r>
      <w:r w:rsidRPr="00FF37B7">
        <w:t xml:space="preserve">, </w:t>
      </w:r>
      <w:r w:rsidRPr="00FF37B7">
        <w:rPr>
          <w:rStyle w:val="Artref"/>
          <w:b/>
          <w:bCs/>
          <w:color w:val="000000"/>
        </w:rPr>
        <w:t>5.418</w:t>
      </w:r>
      <w:r w:rsidRPr="00FF37B7">
        <w:t xml:space="preserve">, </w:t>
      </w:r>
      <w:r w:rsidRPr="00FF37B7">
        <w:rPr>
          <w:rStyle w:val="Artref"/>
          <w:b/>
          <w:bCs/>
          <w:color w:val="000000"/>
        </w:rPr>
        <w:t>5.418A</w:t>
      </w:r>
      <w:r w:rsidRPr="00FF37B7">
        <w:t xml:space="preserve">, </w:t>
      </w:r>
      <w:r w:rsidRPr="00FF37B7">
        <w:rPr>
          <w:rStyle w:val="Artref"/>
          <w:b/>
          <w:bCs/>
          <w:color w:val="000000"/>
        </w:rPr>
        <w:t>5.418B</w:t>
      </w:r>
      <w:r w:rsidRPr="00FF37B7">
        <w:t xml:space="preserve"> and </w:t>
      </w:r>
      <w:r w:rsidRPr="00FF37B7">
        <w:rPr>
          <w:rStyle w:val="Artref"/>
          <w:b/>
          <w:bCs/>
          <w:color w:val="000000"/>
        </w:rPr>
        <w:t>5.418C</w:t>
      </w:r>
      <w:r w:rsidRPr="00FF37B7">
        <w:t xml:space="preserve"> provide information on the different constraints and procedures applying to the broadcasting-satellite service (BSS) and fixed-satellite service (FSS) in the frequency range 2</w:t>
      </w:r>
      <w:r w:rsidRPr="00FF37B7">
        <w:rPr>
          <w:rFonts w:ascii="Tms Rmn" w:hAnsi="Tms Rmn"/>
          <w:sz w:val="12"/>
        </w:rPr>
        <w:t> </w:t>
      </w:r>
      <w:r w:rsidRPr="00FF37B7">
        <w:t>605-2</w:t>
      </w:r>
      <w:r w:rsidRPr="00FF37B7">
        <w:rPr>
          <w:rFonts w:ascii="Tms Rmn" w:hAnsi="Tms Rmn"/>
          <w:sz w:val="12"/>
        </w:rPr>
        <w:t> </w:t>
      </w:r>
      <w:r w:rsidRPr="00FF37B7">
        <w:t>655 MHz.</w:t>
      </w:r>
    </w:p>
    <w:p w:rsidR="004060BD" w:rsidRPr="00FF37B7" w:rsidRDefault="004060BD" w:rsidP="00503F01">
      <w:pPr>
        <w:spacing w:before="360"/>
        <w:rPr>
          <w:color w:val="000000"/>
        </w:rPr>
      </w:pPr>
      <w:r w:rsidRPr="00FF37B7">
        <w:rPr>
          <w:color w:val="000000"/>
        </w:rPr>
        <w:t>2</w:t>
      </w:r>
      <w:r w:rsidRPr="00FF37B7">
        <w:rPr>
          <w:color w:val="000000"/>
        </w:rPr>
        <w:tab/>
        <w:t>The Board undertook an in-depth examination of the different provisions and the applicability of the different coordination procedures (space network-to-space network (Nos. </w:t>
      </w:r>
      <w:r w:rsidRPr="00FF37B7">
        <w:rPr>
          <w:rStyle w:val="Artref"/>
          <w:b/>
          <w:bCs/>
          <w:color w:val="000000"/>
        </w:rPr>
        <w:t>9.7</w:t>
      </w:r>
      <w:r w:rsidRPr="00FF37B7">
        <w:rPr>
          <w:color w:val="000000"/>
        </w:rPr>
        <w:t xml:space="preserve">, </w:t>
      </w:r>
      <w:r w:rsidRPr="00FF37B7">
        <w:rPr>
          <w:rStyle w:val="Artref"/>
          <w:b/>
          <w:bCs/>
          <w:color w:val="000000"/>
        </w:rPr>
        <w:t>9.12</w:t>
      </w:r>
      <w:r w:rsidRPr="00FF37B7">
        <w:rPr>
          <w:color w:val="000000"/>
        </w:rPr>
        <w:t xml:space="preserve">, </w:t>
      </w:r>
      <w:r w:rsidRPr="00FF37B7">
        <w:rPr>
          <w:rStyle w:val="Artref"/>
          <w:b/>
          <w:bCs/>
          <w:color w:val="000000"/>
        </w:rPr>
        <w:t>9.12A</w:t>
      </w:r>
      <w:r w:rsidRPr="00FF37B7">
        <w:rPr>
          <w:color w:val="000000"/>
        </w:rPr>
        <w:t xml:space="preserve"> and </w:t>
      </w:r>
      <w:r w:rsidRPr="00FF37B7">
        <w:rPr>
          <w:rStyle w:val="Artref"/>
          <w:b/>
          <w:bCs/>
          <w:color w:val="000000"/>
        </w:rPr>
        <w:t>9.13</w:t>
      </w:r>
      <w:r w:rsidRPr="00FF37B7">
        <w:rPr>
          <w:color w:val="000000"/>
        </w:rPr>
        <w:t>)) that apply to satellite systems in the band 2</w:t>
      </w:r>
      <w:r w:rsidRPr="00FF37B7">
        <w:rPr>
          <w:rFonts w:ascii="Tms Rmn" w:hAnsi="Tms Rmn"/>
          <w:color w:val="000000"/>
          <w:sz w:val="12"/>
        </w:rPr>
        <w:t> </w:t>
      </w:r>
      <w:r w:rsidRPr="00FF37B7">
        <w:rPr>
          <w:color w:val="000000"/>
        </w:rPr>
        <w:t>605-2</w:t>
      </w:r>
      <w:r w:rsidRPr="00FF37B7">
        <w:rPr>
          <w:rFonts w:ascii="Tms Rmn" w:hAnsi="Tms Rmn"/>
          <w:color w:val="000000"/>
          <w:sz w:val="12"/>
        </w:rPr>
        <w:t> </w:t>
      </w:r>
      <w:r w:rsidRPr="00FF37B7">
        <w:rPr>
          <w:color w:val="000000"/>
        </w:rPr>
        <w:t xml:space="preserve">655 MHz and noted the possible difficulty in assessing the service (BSS (sound), BSS (television), FSS) and the nature of the satellite network (GSO or non-GSO) to which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w:t>
      </w:r>
      <w:r w:rsidRPr="00FF37B7">
        <w:rPr>
          <w:rStyle w:val="Artref"/>
          <w:b/>
          <w:bCs/>
          <w:color w:val="000000"/>
        </w:rPr>
        <w:t>5.417D</w:t>
      </w:r>
      <w:r w:rsidRPr="00FF37B7">
        <w:rPr>
          <w:color w:val="000000"/>
        </w:rPr>
        <w:t xml:space="preserve">, </w:t>
      </w:r>
      <w:r w:rsidRPr="00FF37B7">
        <w:rPr>
          <w:rStyle w:val="Artref"/>
          <w:b/>
          <w:bCs/>
          <w:color w:val="000000"/>
        </w:rPr>
        <w:t>5.418A</w:t>
      </w:r>
      <w:r w:rsidRPr="00FF37B7">
        <w:rPr>
          <w:color w:val="000000"/>
        </w:rPr>
        <w:t xml:space="preserve">, </w:t>
      </w:r>
      <w:r w:rsidRPr="00FF37B7">
        <w:rPr>
          <w:rStyle w:val="Artref"/>
          <w:b/>
          <w:bCs/>
          <w:color w:val="000000"/>
        </w:rPr>
        <w:t>5.418B</w:t>
      </w:r>
      <w:r w:rsidRPr="00FF37B7">
        <w:rPr>
          <w:color w:val="000000"/>
        </w:rPr>
        <w:t xml:space="preserve"> and </w:t>
      </w:r>
      <w:r w:rsidRPr="00FF37B7">
        <w:rPr>
          <w:rStyle w:val="Artref"/>
          <w:b/>
          <w:bCs/>
          <w:color w:val="000000"/>
        </w:rPr>
        <w:t>5.418C</w:t>
      </w:r>
      <w:r w:rsidRPr="00FF37B7">
        <w:rPr>
          <w:color w:val="000000"/>
        </w:rPr>
        <w:t xml:space="preserve">, should apply, taking due account of the dates of reception of the complete Appendix </w:t>
      </w:r>
      <w:r w:rsidRPr="00FF37B7">
        <w:rPr>
          <w:rStyle w:val="Appref"/>
          <w:b/>
          <w:bCs/>
          <w:color w:val="000000"/>
        </w:rPr>
        <w:t>4</w:t>
      </w:r>
      <w:r w:rsidRPr="00FF37B7">
        <w:rPr>
          <w:color w:val="000000"/>
        </w:rPr>
        <w:t xml:space="preserve"> coordination or notification information, as appropriate. Indeed,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655 MHz, No. </w:t>
      </w:r>
      <w:r w:rsidRPr="00FF37B7">
        <w:rPr>
          <w:rStyle w:val="Artref"/>
          <w:b/>
          <w:bCs/>
          <w:color w:val="000000"/>
        </w:rPr>
        <w:t>5.418A</w:t>
      </w:r>
      <w:r w:rsidRPr="00FF37B7">
        <w:rPr>
          <w:color w:val="000000"/>
        </w:rPr>
        <w:t xml:space="preserve"> refers to the application of the provisions of No. </w:t>
      </w:r>
      <w:r w:rsidRPr="00FF37B7">
        <w:rPr>
          <w:rStyle w:val="Artref"/>
          <w:b/>
          <w:bCs/>
          <w:color w:val="000000"/>
        </w:rPr>
        <w:t>9.12A</w:t>
      </w:r>
      <w:r w:rsidRPr="00FF37B7">
        <w:rPr>
          <w:color w:val="000000"/>
        </w:rPr>
        <w:t xml:space="preserve"> for non-GSO systems in the BSS (sound) in certain countries listed in No. </w:t>
      </w:r>
      <w:r w:rsidRPr="00FF37B7">
        <w:rPr>
          <w:rStyle w:val="Artref"/>
          <w:b/>
          <w:bCs/>
          <w:color w:val="000000"/>
        </w:rPr>
        <w:t>5.418</w:t>
      </w:r>
      <w:r w:rsidRPr="00FF37B7">
        <w:rPr>
          <w:color w:val="000000"/>
        </w:rPr>
        <w:t>, in respect of GSO systems; without further details on the involved services; No. </w:t>
      </w:r>
      <w:r w:rsidRPr="00FF37B7">
        <w:rPr>
          <w:rStyle w:val="Artref"/>
          <w:b/>
          <w:bCs/>
          <w:color w:val="000000"/>
        </w:rPr>
        <w:t>5.418B</w:t>
      </w:r>
      <w:r w:rsidRPr="00FF37B7">
        <w:rPr>
          <w:color w:val="000000"/>
        </w:rPr>
        <w:t xml:space="preserve"> refers to the application of the provisions of No. </w:t>
      </w:r>
      <w:r w:rsidRPr="00FF37B7">
        <w:rPr>
          <w:rStyle w:val="Artref"/>
          <w:b/>
          <w:bCs/>
          <w:color w:val="000000"/>
        </w:rPr>
        <w:t>9.12</w:t>
      </w:r>
      <w:r w:rsidRPr="00FF37B7">
        <w:rPr>
          <w:color w:val="000000"/>
        </w:rPr>
        <w:t xml:space="preserve"> for non-GSO systems in the BSS under No. </w:t>
      </w:r>
      <w:r w:rsidRPr="00FF37B7">
        <w:rPr>
          <w:rStyle w:val="Artref"/>
          <w:b/>
          <w:bCs/>
          <w:color w:val="000000"/>
        </w:rPr>
        <w:t>5.418</w:t>
      </w:r>
      <w:r w:rsidRPr="00FF37B7">
        <w:rPr>
          <w:color w:val="000000"/>
        </w:rPr>
        <w:t>, in respect of other non-GSO systems; and No. </w:t>
      </w:r>
      <w:r w:rsidRPr="00FF37B7">
        <w:rPr>
          <w:rStyle w:val="Artref"/>
          <w:b/>
          <w:bCs/>
          <w:color w:val="000000"/>
        </w:rPr>
        <w:t>5.418C</w:t>
      </w:r>
      <w:r w:rsidRPr="00FF37B7">
        <w:rPr>
          <w:color w:val="000000"/>
        </w:rPr>
        <w:t xml:space="preserve"> refers to the application of No. </w:t>
      </w:r>
      <w:r w:rsidRPr="00FF37B7">
        <w:rPr>
          <w:rStyle w:val="Artref"/>
          <w:b/>
          <w:bCs/>
          <w:color w:val="000000"/>
        </w:rPr>
        <w:t>9.13</w:t>
      </w:r>
      <w:r w:rsidRPr="00FF37B7">
        <w:rPr>
          <w:color w:val="000000"/>
        </w:rPr>
        <w:t xml:space="preserve"> by GSO networks in respect of non-GSO systems in the BSS (sound), allocated under No. </w:t>
      </w:r>
      <w:r w:rsidRPr="00FF37B7">
        <w:rPr>
          <w:rStyle w:val="Artref"/>
          <w:b/>
          <w:bCs/>
          <w:color w:val="000000"/>
        </w:rPr>
        <w:t>5.418</w:t>
      </w:r>
      <w:r w:rsidRPr="00FF37B7">
        <w:rPr>
          <w:color w:val="000000"/>
        </w:rPr>
        <w:t xml:space="preserve">. The same wording is also used in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and </w:t>
      </w:r>
      <w:r w:rsidRPr="00FF37B7">
        <w:rPr>
          <w:rStyle w:val="Artref"/>
          <w:b/>
          <w:bCs/>
          <w:color w:val="000000"/>
        </w:rPr>
        <w:t>5.417D</w:t>
      </w:r>
      <w:r w:rsidRPr="00FF37B7">
        <w:rPr>
          <w:color w:val="000000"/>
        </w:rPr>
        <w:t xml:space="preserve"> relating to BSS systems in the band 2</w:t>
      </w:r>
      <w:r w:rsidRPr="00FF37B7">
        <w:rPr>
          <w:rFonts w:ascii="Tms Rmn" w:hAnsi="Tms Rmn"/>
          <w:color w:val="000000"/>
          <w:sz w:val="12"/>
        </w:rPr>
        <w:t> </w:t>
      </w:r>
      <w:r w:rsidRPr="00FF37B7">
        <w:rPr>
          <w:color w:val="000000"/>
        </w:rPr>
        <w:t>605-2</w:t>
      </w:r>
      <w:r w:rsidRPr="00FF37B7">
        <w:rPr>
          <w:rFonts w:ascii="Tms Rmn" w:hAnsi="Tms Rmn"/>
          <w:color w:val="000000"/>
          <w:sz w:val="12"/>
        </w:rPr>
        <w:t> </w:t>
      </w:r>
      <w:r w:rsidRPr="00FF37B7">
        <w:rPr>
          <w:color w:val="000000"/>
        </w:rPr>
        <w:t>630 MHz.</w:t>
      </w:r>
    </w:p>
    <w:p w:rsidR="004060BD" w:rsidRPr="00FF37B7" w:rsidRDefault="004060BD" w:rsidP="00503F01">
      <w:pPr>
        <w:spacing w:before="360"/>
        <w:rPr>
          <w:color w:val="000000"/>
        </w:rPr>
      </w:pPr>
      <w:r w:rsidRPr="00FF37B7">
        <w:rPr>
          <w:color w:val="000000"/>
        </w:rPr>
        <w:t>3</w:t>
      </w:r>
      <w:r w:rsidRPr="00FF37B7">
        <w:rPr>
          <w:color w:val="000000"/>
        </w:rPr>
        <w:tab/>
        <w:t xml:space="preserve">Taking the above into account and in the light of WRC-03 discussions and decisions, in particular the addition of an explicit reference to No. </w:t>
      </w:r>
      <w:r w:rsidRPr="00FF37B7">
        <w:rPr>
          <w:rStyle w:val="Artref"/>
          <w:b/>
          <w:bCs/>
          <w:color w:val="000000"/>
        </w:rPr>
        <w:t>5.418</w:t>
      </w:r>
      <w:r w:rsidRPr="00FF37B7">
        <w:rPr>
          <w:color w:val="000000"/>
        </w:rPr>
        <w:t xml:space="preserve"> in Nos. </w:t>
      </w:r>
      <w:r w:rsidRPr="00FF37B7">
        <w:rPr>
          <w:rStyle w:val="Artref"/>
          <w:b/>
          <w:bCs/>
          <w:color w:val="000000"/>
        </w:rPr>
        <w:t>5.418B</w:t>
      </w:r>
      <w:r w:rsidRPr="00FF37B7">
        <w:rPr>
          <w:color w:val="000000"/>
        </w:rPr>
        <w:t xml:space="preserve">, </w:t>
      </w:r>
      <w:r w:rsidRPr="00FF37B7">
        <w:rPr>
          <w:rStyle w:val="Artref"/>
          <w:b/>
          <w:bCs/>
          <w:color w:val="000000"/>
        </w:rPr>
        <w:t>5.418C</w:t>
      </w:r>
      <w:r w:rsidRPr="00FF37B7">
        <w:rPr>
          <w:color w:val="000000"/>
        </w:rPr>
        <w:t xml:space="preserve">, and the explicit reference to No. </w:t>
      </w:r>
      <w:r w:rsidRPr="00FF37B7">
        <w:rPr>
          <w:rStyle w:val="Artref"/>
          <w:b/>
          <w:bCs/>
          <w:color w:val="000000"/>
        </w:rPr>
        <w:t>5.417A</w:t>
      </w:r>
      <w:r w:rsidRPr="00FF37B7">
        <w:rPr>
          <w:color w:val="000000"/>
        </w:rPr>
        <w:t xml:space="preserve"> in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and </w:t>
      </w:r>
      <w:r w:rsidRPr="00FF37B7">
        <w:rPr>
          <w:rStyle w:val="Artref"/>
          <w:b/>
          <w:bCs/>
          <w:color w:val="000000"/>
        </w:rPr>
        <w:t>5.417D</w:t>
      </w:r>
      <w:r w:rsidRPr="00FF37B7">
        <w:rPr>
          <w:color w:val="000000"/>
        </w:rPr>
        <w:t>, the Board understands Nos. </w:t>
      </w:r>
      <w:r w:rsidRPr="00FF37B7">
        <w:rPr>
          <w:rStyle w:val="Artref"/>
          <w:b/>
          <w:bCs/>
          <w:color w:val="000000"/>
        </w:rPr>
        <w:t>5.418A</w:t>
      </w:r>
      <w:r w:rsidRPr="00FF37B7">
        <w:rPr>
          <w:color w:val="000000"/>
        </w:rPr>
        <w:t xml:space="preserve">, </w:t>
      </w:r>
      <w:r w:rsidRPr="00FF37B7">
        <w:rPr>
          <w:rStyle w:val="Artref"/>
          <w:b/>
          <w:bCs/>
          <w:color w:val="000000"/>
        </w:rPr>
        <w:t>5.418B</w:t>
      </w:r>
      <w:r w:rsidRPr="00FF37B7">
        <w:rPr>
          <w:color w:val="000000"/>
        </w:rPr>
        <w:t xml:space="preserve"> and </w:t>
      </w:r>
      <w:r w:rsidRPr="00FF37B7">
        <w:rPr>
          <w:rStyle w:val="Artref"/>
          <w:b/>
          <w:bCs/>
          <w:color w:val="000000"/>
        </w:rPr>
        <w:t>5.418C</w:t>
      </w:r>
      <w:r w:rsidRPr="00FF37B7">
        <w:rPr>
          <w:color w:val="000000"/>
        </w:rPr>
        <w:t xml:space="preserve">, and Nos. </w:t>
      </w:r>
      <w:r w:rsidRPr="00FF37B7">
        <w:rPr>
          <w:rStyle w:val="Artref"/>
          <w:b/>
          <w:bCs/>
          <w:color w:val="000000"/>
        </w:rPr>
        <w:t>5.417B</w:t>
      </w:r>
      <w:r w:rsidRPr="00FF37B7">
        <w:rPr>
          <w:color w:val="000000"/>
        </w:rPr>
        <w:t xml:space="preserve">, </w:t>
      </w:r>
      <w:r w:rsidRPr="00FF37B7">
        <w:rPr>
          <w:rStyle w:val="Artref"/>
          <w:b/>
          <w:bCs/>
          <w:color w:val="000000"/>
        </w:rPr>
        <w:t>5.417C</w:t>
      </w:r>
      <w:r w:rsidRPr="00FF37B7">
        <w:rPr>
          <w:color w:val="000000"/>
        </w:rPr>
        <w:t xml:space="preserve">, </w:t>
      </w:r>
      <w:r w:rsidRPr="00FF37B7">
        <w:rPr>
          <w:rStyle w:val="Artref"/>
          <w:b/>
          <w:bCs/>
          <w:color w:val="000000"/>
        </w:rPr>
        <w:t>5.417D</w:t>
      </w:r>
      <w:r w:rsidRPr="00FF37B7">
        <w:rPr>
          <w:color w:val="000000"/>
        </w:rPr>
        <w:t xml:space="preserve"> to only address cases of coordination as follows: non-GSO BSS (sound) (Nos. </w:t>
      </w:r>
      <w:r w:rsidRPr="00FF37B7">
        <w:rPr>
          <w:rStyle w:val="Artref"/>
          <w:b/>
          <w:bCs/>
          <w:color w:val="000000"/>
        </w:rPr>
        <w:t>5.418</w:t>
      </w:r>
      <w:r w:rsidRPr="00FF37B7">
        <w:rPr>
          <w:b/>
          <w:bCs/>
          <w:color w:val="000000"/>
        </w:rPr>
        <w:t xml:space="preserve"> </w:t>
      </w:r>
      <w:r w:rsidRPr="00FF37B7">
        <w:rPr>
          <w:color w:val="000000"/>
        </w:rPr>
        <w:t xml:space="preserve">and </w:t>
      </w:r>
      <w:r w:rsidRPr="00FF37B7">
        <w:rPr>
          <w:rStyle w:val="Artref"/>
          <w:b/>
          <w:bCs/>
          <w:color w:val="000000"/>
        </w:rPr>
        <w:t>5.417A</w:t>
      </w:r>
      <w:r w:rsidRPr="00FF37B7">
        <w:rPr>
          <w:color w:val="000000"/>
        </w:rPr>
        <w:t xml:space="preserve">) systems vis-à-vis any GSO systems under No. </w:t>
      </w:r>
      <w:r w:rsidRPr="00FF37B7">
        <w:rPr>
          <w:rStyle w:val="Artref"/>
          <w:b/>
          <w:bCs/>
          <w:color w:val="000000"/>
        </w:rPr>
        <w:t>9.12A</w:t>
      </w:r>
      <w:r w:rsidRPr="00FF37B7">
        <w:rPr>
          <w:color w:val="000000"/>
        </w:rPr>
        <w:t xml:space="preserve">, and vis-à-vis any non-GSO systems under No. </w:t>
      </w:r>
      <w:r w:rsidRPr="00FF37B7">
        <w:rPr>
          <w:rStyle w:val="Artref"/>
          <w:b/>
          <w:bCs/>
          <w:color w:val="000000"/>
        </w:rPr>
        <w:t>9.12</w:t>
      </w:r>
      <w:r w:rsidRPr="00FF37B7">
        <w:rPr>
          <w:color w:val="000000"/>
        </w:rPr>
        <w:t xml:space="preserve">, and vice versa, i.e. any GSO systems vis-à-vis non-GSO BSS (sound) (Nos. </w:t>
      </w:r>
      <w:r w:rsidRPr="00FF37B7">
        <w:rPr>
          <w:rStyle w:val="Artref"/>
          <w:b/>
          <w:bCs/>
          <w:color w:val="000000"/>
        </w:rPr>
        <w:t>5.418</w:t>
      </w:r>
      <w:r w:rsidRPr="00FF37B7">
        <w:rPr>
          <w:b/>
          <w:bCs/>
          <w:color w:val="000000"/>
        </w:rPr>
        <w:t xml:space="preserve"> </w:t>
      </w:r>
      <w:r w:rsidRPr="00FF37B7">
        <w:rPr>
          <w:color w:val="000000"/>
        </w:rPr>
        <w:t xml:space="preserve">and </w:t>
      </w:r>
      <w:r w:rsidRPr="00FF37B7">
        <w:rPr>
          <w:rStyle w:val="Artref"/>
          <w:b/>
          <w:bCs/>
          <w:color w:val="000000"/>
        </w:rPr>
        <w:t>5.417A</w:t>
      </w:r>
      <w:r w:rsidRPr="00FF37B7">
        <w:rPr>
          <w:color w:val="000000"/>
        </w:rPr>
        <w:t xml:space="preserve">) systems under No. </w:t>
      </w:r>
      <w:r w:rsidRPr="00FF37B7">
        <w:rPr>
          <w:rStyle w:val="Artref"/>
          <w:b/>
          <w:bCs/>
          <w:color w:val="000000"/>
        </w:rPr>
        <w:t>9.13</w:t>
      </w:r>
      <w:r w:rsidRPr="00FF37B7">
        <w:rPr>
          <w:color w:val="000000"/>
        </w:rPr>
        <w:t xml:space="preserve">, and any non-GSO systems vis-à-vis non-GSO BSS (sound) (Nos. </w:t>
      </w:r>
      <w:r w:rsidRPr="00FF37B7">
        <w:rPr>
          <w:rStyle w:val="Artref"/>
          <w:b/>
          <w:bCs/>
          <w:color w:val="000000"/>
        </w:rPr>
        <w:t>5.418</w:t>
      </w:r>
      <w:r w:rsidRPr="00FF37B7">
        <w:rPr>
          <w:b/>
          <w:bCs/>
          <w:color w:val="000000"/>
        </w:rPr>
        <w:t xml:space="preserve"> </w:t>
      </w:r>
      <w:r w:rsidRPr="00FF37B7">
        <w:rPr>
          <w:color w:val="000000"/>
        </w:rPr>
        <w:t>and</w:t>
      </w:r>
      <w:r w:rsidRPr="00FF37B7">
        <w:rPr>
          <w:b/>
          <w:bCs/>
          <w:color w:val="000000"/>
        </w:rPr>
        <w:t xml:space="preserve"> </w:t>
      </w:r>
      <w:r w:rsidRPr="00FF37B7">
        <w:rPr>
          <w:rStyle w:val="Artref"/>
          <w:b/>
          <w:bCs/>
          <w:color w:val="000000"/>
        </w:rPr>
        <w:t>5.417A</w:t>
      </w:r>
      <w:r w:rsidRPr="00FF37B7">
        <w:rPr>
          <w:color w:val="000000"/>
        </w:rPr>
        <w:t xml:space="preserve">) systems under No. </w:t>
      </w:r>
      <w:r w:rsidRPr="00FF37B7">
        <w:rPr>
          <w:rStyle w:val="Artref"/>
          <w:b/>
          <w:bCs/>
          <w:color w:val="000000"/>
        </w:rPr>
        <w:t>9.12</w:t>
      </w:r>
      <w:r w:rsidRPr="00FF37B7">
        <w:rPr>
          <w:color w:val="000000"/>
        </w:rPr>
        <w:t>, as described in the Table below. This Table applies to coordination requirements between GSO and non-GSO satellite systems for which the API has been received following 1 January 1999 and complete coordination/notification information was received after 2</w:t>
      </w:r>
      <w:r w:rsidR="001C70B8" w:rsidRPr="00FF37B7">
        <w:rPr>
          <w:color w:val="000000"/>
        </w:rPr>
        <w:t xml:space="preserve"> </w:t>
      </w:r>
      <w:r w:rsidRPr="00FF37B7">
        <w:rPr>
          <w:color w:val="000000"/>
        </w:rPr>
        <w:t>June</w:t>
      </w:r>
      <w:r w:rsidR="001C70B8" w:rsidRPr="00FF37B7">
        <w:rPr>
          <w:color w:val="000000"/>
        </w:rPr>
        <w:t xml:space="preserve"> </w:t>
      </w:r>
      <w:r w:rsidRPr="00FF37B7">
        <w:rPr>
          <w:color w:val="000000"/>
        </w:rPr>
        <w:t>2000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655 MHz and after 4 July 2003 in the band 2</w:t>
      </w:r>
      <w:r w:rsidRPr="00FF37B7">
        <w:rPr>
          <w:rFonts w:ascii="Tms Rmn" w:hAnsi="Tms Rmn"/>
          <w:color w:val="000000"/>
          <w:sz w:val="12"/>
        </w:rPr>
        <w:t> </w:t>
      </w:r>
      <w:r w:rsidRPr="00FF37B7">
        <w:rPr>
          <w:color w:val="000000"/>
        </w:rPr>
        <w:t>605-2</w:t>
      </w:r>
      <w:r w:rsidRPr="00FF37B7">
        <w:rPr>
          <w:rFonts w:ascii="Tms Rmn" w:hAnsi="Tms Rmn"/>
          <w:color w:val="000000"/>
          <w:sz w:val="12"/>
        </w:rPr>
        <w:t> </w:t>
      </w:r>
      <w:r w:rsidRPr="00FF37B7">
        <w:rPr>
          <w:color w:val="000000"/>
        </w:rPr>
        <w:t>630 MHz.</w:t>
      </w:r>
    </w:p>
    <w:p w:rsidR="001F1740" w:rsidRPr="00FF37B7" w:rsidRDefault="001F1740" w:rsidP="001F1740">
      <w:pPr>
        <w:rPr>
          <w:color w:val="000000"/>
        </w:rPr>
      </w:pPr>
    </w:p>
    <w:p w:rsidR="001F1740" w:rsidRDefault="001F1740" w:rsidP="001F1740">
      <w:pPr>
        <w:rPr>
          <w:color w:val="000000"/>
        </w:rPr>
      </w:pPr>
    </w:p>
    <w:p w:rsidR="00BC1EDD" w:rsidRPr="00FF37B7" w:rsidRDefault="00BC1EDD" w:rsidP="001F1740">
      <w:pPr>
        <w:rPr>
          <w:color w:val="000000"/>
        </w:rPr>
      </w:pPr>
    </w:p>
    <w:p w:rsidR="004060BD" w:rsidRPr="00FF37B7" w:rsidRDefault="001F1740" w:rsidP="001F1740">
      <w:pPr>
        <w:spacing w:before="0"/>
        <w:rPr>
          <w:sz w:val="2"/>
          <w:szCs w:val="2"/>
        </w:rPr>
      </w:pPr>
      <w:r w:rsidRPr="00FF37B7">
        <w:br w:type="page"/>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01"/>
        <w:gridCol w:w="1871"/>
        <w:gridCol w:w="1985"/>
        <w:gridCol w:w="2035"/>
      </w:tblGrid>
      <w:tr w:rsidR="004060BD" w:rsidRPr="00FF37B7" w:rsidTr="00FE282F">
        <w:trPr>
          <w:cantSplit/>
          <w:trHeight w:val="567"/>
        </w:trPr>
        <w:tc>
          <w:tcPr>
            <w:tcW w:w="3001" w:type="dxa"/>
            <w:tcBorders>
              <w:bottom w:val="single" w:sz="4" w:space="0" w:color="auto"/>
            </w:tcBorders>
            <w:tcMar>
              <w:left w:w="28" w:type="dxa"/>
              <w:right w:w="28" w:type="dxa"/>
            </w:tcMar>
          </w:tcPr>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lastRenderedPageBreak/>
              <w:t>Coordination request (CR): Column vis-à-vis Row (</w:t>
            </w:r>
            <w:r w:rsidRPr="00FF37B7">
              <w:rPr>
                <w:color w:val="000000"/>
                <w:lang w:val="en-GB"/>
              </w:rPr>
              <w:sym w:font="Wingdings" w:char="F0E5"/>
            </w:r>
            <w:r w:rsidRPr="00FF37B7">
              <w:rPr>
                <w:color w:val="000000"/>
                <w:lang w:val="en-GB"/>
              </w:rPr>
              <w:t>)</w:t>
            </w:r>
          </w:p>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(2</w:t>
            </w:r>
            <w:r w:rsidRPr="00FF37B7">
              <w:rPr>
                <w:rFonts w:ascii="Tms Rmn" w:hAnsi="Tms Rmn"/>
                <w:color w:val="000000"/>
                <w:sz w:val="12"/>
                <w:lang w:val="en-GB"/>
              </w:rPr>
              <w:t> </w:t>
            </w:r>
            <w:r w:rsidRPr="00FF37B7">
              <w:rPr>
                <w:color w:val="000000"/>
                <w:lang w:val="en-GB"/>
              </w:rPr>
              <w:t>605-2</w:t>
            </w:r>
            <w:r w:rsidRPr="00FF37B7">
              <w:rPr>
                <w:rFonts w:ascii="Tms Rmn" w:hAnsi="Tms Rmn"/>
                <w:color w:val="000000"/>
                <w:sz w:val="12"/>
                <w:lang w:val="en-GB"/>
              </w:rPr>
              <w:t> </w:t>
            </w:r>
            <w:r w:rsidRPr="00FF37B7">
              <w:rPr>
                <w:color w:val="000000"/>
                <w:lang w:val="en-GB"/>
              </w:rPr>
              <w:t>655 MHz)</w:t>
            </w:r>
          </w:p>
        </w:tc>
        <w:tc>
          <w:tcPr>
            <w:tcW w:w="1871" w:type="dxa"/>
            <w:tcBorders>
              <w:bottom w:val="single" w:sz="4" w:space="0" w:color="auto"/>
            </w:tcBorders>
            <w:tcMar>
              <w:left w:w="28" w:type="dxa"/>
              <w:right w:w="28" w:type="dxa"/>
            </w:tcMar>
          </w:tcPr>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 xml:space="preserve">Non-GSO BSS (sound) </w:t>
            </w:r>
            <w:r w:rsidRPr="00FF37B7">
              <w:rPr>
                <w:color w:val="000000"/>
                <w:sz w:val="18"/>
                <w:lang w:val="en-GB"/>
              </w:rPr>
              <w:sym w:font="Symbol" w:char="F0AF"/>
            </w:r>
            <w:r w:rsidRPr="00FF37B7">
              <w:rPr>
                <w:color w:val="000000"/>
                <w:lang w:val="en-GB"/>
              </w:rPr>
              <w:t xml:space="preserve"> </w:t>
            </w:r>
            <w:r w:rsidRPr="00FF37B7">
              <w:rPr>
                <w:color w:val="000000"/>
                <w:lang w:val="en-GB"/>
              </w:rPr>
              <w:br/>
              <w:t>(</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w:t>
            </w:r>
          </w:p>
        </w:tc>
        <w:tc>
          <w:tcPr>
            <w:tcW w:w="1985" w:type="dxa"/>
            <w:tcBorders>
              <w:bottom w:val="single" w:sz="4" w:space="0" w:color="auto"/>
            </w:tcBorders>
            <w:tcMar>
              <w:left w:w="28" w:type="dxa"/>
              <w:right w:w="28" w:type="dxa"/>
            </w:tcMar>
          </w:tcPr>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 xml:space="preserve">GSO BSS </w:t>
            </w:r>
            <w:r w:rsidRPr="00FF37B7">
              <w:rPr>
                <w:color w:val="000000"/>
                <w:sz w:val="18"/>
                <w:lang w:val="en-GB"/>
              </w:rPr>
              <w:sym w:font="Symbol" w:char="F0AF"/>
            </w:r>
            <w:r w:rsidRPr="00FF37B7">
              <w:rPr>
                <w:color w:val="000000"/>
                <w:sz w:val="18"/>
                <w:lang w:val="en-GB"/>
              </w:rPr>
              <w:br/>
            </w:r>
            <w:r w:rsidRPr="00FF37B7">
              <w:rPr>
                <w:color w:val="000000"/>
                <w:lang w:val="en-GB"/>
              </w:rPr>
              <w:t>(</w:t>
            </w:r>
            <w:r w:rsidRPr="00FF37B7">
              <w:rPr>
                <w:rStyle w:val="Artref"/>
                <w:b/>
                <w:bCs/>
                <w:color w:val="000000"/>
                <w:lang w:val="en-GB"/>
              </w:rPr>
              <w:t>5.416</w:t>
            </w:r>
            <w:r w:rsidRPr="00FF37B7">
              <w:rPr>
                <w:color w:val="000000"/>
                <w:lang w:val="en-GB"/>
              </w:rPr>
              <w:t xml:space="preserve">, </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 xml:space="preserve">) or FSS </w:t>
            </w:r>
            <w:r w:rsidRPr="00FF37B7">
              <w:rPr>
                <w:color w:val="000000"/>
                <w:sz w:val="18"/>
                <w:lang w:val="en-GB"/>
              </w:rPr>
              <w:sym w:font="Symbol" w:char="F0AF"/>
            </w:r>
            <w:r w:rsidRPr="00FF37B7">
              <w:rPr>
                <w:color w:val="000000"/>
                <w:lang w:val="en-GB"/>
              </w:rPr>
              <w:t xml:space="preserve"> (Region 2)</w:t>
            </w:r>
          </w:p>
        </w:tc>
        <w:tc>
          <w:tcPr>
            <w:tcW w:w="2035" w:type="dxa"/>
            <w:tcBorders>
              <w:bottom w:val="single" w:sz="4" w:space="0" w:color="auto"/>
            </w:tcBorders>
            <w:tcMar>
              <w:left w:w="28" w:type="dxa"/>
              <w:right w:w="28" w:type="dxa"/>
            </w:tcMar>
          </w:tcPr>
          <w:p w:rsidR="004060BD" w:rsidRPr="00FF37B7" w:rsidRDefault="004060BD" w:rsidP="00FF37B7">
            <w:pPr>
              <w:pStyle w:val="Tabletext0"/>
              <w:framePr w:hSpace="181" w:wrap="around" w:vAnchor="text" w:hAnchor="margin" w:xAlign="center" w:y="1"/>
              <w:spacing w:before="120" w:after="120"/>
              <w:jc w:val="center"/>
              <w:rPr>
                <w:color w:val="000000"/>
                <w:lang w:val="en-GB"/>
              </w:rPr>
            </w:pPr>
            <w:r w:rsidRPr="00FF37B7">
              <w:rPr>
                <w:color w:val="000000"/>
                <w:lang w:val="en-GB"/>
              </w:rPr>
              <w:t xml:space="preserve">Non-GSO BSS </w:t>
            </w:r>
            <w:r w:rsidRPr="00FF37B7">
              <w:rPr>
                <w:color w:val="000000"/>
                <w:sz w:val="18"/>
                <w:lang w:val="en-GB"/>
              </w:rPr>
              <w:sym w:font="Symbol" w:char="F0AF"/>
            </w:r>
            <w:r w:rsidRPr="00FF37B7">
              <w:rPr>
                <w:color w:val="000000"/>
                <w:sz w:val="18"/>
                <w:lang w:val="en-GB"/>
              </w:rPr>
              <w:br/>
            </w:r>
            <w:r w:rsidRPr="00FF37B7">
              <w:rPr>
                <w:color w:val="000000"/>
                <w:lang w:val="en-GB"/>
              </w:rPr>
              <w:t>(</w:t>
            </w:r>
            <w:r w:rsidRPr="00FF37B7">
              <w:rPr>
                <w:rStyle w:val="Artref"/>
                <w:b/>
                <w:bCs/>
                <w:color w:val="000000"/>
                <w:lang w:val="en-GB"/>
              </w:rPr>
              <w:t>5.416</w:t>
            </w:r>
            <w:r w:rsidRPr="00FF37B7">
              <w:rPr>
                <w:color w:val="000000"/>
                <w:lang w:val="en-GB"/>
              </w:rPr>
              <w:t xml:space="preserve">) or FSS </w:t>
            </w:r>
            <w:r w:rsidRPr="00FF37B7">
              <w:rPr>
                <w:color w:val="000000"/>
                <w:sz w:val="18"/>
                <w:lang w:val="en-GB"/>
              </w:rPr>
              <w:sym w:font="Symbol" w:char="F0AF"/>
            </w:r>
            <w:r w:rsidRPr="00FF37B7">
              <w:rPr>
                <w:color w:val="000000"/>
                <w:lang w:val="en-GB"/>
              </w:rPr>
              <w:t xml:space="preserve"> (Region</w:t>
            </w:r>
            <w:r w:rsidRPr="00FF37B7">
              <w:rPr>
                <w:color w:val="000000"/>
                <w:sz w:val="20"/>
                <w:lang w:val="en-GB"/>
              </w:rPr>
              <w:t> </w:t>
            </w:r>
            <w:r w:rsidRPr="00FF37B7">
              <w:rPr>
                <w:color w:val="000000"/>
                <w:lang w:val="en-GB"/>
              </w:rPr>
              <w:t>2)</w:t>
            </w:r>
          </w:p>
        </w:tc>
      </w:tr>
      <w:tr w:rsidR="004060BD" w:rsidRPr="00FF37B7" w:rsidTr="00FE282F">
        <w:trPr>
          <w:cantSplit/>
          <w:trHeight w:val="567"/>
        </w:trPr>
        <w:tc>
          <w:tcPr>
            <w:tcW w:w="3001"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Non-GSO BSS (sound) </w:t>
            </w:r>
            <w:r w:rsidRPr="00FF37B7">
              <w:rPr>
                <w:color w:val="000000"/>
                <w:sz w:val="18"/>
                <w:lang w:val="en-GB"/>
              </w:rPr>
              <w:sym w:font="Symbol" w:char="F0AF"/>
            </w:r>
            <w:r w:rsidRPr="00FF37B7">
              <w:rPr>
                <w:color w:val="000000"/>
                <w:sz w:val="18"/>
                <w:lang w:val="en-GB"/>
              </w:rPr>
              <w:br/>
            </w:r>
            <w:r w:rsidRPr="00FF37B7">
              <w:rPr>
                <w:color w:val="000000"/>
                <w:lang w:val="en-GB"/>
              </w:rPr>
              <w:t>(</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w:t>
            </w:r>
          </w:p>
        </w:tc>
        <w:tc>
          <w:tcPr>
            <w:tcW w:w="1871"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w:t>
            </w:r>
            <w:r w:rsidRPr="00FF37B7">
              <w:rPr>
                <w:color w:val="000000"/>
                <w:lang w:val="en-GB"/>
              </w:rPr>
              <w:br/>
              <w:t>(</w:t>
            </w:r>
            <w:r w:rsidRPr="00FF37B7">
              <w:rPr>
                <w:rStyle w:val="Artref"/>
                <w:b/>
                <w:bCs/>
                <w:color w:val="000000"/>
                <w:lang w:val="en-GB"/>
              </w:rPr>
              <w:t>5.417C</w:t>
            </w:r>
            <w:r w:rsidRPr="00FF37B7">
              <w:rPr>
                <w:color w:val="000000"/>
                <w:lang w:val="en-GB"/>
              </w:rPr>
              <w:t xml:space="preserve">, </w:t>
            </w:r>
            <w:r w:rsidRPr="00FF37B7">
              <w:rPr>
                <w:rStyle w:val="Artref"/>
                <w:b/>
                <w:bCs/>
                <w:color w:val="000000"/>
                <w:lang w:val="en-GB"/>
              </w:rPr>
              <w:t>5.418B</w:t>
            </w:r>
            <w:r w:rsidRPr="00FF37B7">
              <w:rPr>
                <w:color w:val="000000"/>
                <w:lang w:val="en-GB"/>
              </w:rPr>
              <w:t>)</w:t>
            </w:r>
          </w:p>
        </w:tc>
        <w:tc>
          <w:tcPr>
            <w:tcW w:w="1985"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9.13</w:t>
            </w:r>
            <w:r w:rsidRPr="00FF37B7">
              <w:rPr>
                <w:color w:val="000000"/>
                <w:lang w:val="en-GB"/>
              </w:rPr>
              <w:br/>
              <w:t>(</w:t>
            </w:r>
            <w:r w:rsidRPr="00FF37B7">
              <w:rPr>
                <w:rStyle w:val="Artref"/>
                <w:b/>
                <w:bCs/>
                <w:color w:val="000000"/>
                <w:lang w:val="en-GB"/>
              </w:rPr>
              <w:t>5.417D</w:t>
            </w:r>
            <w:r w:rsidRPr="00FF37B7">
              <w:rPr>
                <w:color w:val="000000"/>
                <w:lang w:val="en-GB"/>
              </w:rPr>
              <w:t xml:space="preserve">, </w:t>
            </w:r>
            <w:r w:rsidRPr="00FF37B7">
              <w:rPr>
                <w:rStyle w:val="Artref"/>
                <w:b/>
                <w:bCs/>
                <w:color w:val="000000"/>
                <w:lang w:val="en-GB"/>
              </w:rPr>
              <w:t>5.418C</w:t>
            </w:r>
            <w:r w:rsidRPr="00FF37B7">
              <w:rPr>
                <w:color w:val="000000"/>
                <w:lang w:val="en-GB"/>
              </w:rPr>
              <w:t>)</w:t>
            </w:r>
          </w:p>
        </w:tc>
        <w:tc>
          <w:tcPr>
            <w:tcW w:w="2035" w:type="dxa"/>
            <w:tcBorders>
              <w:top w:val="single" w:sz="4" w:space="0" w:color="auto"/>
              <w:bottom w:val="dotted"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w:t>
            </w:r>
            <w:r w:rsidRPr="00FF37B7">
              <w:rPr>
                <w:color w:val="000000"/>
                <w:lang w:val="en-GB"/>
              </w:rPr>
              <w:br/>
              <w:t>(</w:t>
            </w:r>
            <w:r w:rsidRPr="00FF37B7">
              <w:rPr>
                <w:rStyle w:val="Artref"/>
                <w:b/>
                <w:bCs/>
                <w:color w:val="000000"/>
                <w:lang w:val="en-GB"/>
              </w:rPr>
              <w:t>5.417C</w:t>
            </w:r>
            <w:r w:rsidRPr="00FF37B7">
              <w:rPr>
                <w:color w:val="000000"/>
                <w:lang w:val="en-GB"/>
              </w:rPr>
              <w:t xml:space="preserve">, </w:t>
            </w:r>
            <w:r w:rsidRPr="00FF37B7">
              <w:rPr>
                <w:rStyle w:val="Artref"/>
                <w:b/>
                <w:bCs/>
                <w:color w:val="000000"/>
                <w:lang w:val="en-GB"/>
              </w:rPr>
              <w:t>5.418B</w:t>
            </w:r>
            <w:r w:rsidRPr="00FF37B7">
              <w:rPr>
                <w:color w:val="000000"/>
                <w:lang w:val="en-GB"/>
              </w:rPr>
              <w:t>)</w:t>
            </w:r>
          </w:p>
        </w:tc>
      </w:tr>
      <w:tr w:rsidR="004060BD" w:rsidRPr="00FF37B7" w:rsidTr="00FE282F">
        <w:trPr>
          <w:cantSplit/>
          <w:trHeight w:val="567"/>
        </w:trPr>
        <w:tc>
          <w:tcPr>
            <w:tcW w:w="300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GSO BSS (sound) </w:t>
            </w:r>
            <w:r w:rsidRPr="00FF37B7">
              <w:rPr>
                <w:color w:val="000000"/>
                <w:sz w:val="18"/>
                <w:lang w:val="en-GB"/>
              </w:rPr>
              <w:sym w:font="Symbol" w:char="F0AF"/>
            </w:r>
            <w:r w:rsidRPr="00FF37B7">
              <w:rPr>
                <w:color w:val="000000"/>
                <w:lang w:val="en-GB"/>
              </w:rPr>
              <w:t xml:space="preserve"> </w:t>
            </w:r>
            <w:r w:rsidRPr="00FF37B7">
              <w:rPr>
                <w:color w:val="000000"/>
                <w:lang w:val="en-GB"/>
              </w:rPr>
              <w:br/>
              <w:t>(</w:t>
            </w:r>
            <w:r w:rsidRPr="00FF37B7">
              <w:rPr>
                <w:rStyle w:val="Artref"/>
                <w:b/>
                <w:bCs/>
                <w:color w:val="000000"/>
                <w:lang w:val="en-GB"/>
              </w:rPr>
              <w:t>5.416</w:t>
            </w:r>
            <w:r w:rsidRPr="00FF37B7">
              <w:rPr>
                <w:color w:val="000000"/>
                <w:lang w:val="en-GB"/>
              </w:rPr>
              <w:t xml:space="preserve">, </w:t>
            </w:r>
            <w:r w:rsidRPr="00FF37B7">
              <w:rPr>
                <w:rStyle w:val="Artref"/>
                <w:b/>
                <w:bCs/>
                <w:color w:val="000000"/>
                <w:lang w:val="en-GB"/>
              </w:rPr>
              <w:t>5.417A</w:t>
            </w:r>
            <w:r w:rsidRPr="00FF37B7">
              <w:rPr>
                <w:color w:val="000000"/>
                <w:lang w:val="en-GB"/>
              </w:rPr>
              <w:t xml:space="preserve">, </w:t>
            </w:r>
            <w:r w:rsidRPr="00FF37B7">
              <w:rPr>
                <w:rStyle w:val="Artref"/>
                <w:b/>
                <w:bCs/>
                <w:color w:val="000000"/>
                <w:lang w:val="en-GB"/>
              </w:rPr>
              <w:t>5.418</w:t>
            </w:r>
            <w:r w:rsidRPr="00FF37B7">
              <w:rPr>
                <w:color w:val="000000"/>
                <w:lang w:val="en-GB"/>
              </w:rPr>
              <w:t>)</w:t>
            </w:r>
            <w:r w:rsidRPr="00FF37B7">
              <w:rPr>
                <w:color w:val="000000"/>
                <w:lang w:val="en-GB"/>
              </w:rPr>
              <w:br/>
              <w:t xml:space="preserve">or FSS </w:t>
            </w:r>
            <w:r w:rsidRPr="00FF37B7">
              <w:rPr>
                <w:color w:val="000000"/>
                <w:sz w:val="18"/>
                <w:lang w:val="en-GB"/>
              </w:rPr>
              <w:sym w:font="Symbol" w:char="F0AF"/>
            </w:r>
            <w:r w:rsidRPr="00FF37B7">
              <w:rPr>
                <w:color w:val="000000"/>
                <w:lang w:val="en-GB"/>
              </w:rPr>
              <w:t xml:space="preserve"> (Region 2)</w:t>
            </w:r>
          </w:p>
        </w:tc>
        <w:tc>
          <w:tcPr>
            <w:tcW w:w="187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9.12A</w:t>
            </w:r>
            <w:r w:rsidRPr="00FF37B7">
              <w:rPr>
                <w:color w:val="000000"/>
                <w:lang w:val="en-GB"/>
              </w:rPr>
              <w:br/>
              <w:t>(</w:t>
            </w:r>
            <w:r w:rsidRPr="00FF37B7">
              <w:rPr>
                <w:rStyle w:val="Artref"/>
                <w:b/>
                <w:bCs/>
                <w:color w:val="000000"/>
                <w:lang w:val="en-GB"/>
              </w:rPr>
              <w:t>5.417B</w:t>
            </w:r>
            <w:r w:rsidRPr="00FF37B7">
              <w:rPr>
                <w:color w:val="000000"/>
                <w:lang w:val="en-GB"/>
              </w:rPr>
              <w:t xml:space="preserve">, </w:t>
            </w:r>
            <w:r w:rsidRPr="00FF37B7">
              <w:rPr>
                <w:rStyle w:val="Artref"/>
                <w:b/>
                <w:bCs/>
                <w:color w:val="000000"/>
                <w:lang w:val="en-GB"/>
              </w:rPr>
              <w:t>5.418A</w:t>
            </w:r>
            <w:r w:rsidRPr="00FF37B7">
              <w:rPr>
                <w:color w:val="000000"/>
                <w:lang w:val="en-GB"/>
              </w:rPr>
              <w:t>)</w:t>
            </w:r>
          </w:p>
        </w:tc>
        <w:tc>
          <w:tcPr>
            <w:tcW w:w="198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rStyle w:val="Artref"/>
                <w:b/>
                <w:color w:val="000000"/>
                <w:lang w:val="en-GB"/>
              </w:rPr>
            </w:pPr>
            <w:r w:rsidRPr="00FF37B7">
              <w:rPr>
                <w:rStyle w:val="Artref"/>
                <w:b/>
                <w:bCs/>
                <w:color w:val="000000"/>
                <w:lang w:val="en-GB"/>
              </w:rPr>
              <w:t>9.7</w:t>
            </w:r>
          </w:p>
        </w:tc>
        <w:tc>
          <w:tcPr>
            <w:tcW w:w="203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No CR</w:t>
            </w:r>
            <w:r w:rsidRPr="00FF37B7">
              <w:rPr>
                <w:color w:val="000000"/>
                <w:lang w:val="en-GB"/>
              </w:rPr>
              <w:br/>
            </w:r>
            <w:r w:rsidRPr="00FF37B7">
              <w:rPr>
                <w:rStyle w:val="Artref"/>
                <w:b/>
                <w:bCs/>
                <w:color w:val="000000"/>
                <w:lang w:val="en-GB"/>
              </w:rPr>
              <w:t>22.2</w:t>
            </w:r>
          </w:p>
        </w:tc>
      </w:tr>
      <w:tr w:rsidR="004060BD" w:rsidRPr="00FF37B7" w:rsidTr="00FE282F">
        <w:trPr>
          <w:cantSplit/>
          <w:trHeight w:val="567"/>
        </w:trPr>
        <w:tc>
          <w:tcPr>
            <w:tcW w:w="300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Non-GSO BSS </w:t>
            </w:r>
            <w:r w:rsidRPr="00FF37B7">
              <w:rPr>
                <w:color w:val="000000"/>
                <w:sz w:val="18"/>
                <w:lang w:val="en-GB"/>
              </w:rPr>
              <w:sym w:font="Symbol" w:char="F0AF"/>
            </w:r>
            <w:r w:rsidRPr="00FF37B7">
              <w:rPr>
                <w:lang w:val="en-GB"/>
              </w:rPr>
              <w:t xml:space="preserve"> </w:t>
            </w:r>
            <w:r w:rsidRPr="00FF37B7">
              <w:rPr>
                <w:color w:val="000000"/>
                <w:lang w:val="en-GB"/>
              </w:rPr>
              <w:t>(</w:t>
            </w:r>
            <w:r w:rsidRPr="00FF37B7">
              <w:rPr>
                <w:rStyle w:val="Artref"/>
                <w:b/>
                <w:bCs/>
                <w:color w:val="000000"/>
                <w:lang w:val="en-GB"/>
              </w:rPr>
              <w:t>5.416</w:t>
            </w:r>
            <w:r w:rsidRPr="00FF37B7">
              <w:rPr>
                <w:color w:val="000000"/>
                <w:lang w:val="en-GB"/>
              </w:rPr>
              <w:t>) or</w:t>
            </w:r>
            <w:r w:rsidRPr="00FF37B7">
              <w:rPr>
                <w:color w:val="000000"/>
                <w:lang w:val="en-GB"/>
              </w:rPr>
              <w:br/>
              <w:t xml:space="preserve">FSS </w:t>
            </w:r>
            <w:r w:rsidRPr="00FF37B7">
              <w:rPr>
                <w:color w:val="000000"/>
                <w:sz w:val="18"/>
                <w:lang w:val="en-GB"/>
              </w:rPr>
              <w:sym w:font="Symbol" w:char="F0AF"/>
            </w:r>
            <w:r w:rsidRPr="00FF37B7">
              <w:rPr>
                <w:color w:val="000000"/>
                <w:lang w:val="en-GB"/>
              </w:rPr>
              <w:t xml:space="preserve"> (Region 2)</w:t>
            </w:r>
          </w:p>
        </w:tc>
        <w:tc>
          <w:tcPr>
            <w:tcW w:w="1871"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rStyle w:val="Artref"/>
                <w:b/>
                <w:bCs/>
                <w:color w:val="000000"/>
                <w:lang w:val="en-GB"/>
              </w:rPr>
              <w:t>9.12</w:t>
            </w:r>
            <w:r w:rsidRPr="00FF37B7">
              <w:rPr>
                <w:color w:val="000000"/>
                <w:lang w:val="en-GB"/>
              </w:rPr>
              <w:br/>
              <w:t>(</w:t>
            </w:r>
            <w:r w:rsidRPr="00FF37B7">
              <w:rPr>
                <w:rStyle w:val="Artref"/>
                <w:b/>
                <w:bCs/>
                <w:color w:val="000000"/>
                <w:lang w:val="en-GB"/>
              </w:rPr>
              <w:t>5.417C</w:t>
            </w:r>
            <w:r w:rsidRPr="00FF37B7">
              <w:rPr>
                <w:color w:val="000000"/>
                <w:lang w:val="en-GB"/>
              </w:rPr>
              <w:t xml:space="preserve">, </w:t>
            </w:r>
            <w:r w:rsidRPr="00FF37B7">
              <w:rPr>
                <w:rStyle w:val="Artref"/>
                <w:b/>
                <w:bCs/>
                <w:color w:val="000000"/>
                <w:lang w:val="en-GB"/>
              </w:rPr>
              <w:t>5.418B</w:t>
            </w:r>
            <w:r w:rsidRPr="00FF37B7">
              <w:rPr>
                <w:color w:val="000000"/>
                <w:lang w:val="en-GB"/>
              </w:rPr>
              <w:t>)</w:t>
            </w:r>
          </w:p>
        </w:tc>
        <w:tc>
          <w:tcPr>
            <w:tcW w:w="198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No CR</w:t>
            </w:r>
            <w:r w:rsidRPr="00FF37B7">
              <w:rPr>
                <w:color w:val="000000"/>
                <w:lang w:val="en-GB"/>
              </w:rPr>
              <w:br/>
            </w:r>
            <w:r w:rsidRPr="00FF37B7">
              <w:rPr>
                <w:rStyle w:val="Artref"/>
                <w:b/>
                <w:bCs/>
                <w:color w:val="000000"/>
                <w:lang w:val="en-GB"/>
              </w:rPr>
              <w:t>22.2</w:t>
            </w:r>
          </w:p>
        </w:tc>
        <w:tc>
          <w:tcPr>
            <w:tcW w:w="2035" w:type="dxa"/>
            <w:tcBorders>
              <w:bottom w:val="single" w:sz="4" w:space="0" w:color="auto"/>
            </w:tcBorders>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No CR</w:t>
            </w:r>
          </w:p>
        </w:tc>
      </w:tr>
    </w:tbl>
    <w:p w:rsidR="004060BD" w:rsidRPr="00FF37B7" w:rsidRDefault="004060BD" w:rsidP="001F1740">
      <w:pPr>
        <w:pStyle w:val="TableFin"/>
      </w:pPr>
    </w:p>
    <w:p w:rsidR="001F1740" w:rsidRPr="00FF37B7" w:rsidRDefault="001F1740" w:rsidP="001F1740"/>
    <w:p w:rsidR="004060BD" w:rsidRPr="00FF37B7" w:rsidRDefault="004060BD" w:rsidP="00FE282F">
      <w:pPr>
        <w:pStyle w:val="Heading8"/>
        <w:keepNext w:val="0"/>
        <w:keepLines w:val="0"/>
        <w:spacing w:before="240"/>
        <w:rPr>
          <w:color w:val="000000"/>
        </w:rPr>
      </w:pPr>
      <w:r w:rsidRPr="00FF37B7">
        <w:rPr>
          <w:color w:val="000000"/>
        </w:rPr>
        <w:t>5.441</w:t>
      </w:r>
    </w:p>
    <w:p w:rsidR="004060BD" w:rsidRPr="00FF37B7" w:rsidRDefault="004060BD">
      <w:pPr>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rsidR="004060BD" w:rsidRPr="00FF37B7" w:rsidRDefault="004060BD">
      <w:pPr>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Region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rsidR="004060BD" w:rsidRPr="00FF37B7" w:rsidRDefault="004060BD">
      <w:pPr>
        <w:pStyle w:val="BodyText"/>
        <w:rPr>
          <w:lang w:val="en-GB"/>
        </w:rPr>
      </w:pPr>
      <w:r w:rsidRPr="00FF37B7">
        <w:rPr>
          <w:lang w:val="en-GB"/>
        </w:rPr>
        <w:t>1.2</w:t>
      </w:r>
      <w:r w:rsidRPr="00FF37B7">
        <w:rPr>
          <w:lang w:val="en-GB"/>
        </w:rPr>
        <w:tab/>
        <w:t>the applicable Radio Regulatory Procedures for the FSS are as follows:</w:t>
      </w:r>
    </w:p>
    <w:p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rsidR="004060BD" w:rsidRPr="00FF37B7" w:rsidRDefault="004060BD">
      <w:pPr>
        <w:pStyle w:val="enumlev1"/>
        <w:rPr>
          <w:color w:val="000000"/>
        </w:rPr>
      </w:pPr>
      <w:r w:rsidRPr="00FF37B7">
        <w:rPr>
          <w:i/>
          <w:color w:val="000000"/>
        </w:rPr>
        <w:t>b)</w:t>
      </w:r>
      <w:r w:rsidRPr="00FF37B7">
        <w:rPr>
          <w:color w:val="000000"/>
        </w:rPr>
        <w:tab/>
        <w:t>space-to-Earth:</w:t>
      </w:r>
    </w:p>
    <w:p w:rsidR="004060BD" w:rsidRPr="00FF37B7" w:rsidRDefault="004060BD">
      <w:pPr>
        <w:pStyle w:val="enumlev2"/>
        <w:rPr>
          <w:color w:val="000000"/>
        </w:rPr>
      </w:pPr>
      <w:r w:rsidRPr="00FF37B7">
        <w:rPr>
          <w:color w:val="000000"/>
        </w:rPr>
        <w:t>10.7-10.95 GHz and 11.2-11.45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4060BD" w:rsidRPr="00FF37B7" w:rsidRDefault="004060BD" w:rsidP="00C6682E">
      <w:pPr>
        <w:pStyle w:val="enumlev2"/>
        <w:rPr>
          <w:color w:val="000000"/>
        </w:rPr>
      </w:pPr>
      <w:r w:rsidRPr="00FF37B7">
        <w:rPr>
          <w:color w:val="000000"/>
        </w:rPr>
        <w:t>10.95-11.2 GHz and 11.45-11.7 GHz:</w:t>
      </w:r>
    </w:p>
    <w:p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rsidR="0002351C" w:rsidRPr="00FF37B7" w:rsidRDefault="00C6682E" w:rsidP="00BC1EDD">
      <w:pPr>
        <w:rPr>
          <w:sz w:val="16"/>
          <w:szCs w:val="16"/>
        </w:rPr>
      </w:pPr>
      <w:r w:rsidRPr="00FF37B7">
        <w:rPr>
          <w:color w:val="000000"/>
        </w:rPr>
        <w:br w:type="page"/>
      </w:r>
      <w:r w:rsidR="0002351C" w:rsidRPr="00FF37B7">
        <w:rPr>
          <w:color w:val="000000"/>
        </w:rPr>
        <w:lastRenderedPageBreak/>
        <w:t>2</w:t>
      </w:r>
      <w:r w:rsidR="0002351C" w:rsidRPr="00FF37B7">
        <w:rPr>
          <w:color w:val="000000"/>
        </w:rPr>
        <w:tab/>
        <w:t xml:space="preserve">The regulatory relationship between GSO FSS uses, namely the up-link (Region 1) and the down-link (Appendix </w:t>
      </w:r>
      <w:r w:rsidR="0002351C" w:rsidRPr="00FF37B7">
        <w:rPr>
          <w:rStyle w:val="Appref"/>
          <w:b/>
          <w:bCs/>
          <w:color w:val="000000"/>
        </w:rPr>
        <w:t>30B</w:t>
      </w:r>
      <w:r w:rsidR="0002351C"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Pr="00FF37B7">
        <w:rPr>
          <w:color w:val="000000"/>
        </w:rPr>
        <w:t>  </w:t>
      </w:r>
      <w:r w:rsidR="0002351C" w:rsidRPr="00FF37B7">
        <w:rPr>
          <w:color w:val="000000"/>
        </w:rPr>
        <w:t>existing analogies (Article 7 of Appendix</w:t>
      </w:r>
      <w:r w:rsidRPr="00FF37B7">
        <w:rPr>
          <w:color w:val="000000"/>
        </w:rPr>
        <w:t xml:space="preserve"> </w:t>
      </w:r>
      <w:r w:rsidR="0002351C" w:rsidRPr="00FF37B7">
        <w:rPr>
          <w:rStyle w:val="Appref"/>
          <w:b/>
          <w:bCs/>
          <w:color w:val="000000"/>
        </w:rPr>
        <w:t>30</w:t>
      </w:r>
      <w:r w:rsidR="0002351C" w:rsidRPr="00FF37B7">
        <w:rPr>
          <w:color w:val="000000"/>
        </w:rPr>
        <w:t>,</w:t>
      </w:r>
      <w:r w:rsidR="00BC1EDD">
        <w:rPr>
          <w:color w:val="000000"/>
        </w:rPr>
        <w:t xml:space="preserve"> </w:t>
      </w:r>
      <w:r w:rsidR="0002351C" w:rsidRPr="00FF37B7">
        <w:rPr>
          <w:color w:val="000000"/>
        </w:rPr>
        <w:t>Article 7 of Appendix</w:t>
      </w:r>
      <w:r w:rsidRPr="00FF37B7">
        <w:rPr>
          <w:color w:val="000000"/>
        </w:rPr>
        <w:t xml:space="preserve"> </w:t>
      </w:r>
      <w:r w:rsidR="0002351C" w:rsidRPr="00FF37B7">
        <w:rPr>
          <w:rStyle w:val="Appref"/>
          <w:b/>
          <w:bCs/>
          <w:color w:val="000000"/>
        </w:rPr>
        <w:t>30A</w:t>
      </w:r>
      <w:r w:rsidR="0002351C" w:rsidRPr="00FF37B7">
        <w:rPr>
          <w:color w:val="000000"/>
        </w:rPr>
        <w:t>, the Board considering that:</w:t>
      </w:r>
    </w:p>
    <w:p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procedures not only vis-à-vis other up-link FSS networks of the same direction (Earth-to-space) but also vis-à-vis the Plan and List entries of the opposite direction (space-to-Earth). To take into account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similar to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rsidR="004060BD" w:rsidRPr="00FF37B7"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w:t>
      </w:r>
      <w:r w:rsidRPr="00FF37B7">
        <w:rPr>
          <w:color w:val="000000"/>
        </w:rPr>
        <w:noBreakHyphen/>
        <w:t>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Therefore a note shall be included in the relevant Special Section to reflect the situation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rsidR="004060BD" w:rsidRPr="00FF37B7" w:rsidRDefault="004060BD" w:rsidP="00BA2AB6">
      <w:pPr>
        <w:pStyle w:val="enumlev1"/>
        <w:rPr>
          <w:color w:val="000000"/>
        </w:rPr>
      </w:pPr>
      <w:r w:rsidRPr="00FF37B7">
        <w:rPr>
          <w:i/>
          <w:color w:val="000000"/>
        </w:rPr>
        <w:t>b)</w:t>
      </w:r>
      <w:r w:rsidRPr="00FF37B7">
        <w:rPr>
          <w:color w:val="000000"/>
        </w:rPr>
        <w:tab/>
        <w:t>For the compatibility assessment between earth stations (transmitting ES of the FSS up</w:t>
      </w:r>
      <w:r w:rsidRPr="00FF37B7">
        <w:rPr>
          <w:color w:val="000000"/>
        </w:rPr>
        <w:noBreakHyphen/>
        <w:t>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“agreement area” within which a transmitting earth </w:t>
      </w:r>
      <w:r w:rsidRPr="00FF37B7">
        <w:rPr>
          <w:color w:val="000000"/>
        </w:rPr>
        <w:t>station of the FSS up-link has to be coordinated. For the calculation of the coordination distance the most up-to-date ITU-R Recommendation will be used.</w:t>
      </w:r>
    </w:p>
    <w:p w:rsidR="004060BD" w:rsidRPr="00FF37B7" w:rsidRDefault="00C6682E">
      <w:pPr>
        <w:rPr>
          <w:color w:val="000000"/>
        </w:rPr>
      </w:pPr>
      <w:r w:rsidRPr="00FF37B7">
        <w:rPr>
          <w:color w:val="000000"/>
        </w:rPr>
        <w:br w:type="page"/>
      </w:r>
      <w:r w:rsidR="004060BD" w:rsidRPr="00FF37B7">
        <w:rPr>
          <w:color w:val="000000"/>
        </w:rPr>
        <w:lastRenderedPageBreak/>
        <w:t>2.2</w:t>
      </w:r>
      <w:r w:rsidR="004060BD" w:rsidRPr="00FF37B7">
        <w:rPr>
          <w:color w:val="000000"/>
        </w:rPr>
        <w:tab/>
        <w:t>Down-link FSS applications in the bands 10.7-10.95 GHz and 11.2-11.45 GHz (Appendix </w:t>
      </w:r>
      <w:r w:rsidR="004060BD" w:rsidRPr="00FF37B7">
        <w:rPr>
          <w:rStyle w:val="Appref"/>
          <w:b/>
          <w:bCs/>
          <w:color w:val="000000"/>
        </w:rPr>
        <w:t>30B</w:t>
      </w:r>
      <w:r w:rsidR="004060BD" w:rsidRPr="00FF37B7">
        <w:rPr>
          <w:color w:val="000000"/>
        </w:rPr>
        <w:t>, planned usage):</w:t>
      </w:r>
    </w:p>
    <w:p w:rsidR="004060BD" w:rsidRPr="00FF37B7" w:rsidRDefault="004060BD">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rsidR="004060BD" w:rsidRPr="00FF37B7" w:rsidRDefault="004060BD" w:rsidP="00C6682E">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rsidR="004060BD" w:rsidRPr="00FF37B7" w:rsidRDefault="004060BD" w:rsidP="00C6682E">
      <w:pPr>
        <w:pStyle w:val="Heading8"/>
        <w:rPr>
          <w:color w:val="000000"/>
        </w:rPr>
      </w:pPr>
      <w:r w:rsidRPr="00FF37B7">
        <w:rPr>
          <w:color w:val="000000"/>
        </w:rPr>
        <w:t>5.44</w:t>
      </w:r>
      <w:r w:rsidR="000513A2" w:rsidRPr="00FF37B7">
        <w:rPr>
          <w:color w:val="000000"/>
        </w:rPr>
        <w:t>4B</w:t>
      </w:r>
    </w:p>
    <w:p w:rsidR="000513A2" w:rsidRPr="00FF37B7" w:rsidRDefault="000513A2" w:rsidP="009005C3">
      <w:pPr>
        <w:spacing w:before="240"/>
      </w:pPr>
      <w:r w:rsidRPr="00FF37B7">
        <w:t>1</w:t>
      </w:r>
      <w:r w:rsidRPr="00FF37B7">
        <w:tab/>
        <w:t>This provision limits the use of the band 5</w:t>
      </w:r>
      <w:r w:rsidR="009005C3" w:rsidRPr="00FF37B7">
        <w:rPr>
          <w:rFonts w:ascii="Tms Rmn" w:hAnsi="Tms Rmn"/>
          <w:sz w:val="12"/>
        </w:rPr>
        <w:t> </w:t>
      </w:r>
      <w:r w:rsidRPr="00FF37B7">
        <w:t>091-5</w:t>
      </w:r>
      <w:r w:rsidR="009005C3" w:rsidRPr="00FF37B7">
        <w:rPr>
          <w:rFonts w:ascii="Tms Rmn" w:hAnsi="Tms Rmn"/>
          <w:sz w:val="12"/>
        </w:rPr>
        <w:t> </w:t>
      </w:r>
      <w:r w:rsidRPr="00FF37B7">
        <w:t xml:space="preserve">150 MHz by the aeronautical mobile service to three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view point of its conformity with this provision.</w:t>
      </w:r>
    </w:p>
    <w:p w:rsidR="000513A2" w:rsidRPr="00FF37B7" w:rsidRDefault="000513A2" w:rsidP="00C6682E">
      <w:pPr>
        <w:spacing w:before="240"/>
      </w:pPr>
      <w:r w:rsidRPr="00FF37B7">
        <w:t>2</w:t>
      </w:r>
      <w:r w:rsidRPr="00FF37B7">
        <w:tab/>
        <w:t xml:space="preserve">With respect to the submissions in the aeronautical mobile (R) service, including the ones referred to in the first indent of this provision, and given the indications in </w:t>
      </w:r>
      <w:r w:rsidRPr="00FF37B7">
        <w:rPr>
          <w:i/>
          <w:iCs/>
        </w:rPr>
        <w:t>resolves</w:t>
      </w:r>
      <w:r w:rsidR="00C6682E" w:rsidRPr="00FF37B7">
        <w:rPr>
          <w:i/>
          <w:iCs/>
        </w:rPr>
        <w:t> </w:t>
      </w:r>
      <w:r w:rsidRPr="00FF37B7">
        <w:t>1</w:t>
      </w:r>
      <w:r w:rsidRPr="00FF37B7">
        <w:rPr>
          <w:i/>
          <w:iCs/>
        </w:rPr>
        <w:t xml:space="preserve"> </w:t>
      </w:r>
      <w:r w:rsidRPr="00FF37B7">
        <w:t xml:space="preserve">of Resolution </w:t>
      </w:r>
      <w:r w:rsidRPr="00FF37B7">
        <w:rPr>
          <w:b/>
          <w:bCs/>
        </w:rPr>
        <w:t>748 (WRC-07)</w:t>
      </w:r>
      <w:r w:rsidRPr="00FF37B7">
        <w:t>, the recording of any such assignment in the MIFR will be associated with the symbol “R” in column 13B2 (</w:t>
      </w:r>
      <w:r w:rsidRPr="00FF37B7">
        <w:rPr>
          <w:i/>
          <w:iCs/>
        </w:rPr>
        <w:t>“Finding observation”</w:t>
      </w:r>
      <w:r w:rsidRPr="00FF37B7">
        <w:t>)</w:t>
      </w:r>
      <w:r w:rsidRPr="00FF37B7">
        <w:rPr>
          <w:i/>
          <w:iCs/>
        </w:rPr>
        <w:t xml:space="preserve"> </w:t>
      </w:r>
      <w:r w:rsidRPr="00FF37B7">
        <w:t>and with symbol “RS748” in column 13B1 (</w:t>
      </w:r>
      <w:r w:rsidRPr="00FF37B7">
        <w:rPr>
          <w:i/>
          <w:iCs/>
        </w:rPr>
        <w:t>“Finding reference”</w:t>
      </w:r>
      <w:r w:rsidRPr="00FF37B7">
        <w:t xml:space="preserve">). 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w:t>
      </w:r>
      <w:r w:rsidR="00C6682E" w:rsidRPr="00FF37B7">
        <w:rPr>
          <w:b/>
          <w:bCs/>
        </w:rPr>
        <w:t xml:space="preserve"> </w:t>
      </w:r>
      <w:r w:rsidRPr="00FF37B7">
        <w:rPr>
          <w:b/>
          <w:bCs/>
        </w:rPr>
        <w:t>(WRC-07)</w:t>
      </w:r>
      <w:r w:rsidRPr="00FF37B7">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w:t>
      </w:r>
      <w:r w:rsidR="00C6682E" w:rsidRPr="00FF37B7">
        <w:rPr>
          <w:i/>
          <w:iCs/>
        </w:rPr>
        <w:t> </w:t>
      </w:r>
      <w:r w:rsidRPr="00FF37B7">
        <w:t>3</w:t>
      </w:r>
      <w:r w:rsidRPr="00FF37B7">
        <w:rPr>
          <w:i/>
          <w:iCs/>
        </w:rPr>
        <w:t xml:space="preserve"> </w:t>
      </w:r>
      <w:r w:rsidRPr="00FF37B7">
        <w:t xml:space="preserve">of Resolution </w:t>
      </w:r>
      <w:r w:rsidRPr="00FF37B7">
        <w:rPr>
          <w:b/>
          <w:bCs/>
        </w:rPr>
        <w:t>748 (WRC</w:t>
      </w:r>
      <w:r w:rsidR="00C6682E" w:rsidRPr="00FF37B7">
        <w:rPr>
          <w:b/>
          <w:bCs/>
        </w:rPr>
        <w:noBreakHyphen/>
      </w:r>
      <w:r w:rsidRPr="00FF37B7">
        <w:rPr>
          <w:b/>
          <w:bCs/>
        </w:rPr>
        <w:t>07)</w:t>
      </w:r>
      <w:r w:rsidRPr="00FF37B7">
        <w:t>.</w:t>
      </w:r>
    </w:p>
    <w:p w:rsidR="000513A2" w:rsidRPr="00FF37B7" w:rsidRDefault="000513A2" w:rsidP="00C6682E">
      <w:r w:rsidRPr="00FF37B7">
        <w:t>3</w:t>
      </w:r>
      <w:r w:rsidRPr="00FF37B7">
        <w:tab/>
        <w:t xml:space="preserve">With respect to the submissions related to aeronautical telemetry transmissions referred to in the second indent of this provision, and in addition to the considerations in </w:t>
      </w:r>
      <w:r w:rsidR="00416A2A" w:rsidRPr="00FF37B7">
        <w:t>§ </w:t>
      </w:r>
      <w:r w:rsidRPr="00FF37B7">
        <w:t>1</w:t>
      </w:r>
      <w:r w:rsidR="00C6682E" w:rsidRPr="00FF37B7">
        <w:t> </w:t>
      </w:r>
      <w:r w:rsidR="00C6682E" w:rsidRPr="00FF37B7">
        <w:rPr>
          <w:rFonts w:ascii="Tms Rmn" w:hAnsi="Tms Rmn"/>
          <w:sz w:val="12"/>
        </w:rPr>
        <w:t> </w:t>
      </w:r>
      <w:r w:rsidRPr="00FF37B7">
        <w:t xml:space="preserve">of this Rule of Procedure which are also applicable for aeronautical telemetry applications, the Board considered that the indications in </w:t>
      </w:r>
      <w:r w:rsidRPr="00FF37B7">
        <w:rPr>
          <w:i/>
          <w:iCs/>
        </w:rPr>
        <w:t xml:space="preserve">resolves </w:t>
      </w:r>
      <w:r w:rsidRPr="00FF37B7">
        <w:t>1</w:t>
      </w:r>
      <w:r w:rsidRPr="00FF37B7">
        <w:rPr>
          <w:i/>
          <w:iCs/>
        </w:rPr>
        <w:t xml:space="preserve"> </w:t>
      </w:r>
      <w:r w:rsidRPr="00FF37B7">
        <w:t xml:space="preserve">and in </w:t>
      </w:r>
      <w:r w:rsidRPr="00FF37B7">
        <w:rPr>
          <w:i/>
          <w:iCs/>
        </w:rPr>
        <w:t xml:space="preserve">resolves </w:t>
      </w:r>
      <w:r w:rsidRPr="00FF37B7">
        <w:t>2 of Resolution</w:t>
      </w:r>
      <w:r w:rsidR="00C6682E" w:rsidRPr="00FF37B7">
        <w:t> </w:t>
      </w:r>
      <w:r w:rsidR="00C6682E" w:rsidRPr="00FF37B7">
        <w:rPr>
          <w:rFonts w:ascii="Tms Rmn" w:hAnsi="Tms Rmn"/>
          <w:sz w:val="12"/>
        </w:rPr>
        <w:t> </w:t>
      </w:r>
      <w:r w:rsidRPr="00FF37B7">
        <w:rPr>
          <w:b/>
          <w:bCs/>
        </w:rPr>
        <w:t>418 (WRC-07)</w:t>
      </w:r>
      <w:r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w:t>
      </w:r>
      <w:r w:rsidR="00C6682E" w:rsidRPr="00FF37B7">
        <w:t> </w:t>
      </w:r>
      <w:r w:rsidRPr="00FF37B7">
        <w:rPr>
          <w:b/>
          <w:bCs/>
        </w:rPr>
        <w:t>418 (WRC</w:t>
      </w:r>
      <w:r w:rsidR="00C6682E" w:rsidRPr="00FF37B7">
        <w:rPr>
          <w:b/>
          <w:bCs/>
        </w:rPr>
        <w:noBreakHyphen/>
      </w:r>
      <w:r w:rsidRPr="00FF37B7">
        <w:rPr>
          <w:b/>
          <w:bCs/>
        </w:rPr>
        <w:t>07)</w:t>
      </w:r>
      <w:r w:rsidRPr="00FF37B7">
        <w:t>.</w:t>
      </w:r>
    </w:p>
    <w:p w:rsidR="000513A2" w:rsidRPr="00FF37B7" w:rsidRDefault="000513A2" w:rsidP="00C6682E">
      <w:r w:rsidRPr="00FF37B7">
        <w:t>4</w:t>
      </w:r>
      <w:r w:rsidRPr="00FF37B7">
        <w:tab/>
        <w:t xml:space="preserve">With respect to the submissions related to aeronautical security transmissions referred to in the third indent of this provision, and in addition to the considerations in paragraph 1 of this Rule of Procedure which are also applicable for aeronautical security transmissions, the Board considered that the indications in Resolution </w:t>
      </w:r>
      <w:r w:rsidRPr="00FF37B7">
        <w:rPr>
          <w:b/>
          <w:bCs/>
        </w:rPr>
        <w:t>419</w:t>
      </w:r>
      <w:r w:rsidR="00C6682E" w:rsidRPr="00FF37B7">
        <w:rPr>
          <w:b/>
          <w:bCs/>
        </w:rPr>
        <w:t xml:space="preserve"> </w:t>
      </w:r>
      <w:r w:rsidRPr="00FF37B7">
        <w:rPr>
          <w:b/>
          <w:bCs/>
        </w:rPr>
        <w:t>(WRC-07)</w:t>
      </w:r>
      <w:r w:rsidRPr="00FF37B7">
        <w:t xml:space="preserve"> are intended for administrations and the Bureau shall make no examination of the notified frequency assignment to a station in the aeronautical mobile service from the view point of its conformity with Resolution </w:t>
      </w:r>
      <w:r w:rsidRPr="00FF37B7">
        <w:rPr>
          <w:b/>
          <w:bCs/>
        </w:rPr>
        <w:t>419 (WRC</w:t>
      </w:r>
      <w:r w:rsidR="00C6682E" w:rsidRPr="00FF37B7">
        <w:rPr>
          <w:b/>
          <w:bCs/>
        </w:rPr>
        <w:noBreakHyphen/>
      </w:r>
      <w:r w:rsidRPr="00FF37B7">
        <w:rPr>
          <w:b/>
          <w:bCs/>
        </w:rPr>
        <w:t>07)</w:t>
      </w:r>
      <w:r w:rsidRPr="00FF37B7">
        <w:t>.</w:t>
      </w:r>
    </w:p>
    <w:p w:rsidR="000513A2" w:rsidRPr="00FF37B7" w:rsidRDefault="00FE282F" w:rsidP="000513A2">
      <w:pPr>
        <w:pStyle w:val="Heading8"/>
        <w:spacing w:before="240"/>
        <w:rPr>
          <w:color w:val="000000"/>
        </w:rPr>
      </w:pPr>
      <w:r w:rsidRPr="00FF37B7">
        <w:rPr>
          <w:color w:val="000000"/>
        </w:rPr>
        <w:br w:type="page"/>
      </w:r>
      <w:r w:rsidR="000513A2" w:rsidRPr="00FF37B7">
        <w:rPr>
          <w:color w:val="000000"/>
        </w:rPr>
        <w:lastRenderedPageBreak/>
        <w:t>5.446A</w:t>
      </w:r>
    </w:p>
    <w:p w:rsidR="000513A2" w:rsidRPr="00FF37B7" w:rsidRDefault="000513A2" w:rsidP="00C6682E">
      <w:pPr>
        <w:rPr>
          <w:color w:val="000000"/>
        </w:rPr>
      </w:pPr>
      <w:r w:rsidRPr="00FF37B7">
        <w:rPr>
          <w:color w:val="000000"/>
        </w:rPr>
        <w:t>1</w:t>
      </w:r>
      <w:r w:rsidRPr="00FF37B7">
        <w:rPr>
          <w:color w:val="000000"/>
        </w:rPr>
        <w:tab/>
        <w:t>This provision stipulates that the use of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 MHz by the stations in the mobile</w:t>
      </w:r>
      <w:r w:rsidR="001C50C5" w:rsidRPr="00FF37B7">
        <w:rPr>
          <w:color w:val="000000"/>
        </w:rPr>
        <w:t>, except aeronautical mobile,</w:t>
      </w:r>
      <w:r w:rsidRPr="00FF37B7">
        <w:rPr>
          <w:color w:val="000000"/>
        </w:rPr>
        <w:t xml:space="preserve"> service shall be in accor</w:t>
      </w:r>
      <w:r w:rsidR="00C6682E" w:rsidRPr="00FF37B7">
        <w:rPr>
          <w:color w:val="000000"/>
        </w:rPr>
        <w:softHyphen/>
      </w:r>
      <w:r w:rsidRPr="00FF37B7">
        <w:rPr>
          <w:color w:val="000000"/>
        </w:rPr>
        <w:t>dance with Resolution</w:t>
      </w:r>
      <w:r w:rsidR="00C6682E" w:rsidRPr="00FF37B7">
        <w:rPr>
          <w:color w:val="000000"/>
        </w:rPr>
        <w:t xml:space="preserve">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(WRC-03)</w:t>
      </w:r>
      <w:r w:rsidRPr="00FF37B7">
        <w:rPr>
          <w:color w:val="000000"/>
        </w:rPr>
        <w:t xml:space="preserve">. Accordingly,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(WRC-03)</w:t>
      </w:r>
      <w:r w:rsidRPr="00FF37B7">
        <w:rPr>
          <w:color w:val="000000"/>
        </w:rPr>
        <w:t xml:space="preserve"> specifies that the use of these bands, by the mobile service, will be for the implementation of wireless access systems (WAS) including radio local area networks (RLAN) (see </w:t>
      </w:r>
      <w:r w:rsidRPr="00FF37B7">
        <w:rPr>
          <w:i/>
          <w:iCs/>
          <w:color w:val="000000"/>
        </w:rPr>
        <w:t>resolves</w:t>
      </w:r>
      <w:r w:rsidRPr="00FF37B7">
        <w:rPr>
          <w:color w:val="000000"/>
        </w:rPr>
        <w:t xml:space="preserve"> 1) and, in addition to this, it specifies the maximum e.i.r.p. levels for stations in the mobile service (see </w:t>
      </w:r>
      <w:r w:rsidRPr="00FF37B7">
        <w:rPr>
          <w:i/>
          <w:iCs/>
          <w:color w:val="000000"/>
        </w:rPr>
        <w:t>resolves</w:t>
      </w:r>
      <w:r w:rsidR="00C6682E" w:rsidRPr="00FF37B7">
        <w:rPr>
          <w:color w:val="000000"/>
        </w:rPr>
        <w:t> </w:t>
      </w:r>
      <w:r w:rsidRPr="00FF37B7">
        <w:rPr>
          <w:color w:val="000000"/>
        </w:rPr>
        <w:t>2, 4 and 6).</w:t>
      </w:r>
    </w:p>
    <w:p w:rsidR="000513A2" w:rsidRPr="00FF37B7" w:rsidRDefault="000513A2" w:rsidP="00C6682E">
      <w:pPr>
        <w:rPr>
          <w:color w:val="000000"/>
        </w:rPr>
      </w:pPr>
      <w:r w:rsidRPr="00FF37B7">
        <w:rPr>
          <w:color w:val="000000"/>
        </w:rPr>
        <w:t>As far as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 xml:space="preserve">350 MHz is concerned, the situation is rather simple, given the fact that the provisions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(WRC-03)</w:t>
      </w:r>
      <w:r w:rsidRPr="00FF37B7">
        <w:rPr>
          <w:color w:val="000000"/>
        </w:rPr>
        <w:t xml:space="preserve"> are applicable to all stations in the mobile</w:t>
      </w:r>
      <w:r w:rsidR="001C50C5" w:rsidRPr="00FF37B7">
        <w:rPr>
          <w:color w:val="000000"/>
        </w:rPr>
        <w:t>, except aeronautical mobile,</w:t>
      </w:r>
      <w:r w:rsidRPr="00FF37B7">
        <w:rPr>
          <w:color w:val="000000"/>
        </w:rPr>
        <w:t xml:space="preserve"> service, </w:t>
      </w:r>
      <w:r w:rsidR="001C50C5" w:rsidRPr="00FF37B7">
        <w:rPr>
          <w:color w:val="000000"/>
        </w:rPr>
        <w:t>with the exception</w:t>
      </w:r>
      <w:r w:rsidRPr="00FF37B7">
        <w:rPr>
          <w:color w:val="000000"/>
        </w:rPr>
        <w:t xml:space="preserve"> </w:t>
      </w:r>
      <w:r w:rsidR="001C50C5" w:rsidRPr="00FF37B7">
        <w:rPr>
          <w:color w:val="000000"/>
        </w:rPr>
        <w:t xml:space="preserve">of </w:t>
      </w:r>
      <w:r w:rsidRPr="00FF37B7">
        <w:rPr>
          <w:color w:val="000000"/>
        </w:rPr>
        <w:t>cases referred to in No. </w:t>
      </w:r>
      <w:r w:rsidRPr="00FF37B7">
        <w:rPr>
          <w:rStyle w:val="Artref"/>
          <w:b/>
          <w:bCs/>
          <w:color w:val="000000"/>
        </w:rPr>
        <w:t>5.447</w:t>
      </w:r>
      <w:r w:rsidRPr="00FF37B7">
        <w:rPr>
          <w:color w:val="000000"/>
        </w:rPr>
        <w:t>, which apply to the band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250</w:t>
      </w:r>
      <w:r w:rsidR="00C6682E" w:rsidRPr="00FF37B7">
        <w:rPr>
          <w:color w:val="000000"/>
        </w:rPr>
        <w:t xml:space="preserve"> </w:t>
      </w:r>
      <w:r w:rsidRPr="00FF37B7">
        <w:rPr>
          <w:color w:val="000000"/>
        </w:rPr>
        <w:t>MHz and where other (e.g. less stringent) conditions may be established in the context of the application of the procedure of No. </w:t>
      </w:r>
      <w:r w:rsidRPr="00FF37B7">
        <w:rPr>
          <w:rStyle w:val="Artref"/>
          <w:b/>
          <w:bCs/>
          <w:color w:val="000000"/>
        </w:rPr>
        <w:t>9.21</w:t>
      </w:r>
      <w:r w:rsidRPr="00FF37B7">
        <w:rPr>
          <w:color w:val="000000"/>
        </w:rPr>
        <w:t>.</w:t>
      </w:r>
    </w:p>
    <w:p w:rsidR="000513A2" w:rsidRPr="00FF37B7" w:rsidRDefault="000513A2" w:rsidP="00C6682E">
      <w:pPr>
        <w:rPr>
          <w:color w:val="000000"/>
        </w:rPr>
      </w:pPr>
      <w:r w:rsidRPr="00FF37B7">
        <w:rPr>
          <w:color w:val="000000"/>
        </w:rPr>
        <w:t>On the other hand, the situation in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is more complex, bearing in mind that other provisions are applicable to stations in the mobile</w:t>
      </w:r>
      <w:r w:rsidR="001C50C5" w:rsidRPr="00FF37B7">
        <w:rPr>
          <w:color w:val="000000"/>
        </w:rPr>
        <w:t>, except aeronautical mobile,</w:t>
      </w:r>
      <w:r w:rsidRPr="00FF37B7">
        <w:rPr>
          <w:color w:val="000000"/>
        </w:rPr>
        <w:t xml:space="preserve"> service (e.g. those indicated in Nos. </w:t>
      </w:r>
      <w:r w:rsidRPr="00FF37B7">
        <w:rPr>
          <w:rStyle w:val="Artref"/>
          <w:b/>
          <w:bCs/>
          <w:color w:val="000000"/>
        </w:rPr>
        <w:t>5.451</w:t>
      </w:r>
      <w:r w:rsidRPr="00FF37B7">
        <w:rPr>
          <w:color w:val="000000"/>
        </w:rPr>
        <w:t xml:space="preserve">, </w:t>
      </w:r>
      <w:r w:rsidRPr="00FF37B7">
        <w:rPr>
          <w:rStyle w:val="Artref"/>
          <w:b/>
          <w:bCs/>
          <w:color w:val="000000"/>
        </w:rPr>
        <w:t>5.453</w:t>
      </w:r>
      <w:r w:rsidRPr="00FF37B7">
        <w:rPr>
          <w:color w:val="000000"/>
        </w:rPr>
        <w:t xml:space="preserve"> and in Table </w:t>
      </w:r>
      <w:r w:rsidRPr="00FF37B7">
        <w:rPr>
          <w:b/>
          <w:bCs/>
        </w:rPr>
        <w:t>21-2</w:t>
      </w:r>
      <w:r w:rsidRPr="00FF37B7">
        <w:rPr>
          <w:color w:val="000000"/>
        </w:rPr>
        <w:t xml:space="preserve"> of Article </w:t>
      </w:r>
      <w:r w:rsidRPr="00FF37B7">
        <w:rPr>
          <w:rStyle w:val="Artref"/>
          <w:b/>
          <w:bCs/>
          <w:color w:val="000000"/>
        </w:rPr>
        <w:t>21</w:t>
      </w:r>
      <w:r w:rsidRPr="00FF37B7">
        <w:rPr>
          <w:color w:val="000000"/>
        </w:rPr>
        <w:t>), which are stipulating different conditions (e.g. power limits) than the ones indicated in Resolution</w:t>
      </w:r>
      <w:r w:rsidR="00C6682E" w:rsidRPr="00FF37B7">
        <w:rPr>
          <w:color w:val="000000"/>
        </w:rPr>
        <w:t> </w:t>
      </w:r>
      <w:r w:rsidRPr="00FF37B7">
        <w:rPr>
          <w:rStyle w:val="Resref"/>
          <w:b/>
          <w:bCs/>
          <w:color w:val="000000"/>
        </w:rPr>
        <w:t>229</w:t>
      </w:r>
      <w:r w:rsidR="009005C3" w:rsidRPr="00FF37B7">
        <w:rPr>
          <w:b/>
          <w:bCs/>
          <w:color w:val="000000"/>
        </w:rPr>
        <w:t xml:space="preserve"> </w:t>
      </w:r>
      <w:r w:rsidRPr="00FF37B7">
        <w:rPr>
          <w:rStyle w:val="Resref"/>
          <w:b/>
          <w:bCs/>
          <w:color w:val="000000"/>
        </w:rPr>
        <w:t>(WRC-03)</w:t>
      </w:r>
      <w:r w:rsidRPr="00FF37B7">
        <w:rPr>
          <w:color w:val="000000"/>
        </w:rPr>
        <w:t>. Consequently, administrations referred to in No. </w:t>
      </w:r>
      <w:r w:rsidRPr="00FF37B7">
        <w:rPr>
          <w:rStyle w:val="Artref"/>
          <w:b/>
          <w:bCs/>
          <w:color w:val="000000"/>
        </w:rPr>
        <w:t>5.453</w:t>
      </w:r>
      <w:r w:rsidRPr="00FF37B7">
        <w:rPr>
          <w:color w:val="000000"/>
        </w:rPr>
        <w:t xml:space="preserve"> (for the band 5</w:t>
      </w:r>
      <w:r w:rsidRPr="00FF37B7">
        <w:rPr>
          <w:rFonts w:ascii="Tms Rmn" w:hAnsi="Tms Rmn"/>
          <w:color w:val="000000"/>
          <w:sz w:val="12"/>
        </w:rPr>
        <w:t> </w:t>
      </w:r>
      <w:r w:rsidRPr="00FF37B7">
        <w:rPr>
          <w:color w:val="000000"/>
        </w:rPr>
        <w:t>650-5</w:t>
      </w:r>
      <w:r w:rsidRPr="00FF37B7">
        <w:rPr>
          <w:rFonts w:ascii="Tms Rmn" w:hAnsi="Tms Rmn"/>
          <w:color w:val="000000"/>
          <w:sz w:val="12"/>
        </w:rPr>
        <w:t> </w:t>
      </w:r>
      <w:r w:rsidRPr="00FF37B7">
        <w:rPr>
          <w:color w:val="000000"/>
        </w:rPr>
        <w:t>725 MHz) and in No. </w:t>
      </w:r>
      <w:r w:rsidRPr="00FF37B7">
        <w:rPr>
          <w:rStyle w:val="Artref"/>
          <w:b/>
          <w:bCs/>
          <w:color w:val="000000"/>
        </w:rPr>
        <w:t>5.451</w:t>
      </w:r>
      <w:r w:rsidRPr="00FF37B7">
        <w:rPr>
          <w:color w:val="000000"/>
        </w:rPr>
        <w:t xml:space="preserve"> (for the band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may implement other appli</w:t>
      </w:r>
      <w:r w:rsidR="00C6682E" w:rsidRPr="00FF37B7">
        <w:rPr>
          <w:color w:val="000000"/>
        </w:rPr>
        <w:softHyphen/>
      </w:r>
      <w:r w:rsidRPr="00FF37B7">
        <w:rPr>
          <w:color w:val="000000"/>
        </w:rPr>
        <w:t>cations in the mobile</w:t>
      </w:r>
      <w:r w:rsidR="001C50C5" w:rsidRPr="00FF37B7">
        <w:rPr>
          <w:color w:val="000000"/>
        </w:rPr>
        <w:t>,</w:t>
      </w:r>
      <w:r w:rsidRPr="00FF37B7">
        <w:rPr>
          <w:color w:val="000000"/>
        </w:rPr>
        <w:t xml:space="preserve"> </w:t>
      </w:r>
      <w:r w:rsidR="001C50C5" w:rsidRPr="00FF37B7">
        <w:rPr>
          <w:color w:val="000000"/>
        </w:rPr>
        <w:t xml:space="preserve">except aeronautical mobile, </w:t>
      </w:r>
      <w:r w:rsidRPr="00FF37B7">
        <w:rPr>
          <w:color w:val="000000"/>
        </w:rPr>
        <w:t>service, which are not necessarily WAS, subject to compliance with the conditions set forth in No. </w:t>
      </w:r>
      <w:r w:rsidRPr="00FF37B7">
        <w:rPr>
          <w:rStyle w:val="Artref"/>
          <w:b/>
          <w:bCs/>
          <w:color w:val="000000"/>
        </w:rPr>
        <w:t>5.451</w:t>
      </w:r>
      <w:r w:rsidRPr="00FF37B7">
        <w:rPr>
          <w:color w:val="000000"/>
        </w:rPr>
        <w:t xml:space="preserve"> and the power limits set forth in Table</w:t>
      </w:r>
      <w:r w:rsidR="00C6682E" w:rsidRPr="00FF37B7">
        <w:rPr>
          <w:color w:val="000000"/>
        </w:rPr>
        <w:t> </w:t>
      </w:r>
      <w:r w:rsidRPr="00FF37B7">
        <w:rPr>
          <w:b/>
          <w:bCs/>
        </w:rPr>
        <w:t>21-2</w:t>
      </w:r>
      <w:r w:rsidRPr="00FF37B7">
        <w:rPr>
          <w:color w:val="000000"/>
        </w:rPr>
        <w:t xml:space="preserve"> of Article </w:t>
      </w:r>
      <w:r w:rsidRPr="00FF37B7">
        <w:rPr>
          <w:rStyle w:val="Artref"/>
          <w:b/>
          <w:bCs/>
          <w:color w:val="000000"/>
        </w:rPr>
        <w:t>21</w:t>
      </w:r>
      <w:r w:rsidRPr="00FF37B7">
        <w:rPr>
          <w:color w:val="000000"/>
        </w:rPr>
        <w:t>.</w:t>
      </w:r>
    </w:p>
    <w:p w:rsidR="000513A2" w:rsidRPr="00FF37B7" w:rsidRDefault="000513A2" w:rsidP="00C6682E">
      <w:pPr>
        <w:rPr>
          <w:color w:val="000000"/>
        </w:rPr>
      </w:pPr>
      <w:r w:rsidRPr="00FF37B7">
        <w:rPr>
          <w:color w:val="000000"/>
        </w:rPr>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w:t>
      </w:r>
      <w:r w:rsidR="001C50C5" w:rsidRPr="00FF37B7">
        <w:rPr>
          <w:color w:val="000000"/>
        </w:rPr>
        <w:t>, except aeronautical mobile,</w:t>
      </w:r>
      <w:r w:rsidRPr="00FF37B7">
        <w:rPr>
          <w:color w:val="000000"/>
        </w:rPr>
        <w:t xml:space="preserv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w:t>
      </w:r>
      <w:r w:rsidR="00C6682E" w:rsidRPr="00FF37B7">
        <w:rPr>
          <w:color w:val="000000"/>
        </w:rPr>
        <w:t xml:space="preserve"> </w:t>
      </w:r>
      <w:r w:rsidRPr="00FF37B7">
        <w:rPr>
          <w:color w:val="000000"/>
        </w:rPr>
        <w:t>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in conjunction with Table</w:t>
      </w:r>
      <w:r w:rsidR="00C6682E" w:rsidRPr="00FF37B7">
        <w:rPr>
          <w:color w:val="000000"/>
        </w:rPr>
        <w:t xml:space="preserve"> </w:t>
      </w:r>
      <w:r w:rsidRPr="00FF37B7">
        <w:rPr>
          <w:b/>
          <w:bCs/>
        </w:rPr>
        <w:t>21-2</w:t>
      </w:r>
      <w:r w:rsidRPr="00FF37B7">
        <w:rPr>
          <w:color w:val="000000"/>
        </w:rPr>
        <w:t>,</w:t>
      </w:r>
      <w:r w:rsidR="00C6682E" w:rsidRPr="00FF37B7">
        <w:rPr>
          <w:color w:val="000000"/>
        </w:rPr>
        <w:t xml:space="preserve"> </w:t>
      </w:r>
      <w:r w:rsidRPr="00FF37B7">
        <w:rPr>
          <w:color w:val="000000"/>
        </w:rPr>
        <w:t>does not provide for the possibility of notifying terrestrial stations in the mobile</w:t>
      </w:r>
      <w:r w:rsidR="001C50C5" w:rsidRPr="00FF37B7">
        <w:rPr>
          <w:color w:val="000000"/>
        </w:rPr>
        <w:t>, except aeronautical mobile,</w:t>
      </w:r>
      <w:r w:rsidRPr="00FF37B7">
        <w:rPr>
          <w:color w:val="000000"/>
        </w:rPr>
        <w:t xml:space="preserv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w:t>
      </w:r>
      <w:r w:rsidR="00C6682E" w:rsidRPr="00FF37B7">
        <w:rPr>
          <w:rStyle w:val="Resref"/>
          <w:b/>
          <w:bCs/>
          <w:color w:val="000000"/>
        </w:rPr>
        <w:t xml:space="preserve"> </w:t>
      </w:r>
      <w:r w:rsidRPr="00FF37B7">
        <w:rPr>
          <w:rStyle w:val="Resref"/>
          <w:b/>
          <w:bCs/>
          <w:color w:val="000000"/>
        </w:rPr>
        <w:t>(WRC-03)</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 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w:t>
      </w:r>
      <w:r w:rsidR="001C50C5" w:rsidRPr="00FF37B7">
        <w:rPr>
          <w:color w:val="000000"/>
        </w:rPr>
        <w:t>, except aeronautical mobile,</w:t>
      </w:r>
      <w:r w:rsidRPr="00FF37B7">
        <w:rPr>
          <w:color w:val="000000"/>
        </w:rPr>
        <w:t xml:space="preserve"> stations, in the form of typical stations, from the admini</w:t>
      </w:r>
      <w:r w:rsidR="00C6682E" w:rsidRPr="00FF37B7">
        <w:rPr>
          <w:color w:val="000000"/>
        </w:rPr>
        <w:softHyphen/>
      </w:r>
      <w:r w:rsidRPr="00FF37B7">
        <w:rPr>
          <w:color w:val="000000"/>
        </w:rPr>
        <w:t>strations listed in No. </w:t>
      </w:r>
      <w:r w:rsidRPr="00FF37B7">
        <w:rPr>
          <w:rStyle w:val="Artref"/>
          <w:b/>
          <w:bCs/>
          <w:color w:val="000000"/>
        </w:rPr>
        <w:t>5.453</w:t>
      </w:r>
      <w:r w:rsidRPr="00FF37B7">
        <w:rPr>
          <w:color w:val="000000"/>
        </w:rPr>
        <w:t>, provided that the maximum e.i.r.p. does not exceed 1 W, which implies that each typical station notice receivable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w:t>
      </w:r>
      <w:r w:rsidR="00C6682E" w:rsidRPr="00FF37B7">
        <w:rPr>
          <w:color w:val="000000"/>
        </w:rPr>
        <w:t xml:space="preserve"> </w:t>
      </w:r>
      <w:r w:rsidRPr="00FF37B7">
        <w:rPr>
          <w:color w:val="000000"/>
        </w:rPr>
        <w:t>MHz (with an e.i.r.p. of less than or equal to 1 W) is deemed to be part of a</w:t>
      </w:r>
      <w:r w:rsidR="00C6682E" w:rsidRPr="00FF37B7">
        <w:rPr>
          <w:color w:val="000000"/>
        </w:rPr>
        <w:t> </w:t>
      </w:r>
      <w:r w:rsidRPr="00FF37B7">
        <w:rPr>
          <w:color w:val="000000"/>
        </w:rPr>
        <w:t>WAS.</w:t>
      </w:r>
    </w:p>
    <w:p w:rsidR="004060BD" w:rsidRPr="00FF37B7" w:rsidRDefault="00C6682E" w:rsidP="001C50C5">
      <w:pPr>
        <w:pStyle w:val="Heading8"/>
      </w:pPr>
      <w:r w:rsidRPr="00FF37B7">
        <w:br w:type="page"/>
      </w:r>
      <w:r w:rsidR="004060BD" w:rsidRPr="00FF37B7">
        <w:lastRenderedPageBreak/>
        <w:t>5.484</w:t>
      </w:r>
    </w:p>
    <w:p w:rsidR="004060BD" w:rsidRPr="00FF37B7" w:rsidRDefault="004060BD">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rsidR="004060BD" w:rsidRPr="00FF37B7" w:rsidRDefault="004060BD">
      <w:pPr>
        <w:pStyle w:val="Heading8"/>
        <w:rPr>
          <w:color w:val="000000"/>
        </w:rPr>
      </w:pPr>
      <w:r w:rsidRPr="00FF37B7">
        <w:rPr>
          <w:color w:val="000000"/>
        </w:rPr>
        <w:t>5.485</w:t>
      </w:r>
    </w:p>
    <w:p w:rsidR="004060BD" w:rsidRPr="00FF37B7" w:rsidRDefault="004060BD" w:rsidP="00044477">
      <w:r w:rsidRPr="00FF37B7">
        <w:t>1</w:t>
      </w:r>
      <w:r w:rsidRPr="00FF37B7">
        <w:tab/>
        <w:t>The wording of this provision raised the following basic question: “Is the band 11.7-12.2 GHz in Region 2 allocated to the broadcasting-satellite service?” The Board considered the following:</w:t>
      </w:r>
    </w:p>
    <w:p w:rsidR="004060BD" w:rsidRPr="00FF37B7" w:rsidRDefault="004060BD">
      <w:pPr>
        <w:pStyle w:val="enumlev1"/>
        <w:rPr>
          <w:color w:val="000000"/>
        </w:rPr>
      </w:pPr>
      <w:r w:rsidRPr="00FF37B7">
        <w:rPr>
          <w:i/>
          <w:color w:val="000000"/>
        </w:rPr>
        <w:t>a)</w:t>
      </w:r>
      <w:r w:rsidRPr="00FF37B7">
        <w:rPr>
          <w:color w:val="000000"/>
        </w:rPr>
        <w:tab/>
        <w:t>that the provision is not titled an “additional allocation”. Some provisions do not have such a title and the Board considered them additional allocations. However, in this case, it is not clear that the intent was to permit an additional allocation;</w:t>
      </w:r>
    </w:p>
    <w:p w:rsidR="004060BD" w:rsidRPr="00FF37B7" w:rsidRDefault="004060BD">
      <w:pPr>
        <w:pStyle w:val="enumlev1"/>
        <w:rPr>
          <w:color w:val="000000"/>
        </w:rPr>
      </w:pPr>
      <w:r w:rsidRPr="00FF37B7">
        <w:rPr>
          <w:i/>
          <w:color w:val="000000"/>
        </w:rPr>
        <w:t>b)</w:t>
      </w:r>
      <w:r w:rsidRPr="00FF37B7">
        <w:rPr>
          <w:color w:val="000000"/>
        </w:rPr>
        <w:tab/>
        <w:t>the provision states that “transponders on space stations in the fixed-satellite service may be used additionally ... in the broadcasting-satellite service”: the use of the word “additionally”, together with the last sentence saying that “this band shall be used principally for the fixed-satellite service”, leads to the understanding that the use by the broadcasting-satellite service is not of the same nature as would be the use of a given band by a service to which the band is allocated;</w:t>
      </w:r>
    </w:p>
    <w:p w:rsidR="0002351C" w:rsidRPr="00FF37B7" w:rsidRDefault="0002351C" w:rsidP="00BA2AB6">
      <w:pPr>
        <w:tabs>
          <w:tab w:val="clear" w:pos="1134"/>
          <w:tab w:val="left" w:pos="426"/>
        </w:tabs>
        <w:ind w:left="426" w:hanging="426"/>
      </w:pPr>
      <w:r w:rsidRPr="00FF37B7">
        <w:rPr>
          <w:i/>
          <w:color w:val="000000"/>
        </w:rPr>
        <w:t>c)</w:t>
      </w:r>
      <w:r w:rsidRPr="00FF37B7">
        <w:rPr>
          <w:color w:val="000000"/>
        </w:rPr>
        <w:tab/>
        <w:t xml:space="preserve">the provision refers to transponders, which are to be considered transmitting stations. As the procedures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Resolution </w:t>
      </w:r>
      <w:r w:rsidRPr="00FF37B7">
        <w:rPr>
          <w:rStyle w:val="Resref"/>
          <w:b/>
          <w:bCs/>
          <w:color w:val="000000"/>
        </w:rPr>
        <w:t>33</w:t>
      </w:r>
      <w:r w:rsidRPr="00FF37B7">
        <w:rPr>
          <w:color w:val="000000"/>
        </w:rPr>
        <w:t xml:space="preserve"> </w:t>
      </w:r>
      <w:r w:rsidRPr="00FF37B7">
        <w:rPr>
          <w:rStyle w:val="Resref"/>
          <w:b/>
          <w:bCs/>
          <w:color w:val="000000"/>
        </w:rPr>
        <w:t>(Rev.WRC-03)</w:t>
      </w:r>
      <w:r w:rsidRPr="00FF37B7">
        <w:rPr>
          <w:color w:val="000000"/>
        </w:rPr>
        <w:t xml:space="preserve"> apply to each assignment, each transponder shall be considered independently from the others. Consequently the provision may be interpreted in either of the following two ways:</w:t>
      </w:r>
    </w:p>
    <w:p w:rsidR="004060BD" w:rsidRPr="00FF37B7" w:rsidRDefault="004060BD">
      <w:pPr>
        <w:pStyle w:val="enumlev2"/>
        <w:rPr>
          <w:color w:val="000000"/>
        </w:rPr>
      </w:pPr>
      <w:r w:rsidRPr="00FF37B7">
        <w:rPr>
          <w:color w:val="000000"/>
        </w:rPr>
        <w:t>–</w:t>
      </w:r>
      <w:r w:rsidRPr="00FF37B7">
        <w:rPr>
          <w:color w:val="000000"/>
        </w:rPr>
        <w:tab/>
        <w:t>a first interpretation consists in considering that some transponders will be used for the FSS and others for the BSS, and this is equivalent to a sharing of the band between two services which raises a question about the word “principally”: how many transponders would be allowed for each of the two services?</w:t>
      </w:r>
    </w:p>
    <w:p w:rsidR="004060BD" w:rsidRPr="00FF37B7" w:rsidRDefault="0002351C" w:rsidP="00BA2AB6">
      <w:pPr>
        <w:pStyle w:val="enumlev2"/>
        <w:rPr>
          <w:color w:val="000000"/>
        </w:rPr>
      </w:pPr>
      <w:r w:rsidRPr="00FF37B7">
        <w:rPr>
          <w:color w:val="000000"/>
        </w:rPr>
        <w:t>–</w:t>
      </w:r>
      <w:r w:rsidRPr="00FF37B7">
        <w:rPr>
          <w:color w:val="000000"/>
        </w:rPr>
        <w:tab/>
        <w:t>a second interpretation consists in considering that a given transponder of the FSS may be used in a given period of time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that of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or that of Resolution </w:t>
      </w:r>
      <w:r w:rsidRPr="00FF37B7">
        <w:rPr>
          <w:rStyle w:val="Resref"/>
          <w:b/>
          <w:bCs/>
          <w:color w:val="000000"/>
        </w:rPr>
        <w:t>33</w:t>
      </w:r>
      <w:r w:rsidRPr="00FF37B7">
        <w:rPr>
          <w:color w:val="000000"/>
        </w:rPr>
        <w:t xml:space="preserve"> </w:t>
      </w:r>
      <w:r w:rsidRPr="00FF37B7">
        <w:rPr>
          <w:rStyle w:val="Resref"/>
          <w:b/>
          <w:bCs/>
          <w:color w:val="000000"/>
        </w:rPr>
        <w:t>(Rev.WRC-03)</w:t>
      </w:r>
      <w:r w:rsidR="00044477" w:rsidRPr="00FF37B7">
        <w:t>?</w:t>
      </w:r>
    </w:p>
    <w:p w:rsidR="004060BD" w:rsidRPr="00FF37B7" w:rsidRDefault="004060BD" w:rsidP="00044477">
      <w:pPr>
        <w:rPr>
          <w:color w:val="000000"/>
        </w:rPr>
      </w:pPr>
      <w:r w:rsidRPr="00FF37B7">
        <w:rPr>
          <w:color w:val="000000"/>
        </w:rPr>
        <w:t>2</w:t>
      </w:r>
      <w:r w:rsidRPr="00FF37B7">
        <w:rPr>
          <w:color w:val="000000"/>
        </w:rPr>
        <w:tab/>
        <w:t>Keeping in mind the above comments, the Board concluded that the band 11.7-12.2</w:t>
      </w:r>
      <w:r w:rsidR="00044477" w:rsidRPr="00FF37B7">
        <w:rPr>
          <w:color w:val="000000"/>
        </w:rPr>
        <w:t> </w:t>
      </w:r>
      <w:r w:rsidRPr="00FF37B7">
        <w:rPr>
          <w:color w:val="000000"/>
        </w:rPr>
        <w:t xml:space="preserve">GHz is not allocated in Region 2 to the broadcasting-satellite service. Those transponders of the fixed-satellite service which are used for broadcasting-satellite purposes will be treated in accordance with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(and Appendix </w:t>
      </w:r>
      <w:r w:rsidRPr="00FF37B7">
        <w:rPr>
          <w:rStyle w:val="Appref"/>
          <w:b/>
          <w:bCs/>
          <w:color w:val="000000"/>
        </w:rPr>
        <w:t>30</w:t>
      </w:r>
      <w:r w:rsidRPr="00FF37B7">
        <w:rPr>
          <w:color w:val="000000"/>
        </w:rPr>
        <w:t xml:space="preserve"> if required to define inter-regional sharing). When such a use is indicated in the notice, the Bureau will assume that the coordi</w:t>
      </w:r>
      <w:r w:rsidR="00044477" w:rsidRPr="00FF37B7">
        <w:rPr>
          <w:color w:val="000000"/>
        </w:rPr>
        <w:softHyphen/>
      </w:r>
      <w:r w:rsidRPr="00FF37B7">
        <w:rPr>
          <w:color w:val="000000"/>
        </w:rPr>
        <w:t>nation of the network was made on the basis that for the period during which a transponder is used for broadcasting, the e.i.r.p. will not exceed the e.i.r.p. notified for the fixed-satellite service. Considering that the fixed-satellite service uses relatively low e.i.r.p., the Bureau will consider the value of 53</w:t>
      </w:r>
      <w:r w:rsidR="00044477" w:rsidRPr="00FF37B7">
        <w:rPr>
          <w:color w:val="000000"/>
        </w:rPr>
        <w:t> </w:t>
      </w:r>
      <w:r w:rsidRPr="00FF37B7">
        <w:rPr>
          <w:color w:val="000000"/>
        </w:rPr>
        <w:t>dBW to be a limit not to be exceeded.</w:t>
      </w:r>
    </w:p>
    <w:p w:rsidR="004060BD" w:rsidRPr="00FF37B7" w:rsidRDefault="00044477">
      <w:pPr>
        <w:pStyle w:val="Heading8"/>
        <w:rPr>
          <w:color w:val="000000"/>
        </w:rPr>
      </w:pPr>
      <w:r w:rsidRPr="00FF37B7">
        <w:rPr>
          <w:color w:val="000000"/>
        </w:rPr>
        <w:br w:type="page"/>
      </w:r>
      <w:r w:rsidR="004060BD" w:rsidRPr="00FF37B7">
        <w:rPr>
          <w:color w:val="000000"/>
        </w:rPr>
        <w:lastRenderedPageBreak/>
        <w:t>5.488</w:t>
      </w:r>
    </w:p>
    <w:p w:rsidR="004060BD" w:rsidRPr="00FF37B7" w:rsidRDefault="004060BD">
      <w:pPr>
        <w:pStyle w:val="Headingb"/>
        <w:spacing w:before="240"/>
        <w:rPr>
          <w:color w:val="000000"/>
        </w:rPr>
      </w:pPr>
      <w:r w:rsidRPr="00FF37B7">
        <w:rPr>
          <w:color w:val="000000"/>
        </w:rPr>
        <w:t>Application of power flux-density (PFD) No. 9.14 coordination thresholds (Region 2 GSO FSS in the band 11.7-12.2 GHz) to steerable beams</w:t>
      </w:r>
    </w:p>
    <w:p w:rsidR="004060BD" w:rsidRPr="00FF37B7" w:rsidRDefault="004060BD">
      <w:pPr>
        <w:rPr>
          <w:color w:val="000000"/>
        </w:rPr>
      </w:pPr>
      <w:r w:rsidRPr="00FF37B7">
        <w:rPr>
          <w:color w:val="000000"/>
        </w:rPr>
        <w:t>1</w:t>
      </w:r>
      <w:r w:rsidRPr="00FF37B7">
        <w:rPr>
          <w:color w:val="000000"/>
        </w:rPr>
        <w:tab/>
        <w:t>Use of steerable beams is becoming widespread. PFD values produced by assignments in steerable beams often exceed the applicable PFD coordination thresholds for some or all positions of those beams. In these cases, administrations tend to state that PFD coordination thresholds will not be exceeded and sometimes provide appropriate technical description as to how it would be done.</w:t>
      </w:r>
    </w:p>
    <w:p w:rsidR="004060BD" w:rsidRPr="00FF37B7" w:rsidRDefault="004060BD">
      <w:pPr>
        <w:rPr>
          <w:color w:val="000000"/>
        </w:rPr>
      </w:pPr>
      <w:r w:rsidRPr="00FF37B7">
        <w:rPr>
          <w:color w:val="000000"/>
        </w:rPr>
        <w:t>2</w:t>
      </w:r>
      <w:r w:rsidRPr="00FF37B7">
        <w:rPr>
          <w:color w:val="000000"/>
        </w:rPr>
        <w:tab/>
        <w:t>For the purpose of transparency and to set an upper limit on the acceptable extent of the PFD control and avoid subjectivity in the evaluation of the PFD control method, the Board concluded that until the time that a relevant ITU-R Recommendation is available, the following Rule will apply on a provisional basis.</w:t>
      </w:r>
    </w:p>
    <w:p w:rsidR="004060BD" w:rsidRPr="00FF37B7" w:rsidRDefault="004060BD">
      <w:pPr>
        <w:rPr>
          <w:color w:val="000000"/>
        </w:rPr>
      </w:pPr>
      <w:r w:rsidRPr="00FF37B7">
        <w:rPr>
          <w:color w:val="000000"/>
        </w:rPr>
        <w:t>3</w:t>
      </w:r>
      <w:r w:rsidRPr="00FF37B7">
        <w:rPr>
          <w:color w:val="000000"/>
        </w:rPr>
        <w:tab/>
        <w:t>In cases where frequency assignments in steerable beams of a GSO FSS satellite network operating in the band 11.7-12.2 GHz exceed, for certain positions of these beams, the PFD 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rsidR="004060BD" w:rsidRPr="00FF37B7" w:rsidRDefault="004060BD">
      <w:pPr>
        <w:pStyle w:val="enumlev1"/>
        <w:rPr>
          <w:color w:val="000000"/>
          <w:u w:val="single"/>
        </w:rPr>
      </w:pPr>
      <w:r w:rsidRPr="00FF37B7">
        <w:rPr>
          <w:i/>
          <w:color w:val="000000"/>
        </w:rPr>
        <w:t>a)</w:t>
      </w:r>
      <w:r w:rsidRPr="00FF37B7">
        <w:rPr>
          <w:color w:val="000000"/>
        </w:rPr>
        <w:tab/>
        <w:t>there is at least one position of the steerable beam where the applicable PFD coordination thresholds are not exceeded without any reduction of the notified power density; and</w:t>
      </w:r>
    </w:p>
    <w:p w:rsidR="004060BD" w:rsidRPr="00FF37B7" w:rsidRDefault="004060BD" w:rsidP="00044477">
      <w:pPr>
        <w:pStyle w:val="enumlev1"/>
        <w:rPr>
          <w:color w:val="000000"/>
        </w:rPr>
      </w:pPr>
      <w:r w:rsidRPr="00FF37B7">
        <w:rPr>
          <w:i/>
          <w:color w:val="000000"/>
        </w:rPr>
        <w:t>b)</w:t>
      </w:r>
      <w:r w:rsidRPr="00FF37B7">
        <w:rPr>
          <w:color w:val="000000"/>
        </w:rPr>
        <w:tab/>
        <w:t>the administration states that for the other positions of the steerable beam the applicable PFD 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rsidR="004060BD" w:rsidRPr="00FF37B7" w:rsidRDefault="004060BD">
      <w:pPr>
        <w:pStyle w:val="Heading8"/>
        <w:rPr>
          <w:color w:val="000000"/>
        </w:rPr>
      </w:pPr>
      <w:r w:rsidRPr="00FF37B7">
        <w:rPr>
          <w:color w:val="000000"/>
        </w:rPr>
        <w:t>5.492</w:t>
      </w:r>
    </w:p>
    <w:p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rsidR="004060BD" w:rsidRPr="00FF37B7" w:rsidRDefault="004060BD">
      <w:pPr>
        <w:pStyle w:val="Heading8"/>
        <w:rPr>
          <w:color w:val="000000"/>
        </w:rPr>
      </w:pPr>
      <w:r w:rsidRPr="00FF37B7">
        <w:rPr>
          <w:color w:val="000000"/>
        </w:rPr>
        <w:t>5.496</w:t>
      </w:r>
    </w:p>
    <w:p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rsidR="004060BD" w:rsidRPr="00FF37B7" w:rsidRDefault="00044477">
      <w:pPr>
        <w:pStyle w:val="enumlev1"/>
        <w:rPr>
          <w:color w:val="000000"/>
        </w:rPr>
      </w:pPr>
      <w:r w:rsidRPr="00FF37B7">
        <w:rPr>
          <w:color w:val="000000"/>
        </w:rPr>
        <w:br w:type="page"/>
      </w:r>
      <w:r w:rsidR="004060BD" w:rsidRPr="00FF37B7">
        <w:rPr>
          <w:color w:val="000000"/>
        </w:rPr>
        <w:lastRenderedPageBreak/>
        <w:t>–</w:t>
      </w:r>
      <w:r w:rsidR="004060BD" w:rsidRPr="00FF37B7">
        <w:rPr>
          <w:color w:val="000000"/>
        </w:rPr>
        <w:tab/>
        <w:t>shall be operated under No. </w:t>
      </w:r>
      <w:r w:rsidR="004060BD" w:rsidRPr="00FF37B7">
        <w:rPr>
          <w:rStyle w:val="Artref"/>
          <w:b/>
          <w:bCs/>
          <w:color w:val="000000"/>
        </w:rPr>
        <w:t>5.43</w:t>
      </w:r>
      <w:r w:rsidR="004060BD" w:rsidRPr="00FF37B7">
        <w:rPr>
          <w:color w:val="000000"/>
        </w:rPr>
        <w:t xml:space="preserve"> with respect to the FSS in the other countries of Region 1, and coordination under No. </w:t>
      </w:r>
      <w:r w:rsidR="004060BD" w:rsidRPr="00FF37B7">
        <w:rPr>
          <w:rStyle w:val="Artref"/>
          <w:b/>
          <w:bCs/>
          <w:color w:val="000000"/>
        </w:rPr>
        <w:t>9.17</w:t>
      </w:r>
      <w:r w:rsidR="004060BD" w:rsidRPr="00FF37B7">
        <w:rPr>
          <w:color w:val="000000"/>
        </w:rPr>
        <w:t xml:space="preserve"> cannot be imposed on earth stations. The fixed and mobile stations shall apply coordination under No. </w:t>
      </w:r>
      <w:r w:rsidR="004060BD" w:rsidRPr="00FF37B7">
        <w:rPr>
          <w:rStyle w:val="Artref"/>
          <w:b/>
          <w:bCs/>
          <w:color w:val="000000"/>
        </w:rPr>
        <w:t>9.18</w:t>
      </w:r>
      <w:r w:rsidR="004060BD" w:rsidRPr="00FF37B7">
        <w:rPr>
          <w:color w:val="000000"/>
        </w:rPr>
        <w:t>;</w:t>
      </w:r>
    </w:p>
    <w:p w:rsidR="004060BD" w:rsidRPr="00FF37B7" w:rsidRDefault="004060BD" w:rsidP="00044477">
      <w:pPr>
        <w:pStyle w:val="enumlev1"/>
        <w:rPr>
          <w:color w:val="000000"/>
        </w:rPr>
      </w:pPr>
      <w:r w:rsidRPr="00FF37B7">
        <w:rPr>
          <w:color w:val="000000"/>
        </w:rPr>
        <w:t>–</w:t>
      </w:r>
      <w:r w:rsidRPr="00FF37B7">
        <w:rPr>
          <w:color w:val="000000"/>
        </w:rPr>
        <w:tab/>
        <w:t>have equal rights with the services to which the band is allocated in Regions</w:t>
      </w:r>
      <w:r w:rsidR="00044477" w:rsidRPr="00FF37B7">
        <w:rPr>
          <w:color w:val="000000"/>
        </w:rPr>
        <w:t> </w:t>
      </w:r>
      <w:r w:rsidRPr="00FF37B7">
        <w:rPr>
          <w:color w:val="000000"/>
        </w:rPr>
        <w:t>2 and</w:t>
      </w:r>
      <w:r w:rsidR="00044477" w:rsidRPr="00FF37B7">
        <w:rPr>
          <w:color w:val="000000"/>
        </w:rPr>
        <w:t> </w:t>
      </w:r>
      <w:r w:rsidRPr="00FF37B7">
        <w:rPr>
          <w:color w:val="000000"/>
        </w:rPr>
        <w:t>3.</w:t>
      </w:r>
    </w:p>
    <w:p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rsidR="004060BD" w:rsidRPr="00FF37B7" w:rsidRDefault="004060BD">
      <w:pPr>
        <w:pStyle w:val="Heading8"/>
        <w:rPr>
          <w:color w:val="000000"/>
        </w:rPr>
      </w:pPr>
      <w:r w:rsidRPr="00FF37B7">
        <w:rPr>
          <w:color w:val="000000"/>
        </w:rPr>
        <w:t>5.502</w:t>
      </w:r>
    </w:p>
    <w:p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dBi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r w:rsidRPr="00FF37B7">
        <w:t xml:space="preserve">dBi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rsidR="004060BD" w:rsidRPr="00FF37B7" w:rsidRDefault="004060BD" w:rsidP="003D65EE">
      <w:pPr>
        <w:spacing w:line="270" w:lineRule="exact"/>
        <w:rPr>
          <w:color w:val="000000"/>
        </w:rPr>
      </w:pPr>
      <w:r w:rsidRPr="00FF37B7">
        <w:rPr>
          <w:color w:val="000000"/>
        </w:rPr>
        <w:t>2</w:t>
      </w:r>
      <w:r w:rsidRPr="00FF37B7">
        <w:rPr>
          <w:color w:val="000000"/>
        </w:rPr>
        <w:tab/>
        <w:t xml:space="preserve">Power flux-density (PFD)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rsidR="004060BD" w:rsidRPr="00FF37B7" w:rsidRDefault="004060BD" w:rsidP="003D65EE">
      <w:pPr>
        <w:pStyle w:val="Heading8"/>
        <w:rPr>
          <w:color w:val="000000"/>
        </w:rPr>
      </w:pPr>
      <w:r w:rsidRPr="00FF37B7">
        <w:rPr>
          <w:color w:val="000000"/>
        </w:rPr>
        <w:t>5.503</w:t>
      </w:r>
    </w:p>
    <w:p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e.i.r.p.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as long as the power flux-density at the FSS space station does not exceed the value resulting from the use by an earth station of an e.i.r.p.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e.i.r.p density and e.i.r.p.) is to be provided:</w:t>
      </w:r>
    </w:p>
    <w:p w:rsidR="00704EC7" w:rsidRPr="00FF37B7" w:rsidRDefault="00704EC7" w:rsidP="00704EC7">
      <w:pPr>
        <w:pStyle w:val="enumlev1"/>
      </w:pPr>
      <w:r w:rsidRPr="00FF37B7">
        <w:t>i)</w:t>
      </w:r>
      <w:r w:rsidRPr="00FF37B7">
        <w:tab/>
        <w:t>those prevailing in clear-sky conditions, or</w:t>
      </w:r>
    </w:p>
    <w:p w:rsidR="00704EC7" w:rsidRPr="00FF37B7" w:rsidRDefault="00704EC7" w:rsidP="00704EC7">
      <w:pPr>
        <w:pStyle w:val="enumlev1"/>
      </w:pPr>
      <w:r w:rsidRPr="00FF37B7">
        <w:t>ii)</w:t>
      </w:r>
      <w:r w:rsidRPr="00FF37B7">
        <w:tab/>
        <w:t>those prevailing during rainfall.</w:t>
      </w:r>
    </w:p>
    <w:p w:rsidR="00704EC7" w:rsidRPr="00FF37B7" w:rsidRDefault="003D65EE" w:rsidP="003D65EE">
      <w:pPr>
        <w:rPr>
          <w:color w:val="000000"/>
        </w:rPr>
      </w:pPr>
      <w:r w:rsidRPr="00FF37B7">
        <w:rPr>
          <w:color w:val="000000"/>
        </w:rPr>
        <w:br w:type="page"/>
      </w:r>
      <w:r w:rsidR="00704EC7" w:rsidRPr="00FF37B7">
        <w:rPr>
          <w:color w:val="000000"/>
        </w:rPr>
        <w:lastRenderedPageBreak/>
        <w:t xml:space="preserve">The Board therefore decided that, for frequency assignments to which No. </w:t>
      </w:r>
      <w:r w:rsidR="00704EC7" w:rsidRPr="00FF37B7">
        <w:rPr>
          <w:b/>
          <w:bCs/>
          <w:color w:val="000000"/>
        </w:rPr>
        <w:t>5.503</w:t>
      </w:r>
      <w:r w:rsidR="00704EC7" w:rsidRPr="00FF37B7">
        <w:rPr>
          <w:color w:val="000000"/>
        </w:rPr>
        <w:t xml:space="preserve"> applies, administrations shall provide</w:t>
      </w:r>
      <w:r w:rsidR="00704EC7" w:rsidRPr="00FF37B7">
        <w:t xml:space="preserve"> clear-sky values of maximum power-density (Appendix </w:t>
      </w:r>
      <w:r w:rsidR="00704EC7" w:rsidRPr="00FF37B7">
        <w:rPr>
          <w:b/>
          <w:bCs/>
        </w:rPr>
        <w:t>4</w:t>
      </w:r>
      <w:r w:rsidR="00704EC7" w:rsidRPr="00FF37B7">
        <w:t xml:space="preserve"> data item C.8.a.2 or C.8.b.2) and maximum power of emissions (Appendix </w:t>
      </w:r>
      <w:r w:rsidR="00704EC7" w:rsidRPr="00FF37B7">
        <w:rPr>
          <w:b/>
          <w:bCs/>
        </w:rPr>
        <w:t>4</w:t>
      </w:r>
      <w:r w:rsidR="00704EC7" w:rsidRPr="00FF37B7">
        <w:t xml:space="preserve"> data item C.8.a.1 or C.8.b.1), when requesting coordination or notifying satellite networks or earth stations. This shall apply to coordination requests and notifications received as from 1</w:t>
      </w:r>
      <w:r w:rsidRPr="00FF37B7">
        <w:t> </w:t>
      </w:r>
      <w:r w:rsidR="00704EC7" w:rsidRPr="00FF37B7">
        <w:t>January</w:t>
      </w:r>
      <w:r w:rsidRPr="00FF37B7">
        <w:t> </w:t>
      </w:r>
      <w:r w:rsidR="00704EC7" w:rsidRPr="00FF37B7">
        <w:t>2009.</w:t>
      </w:r>
    </w:p>
    <w:p w:rsidR="004060BD" w:rsidRPr="00FF37B7" w:rsidRDefault="00704EC7" w:rsidP="00BA2AB6">
      <w:pPr>
        <w:rPr>
          <w:sz w:val="16"/>
          <w:szCs w:val="16"/>
        </w:rPr>
      </w:pPr>
      <w:r w:rsidRPr="00FF37B7">
        <w:rPr>
          <w:color w:val="000000"/>
        </w:rPr>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e.i.r.p.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the Bureau shall use the following e.i.r.p. density limits, as a function of maximum earth station antenna gain (or antenna diameter), for examination of submissions received between 5 July 2003 and 1 January 2004.</w:t>
      </w:r>
    </w:p>
    <w:p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16"/>
        <w:gridCol w:w="3103"/>
        <w:gridCol w:w="3068"/>
      </w:tblGrid>
      <w:tr w:rsidR="004060BD" w:rsidRPr="00FF37B7" w:rsidTr="00FE282F">
        <w:tc>
          <w:tcPr>
            <w:tcW w:w="3116" w:type="dxa"/>
            <w:tcBorders>
              <w:top w:val="nil"/>
              <w:left w:val="nil"/>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e.i.r.p. density limits in frequency band 13.77-13.78 GHz for earth stations in the FSS operating with GSO space station</w:t>
            </w:r>
          </w:p>
        </w:tc>
      </w:tr>
      <w:tr w:rsidR="004060BD" w:rsidRPr="00FF37B7" w:rsidTr="00FE282F">
        <w:trPr>
          <w:cantSplit/>
        </w:trPr>
        <w:tc>
          <w:tcPr>
            <w:tcW w:w="3116" w:type="dxa"/>
            <w:vMerge w:val="restart"/>
            <w:vAlign w:val="center"/>
          </w:tcPr>
          <w:p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(dBi))</w:t>
            </w:r>
          </w:p>
        </w:tc>
        <w:tc>
          <w:tcPr>
            <w:tcW w:w="6171" w:type="dxa"/>
            <w:gridSpan w:val="2"/>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rsidTr="00FE282F">
        <w:trPr>
          <w:cantSplit/>
        </w:trPr>
        <w:tc>
          <w:tcPr>
            <w:tcW w:w="3116" w:type="dxa"/>
            <w:vMerge/>
            <w:tcBorders>
              <w:bottom w:val="single" w:sz="4" w:space="0" w:color="auto"/>
            </w:tcBorders>
          </w:tcPr>
          <w:p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dBi</w:t>
            </w:r>
          </w:p>
        </w:tc>
        <w:tc>
          <w:tcPr>
            <w:tcW w:w="6171" w:type="dxa"/>
            <w:gridSpan w:val="2"/>
            <w:tcBorders>
              <w:bottom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dB(W/40 kHz)</w:t>
            </w:r>
          </w:p>
        </w:tc>
      </w:tr>
      <w:tr w:rsidR="004060BD" w:rsidRPr="00FF37B7"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dB(W/40 kHz))</w:t>
            </w: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dBi</w:t>
            </w:r>
          </w:p>
        </w:tc>
        <w:tc>
          <w:tcPr>
            <w:tcW w:w="3103"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dB(W/40 kHz)</w:t>
            </w:r>
          </w:p>
        </w:tc>
        <w:tc>
          <w:tcPr>
            <w:tcW w:w="3068"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dB(W/4 kHz)</w:t>
            </w:r>
          </w:p>
        </w:tc>
      </w:tr>
      <w:tr w:rsidR="004060BD" w:rsidRPr="00FF37B7" w:rsidTr="00FE282F">
        <w:trPr>
          <w:cantSplit/>
        </w:trPr>
        <w:tc>
          <w:tcPr>
            <w:tcW w:w="3116" w:type="dxa"/>
            <w:tcBorders>
              <w:top w:val="nil"/>
              <w:bottom w:val="single" w:sz="4" w:space="0" w:color="auto"/>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(49.2 </w:t>
            </w:r>
            <w:r w:rsidRPr="00FF37B7">
              <w:rPr>
                <w:rFonts w:ascii="Symbol" w:hAnsi="Symbol"/>
                <w:color w:val="000000"/>
                <w:lang w:val="en-GB"/>
              </w:rPr>
              <w:t></w:t>
            </w:r>
            <w:r w:rsidRPr="00FF37B7">
              <w:rPr>
                <w:color w:val="000000"/>
                <w:lang w:val="en-GB"/>
              </w:rPr>
              <w:t xml:space="preserve"> 20 log(</w:t>
            </w:r>
            <w:r w:rsidRPr="00FF37B7">
              <w:rPr>
                <w:i/>
                <w:iCs/>
                <w:color w:val="000000"/>
                <w:lang w:val="en-GB"/>
              </w:rPr>
              <w:t>D</w:t>
            </w:r>
            <w:r w:rsidRPr="00FF37B7">
              <w:rPr>
                <w:color w:val="000000"/>
                <w:lang w:val="en-GB"/>
              </w:rPr>
              <w:t>/4.5)</w:t>
            </w:r>
            <w:r w:rsidRPr="00FF37B7">
              <w:rPr>
                <w:color w:val="000000"/>
                <w:lang w:val="en-GB"/>
              </w:rPr>
              <w:br/>
              <w:t>dB(W/40 kHz))</w:t>
            </w:r>
          </w:p>
        </w:tc>
        <w:tc>
          <w:tcPr>
            <w:tcW w:w="3068" w:type="dxa"/>
            <w:vMerge/>
          </w:tcPr>
          <w:p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rsidTr="00FE282F">
        <w:trPr>
          <w:cantSplit/>
        </w:trPr>
        <w:tc>
          <w:tcPr>
            <w:tcW w:w="3116" w:type="dxa"/>
            <w:tcBorders>
              <w:bottom w:val="nil"/>
            </w:tcBorders>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dBi</w:t>
            </w:r>
          </w:p>
        </w:tc>
        <w:tc>
          <w:tcPr>
            <w:tcW w:w="3103" w:type="dxa"/>
            <w:vMerge w:val="restart"/>
            <w:vAlign w:val="center"/>
          </w:tcPr>
          <w:p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dB(W/40 kHz)</w:t>
            </w:r>
          </w:p>
        </w:tc>
        <w:tc>
          <w:tcPr>
            <w:tcW w:w="3068" w:type="dxa"/>
            <w:vMerge/>
          </w:tcPr>
          <w:p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rsidTr="00FE282F">
        <w:trPr>
          <w:cantSplit/>
        </w:trPr>
        <w:tc>
          <w:tcPr>
            <w:tcW w:w="3116" w:type="dxa"/>
            <w:tcBorders>
              <w:top w:val="nil"/>
            </w:tcBorders>
            <w:vAlign w:val="center"/>
          </w:tcPr>
          <w:p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rsidR="004060BD" w:rsidRPr="00FF37B7" w:rsidRDefault="004060BD" w:rsidP="00FE282F">
            <w:pPr>
              <w:pStyle w:val="Tabletext0"/>
              <w:framePr w:hSpace="181" w:wrap="around" w:vAnchor="text" w:hAnchor="margin" w:xAlign="center" w:y="1"/>
              <w:jc w:val="center"/>
              <w:rPr>
                <w:color w:val="000000"/>
                <w:lang w:val="en-GB"/>
              </w:rPr>
            </w:pPr>
          </w:p>
        </w:tc>
      </w:tr>
    </w:tbl>
    <w:p w:rsidR="004060BD" w:rsidRPr="00FF37B7" w:rsidRDefault="004060BD">
      <w:pPr>
        <w:pStyle w:val="TableFin"/>
        <w:rPr>
          <w:color w:val="000000"/>
          <w:sz w:val="22"/>
        </w:rPr>
      </w:pPr>
    </w:p>
    <w:p w:rsidR="004060BD" w:rsidRPr="00FF37B7" w:rsidRDefault="004060BD" w:rsidP="003D65EE">
      <w:pPr>
        <w:rPr>
          <w:color w:val="000000"/>
        </w:rPr>
      </w:pPr>
      <w:r w:rsidRPr="00FF37B7">
        <w:rPr>
          <w:color w:val="000000"/>
        </w:rPr>
        <w:t>The conversion of e.i.r.p.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rsidR="004060BD" w:rsidRPr="00FF37B7" w:rsidRDefault="004060BD" w:rsidP="003D65EE">
      <w:pPr>
        <w:pStyle w:val="Heading8"/>
        <w:rPr>
          <w:color w:val="000000"/>
        </w:rPr>
      </w:pPr>
      <w:r w:rsidRPr="00FF37B7">
        <w:rPr>
          <w:color w:val="000000"/>
        </w:rPr>
        <w:t>5.504B</w:t>
      </w:r>
    </w:p>
    <w:p w:rsidR="004060BD" w:rsidRPr="00FF37B7" w:rsidRDefault="004060BD">
      <w:pPr>
        <w:rPr>
          <w:color w:val="000000"/>
        </w:rPr>
      </w:pPr>
      <w:r w:rsidRPr="00FF37B7">
        <w:rPr>
          <w:color w:val="000000"/>
        </w:rPr>
        <w:t xml:space="preserve">With respect to the observance of mandatory power flux-density limits and other conditions of Recommendation ITU-R M.1643,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rsidR="006D7A22" w:rsidRDefault="006D7A22" w:rsidP="003D65EE">
      <w:pPr>
        <w:pStyle w:val="Heading8"/>
        <w:rPr>
          <w:color w:val="000000"/>
        </w:rPr>
        <w:sectPr w:rsidR="006D7A22" w:rsidSect="00FE282F">
          <w:headerReference w:type="even" r:id="rId8"/>
          <w:headerReference w:type="default" r:id="rId9"/>
          <w:footerReference w:type="even" r:id="rId10"/>
          <w:footerReference w:type="default" r:id="rId11"/>
          <w:headerReference w:type="first" r:id="rId12"/>
          <w:footerReference w:type="first" r:id="rId13"/>
          <w:footnotePr>
            <w:pos w:val="beneathText"/>
          </w:footnotePr>
          <w:type w:val="oddPage"/>
          <w:pgSz w:w="11907" w:h="16840" w:code="9"/>
          <w:pgMar w:top="1701" w:right="851" w:bottom="1134" w:left="1985" w:header="720" w:footer="482" w:gutter="0"/>
          <w:cols w:space="720"/>
          <w:vAlign w:val="both"/>
        </w:sectPr>
      </w:pPr>
    </w:p>
    <w:p w:rsidR="004060BD" w:rsidRPr="00FF37B7" w:rsidRDefault="004060BD" w:rsidP="003D65EE">
      <w:pPr>
        <w:pStyle w:val="Heading8"/>
        <w:rPr>
          <w:color w:val="000000"/>
        </w:rPr>
      </w:pPr>
      <w:r w:rsidRPr="00FF37B7">
        <w:rPr>
          <w:color w:val="000000"/>
        </w:rPr>
        <w:lastRenderedPageBreak/>
        <w:t>5.504C</w:t>
      </w:r>
    </w:p>
    <w:p w:rsidR="004060BD" w:rsidRPr="00FF37B7" w:rsidRDefault="004060BD">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496DC6" w:rsidRPr="00FF37B7" w:rsidRDefault="00496DC6" w:rsidP="00496DC6">
      <w:pPr>
        <w:pStyle w:val="Heading8"/>
      </w:pPr>
      <w:r w:rsidRPr="00FF37B7">
        <w:t>5.506A</w:t>
      </w:r>
    </w:p>
    <w:p w:rsidR="00496DC6" w:rsidRPr="00FF37B7" w:rsidRDefault="00496DC6" w:rsidP="003D65EE">
      <w:pPr>
        <w:tabs>
          <w:tab w:val="left" w:pos="567"/>
        </w:tabs>
        <w:spacing w:line="270" w:lineRule="exact"/>
      </w:pPr>
      <w:r w:rsidRPr="00FF37B7">
        <w:t xml:space="preserve">As from 5 July 2003, No. </w:t>
      </w:r>
      <w:r w:rsidRPr="00FF37B7">
        <w:rPr>
          <w:rStyle w:val="Artref"/>
          <w:b/>
          <w:bCs/>
          <w:color w:val="000000"/>
        </w:rPr>
        <w:t>5.506A</w:t>
      </w:r>
      <w:r w:rsidRPr="00FF37B7">
        <w:t xml:space="preserve"> requires </w:t>
      </w:r>
      <w:r w:rsidRPr="00FF37B7">
        <w:rPr>
          <w:color w:val="000000"/>
        </w:rPr>
        <w:t>ship earth stations</w:t>
      </w:r>
      <w:r w:rsidRPr="00FF37B7">
        <w:t xml:space="preserve"> in</w:t>
      </w:r>
      <w:r w:rsidRPr="00FF37B7">
        <w:rPr>
          <w:color w:val="000000"/>
        </w:rPr>
        <w:t xml:space="preserve"> the frequency band 14-14.5 GHz with an e.i.r.p. greater than 21 dBW to operate under the same conditions as earth stations located on board vessels, as provided in Resolution </w:t>
      </w:r>
      <w:r w:rsidRPr="00FF37B7">
        <w:rPr>
          <w:rStyle w:val="Resref"/>
          <w:b/>
          <w:bCs/>
          <w:color w:val="000000"/>
        </w:rPr>
        <w:t>902</w:t>
      </w:r>
      <w:r w:rsidRPr="00FF37B7">
        <w:rPr>
          <w:b/>
          <w:color w:val="000000"/>
        </w:rPr>
        <w:t xml:space="preserve"> (WRC</w:t>
      </w:r>
      <w:r w:rsidRPr="00FF37B7">
        <w:rPr>
          <w:b/>
          <w:color w:val="000000"/>
        </w:rPr>
        <w:noBreakHyphen/>
        <w:t>03)</w:t>
      </w:r>
      <w:r w:rsidRPr="00FF37B7">
        <w:rPr>
          <w:color w:val="000000"/>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dBi when checking the compliance with the minimum ship earth station antenna diameter requirement </w:t>
      </w:r>
      <w:r w:rsidRPr="00FF37B7">
        <w:rPr>
          <w:color w:val="000000"/>
        </w:rPr>
        <w:t xml:space="preserve">(the relation between gain and diameter is derived for the lowest frequency of the band, i.e. </w:t>
      </w:r>
      <w:r w:rsidRPr="00FF37B7">
        <w:rPr>
          <w:i/>
          <w:iCs/>
          <w:color w:val="000000"/>
        </w:rPr>
        <w:t>f</w:t>
      </w:r>
      <w:r w:rsidRPr="00FF37B7">
        <w:rPr>
          <w:color w:val="000000"/>
        </w:rPr>
        <w:t> </w:t>
      </w:r>
      <w:r w:rsidRPr="00FF37B7">
        <w:rPr>
          <w:rFonts w:ascii="Tms Rmn" w:hAnsi="Tms Rmn"/>
          <w:color w:val="000000"/>
          <w:sz w:val="12"/>
        </w:rPr>
        <w:t> </w:t>
      </w:r>
      <w:r w:rsidRPr="00FF37B7">
        <w:rPr>
          <w:rFonts w:ascii="Symbol" w:hAnsi="Symbol"/>
        </w:rPr>
        <w:t></w:t>
      </w:r>
      <w:r w:rsidRPr="00FF37B7">
        <w:rPr>
          <w:color w:val="000000"/>
        </w:rPr>
        <w:t> 14 GHz, and antenna efficiency of 57.2%).</w:t>
      </w:r>
    </w:p>
    <w:p w:rsidR="004060BD" w:rsidRPr="00FF37B7" w:rsidRDefault="004060BD">
      <w:pPr>
        <w:pStyle w:val="Heading8"/>
        <w:rPr>
          <w:color w:val="000000"/>
        </w:rPr>
      </w:pPr>
      <w:r w:rsidRPr="00FF37B7">
        <w:rPr>
          <w:color w:val="000000"/>
        </w:rPr>
        <w:t>5.508A</w:t>
      </w:r>
    </w:p>
    <w:p w:rsidR="004060BD" w:rsidRPr="00FF37B7" w:rsidRDefault="004060BD">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rsidR="004060BD" w:rsidRPr="00FF37B7" w:rsidRDefault="004060BD">
      <w:pPr>
        <w:pStyle w:val="Heading8"/>
        <w:rPr>
          <w:color w:val="000000"/>
        </w:rPr>
      </w:pPr>
      <w:r w:rsidRPr="00FF37B7">
        <w:rPr>
          <w:color w:val="000000"/>
        </w:rPr>
        <w:t>5.509A</w:t>
      </w:r>
    </w:p>
    <w:p w:rsidR="004060BD" w:rsidRPr="00FF37B7" w:rsidRDefault="004060BD">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rsidR="004060BD" w:rsidRPr="00FF37B7" w:rsidRDefault="004060BD" w:rsidP="006D7A22">
      <w:pPr>
        <w:pStyle w:val="Heading8"/>
      </w:pPr>
      <w:r w:rsidRPr="00FF37B7">
        <w:t>5.</w:t>
      </w:r>
      <w:r w:rsidR="006D7A22">
        <w:t>510</w:t>
      </w:r>
    </w:p>
    <w:p w:rsidR="00A46DA2" w:rsidRPr="00A20DDD" w:rsidRDefault="00A46DA2" w:rsidP="00A46DA2">
      <w:pPr>
        <w:rPr>
          <w:sz w:val="16"/>
          <w:szCs w:val="16"/>
        </w:rPr>
      </w:pPr>
      <w:r>
        <w:rPr>
          <w:sz w:val="16"/>
          <w:szCs w:val="16"/>
        </w:rPr>
        <w:t>(ADD</w:t>
      </w:r>
      <w:r w:rsidRPr="00B5368A">
        <w:rPr>
          <w:sz w:val="16"/>
          <w:szCs w:val="16"/>
        </w:rPr>
        <w:t xml:space="preserve"> RRB0</w:t>
      </w:r>
      <w:r>
        <w:rPr>
          <w:sz w:val="16"/>
          <w:szCs w:val="16"/>
        </w:rPr>
        <w:t>9</w:t>
      </w:r>
      <w:r w:rsidRPr="00B5368A">
        <w:rPr>
          <w:sz w:val="16"/>
          <w:szCs w:val="16"/>
        </w:rPr>
        <w:t>/</w:t>
      </w:r>
      <w:r>
        <w:rPr>
          <w:sz w:val="16"/>
          <w:szCs w:val="16"/>
        </w:rPr>
        <w:t>53</w:t>
      </w:r>
      <w:r w:rsidRPr="00B5368A">
        <w:rPr>
          <w:sz w:val="16"/>
          <w:szCs w:val="16"/>
        </w:rPr>
        <w:t>)</w:t>
      </w:r>
    </w:p>
    <w:p w:rsidR="006D7A22" w:rsidRDefault="006D7A22" w:rsidP="002B1B81">
      <w:r>
        <w:t>1</w:t>
      </w:r>
      <w:r>
        <w:tab/>
        <w:t xml:space="preserve">Provision No. </w:t>
      </w:r>
      <w:r w:rsidRPr="006D7A22">
        <w:rPr>
          <w:b/>
          <w:bCs/>
        </w:rPr>
        <w:t>5.510</w:t>
      </w:r>
      <w:r>
        <w:t xml:space="preserve"> limits the use of the band 14.5-14.8 GHz by the fixed-satellite service (FSS) (Earth to-space) to feeder-links for the broadcasting-satellite service (BSS) for countries outside Europe, which means that such use is authorized in Region 2. This allocation was made at WARC-79 with the view to provide feeder-links to the 12 GHz broadcasting-satellite </w:t>
      </w:r>
      <w:r w:rsidRPr="006D7A22">
        <w:rPr>
          <w:color w:val="000000"/>
        </w:rPr>
        <w:t>service</w:t>
      </w:r>
      <w:r>
        <w:t xml:space="preserve"> for the three Regions. Article </w:t>
      </w:r>
      <w:r w:rsidRPr="00A46DA2">
        <w:t>2</w:t>
      </w:r>
      <w:r>
        <w:t xml:space="preserve"> of </w:t>
      </w:r>
      <w:r w:rsidRPr="006D7A22">
        <w:t>Appendix</w:t>
      </w:r>
      <w:r>
        <w:rPr>
          <w:b/>
          <w:bCs/>
        </w:rPr>
        <w:t xml:space="preserve"> </w:t>
      </w:r>
      <w:r w:rsidRPr="006D7A22">
        <w:rPr>
          <w:b/>
          <w:bCs/>
        </w:rPr>
        <w:t>30A</w:t>
      </w:r>
      <w:r>
        <w:t xml:space="preserve"> indicates that the provisions of this Appendix applies to FSS feeder links in the band 14.5-14.8 GHz in Region</w:t>
      </w:r>
      <w:r w:rsidR="002B1B81">
        <w:t>s</w:t>
      </w:r>
      <w:r>
        <w:t xml:space="preserve"> 1 and 3 for the BSS in Regions 1 and 3, but there is no mention of the same application in Region 2. Articles </w:t>
      </w:r>
      <w:r w:rsidRPr="00A46DA2">
        <w:t>4</w:t>
      </w:r>
      <w:r>
        <w:t xml:space="preserve"> and </w:t>
      </w:r>
      <w:r w:rsidRPr="00A46DA2">
        <w:t>7</w:t>
      </w:r>
      <w:r>
        <w:t xml:space="preserve"> of </w:t>
      </w:r>
      <w:r w:rsidRPr="006D7A22">
        <w:t>Appendix</w:t>
      </w:r>
      <w:r w:rsidRPr="006D7A22">
        <w:rPr>
          <w:b/>
          <w:bCs/>
        </w:rPr>
        <w:t xml:space="preserve"> 30A</w:t>
      </w:r>
      <w:r>
        <w:t xml:space="preserve"> do not include the regulatory procedures to deal with the possible sharing situation between FSS feeder-link networks for the BSS in Region 2 and the Regions 1 and 3 BSS feeder-link Plan and List (outside Europe) in the 14.5-14.8 GHz band.</w:t>
      </w:r>
    </w:p>
    <w:p w:rsidR="005D0D07" w:rsidRDefault="005D0D07" w:rsidP="005D0D07"/>
    <w:p w:rsidR="005D0D07" w:rsidRDefault="005D0D07" w:rsidP="005D0D07"/>
    <w:p w:rsidR="005D0D07" w:rsidRPr="005D0D07" w:rsidRDefault="005D0D07" w:rsidP="005D0D07">
      <w:pPr>
        <w:sectPr w:rsidR="005D0D07" w:rsidRPr="005D0D07" w:rsidSect="006D7A22">
          <w:headerReference w:type="default" r:id="rId14"/>
          <w:footnotePr>
            <w:pos w:val="beneathText"/>
          </w:footnotePr>
          <w:pgSz w:w="11907" w:h="16840" w:code="9"/>
          <w:pgMar w:top="1701" w:right="851" w:bottom="1134" w:left="1985" w:header="720" w:footer="482" w:gutter="0"/>
          <w:cols w:space="720"/>
          <w:vAlign w:val="both"/>
        </w:sectPr>
      </w:pPr>
    </w:p>
    <w:p w:rsidR="006D7A22" w:rsidRPr="006D7A22" w:rsidRDefault="006D7A22" w:rsidP="00A46DA2">
      <w:pPr>
        <w:rPr>
          <w:color w:val="000000"/>
        </w:rPr>
      </w:pPr>
      <w:r w:rsidRPr="006D7A22">
        <w:rPr>
          <w:color w:val="000000"/>
        </w:rPr>
        <w:lastRenderedPageBreak/>
        <w:t>2</w:t>
      </w:r>
      <w:r w:rsidRPr="006D7A22">
        <w:rPr>
          <w:color w:val="000000"/>
        </w:rPr>
        <w:tab/>
        <w:t>Taking account of the above context, where the utilisation of spectrum is not covered by specific procedures, and that similar existing procedures should be applicable to services having allocations with equal rights, the Board concluded that:</w:t>
      </w:r>
    </w:p>
    <w:p w:rsidR="006D7A22" w:rsidRPr="006D7A22" w:rsidRDefault="006D7A22" w:rsidP="006D7A22">
      <w:pPr>
        <w:pStyle w:val="enumlev1"/>
        <w:rPr>
          <w:color w:val="000000"/>
        </w:rPr>
      </w:pPr>
      <w:r w:rsidRPr="006D7A22">
        <w:rPr>
          <w:i/>
          <w:iCs/>
          <w:color w:val="000000"/>
        </w:rPr>
        <w:t>a)</w:t>
      </w:r>
      <w:r w:rsidRPr="006D7A22">
        <w:rPr>
          <w:color w:val="000000"/>
        </w:rPr>
        <w:tab/>
        <w:t>the use of the band 14.5-14.8 GHz for BSS feeder-links in the FSS (Earth to-space) in Region 2 is in accordance with the Table of Frequency Allocation;</w:t>
      </w:r>
    </w:p>
    <w:p w:rsidR="006D7A22" w:rsidRPr="006D7A22" w:rsidRDefault="006D7A22" w:rsidP="006D7A22">
      <w:pPr>
        <w:pStyle w:val="enumlev1"/>
        <w:rPr>
          <w:color w:val="000000"/>
        </w:rPr>
      </w:pPr>
      <w:r w:rsidRPr="006D7A22">
        <w:rPr>
          <w:i/>
          <w:iCs/>
          <w:color w:val="000000"/>
        </w:rPr>
        <w:t>b)</w:t>
      </w:r>
      <w:r w:rsidRPr="006D7A22">
        <w:rPr>
          <w:color w:val="000000"/>
        </w:rPr>
        <w:tab/>
        <w:t>coordination of a BSS feeder-link frequency assignment in the FSS (Earth-to-space) in Region 2 in the band 14.5-14.8 GHz with frequency assignments of the BSS feeder-link subje</w:t>
      </w:r>
      <w:r w:rsidR="00D62179">
        <w:rPr>
          <w:color w:val="000000"/>
        </w:rPr>
        <w:t xml:space="preserve">ct to a plan shall be effected </w:t>
      </w:r>
      <w:r w:rsidRPr="006D7A22">
        <w:rPr>
          <w:color w:val="000000"/>
        </w:rPr>
        <w:t xml:space="preserve">using the provision of Section I of Article </w:t>
      </w:r>
      <w:r w:rsidRPr="00A46DA2">
        <w:rPr>
          <w:color w:val="000000"/>
        </w:rPr>
        <w:t>7</w:t>
      </w:r>
      <w:r w:rsidRPr="006D7A22">
        <w:rPr>
          <w:color w:val="000000"/>
        </w:rPr>
        <w:t xml:space="preserve"> of Appendix </w:t>
      </w:r>
      <w:r w:rsidRPr="006D7A22">
        <w:rPr>
          <w:b/>
          <w:bCs/>
          <w:color w:val="000000"/>
        </w:rPr>
        <w:t>30A</w:t>
      </w:r>
      <w:r w:rsidRPr="006D7A22">
        <w:rPr>
          <w:color w:val="000000"/>
        </w:rPr>
        <w:t>; and,</w:t>
      </w:r>
    </w:p>
    <w:p w:rsidR="006D7A22" w:rsidRDefault="006D7A22" w:rsidP="006D7A22">
      <w:pPr>
        <w:pStyle w:val="enumlev1"/>
      </w:pPr>
      <w:r w:rsidRPr="006D7A22">
        <w:rPr>
          <w:i/>
          <w:iCs/>
        </w:rPr>
        <w:t>c)</w:t>
      </w:r>
      <w:r w:rsidRPr="006D7A22">
        <w:tab/>
        <w:t xml:space="preserve">coordination of a frequency assignment to be included in  the Regions 1 and 3 feeder-link list with BSS feeder-link frequency assignments in the FSS (Earth-to-space) in Region 2 in the band 14.5-14.8 GHz shall be effected using  Appendix </w:t>
      </w:r>
      <w:r w:rsidRPr="006D7A22">
        <w:rPr>
          <w:b/>
          <w:bCs/>
        </w:rPr>
        <w:t>30A</w:t>
      </w:r>
      <w:r w:rsidRPr="006D7A22">
        <w:t xml:space="preserve"> § 4.1.1d).</w:t>
      </w:r>
    </w:p>
    <w:p w:rsidR="006D7A22" w:rsidRPr="00FF37B7" w:rsidRDefault="006D7A22" w:rsidP="006D7A22">
      <w:pPr>
        <w:pStyle w:val="Heading8"/>
      </w:pPr>
      <w:r w:rsidRPr="00FF37B7">
        <w:t>5.523A</w:t>
      </w:r>
    </w:p>
    <w:p w:rsidR="006D7A22" w:rsidRPr="00FF37B7" w:rsidRDefault="006D7A22" w:rsidP="006D7A22">
      <w:pPr>
        <w:rPr>
          <w:sz w:val="16"/>
          <w:szCs w:val="16"/>
        </w:rPr>
      </w:pPr>
      <w:r w:rsidRPr="00FF37B7">
        <w:rPr>
          <w:color w:val="000000"/>
        </w:rPr>
        <w:t>Provision No. </w:t>
      </w:r>
      <w:r w:rsidRPr="00FF37B7">
        <w:rPr>
          <w:rStyle w:val="Artref"/>
          <w:b/>
          <w:bCs/>
          <w:color w:val="000000"/>
        </w:rPr>
        <w:t>5.523A</w:t>
      </w:r>
      <w:r w:rsidRPr="00FF37B7">
        <w:rPr>
          <w:color w:val="000000"/>
        </w:rPr>
        <w:t xml:space="preserve"> obliges administrations which have communicated their GSO satellite systems in the bands 18.8-19.3 GHz and 28.6-29.1 GHz to the Bureau, prior to 18 November 1995, to “</w:t>
      </w:r>
      <w:r w:rsidRPr="00FF37B7">
        <w:rPr>
          <w:i/>
          <w:color w:val="000000"/>
        </w:rPr>
        <w:t>cooperate to the maximum extent possible</w:t>
      </w:r>
      <w:r w:rsidRPr="00FF37B7">
        <w:rPr>
          <w:color w:val="000000"/>
        </w:rPr>
        <w:t xml:space="preserve"> to coordinate pursuant to No. </w:t>
      </w:r>
      <w:r w:rsidRPr="00FF37B7">
        <w:rPr>
          <w:rStyle w:val="Artref"/>
          <w:b/>
          <w:bCs/>
          <w:color w:val="000000"/>
        </w:rPr>
        <w:t>9.11A</w:t>
      </w:r>
      <w:r w:rsidRPr="00FF37B7">
        <w:rPr>
          <w:color w:val="000000"/>
        </w:rPr>
        <w:t xml:space="preserve"> with non-geostationary-satellite networks for which notification information has been received by the Bureau prior to that date, with a view to reaching results acceptable to all the parties concerned”. Since there is no basis on which the Bureau could formulate a regulatory finding in this respect, the Board decided on the following course of action:</w:t>
      </w:r>
    </w:p>
    <w:p w:rsidR="006D7A22" w:rsidRPr="00FF37B7" w:rsidRDefault="006D7A22" w:rsidP="006D7A22">
      <w:pPr>
        <w:rPr>
          <w:color w:val="000000"/>
        </w:rPr>
      </w:pPr>
      <w:r w:rsidRPr="00FF37B7">
        <w:rPr>
          <w:color w:val="000000"/>
        </w:rPr>
        <w:t>Administration(s) responsible for the GSO satellite network, when notifying the assignments to the Bureau, shall include a statement indicating that the obligation “shall cooperate to the maximum extent possible” referred to in this provision has been fulfilled and the Bureau shall publish this information in its BR IFIC accordingly.</w:t>
      </w:r>
    </w:p>
    <w:p w:rsidR="006D7A22" w:rsidRPr="00FF37B7" w:rsidRDefault="006D7A22" w:rsidP="006D7A22">
      <w:pPr>
        <w:rPr>
          <w:color w:val="000000"/>
        </w:rPr>
      </w:pPr>
      <w:r w:rsidRPr="00FF37B7">
        <w:rPr>
          <w:color w:val="000000"/>
        </w:rPr>
        <w:t>The above Rule of Procedure was to be applied by administrations and the Radiocom</w:t>
      </w:r>
      <w:r w:rsidRPr="00FF37B7">
        <w:rPr>
          <w:color w:val="000000"/>
        </w:rPr>
        <w:softHyphen/>
        <w:t>munication Bureau as of 14 July 1998.</w:t>
      </w:r>
    </w:p>
    <w:p w:rsidR="006D7A22" w:rsidRDefault="006D7A22" w:rsidP="006D7A22"/>
    <w:p w:rsidR="006D7A22" w:rsidRDefault="006D7A22" w:rsidP="006D7A22"/>
    <w:p w:rsidR="005D0D07" w:rsidRDefault="005D0D07" w:rsidP="006D7A22"/>
    <w:p w:rsidR="006D7A22" w:rsidRDefault="006D7A22" w:rsidP="006D7A22"/>
    <w:p w:rsidR="006D7A22" w:rsidRDefault="006D7A22" w:rsidP="006D7A22"/>
    <w:p w:rsidR="006D7A22" w:rsidRPr="006D7A22" w:rsidRDefault="006D7A22" w:rsidP="006D7A22">
      <w:pPr>
        <w:sectPr w:rsidR="006D7A22" w:rsidRPr="006D7A22" w:rsidSect="006D7A22">
          <w:headerReference w:type="even" r:id="rId15"/>
          <w:footnotePr>
            <w:pos w:val="beneathText"/>
          </w:footnotePr>
          <w:pgSz w:w="11907" w:h="16840" w:code="9"/>
          <w:pgMar w:top="1701" w:right="851" w:bottom="1134" w:left="1985" w:header="720" w:footer="482" w:gutter="0"/>
          <w:cols w:space="720"/>
          <w:vAlign w:val="both"/>
        </w:sectPr>
      </w:pPr>
    </w:p>
    <w:p w:rsidR="004060BD" w:rsidRPr="00FF37B7" w:rsidRDefault="004060BD" w:rsidP="003D65EE">
      <w:pPr>
        <w:pStyle w:val="Heading8"/>
        <w:spacing w:before="0"/>
        <w:ind w:right="6804"/>
        <w:jc w:val="left"/>
        <w:rPr>
          <w:color w:val="000000"/>
        </w:rPr>
      </w:pPr>
      <w:r w:rsidRPr="00FF37B7">
        <w:rPr>
          <w:color w:val="000000"/>
        </w:rPr>
        <w:lastRenderedPageBreak/>
        <w:t>5.523B, 5.523C, 5.523D, 5.523E</w:t>
      </w:r>
    </w:p>
    <w:p w:rsidR="004060BD" w:rsidRPr="00FF37B7" w:rsidRDefault="004060BD" w:rsidP="00AB39EF">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w:t>
      </w:r>
      <w:r w:rsidR="00AB39EF" w:rsidRPr="00FF37B7">
        <w:rPr>
          <w:color w:val="000000"/>
        </w:rPr>
        <w:t>-</w:t>
      </w:r>
      <w:r w:rsidRPr="00FF37B7">
        <w:rPr>
          <w:color w:val="000000"/>
        </w:rPr>
        <w:t>19.7 GHz. The Board studied the interrelationship between the different FSS usages and also vis-à-vis the terrestrial stations. The Tables relative to 19.3-19.6 GHz and 19.6-19.7 GHz bands below contain the Board’s conclusions on this matter.</w:t>
      </w:r>
    </w:p>
    <w:p w:rsidR="00496DC6" w:rsidRPr="00FF37B7" w:rsidRDefault="00496DC6" w:rsidP="003D65EE"/>
    <w:p w:rsidR="004060BD" w:rsidRPr="00FF37B7" w:rsidRDefault="004060BD">
      <w:pPr>
        <w:pStyle w:val="TableTitle"/>
        <w:rPr>
          <w:sz w:val="24"/>
        </w:rPr>
      </w:pPr>
      <w:r w:rsidRPr="00FF37B7">
        <w:rPr>
          <w:sz w:val="24"/>
        </w:rPr>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0"/>
        <w:gridCol w:w="1437"/>
        <w:gridCol w:w="1517"/>
        <w:gridCol w:w="948"/>
        <w:gridCol w:w="1278"/>
        <w:gridCol w:w="1311"/>
        <w:gridCol w:w="1041"/>
      </w:tblGrid>
      <w:tr w:rsidR="004060BD" w:rsidRPr="00FF37B7" w:rsidTr="00FE282F">
        <w:tc>
          <w:tcPr>
            <w:tcW w:w="1540" w:type="dxa"/>
            <w:tcBorders>
              <w:bottom w:val="single" w:sz="4" w:space="0" w:color="auto"/>
            </w:tcBorders>
            <w:vAlign w:val="center"/>
          </w:tcPr>
          <w:p w:rsidR="004060BD" w:rsidRPr="00FF37B7" w:rsidRDefault="004060BD" w:rsidP="003D65EE">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Coordination request (CR): Column vis-à-vis Row (</w:t>
            </w:r>
            <w:r w:rsidRPr="00FF37B7">
              <w:rPr>
                <w:color w:val="000000"/>
                <w:sz w:val="16"/>
                <w:lang w:val="en-GB"/>
              </w:rPr>
              <w:sym w:font="Wingdings" w:char="F0E4"/>
            </w:r>
            <w:r w:rsidRPr="00FF37B7">
              <w:rPr>
                <w:color w:val="000000"/>
                <w:sz w:val="16"/>
                <w:lang w:val="en-GB"/>
              </w:rPr>
              <w:t>)</w:t>
            </w:r>
          </w:p>
        </w:tc>
        <w:tc>
          <w:tcPr>
            <w:tcW w:w="1437" w:type="dxa"/>
            <w:tcBorders>
              <w:bottom w:val="single" w:sz="4" w:space="0" w:color="auto"/>
            </w:tcBorders>
            <w:vAlign w:val="center"/>
          </w:tcPr>
          <w:p w:rsidR="004060BD" w:rsidRPr="00FF37B7" w:rsidRDefault="004060BD" w:rsidP="003D65EE">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rsidR="004060BD" w:rsidRPr="00FF37B7" w:rsidRDefault="004060BD" w:rsidP="003D65EE">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rsidR="004060BD" w:rsidRPr="00FF37B7" w:rsidRDefault="004060BD" w:rsidP="003D65EE">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rsidR="004060BD" w:rsidRPr="00FF37B7" w:rsidRDefault="004060BD" w:rsidP="003D65EE">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rsidR="004060BD" w:rsidRPr="00FF37B7" w:rsidRDefault="004060BD" w:rsidP="003D65EE">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rsidR="004060BD" w:rsidRPr="00FF37B7" w:rsidRDefault="004060BD" w:rsidP="003D65EE">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4060BD" w:rsidRPr="00FF37B7" w:rsidTr="00FE282F">
        <w:tc>
          <w:tcPr>
            <w:tcW w:w="1540" w:type="dxa"/>
            <w:tcBorders>
              <w:bottom w:val="dotted" w:sz="4" w:space="0" w:color="auto"/>
            </w:tcBorders>
          </w:tcPr>
          <w:p w:rsidR="004060BD" w:rsidRPr="00FF37B7" w:rsidRDefault="004060BD" w:rsidP="003D65EE">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4060BD" w:rsidRPr="00FF37B7" w:rsidTr="00FE282F">
        <w:tc>
          <w:tcPr>
            <w:tcW w:w="1540" w:type="dxa"/>
            <w:tcBorders>
              <w:top w:val="dotted"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4060BD" w:rsidRPr="00FF37B7" w:rsidTr="003D65EE">
        <w:tc>
          <w:tcPr>
            <w:tcW w:w="1540" w:type="dxa"/>
            <w:tcBorders>
              <w:bottom w:val="dotted"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r w:rsidRPr="00FF37B7">
              <w:rPr>
                <w:color w:val="000000"/>
                <w:sz w:val="16"/>
              </w:rPr>
              <w:br/>
              <w:t>(</w:t>
            </w:r>
            <w:r w:rsidRPr="00FF37B7">
              <w:rPr>
                <w:rStyle w:val="Artref"/>
                <w:b/>
                <w:bCs/>
                <w:color w:val="000000"/>
                <w:sz w:val="16"/>
              </w:rPr>
              <w:t>5.523D</w:t>
            </w:r>
            <w:r w:rsidRPr="00FF37B7">
              <w:rPr>
                <w:color w:val="000000"/>
                <w:sz w:val="16"/>
              </w:rPr>
              <w:t>)</w:t>
            </w:r>
          </w:p>
        </w:tc>
      </w:tr>
      <w:tr w:rsidR="004060BD" w:rsidRPr="00FF37B7" w:rsidTr="003D65EE">
        <w:tc>
          <w:tcPr>
            <w:tcW w:w="1540" w:type="dxa"/>
            <w:tcBorders>
              <w:top w:val="dotted" w:sz="4" w:space="0" w:color="auto"/>
              <w:bottom w:val="single"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4060BD" w:rsidRPr="00FF37B7" w:rsidTr="00FE282F">
        <w:tc>
          <w:tcPr>
            <w:tcW w:w="1540" w:type="dxa"/>
            <w:tcBorders>
              <w:bottom w:val="dotted"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r w:rsidRPr="00FF37B7">
              <w:rPr>
                <w:color w:val="000000"/>
                <w:sz w:val="16"/>
              </w:rPr>
              <w:br/>
              <w:t>(</w:t>
            </w:r>
            <w:r w:rsidRPr="00FF37B7">
              <w:rPr>
                <w:rStyle w:val="Artref"/>
                <w:b/>
                <w:bCs/>
                <w:color w:val="000000"/>
                <w:sz w:val="16"/>
              </w:rPr>
              <w:t>5.523D</w:t>
            </w:r>
            <w:r w:rsidRPr="00FF37B7">
              <w:rPr>
                <w:color w:val="000000"/>
                <w:sz w:val="16"/>
              </w:rPr>
              <w:t>)</w:t>
            </w:r>
          </w:p>
        </w:tc>
      </w:tr>
      <w:tr w:rsidR="004060BD" w:rsidRPr="00FF37B7" w:rsidTr="00FE282F">
        <w:tc>
          <w:tcPr>
            <w:tcW w:w="1540" w:type="dxa"/>
            <w:tcBorders>
              <w:top w:val="dotted" w:sz="4" w:space="0" w:color="auto"/>
              <w:bottom w:val="single"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4060BD" w:rsidRPr="00FF37B7" w:rsidTr="00FE282F">
        <w:tc>
          <w:tcPr>
            <w:tcW w:w="1540" w:type="dxa"/>
            <w:tcBorders>
              <w:bottom w:val="dotted"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PFD limits</w:t>
            </w:r>
          </w:p>
        </w:tc>
      </w:tr>
      <w:tr w:rsidR="004060BD" w:rsidRPr="00FF37B7" w:rsidTr="00FE282F">
        <w:tc>
          <w:tcPr>
            <w:tcW w:w="1540" w:type="dxa"/>
            <w:tcBorders>
              <w:top w:val="dotted" w:sz="4" w:space="0" w:color="auto"/>
              <w:bottom w:val="single"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rsidR="004060BD" w:rsidRPr="00FF37B7" w:rsidRDefault="004060BD" w:rsidP="00FE282F">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4060BD" w:rsidRPr="00FF37B7" w:rsidTr="00FE282F">
        <w:tc>
          <w:tcPr>
            <w:tcW w:w="1540" w:type="dxa"/>
            <w:tcBorders>
              <w:bottom w:val="dotted"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rsidR="004060BD" w:rsidRPr="00FF37B7" w:rsidRDefault="004060BD" w:rsidP="00FE282F">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t>PFD limits</w:t>
            </w:r>
          </w:p>
        </w:tc>
      </w:tr>
      <w:tr w:rsidR="004060BD" w:rsidRPr="00FF37B7" w:rsidTr="00FE282F">
        <w:tc>
          <w:tcPr>
            <w:tcW w:w="1540" w:type="dxa"/>
            <w:tcBorders>
              <w:top w:val="dotted" w:sz="4" w:space="0" w:color="auto"/>
            </w:tcBorders>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rsidR="004060BD" w:rsidRPr="00FF37B7" w:rsidRDefault="004060BD" w:rsidP="00FE282F">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4060BD" w:rsidRPr="00FF37B7" w:rsidTr="00FE282F">
        <w:tc>
          <w:tcPr>
            <w:tcW w:w="1540" w:type="dxa"/>
          </w:tcPr>
          <w:p w:rsidR="004060BD" w:rsidRPr="00FF37B7" w:rsidRDefault="004060BD" w:rsidP="00FE282F">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rsidR="004060BD" w:rsidRPr="00FF37B7" w:rsidRDefault="004060BD" w:rsidP="00FE282F">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rsidR="004060BD" w:rsidRPr="00FF37B7" w:rsidRDefault="004060BD" w:rsidP="00FE282F">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rsidR="004060BD" w:rsidRPr="00FF37B7" w:rsidRDefault="004060BD" w:rsidP="00FE282F">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rsidR="004060BD" w:rsidRPr="00FF37B7" w:rsidRDefault="004060BD" w:rsidP="00FE282F">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rsidR="004060BD" w:rsidRPr="00FF37B7" w:rsidRDefault="004060BD" w:rsidP="00FE282F">
            <w:pPr>
              <w:framePr w:hSpace="181" w:wrap="around" w:vAnchor="text" w:hAnchor="margin" w:xAlign="center" w:y="1"/>
              <w:spacing w:before="68" w:after="68"/>
              <w:jc w:val="center"/>
              <w:rPr>
                <w:i/>
                <w:iCs/>
                <w:color w:val="000000"/>
                <w:sz w:val="16"/>
              </w:rPr>
            </w:pPr>
            <w:r w:rsidRPr="00FF37B7">
              <w:rPr>
                <w:i/>
                <w:iCs/>
                <w:color w:val="000000"/>
                <w:sz w:val="16"/>
              </w:rPr>
              <w:t>---</w:t>
            </w:r>
          </w:p>
        </w:tc>
      </w:tr>
    </w:tbl>
    <w:p w:rsidR="004060BD" w:rsidRPr="00FF37B7" w:rsidRDefault="004060BD">
      <w:pPr>
        <w:pStyle w:val="TableFin"/>
        <w:rPr>
          <w:color w:val="000000"/>
        </w:rPr>
      </w:pPr>
    </w:p>
    <w:p w:rsidR="00496DC6" w:rsidRPr="00FF37B7" w:rsidRDefault="00496DC6" w:rsidP="003D65EE"/>
    <w:p w:rsidR="00496DC6" w:rsidRPr="00FF37B7" w:rsidRDefault="00496DC6" w:rsidP="003D65EE"/>
    <w:p w:rsidR="00496DC6" w:rsidRPr="00FF37B7" w:rsidRDefault="00496DC6" w:rsidP="003D65EE"/>
    <w:p w:rsidR="00496DC6" w:rsidRPr="00FF37B7" w:rsidRDefault="00496DC6" w:rsidP="003D65EE"/>
    <w:p w:rsidR="004060BD" w:rsidRPr="00FF37B7" w:rsidRDefault="004060BD" w:rsidP="003D65EE"/>
    <w:p w:rsidR="004060BD" w:rsidRPr="00FF37B7" w:rsidRDefault="004060BD">
      <w:pPr>
        <w:rPr>
          <w:color w:val="000000"/>
        </w:rPr>
        <w:sectPr w:rsidR="004060BD" w:rsidRPr="00FF37B7" w:rsidSect="005D0D07">
          <w:headerReference w:type="even" r:id="rId16"/>
          <w:footnotePr>
            <w:pos w:val="beneathText"/>
          </w:footnotePr>
          <w:pgSz w:w="11907" w:h="16840" w:code="9"/>
          <w:pgMar w:top="1701" w:right="851" w:bottom="1134" w:left="1985" w:header="720" w:footer="482" w:gutter="0"/>
          <w:pgNumType w:start="20"/>
          <w:cols w:space="720"/>
          <w:vAlign w:val="both"/>
        </w:sectPr>
      </w:pPr>
    </w:p>
    <w:p w:rsidR="004060BD" w:rsidRPr="00FF37B7" w:rsidRDefault="004060BD">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46"/>
        <w:gridCol w:w="1429"/>
        <w:gridCol w:w="1368"/>
        <w:gridCol w:w="1429"/>
        <w:gridCol w:w="1365"/>
        <w:gridCol w:w="1350"/>
        <w:gridCol w:w="1387"/>
        <w:gridCol w:w="1387"/>
        <w:gridCol w:w="1367"/>
        <w:gridCol w:w="1547"/>
      </w:tblGrid>
      <w:tr w:rsidR="004060BD" w:rsidRPr="00FF37B7">
        <w:trPr>
          <w:jc w:val="center"/>
        </w:trPr>
        <w:tc>
          <w:tcPr>
            <w:tcW w:w="1546" w:type="dxa"/>
            <w:tcBorders>
              <w:bottom w:val="single" w:sz="4" w:space="0" w:color="auto"/>
            </w:tcBorders>
          </w:tcPr>
          <w:p w:rsidR="004060BD" w:rsidRPr="00FF37B7" w:rsidRDefault="004060BD">
            <w:pPr>
              <w:pStyle w:val="TableHead"/>
              <w:rPr>
                <w:b w:val="0"/>
                <w:bCs/>
                <w:sz w:val="16"/>
              </w:rPr>
            </w:pPr>
            <w:r w:rsidRPr="00FF37B7">
              <w:rPr>
                <w:b w:val="0"/>
                <w:bCs/>
                <w:sz w:val="16"/>
              </w:rPr>
              <w:t>CR request: Column vis-à-vis Row (</w:t>
            </w:r>
            <w:r w:rsidRPr="00FF37B7">
              <w:rPr>
                <w:b w:val="0"/>
                <w:bCs/>
                <w:sz w:val="16"/>
              </w:rPr>
              <w:sym w:font="Wingdings" w:char="F0E4"/>
            </w:r>
            <w:r w:rsidRPr="00FF37B7">
              <w:rPr>
                <w:b w:val="0"/>
                <w:bCs/>
                <w:sz w:val="16"/>
              </w:rPr>
              <w:t>)</w:t>
            </w:r>
          </w:p>
        </w:tc>
        <w:tc>
          <w:tcPr>
            <w:tcW w:w="1429" w:type="dxa"/>
            <w:tcBorders>
              <w:bottom w:val="single" w:sz="4" w:space="0" w:color="auto"/>
            </w:tcBorders>
          </w:tcPr>
          <w:p w:rsidR="004060BD" w:rsidRPr="00FF37B7" w:rsidRDefault="004060BD">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rsidR="004060BD" w:rsidRPr="00FF37B7" w:rsidRDefault="004060BD">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rsidR="004060BD" w:rsidRPr="00FF37B7" w:rsidRDefault="004060BD">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rsidR="004060BD" w:rsidRPr="00FF37B7" w:rsidRDefault="004060BD">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rsidR="004060BD" w:rsidRPr="00FF37B7" w:rsidRDefault="004060BD">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4060BD" w:rsidRPr="00FF37B7" w:rsidRDefault="004060BD">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rsidR="004060BD" w:rsidRPr="00FF37B7" w:rsidRDefault="004060BD">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rsidR="004060BD" w:rsidRPr="00FF37B7" w:rsidRDefault="004060BD">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rsidR="004060BD" w:rsidRPr="00FF37B7" w:rsidRDefault="004060BD">
            <w:pPr>
              <w:pStyle w:val="TableHead"/>
              <w:rPr>
                <w:b w:val="0"/>
                <w:bCs/>
                <w:sz w:val="16"/>
              </w:rPr>
            </w:pPr>
            <w:r w:rsidRPr="00FF37B7">
              <w:rPr>
                <w:b w:val="0"/>
                <w:bCs/>
                <w:sz w:val="16"/>
              </w:rPr>
              <w:t>Terrestrial</w:t>
            </w:r>
            <w:r w:rsidRPr="00FF37B7">
              <w:rPr>
                <w:b w:val="0"/>
                <w:bCs/>
                <w:sz w:val="16"/>
              </w:rPr>
              <w:br/>
              <w:t>(RR No.)</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rsidR="004060BD" w:rsidRPr="00FF37B7" w:rsidRDefault="004060BD">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4060BD" w:rsidRPr="00FF37B7" w:rsidRDefault="004060BD">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4060BD" w:rsidRPr="00FF37B7">
        <w:trPr>
          <w:jc w:val="center"/>
        </w:trPr>
        <w:tc>
          <w:tcPr>
            <w:tcW w:w="1546" w:type="dxa"/>
            <w:tcBorders>
              <w:top w:val="dotted" w:sz="4" w:space="0" w:color="auto"/>
              <w:bottom w:val="single"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9.15</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rsidR="004060BD" w:rsidRPr="00FF37B7" w:rsidRDefault="004060BD">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rsidR="004060BD" w:rsidRPr="00FF37B7" w:rsidRDefault="004060BD">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rsidR="004060BD" w:rsidRPr="00FF37B7" w:rsidRDefault="004060BD">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4060BD" w:rsidRPr="00FF37B7">
        <w:trPr>
          <w:jc w:val="center"/>
        </w:trPr>
        <w:tc>
          <w:tcPr>
            <w:tcW w:w="1546" w:type="dxa"/>
            <w:tcBorders>
              <w:top w:val="dotted" w:sz="4" w:space="0" w:color="auto"/>
              <w:bottom w:val="single"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4060BD" w:rsidRPr="00FF37B7" w:rsidRDefault="004060BD">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9.15</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rsidR="004060BD" w:rsidRPr="00FF37B7" w:rsidRDefault="004060BD">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rsidR="004060BD" w:rsidRPr="00FF37B7" w:rsidRDefault="004060BD">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4060BD" w:rsidRPr="00FF37B7" w:rsidRDefault="004060BD">
            <w:pPr>
              <w:spacing w:before="50" w:after="50" w:line="180" w:lineRule="exact"/>
              <w:ind w:left="-57" w:right="-57"/>
              <w:jc w:val="center"/>
              <w:rPr>
                <w:color w:val="000000"/>
                <w:sz w:val="16"/>
              </w:rPr>
            </w:pPr>
            <w:r w:rsidRPr="00FF37B7">
              <w:rPr>
                <w:color w:val="000000"/>
                <w:sz w:val="16"/>
              </w:rPr>
              <w:t>PFD limits (21/Section V)</w:t>
            </w:r>
            <w:r w:rsidRPr="00FF37B7">
              <w:rPr>
                <w:color w:val="000000"/>
                <w:sz w:val="16"/>
              </w:rPr>
              <w:br/>
              <w:t>(</w:t>
            </w:r>
            <w:r w:rsidRPr="00FF37B7">
              <w:rPr>
                <w:rStyle w:val="Artref"/>
                <w:b/>
                <w:bCs/>
                <w:color w:val="000000"/>
                <w:sz w:val="16"/>
              </w:rPr>
              <w:t>5.523D</w:t>
            </w:r>
            <w:r w:rsidRPr="00FF37B7">
              <w:rPr>
                <w:color w:val="000000"/>
                <w:sz w:val="16"/>
              </w:rPr>
              <w:t>)</w:t>
            </w:r>
          </w:p>
        </w:tc>
      </w:tr>
      <w:tr w:rsidR="004060BD" w:rsidRPr="00FF37B7">
        <w:trPr>
          <w:jc w:val="center"/>
        </w:trPr>
        <w:tc>
          <w:tcPr>
            <w:tcW w:w="1546" w:type="dxa"/>
            <w:tcBorders>
              <w:top w:val="dotted" w:sz="4" w:space="0" w:color="auto"/>
              <w:bottom w:val="single"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4060BD" w:rsidRPr="00FF37B7" w:rsidRDefault="004060BD">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4060BD" w:rsidRPr="00FF37B7" w:rsidRDefault="004060BD">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9.15</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rsidR="004060BD" w:rsidRPr="00FF37B7" w:rsidRDefault="004060BD">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rsidR="004060BD" w:rsidRPr="00FF37B7" w:rsidRDefault="004060BD">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rsidR="004060BD" w:rsidRPr="00FF37B7" w:rsidRDefault="004060BD">
            <w:pPr>
              <w:spacing w:before="50" w:after="50" w:line="180" w:lineRule="exact"/>
              <w:ind w:left="-57" w:right="-57"/>
              <w:jc w:val="center"/>
              <w:rPr>
                <w:color w:val="000000"/>
                <w:sz w:val="16"/>
              </w:rPr>
            </w:pPr>
            <w:r w:rsidRPr="00FF37B7">
              <w:rPr>
                <w:color w:val="000000"/>
                <w:sz w:val="16"/>
              </w:rPr>
              <w:t>PFD limits (21/Section V)</w:t>
            </w:r>
            <w:r w:rsidRPr="00FF37B7">
              <w:rPr>
                <w:color w:val="000000"/>
                <w:sz w:val="16"/>
              </w:rPr>
              <w:br/>
              <w:t>(</w:t>
            </w:r>
            <w:r w:rsidRPr="00FF37B7">
              <w:rPr>
                <w:rStyle w:val="Artref"/>
                <w:b/>
                <w:bCs/>
                <w:color w:val="000000"/>
                <w:sz w:val="16"/>
              </w:rPr>
              <w:t>5.523D</w:t>
            </w:r>
            <w:r w:rsidRPr="00FF37B7">
              <w:rPr>
                <w:color w:val="000000"/>
                <w:sz w:val="16"/>
              </w:rPr>
              <w:t>)</w:t>
            </w:r>
          </w:p>
        </w:tc>
      </w:tr>
      <w:tr w:rsidR="004060BD" w:rsidRPr="00FF37B7">
        <w:trPr>
          <w:jc w:val="center"/>
        </w:trPr>
        <w:tc>
          <w:tcPr>
            <w:tcW w:w="1546" w:type="dxa"/>
            <w:tcBorders>
              <w:top w:val="dotted" w:sz="4" w:space="0" w:color="auto"/>
              <w:bottom w:val="single"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4060BD" w:rsidRPr="00FF37B7" w:rsidRDefault="004060BD">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4060BD" w:rsidRPr="00FF37B7" w:rsidRDefault="004060BD">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9.17</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4060BD" w:rsidRPr="00FF37B7" w:rsidRDefault="004060BD">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r>
      <w:tr w:rsidR="004060BD" w:rsidRPr="00FF37B7">
        <w:trPr>
          <w:jc w:val="center"/>
        </w:trPr>
        <w:tc>
          <w:tcPr>
            <w:tcW w:w="1546" w:type="dxa"/>
            <w:tcBorders>
              <w:top w:val="dotted" w:sz="4" w:space="0" w:color="auto"/>
              <w:bottom w:val="single"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4060BD" w:rsidRPr="00FF37B7" w:rsidRDefault="004060BD">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9.17</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rsidR="004060BD" w:rsidRPr="00FF37B7" w:rsidRDefault="004060BD">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rsidR="004060BD" w:rsidRPr="00FF37B7" w:rsidRDefault="004060BD">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rsidR="004060BD" w:rsidRPr="00FF37B7" w:rsidRDefault="004060BD">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rsidR="004060BD" w:rsidRPr="00FF37B7" w:rsidRDefault="004060BD">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rsidR="004060BD" w:rsidRPr="00FF37B7" w:rsidRDefault="004060BD">
            <w:pPr>
              <w:spacing w:before="50" w:after="50" w:line="180" w:lineRule="exact"/>
              <w:ind w:left="-57" w:right="-57"/>
              <w:jc w:val="center"/>
              <w:rPr>
                <w:color w:val="000000"/>
                <w:sz w:val="16"/>
              </w:rPr>
            </w:pPr>
            <w:r w:rsidRPr="00FF37B7">
              <w:rPr>
                <w:color w:val="000000"/>
                <w:sz w:val="16"/>
              </w:rPr>
              <w:t>PFD limits (21/Section V)</w:t>
            </w:r>
          </w:p>
        </w:tc>
      </w:tr>
      <w:tr w:rsidR="004060BD" w:rsidRPr="00FF37B7">
        <w:trPr>
          <w:jc w:val="center"/>
        </w:trPr>
        <w:tc>
          <w:tcPr>
            <w:tcW w:w="1546" w:type="dxa"/>
            <w:tcBorders>
              <w:top w:val="dotted" w:sz="4" w:space="0" w:color="auto"/>
              <w:bottom w:val="single"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4060BD" w:rsidRPr="00FF37B7" w:rsidRDefault="004060BD">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rsidR="004060BD" w:rsidRPr="00FF37B7" w:rsidRDefault="004060BD">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rsidR="004060BD" w:rsidRPr="00FF37B7" w:rsidRDefault="004060BD">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rsidR="004060BD" w:rsidRPr="00FF37B7" w:rsidRDefault="004060BD">
            <w:pPr>
              <w:spacing w:before="50" w:after="50" w:line="180" w:lineRule="exact"/>
              <w:jc w:val="center"/>
              <w:rPr>
                <w:rStyle w:val="Artref"/>
                <w:b/>
                <w:color w:val="000000"/>
                <w:sz w:val="16"/>
              </w:rPr>
            </w:pPr>
            <w:r w:rsidRPr="00FF37B7">
              <w:rPr>
                <w:rStyle w:val="Artref"/>
                <w:b/>
                <w:bCs/>
                <w:color w:val="000000"/>
                <w:sz w:val="16"/>
              </w:rPr>
              <w:t>9.17</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rsidR="004060BD" w:rsidRPr="00FF37B7" w:rsidRDefault="004060BD">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r>
      <w:tr w:rsidR="004060BD" w:rsidRPr="00FF37B7">
        <w:trPr>
          <w:jc w:val="center"/>
        </w:trPr>
        <w:tc>
          <w:tcPr>
            <w:tcW w:w="1546" w:type="dxa"/>
            <w:tcBorders>
              <w:top w:val="dotted" w:sz="4" w:space="0" w:color="auto"/>
              <w:bottom w:val="single"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rsidR="004060BD" w:rsidRPr="00FF37B7" w:rsidRDefault="004060BD">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9.17</w:t>
            </w:r>
          </w:p>
        </w:tc>
      </w:tr>
      <w:tr w:rsidR="004060BD" w:rsidRPr="00FF37B7">
        <w:trPr>
          <w:jc w:val="center"/>
        </w:trPr>
        <w:tc>
          <w:tcPr>
            <w:tcW w:w="1546" w:type="dxa"/>
            <w:tcBorders>
              <w:bottom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rsidR="004060BD" w:rsidRPr="00FF37B7" w:rsidRDefault="004060BD">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rsidR="004060BD" w:rsidRPr="00FF37B7" w:rsidRDefault="004060BD">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rsidR="004060BD" w:rsidRPr="00FF37B7" w:rsidRDefault="004060BD">
            <w:pPr>
              <w:spacing w:before="50" w:after="50" w:line="180" w:lineRule="exact"/>
              <w:ind w:left="-85" w:right="-85"/>
              <w:jc w:val="center"/>
              <w:rPr>
                <w:color w:val="000000"/>
                <w:sz w:val="16"/>
              </w:rPr>
            </w:pPr>
            <w:r w:rsidRPr="00FF37B7">
              <w:rPr>
                <w:color w:val="000000"/>
                <w:sz w:val="16"/>
              </w:rPr>
              <w:t>PFD limits</w:t>
            </w:r>
            <w:r w:rsidRPr="00FF37B7">
              <w:rPr>
                <w:color w:val="000000"/>
                <w:sz w:val="16"/>
              </w:rPr>
              <w:br/>
              <w:t>(21/Section V)</w:t>
            </w:r>
          </w:p>
        </w:tc>
      </w:tr>
      <w:tr w:rsidR="004060BD" w:rsidRPr="00FF37B7">
        <w:trPr>
          <w:jc w:val="center"/>
        </w:trPr>
        <w:tc>
          <w:tcPr>
            <w:tcW w:w="1546" w:type="dxa"/>
            <w:tcBorders>
              <w:top w:val="dotted" w:sz="4" w:space="0" w:color="auto"/>
            </w:tcBorders>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rsidR="004060BD" w:rsidRPr="00FF37B7" w:rsidRDefault="004060BD">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rsidR="004060BD" w:rsidRPr="00FF37B7" w:rsidRDefault="004060BD">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rsidR="004060BD" w:rsidRPr="00FF37B7" w:rsidRDefault="004060BD">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rsidR="004060BD" w:rsidRPr="00FF37B7" w:rsidRDefault="004060BD">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9.17</w:t>
            </w:r>
          </w:p>
        </w:tc>
      </w:tr>
      <w:tr w:rsidR="004060BD" w:rsidRPr="00FF37B7">
        <w:trPr>
          <w:jc w:val="center"/>
        </w:trPr>
        <w:tc>
          <w:tcPr>
            <w:tcW w:w="1546" w:type="dxa"/>
          </w:tcPr>
          <w:p w:rsidR="004060BD" w:rsidRPr="00FF37B7" w:rsidRDefault="004060BD">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rsidR="004060BD" w:rsidRPr="00FF37B7" w:rsidRDefault="004060BD">
            <w:pPr>
              <w:spacing w:before="50" w:after="50" w:line="180" w:lineRule="exact"/>
              <w:jc w:val="center"/>
              <w:rPr>
                <w:color w:val="000000"/>
                <w:sz w:val="16"/>
              </w:rPr>
            </w:pPr>
            <w:r w:rsidRPr="00FF37B7">
              <w:rPr>
                <w:color w:val="000000"/>
                <w:sz w:val="16"/>
              </w:rPr>
              <w:t>---</w:t>
            </w:r>
          </w:p>
        </w:tc>
        <w:tc>
          <w:tcPr>
            <w:tcW w:w="1368" w:type="dxa"/>
          </w:tcPr>
          <w:p w:rsidR="004060BD" w:rsidRPr="00FF37B7" w:rsidRDefault="004060BD">
            <w:pPr>
              <w:spacing w:before="50" w:after="50" w:line="180" w:lineRule="exact"/>
              <w:jc w:val="center"/>
              <w:rPr>
                <w:color w:val="000000"/>
                <w:sz w:val="16"/>
              </w:rPr>
            </w:pPr>
            <w:r w:rsidRPr="00FF37B7">
              <w:rPr>
                <w:color w:val="000000"/>
                <w:sz w:val="16"/>
              </w:rPr>
              <w:t>---</w:t>
            </w:r>
          </w:p>
        </w:tc>
        <w:tc>
          <w:tcPr>
            <w:tcW w:w="1429" w:type="dxa"/>
          </w:tcPr>
          <w:p w:rsidR="004060BD" w:rsidRPr="00FF37B7" w:rsidRDefault="004060BD">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rsidR="004060BD" w:rsidRPr="00FF37B7" w:rsidRDefault="004060BD">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rsidR="004060BD" w:rsidRPr="00FF37B7" w:rsidRDefault="004060BD">
            <w:pPr>
              <w:spacing w:before="50" w:after="50" w:line="180" w:lineRule="exact"/>
              <w:jc w:val="center"/>
              <w:rPr>
                <w:color w:val="000000"/>
                <w:sz w:val="16"/>
              </w:rPr>
            </w:pPr>
            <w:r w:rsidRPr="00FF37B7">
              <w:rPr>
                <w:color w:val="000000"/>
                <w:sz w:val="16"/>
              </w:rPr>
              <w:t>---</w:t>
            </w:r>
          </w:p>
        </w:tc>
        <w:tc>
          <w:tcPr>
            <w:tcW w:w="1387" w:type="dxa"/>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rsidR="004060BD" w:rsidRPr="00FF37B7" w:rsidRDefault="004060BD">
            <w:pPr>
              <w:spacing w:before="50" w:after="50" w:line="180" w:lineRule="exact"/>
              <w:jc w:val="center"/>
              <w:rPr>
                <w:color w:val="000000"/>
                <w:sz w:val="16"/>
              </w:rPr>
            </w:pPr>
            <w:r w:rsidRPr="00FF37B7">
              <w:rPr>
                <w:color w:val="000000"/>
                <w:sz w:val="16"/>
              </w:rPr>
              <w:t>---</w:t>
            </w:r>
          </w:p>
        </w:tc>
        <w:tc>
          <w:tcPr>
            <w:tcW w:w="1367" w:type="dxa"/>
          </w:tcPr>
          <w:p w:rsidR="004060BD" w:rsidRPr="00FF37B7" w:rsidRDefault="004060BD">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rsidR="004060BD" w:rsidRPr="00FF37B7" w:rsidRDefault="004060BD">
            <w:pPr>
              <w:spacing w:before="50" w:after="50" w:line="180" w:lineRule="exact"/>
              <w:jc w:val="center"/>
              <w:rPr>
                <w:color w:val="000000"/>
                <w:sz w:val="16"/>
              </w:rPr>
            </w:pPr>
            <w:r w:rsidRPr="00FF37B7">
              <w:rPr>
                <w:color w:val="000000"/>
                <w:sz w:val="16"/>
              </w:rPr>
              <w:t>---</w:t>
            </w:r>
          </w:p>
        </w:tc>
      </w:tr>
    </w:tbl>
    <w:p w:rsidR="004060BD" w:rsidRPr="00FF37B7" w:rsidRDefault="004060BD">
      <w:pPr>
        <w:pStyle w:val="TableFin"/>
      </w:pPr>
    </w:p>
    <w:p w:rsidR="004060BD" w:rsidRPr="00FF37B7" w:rsidRDefault="004060BD">
      <w:pPr>
        <w:rPr>
          <w:color w:val="000000"/>
        </w:rPr>
        <w:sectPr w:rsidR="004060BD" w:rsidRPr="00FF37B7" w:rsidSect="00517396">
          <w:headerReference w:type="even" r:id="rId17"/>
          <w:headerReference w:type="default" r:id="rId18"/>
          <w:footnotePr>
            <w:pos w:val="beneathText"/>
          </w:footnotePr>
          <w:type w:val="oddPage"/>
          <w:pgSz w:w="16840" w:h="11907" w:orient="landscape" w:code="9"/>
          <w:pgMar w:top="1985" w:right="1701" w:bottom="851" w:left="1134" w:header="720" w:footer="482" w:gutter="0"/>
          <w:cols w:space="720"/>
        </w:sectPr>
      </w:pPr>
    </w:p>
    <w:p w:rsidR="004060BD" w:rsidRPr="00FF37B7" w:rsidRDefault="004060BD">
      <w:pPr>
        <w:pStyle w:val="Heading8"/>
        <w:spacing w:before="0"/>
        <w:rPr>
          <w:color w:val="000000"/>
        </w:rPr>
      </w:pPr>
      <w:r w:rsidRPr="00FF37B7">
        <w:rPr>
          <w:color w:val="000000"/>
        </w:rPr>
        <w:lastRenderedPageBreak/>
        <w:t>5.538</w:t>
      </w:r>
    </w:p>
    <w:p w:rsidR="004060BD" w:rsidRPr="00FF37B7" w:rsidRDefault="004060BD">
      <w:pPr>
        <w:rPr>
          <w:color w:val="000000"/>
        </w:rPr>
      </w:pPr>
      <w:r w:rsidRPr="00FF37B7">
        <w:rPr>
          <w:color w:val="000000"/>
        </w:rPr>
        <w:t>For up-link power control beacons, this provision sets an e.i.r.p. limit “in the direction of adjacent satellites on the geostationary-satellite orbit”.</w:t>
      </w:r>
    </w:p>
    <w:p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rsidR="004060BD" w:rsidRPr="00FF37B7" w:rsidRDefault="004060BD">
      <w:pPr>
        <w:pStyle w:val="Heading8"/>
        <w:rPr>
          <w:color w:val="000000"/>
        </w:rPr>
      </w:pPr>
      <w:r w:rsidRPr="00FF37B7">
        <w:rPr>
          <w:color w:val="000000"/>
        </w:rPr>
        <w:t>5.543</w:t>
      </w:r>
    </w:p>
    <w:p w:rsidR="004060BD" w:rsidRPr="00FF37B7" w:rsidRDefault="004060BD">
      <w:pPr>
        <w:rPr>
          <w:color w:val="000000"/>
        </w:rPr>
      </w:pPr>
      <w:r w:rsidRPr="00FF37B7">
        <w:rPr>
          <w:color w:val="000000"/>
        </w:rPr>
        <w:t>The Board concluded that this provision is an additional allocation to the Earth exploration-satellite service for inter-satellite links. The use of the words “telemetry, tracking, and control purposes” leads the Board to understand that the use is limited to space operation.</w:t>
      </w:r>
    </w:p>
    <w:p w:rsidR="004060BD" w:rsidRPr="00FF37B7" w:rsidRDefault="004060BD">
      <w:pPr>
        <w:pStyle w:val="Heading8"/>
        <w:rPr>
          <w:color w:val="000000"/>
        </w:rPr>
      </w:pPr>
      <w:r w:rsidRPr="00FF37B7">
        <w:rPr>
          <w:color w:val="000000"/>
        </w:rPr>
        <w:t>5.554</w:t>
      </w:r>
    </w:p>
    <w:p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rsidR="004060BD" w:rsidRPr="00FF37B7" w:rsidRDefault="004060BD">
      <w:pPr>
        <w:pStyle w:val="Heading8"/>
        <w:rPr>
          <w:color w:val="000000"/>
        </w:rPr>
      </w:pPr>
      <w:r w:rsidRPr="00FF37B7">
        <w:rPr>
          <w:color w:val="000000"/>
        </w:rPr>
        <w:t>5.556</w:t>
      </w:r>
    </w:p>
    <w:p w:rsidR="004060BD" w:rsidRPr="00FF37B7" w:rsidRDefault="004060BD">
      <w:pPr>
        <w:rPr>
          <w:color w:val="000000"/>
        </w:rPr>
      </w:pPr>
      <w:r w:rsidRPr="00FF37B7">
        <w:rPr>
          <w:color w:val="000000"/>
        </w:rPr>
        <w:t>There is no allocation to radio astronomy in the bands listed in this provision. The Board concluded that the words “national arrangements”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rsidR="004060BD" w:rsidRPr="00FF37B7" w:rsidRDefault="004060BD"/>
    <w:p w:rsidR="004060BD" w:rsidRPr="00FF37B7" w:rsidRDefault="004060BD">
      <w:pPr>
        <w:jc w:val="center"/>
        <w:rPr>
          <w:color w:val="000000"/>
        </w:rPr>
      </w:pPr>
      <w:r w:rsidRPr="00FF37B7">
        <w:rPr>
          <w:color w:val="000000"/>
        </w:rPr>
        <w:t>____________________</w:t>
      </w:r>
    </w:p>
    <w:p w:rsidR="004060BD" w:rsidRPr="00FF37B7" w:rsidRDefault="004060BD" w:rsidP="00AB39EF"/>
    <w:p w:rsidR="004060BD" w:rsidRPr="00FF37B7" w:rsidRDefault="004060BD" w:rsidP="00AB39EF"/>
    <w:p w:rsidR="004060BD" w:rsidRPr="00FF37B7" w:rsidRDefault="004060BD" w:rsidP="00AB39EF"/>
    <w:p w:rsidR="00AB39EF" w:rsidRPr="00FF37B7" w:rsidRDefault="00AB39EF" w:rsidP="00AB39EF"/>
    <w:p w:rsidR="004060BD" w:rsidRPr="00FF37B7" w:rsidRDefault="004060BD" w:rsidP="00AB39EF">
      <w:pPr>
        <w:sectPr w:rsidR="004060BD" w:rsidRPr="00FF37B7" w:rsidSect="00517396">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rsidR="004060BD" w:rsidRPr="00FF37B7" w:rsidRDefault="004060BD" w:rsidP="00AB39EF"/>
    <w:sectPr w:rsidR="004060BD" w:rsidRPr="00FF37B7" w:rsidSect="00AB39EF">
      <w:headerReference w:type="even" r:id="rId21"/>
      <w:headerReference w:type="first" r:id="rId2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FA3" w:rsidRDefault="00BF1FA3">
      <w:r>
        <w:separator/>
      </w:r>
    </w:p>
  </w:endnote>
  <w:endnote w:type="continuationSeparator" w:id="0">
    <w:p w:rsidR="00BF1FA3" w:rsidRDefault="00BF1F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00000000" w:usb2="00000000"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A22" w:rsidRDefault="006D7A22" w:rsidP="00BA2AB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A22" w:rsidRDefault="006D7A22" w:rsidP="00BA2AB6">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E81" w:rsidRDefault="004C3E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FA3" w:rsidRDefault="00BF1FA3">
      <w:r>
        <w:rPr>
          <w:b/>
        </w:rPr>
        <w:t>_______________</w:t>
      </w:r>
    </w:p>
  </w:footnote>
  <w:footnote w:type="continuationSeparator" w:id="0">
    <w:p w:rsidR="00BF1FA3" w:rsidRDefault="00BF1FA3">
      <w:r>
        <w:continuationSeparator/>
      </w:r>
    </w:p>
  </w:footnote>
  <w:footnote w:id="1">
    <w:p w:rsidR="006D7A22" w:rsidRPr="00737C58" w:rsidRDefault="006D7A22" w:rsidP="006578FD">
      <w:pPr>
        <w:pStyle w:val="FootnoteText"/>
      </w:pPr>
      <w:r w:rsidRPr="00737C58">
        <w:rPr>
          <w:rStyle w:val="FootnoteReference"/>
        </w:rPr>
        <w:sym w:font="Symbol" w:char="F02A"/>
      </w:r>
      <w:r>
        <w:tab/>
        <w:t>The meaning of these data items is provided in the Preface to the BR International Frequency Information Circular.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6D7A22" w:rsidTr="00BA2AB6">
      <w:trPr>
        <w:cantSplit/>
      </w:trPr>
      <w:tc>
        <w:tcPr>
          <w:tcW w:w="1701" w:type="dxa"/>
          <w:tcBorders>
            <w:top w:val="single" w:sz="6" w:space="0" w:color="auto"/>
            <w:left w:val="single" w:sz="6" w:space="0" w:color="auto"/>
            <w:bottom w:val="single" w:sz="6" w:space="0" w:color="auto"/>
            <w:right w:val="single" w:sz="6" w:space="0" w:color="auto"/>
          </w:tcBorders>
        </w:tcPr>
        <w:p w:rsidR="006D7A22" w:rsidRDefault="006D7A22"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6D7A22" w:rsidRDefault="00AC64D2" w:rsidP="00D02580">
          <w:pPr>
            <w:pStyle w:val="HeaderRegProc"/>
            <w:rPr>
              <w:color w:val="000000"/>
              <w:lang w:val="en-US"/>
            </w:rPr>
          </w:pPr>
          <w:fldSimple w:instr=" DOCPROPERTY &quot;Header&quot; \* MERGEFORMAT ">
            <w:r w:rsidR="006D7A22">
              <w:rPr>
                <w:color w:val="000000"/>
                <w:lang w:val="en-US"/>
              </w:rPr>
              <w:t>AR</w:t>
            </w:r>
          </w:fldSimple>
          <w:r>
            <w:rPr>
              <w:color w:val="000000"/>
            </w:rPr>
            <w:fldChar w:fldCharType="begin"/>
          </w:r>
          <w:r w:rsidR="006D7A22">
            <w:rPr>
              <w:color w:val="000000"/>
              <w:lang w:val="en-US"/>
            </w:rPr>
            <w:instrText>styleref href2</w:instrText>
          </w:r>
          <w:r>
            <w:rPr>
              <w:color w:val="000000"/>
            </w:rPr>
            <w:fldChar w:fldCharType="separate"/>
          </w:r>
          <w:r w:rsidR="002B1B81">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rsidP="005D0D07">
          <w:pPr>
            <w:pStyle w:val="HeaderRegProc"/>
            <w:rPr>
              <w:color w:val="000000"/>
              <w:lang w:val="fr-CH"/>
            </w:rPr>
          </w:pPr>
          <w:r>
            <w:rPr>
              <w:color w:val="000000"/>
              <w:lang w:val="fr-FR"/>
            </w:rPr>
            <w:t xml:space="preserve">page </w:t>
          </w:r>
          <w:r w:rsidR="00AC64D2">
            <w:rPr>
              <w:rStyle w:val="PageNumber"/>
            </w:rPr>
            <w:fldChar w:fldCharType="begin"/>
          </w:r>
          <w:r w:rsidR="005D0D07">
            <w:rPr>
              <w:rStyle w:val="PageNumber"/>
            </w:rPr>
            <w:instrText xml:space="preserve">PAGE  </w:instrText>
          </w:r>
          <w:r w:rsidR="00AC64D2">
            <w:rPr>
              <w:rStyle w:val="PageNumber"/>
            </w:rPr>
            <w:fldChar w:fldCharType="separate"/>
          </w:r>
          <w:r w:rsidR="002B1B81">
            <w:rPr>
              <w:rStyle w:val="PageNumber"/>
              <w:noProof/>
            </w:rPr>
            <w:t>18</w:t>
          </w:r>
          <w:r w:rsidR="00AC64D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rsidP="004C3E81">
          <w:pPr>
            <w:pStyle w:val="HeaderRegProc"/>
            <w:rPr>
              <w:color w:val="000000"/>
              <w:lang w:val="fr-CH"/>
            </w:rPr>
          </w:pPr>
          <w:r>
            <w:rPr>
              <w:color w:val="000000"/>
              <w:lang w:val="fr-CH"/>
            </w:rPr>
            <w:t>rev.</w:t>
          </w:r>
          <w:r w:rsidR="004C3E81">
            <w:rPr>
              <w:color w:val="000000"/>
            </w:rPr>
            <w:t>-</w:t>
          </w:r>
        </w:p>
      </w:tc>
    </w:tr>
  </w:tbl>
  <w:p w:rsidR="006D7A22" w:rsidRPr="00BA2AB6" w:rsidRDefault="006D7A22" w:rsidP="00BA2AB6">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6D7A22">
      <w:trPr>
        <w:cantSplit/>
        <w:jc w:val="right"/>
      </w:trPr>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lang w:val="en-US"/>
            </w:rPr>
          </w:pPr>
          <w:r>
            <w:rPr>
              <w:lang w:val="en-US"/>
            </w:rPr>
            <w:t>Part A</w:t>
          </w:r>
          <w:r w:rsidR="00AC64D2">
            <w:fldChar w:fldCharType="begin"/>
          </w:r>
          <w:r>
            <w:rPr>
              <w:lang w:val="en-US"/>
            </w:rPr>
            <w:instrText>styleref href</w:instrText>
          </w:r>
          <w:r w:rsidR="00AC64D2">
            <w:fldChar w:fldCharType="separate"/>
          </w:r>
          <w:r>
            <w:rPr>
              <w:b/>
              <w:bCs w:val="0"/>
              <w:noProof/>
              <w:lang w:val="en-US"/>
            </w:rPr>
            <w:t>Error! No text of specified style in document.</w:t>
          </w:r>
          <w:r w:rsidR="00AC64D2">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AC64D2">
          <w:pPr>
            <w:pStyle w:val="HeaderRegProc"/>
            <w:rPr>
              <w:lang w:val="en-US"/>
            </w:rPr>
          </w:pPr>
          <w:fldSimple w:instr=" DOCPROPERTY &quot;Header&quot; \* MERGEFORMAT ">
            <w:r w:rsidR="006D7A22">
              <w:rPr>
                <w:lang w:val="en-US"/>
              </w:rPr>
              <w:t>AR</w:t>
            </w:r>
          </w:fldSimple>
          <w:r>
            <w:fldChar w:fldCharType="begin"/>
          </w:r>
          <w:r w:rsidR="006D7A22">
            <w:rPr>
              <w:lang w:val="en-US"/>
            </w:rPr>
            <w:instrText>styleref href2</w:instrText>
          </w:r>
          <w:r>
            <w:fldChar w:fldCharType="separate"/>
          </w:r>
          <w:r w:rsidR="006D7A22">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lang w:val="fr-CH"/>
            </w:rPr>
          </w:pPr>
          <w:r>
            <w:rPr>
              <w:lang w:val="fr-FR"/>
            </w:rPr>
            <w:t xml:space="preserve">page </w:t>
          </w:r>
          <w:r w:rsidR="00AC64D2">
            <w:rPr>
              <w:rStyle w:val="PageNumber"/>
            </w:rPr>
            <w:fldChar w:fldCharType="begin"/>
          </w:r>
          <w:r>
            <w:rPr>
              <w:rStyle w:val="PageNumber"/>
            </w:rPr>
            <w:instrText xml:space="preserve"> PAGE </w:instrText>
          </w:r>
          <w:r w:rsidR="00AC64D2">
            <w:rPr>
              <w:rStyle w:val="PageNumber"/>
            </w:rPr>
            <w:fldChar w:fldCharType="separate"/>
          </w:r>
          <w:r>
            <w:rPr>
              <w:rStyle w:val="PageNumber"/>
              <w:noProof/>
            </w:rPr>
            <w:t>23</w:t>
          </w:r>
          <w:r w:rsidR="00AC64D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lang w:val="fr-CH"/>
            </w:rPr>
          </w:pPr>
          <w:r>
            <w:rPr>
              <w:lang w:val="fr-CH"/>
            </w:rPr>
            <w:t>rev.</w:t>
          </w:r>
          <w:fldSimple w:instr=" DOCPROPERTY &quot;Header10&quot; \* MERGEFORMAT ">
            <w:r>
              <w:rPr>
                <w:lang w:val="fr-CH"/>
              </w:rPr>
              <w:t>-</w:t>
            </w:r>
          </w:fldSimple>
        </w:p>
      </w:tc>
    </w:tr>
  </w:tbl>
  <w:p w:rsidR="006D7A22" w:rsidRDefault="006D7A22">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A22" w:rsidRDefault="006D7A22"/>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A22" w:rsidRDefault="006D7A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6D7A22">
      <w:trPr>
        <w:cantSplit/>
        <w:jc w:val="right"/>
      </w:trPr>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6D7A22" w:rsidRDefault="00AC64D2">
          <w:pPr>
            <w:pStyle w:val="HeaderRegProc"/>
            <w:rPr>
              <w:color w:val="000000"/>
              <w:lang w:val="en-US"/>
            </w:rPr>
          </w:pPr>
          <w:fldSimple w:instr=" DOCPROPERTY &quot;Header&quot; \* MERGEFORMAT ">
            <w:r w:rsidR="006D7A22">
              <w:rPr>
                <w:color w:val="000000"/>
                <w:lang w:val="en-US"/>
              </w:rPr>
              <w:t>AR</w:t>
            </w:r>
          </w:fldSimple>
          <w:r>
            <w:rPr>
              <w:color w:val="000000"/>
            </w:rPr>
            <w:fldChar w:fldCharType="begin"/>
          </w:r>
          <w:r w:rsidR="006D7A22">
            <w:rPr>
              <w:color w:val="000000"/>
              <w:lang w:val="en-US"/>
            </w:rPr>
            <w:instrText>styleref href2</w:instrText>
          </w:r>
          <w:r>
            <w:rPr>
              <w:color w:val="000000"/>
            </w:rPr>
            <w:fldChar w:fldCharType="separate"/>
          </w:r>
          <w:r w:rsidR="002B1B81">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color w:val="000000"/>
              <w:lang w:val="fr-CH"/>
            </w:rPr>
          </w:pPr>
          <w:r>
            <w:rPr>
              <w:color w:val="000000"/>
              <w:lang w:val="fr-FR"/>
            </w:rPr>
            <w:t xml:space="preserve">page </w:t>
          </w:r>
          <w:r w:rsidR="00AC64D2">
            <w:rPr>
              <w:rStyle w:val="PageNumber"/>
            </w:rPr>
            <w:fldChar w:fldCharType="begin"/>
          </w:r>
          <w:r>
            <w:rPr>
              <w:rStyle w:val="PageNumber"/>
            </w:rPr>
            <w:instrText xml:space="preserve">PAGE  </w:instrText>
          </w:r>
          <w:r w:rsidR="00AC64D2">
            <w:rPr>
              <w:rStyle w:val="PageNumber"/>
            </w:rPr>
            <w:fldChar w:fldCharType="separate"/>
          </w:r>
          <w:r w:rsidR="002B1B81">
            <w:rPr>
              <w:rStyle w:val="PageNumber"/>
              <w:noProof/>
            </w:rPr>
            <w:t>17</w:t>
          </w:r>
          <w:r w:rsidR="00AC64D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rsidP="004C3E81">
          <w:pPr>
            <w:pStyle w:val="HeaderRegProc"/>
            <w:rPr>
              <w:color w:val="000000"/>
              <w:lang w:val="fr-CH"/>
            </w:rPr>
          </w:pPr>
          <w:r>
            <w:rPr>
              <w:color w:val="000000"/>
              <w:lang w:val="fr-CH"/>
            </w:rPr>
            <w:t>rev.</w:t>
          </w:r>
          <w:r w:rsidR="004C3E81">
            <w:rPr>
              <w:color w:val="000000"/>
            </w:rPr>
            <w:t>-</w:t>
          </w:r>
        </w:p>
      </w:tc>
    </w:tr>
  </w:tbl>
  <w:p w:rsidR="006D7A22" w:rsidRDefault="006D7A22">
    <w:pPr>
      <w:pStyle w:val="Header"/>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E81" w:rsidRDefault="004C3E8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5D0D07">
      <w:trPr>
        <w:cantSplit/>
        <w:jc w:val="right"/>
      </w:trPr>
      <w:tc>
        <w:tcPr>
          <w:tcW w:w="1701" w:type="dxa"/>
          <w:tcBorders>
            <w:top w:val="single" w:sz="6" w:space="0" w:color="auto"/>
            <w:left w:val="single" w:sz="6" w:space="0" w:color="auto"/>
            <w:bottom w:val="single" w:sz="6" w:space="0" w:color="auto"/>
            <w:right w:val="single" w:sz="6" w:space="0" w:color="auto"/>
          </w:tcBorders>
        </w:tcPr>
        <w:p w:rsidR="005D0D07" w:rsidRDefault="005D0D0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D0D07" w:rsidRDefault="00AC64D2">
          <w:pPr>
            <w:pStyle w:val="HeaderRegProc"/>
            <w:rPr>
              <w:color w:val="000000"/>
              <w:lang w:val="en-US"/>
            </w:rPr>
          </w:pPr>
          <w:fldSimple w:instr=" DOCPROPERTY &quot;Header&quot; \* MERGEFORMAT ">
            <w:r w:rsidR="005D0D07">
              <w:rPr>
                <w:color w:val="000000"/>
                <w:lang w:val="en-US"/>
              </w:rPr>
              <w:t>AR</w:t>
            </w:r>
          </w:fldSimple>
          <w:r>
            <w:rPr>
              <w:color w:val="000000"/>
            </w:rPr>
            <w:fldChar w:fldCharType="begin"/>
          </w:r>
          <w:r w:rsidR="005D0D07">
            <w:rPr>
              <w:color w:val="000000"/>
              <w:lang w:val="en-US"/>
            </w:rPr>
            <w:instrText>styleref href2</w:instrText>
          </w:r>
          <w:r>
            <w:rPr>
              <w:color w:val="000000"/>
            </w:rPr>
            <w:fldChar w:fldCharType="separate"/>
          </w:r>
          <w:r w:rsidR="002B1B81">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5D0D07" w:rsidRDefault="005D0D07">
          <w:pPr>
            <w:pStyle w:val="HeaderRegProc"/>
            <w:rPr>
              <w:color w:val="000000"/>
              <w:lang w:val="fr-CH"/>
            </w:rPr>
          </w:pPr>
          <w:r>
            <w:rPr>
              <w:color w:val="000000"/>
              <w:lang w:val="fr-FR"/>
            </w:rPr>
            <w:t xml:space="preserve">page </w:t>
          </w:r>
          <w:r w:rsidR="00AC64D2">
            <w:rPr>
              <w:rStyle w:val="PageNumber"/>
            </w:rPr>
            <w:fldChar w:fldCharType="begin"/>
          </w:r>
          <w:r>
            <w:rPr>
              <w:rStyle w:val="PageNumber"/>
            </w:rPr>
            <w:instrText xml:space="preserve">PAGE  </w:instrText>
          </w:r>
          <w:r w:rsidR="00AC64D2">
            <w:rPr>
              <w:rStyle w:val="PageNumber"/>
            </w:rPr>
            <w:fldChar w:fldCharType="separate"/>
          </w:r>
          <w:r w:rsidR="002B1B81">
            <w:rPr>
              <w:rStyle w:val="PageNumber"/>
              <w:noProof/>
            </w:rPr>
            <w:t>19</w:t>
          </w:r>
          <w:r w:rsidR="00AC64D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D0D07" w:rsidRDefault="005D0D07" w:rsidP="005D0D07">
          <w:pPr>
            <w:pStyle w:val="HeaderRegProc"/>
            <w:rPr>
              <w:color w:val="000000"/>
              <w:lang w:val="fr-CH"/>
            </w:rPr>
          </w:pPr>
          <w:r>
            <w:rPr>
              <w:color w:val="000000"/>
              <w:lang w:val="fr-CH"/>
            </w:rPr>
            <w:t>rev.</w:t>
          </w:r>
          <w:r>
            <w:rPr>
              <w:color w:val="000000"/>
            </w:rPr>
            <w:t>1</w:t>
          </w:r>
        </w:p>
      </w:tc>
    </w:tr>
  </w:tbl>
  <w:p w:rsidR="005D0D07" w:rsidRDefault="005D0D07">
    <w:pPr>
      <w:pStyle w:val="Header"/>
      <w:rPr>
        <w:color w:val="00000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5D0D07" w:rsidTr="00BA2AB6">
      <w:trPr>
        <w:cantSplit/>
      </w:trPr>
      <w:tc>
        <w:tcPr>
          <w:tcW w:w="1701" w:type="dxa"/>
          <w:tcBorders>
            <w:top w:val="single" w:sz="6" w:space="0" w:color="auto"/>
            <w:left w:val="single" w:sz="6" w:space="0" w:color="auto"/>
            <w:bottom w:val="single" w:sz="6" w:space="0" w:color="auto"/>
            <w:right w:val="single" w:sz="6" w:space="0" w:color="auto"/>
          </w:tcBorders>
        </w:tcPr>
        <w:p w:rsidR="005D0D07" w:rsidRDefault="005D0D07"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D0D07" w:rsidRDefault="00AC64D2" w:rsidP="00D02580">
          <w:pPr>
            <w:pStyle w:val="HeaderRegProc"/>
            <w:rPr>
              <w:color w:val="000000"/>
              <w:lang w:val="en-US"/>
            </w:rPr>
          </w:pPr>
          <w:fldSimple w:instr=" DOCPROPERTY &quot;Header&quot; \* MERGEFORMAT ">
            <w:r w:rsidR="005D0D07">
              <w:rPr>
                <w:color w:val="000000"/>
                <w:lang w:val="en-US"/>
              </w:rPr>
              <w:t>AR</w:t>
            </w:r>
          </w:fldSimple>
          <w:r>
            <w:rPr>
              <w:color w:val="000000"/>
            </w:rPr>
            <w:fldChar w:fldCharType="begin"/>
          </w:r>
          <w:r w:rsidR="005D0D07">
            <w:rPr>
              <w:color w:val="000000"/>
              <w:lang w:val="en-US"/>
            </w:rPr>
            <w:instrText>styleref href2</w:instrText>
          </w:r>
          <w:r>
            <w:rPr>
              <w:color w:val="000000"/>
            </w:rPr>
            <w:fldChar w:fldCharType="separate"/>
          </w:r>
          <w:r w:rsidR="002B1B81">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5D0D07" w:rsidRDefault="005D0D07" w:rsidP="005D0D07">
          <w:pPr>
            <w:pStyle w:val="HeaderRegProc"/>
            <w:rPr>
              <w:color w:val="000000"/>
              <w:lang w:val="fr-CH"/>
            </w:rPr>
          </w:pPr>
          <w:r>
            <w:rPr>
              <w:color w:val="000000"/>
              <w:lang w:val="fr-FR"/>
            </w:rPr>
            <w:t xml:space="preserve">page </w:t>
          </w:r>
          <w:r>
            <w:rPr>
              <w:rStyle w:val="PageNumber"/>
            </w:rPr>
            <w:t>19</w:t>
          </w:r>
          <w:r w:rsidRPr="005D0D07">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5D0D07" w:rsidRDefault="005D0D07" w:rsidP="005D0D07">
          <w:pPr>
            <w:pStyle w:val="HeaderRegProc"/>
            <w:rPr>
              <w:color w:val="000000"/>
              <w:lang w:val="fr-CH"/>
            </w:rPr>
          </w:pPr>
          <w:r>
            <w:rPr>
              <w:color w:val="000000"/>
              <w:lang w:val="fr-CH"/>
            </w:rPr>
            <w:t>rev.</w:t>
          </w:r>
          <w:r>
            <w:rPr>
              <w:color w:val="000000"/>
            </w:rPr>
            <w:t>1</w:t>
          </w:r>
        </w:p>
      </w:tc>
    </w:tr>
  </w:tbl>
  <w:p w:rsidR="005D0D07" w:rsidRPr="00BA2AB6" w:rsidRDefault="005D0D07" w:rsidP="00BA2AB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5D0D07" w:rsidTr="00BA2AB6">
      <w:trPr>
        <w:cantSplit/>
      </w:trPr>
      <w:tc>
        <w:tcPr>
          <w:tcW w:w="1701" w:type="dxa"/>
          <w:tcBorders>
            <w:top w:val="single" w:sz="6" w:space="0" w:color="auto"/>
            <w:left w:val="single" w:sz="6" w:space="0" w:color="auto"/>
            <w:bottom w:val="single" w:sz="6" w:space="0" w:color="auto"/>
            <w:right w:val="single" w:sz="6" w:space="0" w:color="auto"/>
          </w:tcBorders>
        </w:tcPr>
        <w:p w:rsidR="005D0D07" w:rsidRDefault="005D0D07"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D0D07" w:rsidRDefault="00AC64D2" w:rsidP="00D02580">
          <w:pPr>
            <w:pStyle w:val="HeaderRegProc"/>
            <w:rPr>
              <w:color w:val="000000"/>
              <w:lang w:val="en-US"/>
            </w:rPr>
          </w:pPr>
          <w:fldSimple w:instr=" DOCPROPERTY &quot;Header&quot; \* MERGEFORMAT ">
            <w:r w:rsidR="005D0D07">
              <w:rPr>
                <w:color w:val="000000"/>
                <w:lang w:val="en-US"/>
              </w:rPr>
              <w:t>AR</w:t>
            </w:r>
          </w:fldSimple>
          <w:r>
            <w:rPr>
              <w:color w:val="000000"/>
            </w:rPr>
            <w:fldChar w:fldCharType="begin"/>
          </w:r>
          <w:r w:rsidR="005D0D07">
            <w:rPr>
              <w:color w:val="000000"/>
              <w:lang w:val="en-US"/>
            </w:rPr>
            <w:instrText>styleref href2</w:instrText>
          </w:r>
          <w:r>
            <w:rPr>
              <w:color w:val="000000"/>
            </w:rPr>
            <w:fldChar w:fldCharType="separate"/>
          </w:r>
          <w:r w:rsidR="002B1B81">
            <w:rPr>
              <w:noProof/>
              <w:color w:val="000000"/>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5D0D07" w:rsidRDefault="005D0D07" w:rsidP="005D0D07">
          <w:pPr>
            <w:pStyle w:val="HeaderRegProc"/>
            <w:rPr>
              <w:color w:val="000000"/>
              <w:lang w:val="fr-CH"/>
            </w:rPr>
          </w:pPr>
          <w:r>
            <w:rPr>
              <w:color w:val="000000"/>
              <w:lang w:val="fr-FR"/>
            </w:rPr>
            <w:t xml:space="preserve">page </w:t>
          </w:r>
          <w:r>
            <w:rPr>
              <w:rStyle w:val="PageNumber"/>
            </w:rPr>
            <w:t>20</w:t>
          </w:r>
        </w:p>
      </w:tc>
      <w:tc>
        <w:tcPr>
          <w:tcW w:w="1701" w:type="dxa"/>
          <w:tcBorders>
            <w:top w:val="single" w:sz="6" w:space="0" w:color="auto"/>
            <w:left w:val="single" w:sz="6" w:space="0" w:color="auto"/>
            <w:bottom w:val="single" w:sz="6" w:space="0" w:color="auto"/>
            <w:right w:val="single" w:sz="6" w:space="0" w:color="auto"/>
          </w:tcBorders>
        </w:tcPr>
        <w:p w:rsidR="005D0D07" w:rsidRDefault="005D0D07" w:rsidP="00144D92">
          <w:pPr>
            <w:pStyle w:val="HeaderRegProc"/>
            <w:rPr>
              <w:color w:val="000000"/>
              <w:lang w:val="fr-CH"/>
            </w:rPr>
          </w:pPr>
          <w:r>
            <w:rPr>
              <w:color w:val="000000"/>
              <w:lang w:val="fr-CH"/>
            </w:rPr>
            <w:t>rev.</w:t>
          </w:r>
          <w:r w:rsidR="00144D92">
            <w:rPr>
              <w:color w:val="000000"/>
            </w:rPr>
            <w:t>1</w:t>
          </w:r>
        </w:p>
      </w:tc>
    </w:tr>
  </w:tbl>
  <w:p w:rsidR="005D0D07" w:rsidRPr="00BA2AB6" w:rsidRDefault="005D0D07" w:rsidP="00BA2AB6">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A22" w:rsidRDefault="00AC64D2">
    <w:pPr>
      <w:pStyle w:val="Header"/>
      <w:rPr>
        <w:color w:val="000000"/>
      </w:rPr>
    </w:pPr>
    <w:r w:rsidRPr="00AC64D2">
      <w:rPr>
        <w:noProof/>
        <w:color w:val="000000"/>
        <w:sz w:val="20"/>
        <w:lang w:val="en-US"/>
      </w:rPr>
      <w:pict>
        <v:shapetype id="_x0000_t202" coordsize="21600,21600" o:spt="202" path="m,l,21600r21600,l21600,xe">
          <v:stroke joinstyle="miter"/>
          <v:path gradientshapeok="t" o:connecttype="rect"/>
        </v:shapetype>
        <v:shape id="_x0000_s1026" type="#_x0000_t202" style="position:absolute;left:0;text-align:left;margin-left:714.1pt;margin-top:5.2pt;width:36pt;height:450.7pt;z-index:251658240" stroked="f" strokecolor="red">
          <v:textbox style="mso-next-textbox:#_x0000_s1026"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tblPr>
                <w:tblGrid>
                  <w:gridCol w:w="255"/>
                </w:tblGrid>
                <w:tr w:rsidR="006D7A22">
                  <w:trPr>
                    <w:cantSplit/>
                    <w:trHeight w:hRule="exact" w:val="1605"/>
                    <w:jc w:val="right"/>
                  </w:trPr>
                  <w:tc>
                    <w:tcPr>
                      <w:tcW w:w="255" w:type="dxa"/>
                      <w:textDirection w:val="tbRl"/>
                    </w:tcPr>
                    <w:p w:rsidR="006D7A22" w:rsidRDefault="006D7A22">
                      <w:pPr>
                        <w:pStyle w:val="HeaderRegProc"/>
                        <w:spacing w:before="0"/>
                        <w:ind w:left="0"/>
                        <w:rPr>
                          <w:lang w:val="en-US"/>
                        </w:rPr>
                      </w:pPr>
                      <w:r>
                        <w:rPr>
                          <w:lang w:val="en-US"/>
                        </w:rPr>
                        <w:t>Part A1</w:t>
                      </w:r>
                    </w:p>
                  </w:tc>
                </w:tr>
                <w:tr w:rsidR="006D7A22">
                  <w:trPr>
                    <w:cantSplit/>
                    <w:trHeight w:hRule="exact" w:val="1605"/>
                    <w:jc w:val="right"/>
                  </w:trPr>
                  <w:tc>
                    <w:tcPr>
                      <w:tcW w:w="255" w:type="dxa"/>
                      <w:textDirection w:val="tbRl"/>
                    </w:tcPr>
                    <w:p w:rsidR="006D7A22" w:rsidRDefault="00AC64D2">
                      <w:pPr>
                        <w:pStyle w:val="HeaderRegProc"/>
                        <w:spacing w:before="0"/>
                        <w:ind w:left="0"/>
                        <w:rPr>
                          <w:lang w:val="fr-CH"/>
                        </w:rPr>
                      </w:pPr>
                      <w:fldSimple w:instr=" DOCPROPERTY &quot;Header&quot; \* MERGEFORMAT ">
                        <w:r w:rsidR="006D7A22">
                          <w:rPr>
                            <w:lang w:val="fr-CH"/>
                          </w:rPr>
                          <w:t>AR</w:t>
                        </w:r>
                      </w:fldSimple>
                      <w:r>
                        <w:fldChar w:fldCharType="begin"/>
                      </w:r>
                      <w:r w:rsidR="006D7A22">
                        <w:rPr>
                          <w:lang w:val="fr-CH"/>
                        </w:rPr>
                        <w:instrText>styleref href2</w:instrText>
                      </w:r>
                      <w:r>
                        <w:fldChar w:fldCharType="separate"/>
                      </w:r>
                      <w:r w:rsidR="006D7A22">
                        <w:rPr>
                          <w:noProof/>
                        </w:rPr>
                        <w:t>5</w:t>
                      </w:r>
                      <w:r>
                        <w:fldChar w:fldCharType="end"/>
                      </w:r>
                    </w:p>
                  </w:tc>
                </w:tr>
                <w:tr w:rsidR="006D7A22">
                  <w:trPr>
                    <w:cantSplit/>
                    <w:trHeight w:hRule="exact" w:val="1605"/>
                    <w:jc w:val="right"/>
                  </w:trPr>
                  <w:tc>
                    <w:tcPr>
                      <w:tcW w:w="255" w:type="dxa"/>
                      <w:textDirection w:val="tbRl"/>
                    </w:tcPr>
                    <w:p w:rsidR="006D7A22" w:rsidRDefault="006D7A22">
                      <w:pPr>
                        <w:pStyle w:val="HeaderRegProc"/>
                        <w:spacing w:before="0"/>
                        <w:ind w:left="0"/>
                        <w:rPr>
                          <w:lang w:val="fr-CH"/>
                        </w:rPr>
                      </w:pPr>
                      <w:r>
                        <w:rPr>
                          <w:lang w:val="fr-FR"/>
                        </w:rPr>
                        <w:t xml:space="preserve">page </w:t>
                      </w:r>
                      <w:r w:rsidR="00AC64D2">
                        <w:rPr>
                          <w:rStyle w:val="PageNumber"/>
                        </w:rPr>
                        <w:fldChar w:fldCharType="begin"/>
                      </w:r>
                      <w:r>
                        <w:rPr>
                          <w:rStyle w:val="PageNumber"/>
                          <w:lang w:val="fr-CH"/>
                        </w:rPr>
                        <w:instrText xml:space="preserve"> PAGE </w:instrText>
                      </w:r>
                      <w:r w:rsidR="00AC64D2">
                        <w:rPr>
                          <w:rStyle w:val="PageNumber"/>
                        </w:rPr>
                        <w:fldChar w:fldCharType="separate"/>
                      </w:r>
                      <w:r>
                        <w:rPr>
                          <w:rStyle w:val="PageNumber"/>
                          <w:noProof/>
                          <w:lang w:val="fr-CH"/>
                        </w:rPr>
                        <w:t>22</w:t>
                      </w:r>
                      <w:r w:rsidR="00AC64D2">
                        <w:rPr>
                          <w:rStyle w:val="PageNumber"/>
                        </w:rPr>
                        <w:fldChar w:fldCharType="end"/>
                      </w:r>
                    </w:p>
                  </w:tc>
                </w:tr>
                <w:tr w:rsidR="006D7A22">
                  <w:trPr>
                    <w:cantSplit/>
                    <w:trHeight w:hRule="exact" w:val="1605"/>
                    <w:jc w:val="right"/>
                  </w:trPr>
                  <w:tc>
                    <w:tcPr>
                      <w:tcW w:w="255" w:type="dxa"/>
                      <w:textDirection w:val="tbRl"/>
                    </w:tcPr>
                    <w:p w:rsidR="006D7A22" w:rsidRDefault="006D7A22">
                      <w:pPr>
                        <w:pStyle w:val="HeaderRegProc"/>
                        <w:spacing w:before="0"/>
                        <w:ind w:left="0"/>
                        <w:rPr>
                          <w:lang w:val="fr-CH"/>
                        </w:rPr>
                      </w:pPr>
                      <w:r>
                        <w:rPr>
                          <w:lang w:val="fr-CH"/>
                        </w:rPr>
                        <w:t>rev.4</w:t>
                      </w:r>
                    </w:p>
                  </w:tc>
                </w:tr>
              </w:tbl>
              <w:p w:rsidR="006D7A22" w:rsidRDefault="006D7A22">
                <w:pPr>
                  <w:rPr>
                    <w:lang w:val="fr-CH"/>
                  </w:rPr>
                </w:pPr>
              </w:p>
            </w:txbxContent>
          </v:textbox>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A22" w:rsidRDefault="00AC64D2">
    <w:pPr>
      <w:pStyle w:val="Header"/>
    </w:pPr>
    <w:r w:rsidRPr="00AC64D2">
      <w:rPr>
        <w:noProof/>
        <w:sz w:val="20"/>
        <w:lang w:val="en-US"/>
      </w:rPr>
      <w:pict>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rsidR="006D7A22" w:rsidRDefault="006D7A22">
                <w:pPr>
                  <w:pStyle w:val="listitem"/>
                  <w:keepLines w:val="0"/>
                  <w:rPr>
                    <w:sz w:val="16"/>
                  </w:rPr>
                </w:pPr>
              </w:p>
              <w:p w:rsidR="006D7A22" w:rsidRDefault="006D7A22">
                <w:pPr>
                  <w:pStyle w:val="listitem"/>
                  <w:keepLines w:val="0"/>
                  <w:spacing w:before="190"/>
                  <w:rPr>
                    <w:sz w:val="16"/>
                  </w:rPr>
                </w:pPr>
              </w:p>
              <w:p w:rsidR="006D7A22" w:rsidRDefault="006D7A22">
                <w:pPr>
                  <w:pStyle w:val="listitem"/>
                  <w:keepLines w:val="0"/>
                  <w:spacing w:before="190"/>
                  <w:rPr>
                    <w:sz w:val="16"/>
                  </w:rPr>
                </w:pPr>
              </w:p>
              <w:p w:rsidR="006D7A22" w:rsidRDefault="006D7A22">
                <w:pPr>
                  <w:pStyle w:val="listitem"/>
                  <w:keepLines w:val="0"/>
                  <w:spacing w:before="190"/>
                  <w:rPr>
                    <w:sz w:val="16"/>
                  </w:rPr>
                </w:pPr>
              </w:p>
              <w:p w:rsidR="006D7A22" w:rsidRDefault="006D7A22">
                <w:pPr>
                  <w:pStyle w:val="listitem"/>
                  <w:keepLines w:val="0"/>
                  <w:spacing w:before="190"/>
                  <w:rPr>
                    <w:sz w:val="16"/>
                  </w:rPr>
                </w:pPr>
              </w:p>
              <w:p w:rsidR="006D7A22" w:rsidRDefault="006D7A22">
                <w:pPr>
                  <w:pStyle w:val="listitem"/>
                  <w:keepLines w:val="0"/>
                  <w:rPr>
                    <w:sz w:val="16"/>
                  </w:rPr>
                </w:pPr>
              </w:p>
              <w:p w:rsidR="006D7A22" w:rsidRDefault="006D7A22">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tblPr>
                <w:tblGrid>
                  <w:gridCol w:w="255"/>
                </w:tblGrid>
                <w:tr w:rsidR="006D7A22">
                  <w:trPr>
                    <w:cantSplit/>
                    <w:trHeight w:hRule="exact" w:val="1605"/>
                    <w:jc w:val="right"/>
                  </w:trPr>
                  <w:tc>
                    <w:tcPr>
                      <w:tcW w:w="255" w:type="dxa"/>
                      <w:textDirection w:val="tbRl"/>
                    </w:tcPr>
                    <w:p w:rsidR="006D7A22" w:rsidRDefault="006D7A22">
                      <w:pPr>
                        <w:pStyle w:val="HeaderRegProc"/>
                        <w:spacing w:before="0"/>
                        <w:ind w:left="0"/>
                        <w:rPr>
                          <w:lang w:val="en-US"/>
                        </w:rPr>
                      </w:pPr>
                      <w:r>
                        <w:rPr>
                          <w:lang w:val="en-US"/>
                        </w:rPr>
                        <w:t>Part A1</w:t>
                      </w:r>
                    </w:p>
                  </w:tc>
                </w:tr>
                <w:tr w:rsidR="006D7A22">
                  <w:trPr>
                    <w:cantSplit/>
                    <w:trHeight w:hRule="exact" w:val="1605"/>
                    <w:jc w:val="right"/>
                  </w:trPr>
                  <w:tc>
                    <w:tcPr>
                      <w:tcW w:w="255" w:type="dxa"/>
                      <w:textDirection w:val="tbRl"/>
                    </w:tcPr>
                    <w:p w:rsidR="006D7A22" w:rsidRDefault="00AC64D2">
                      <w:pPr>
                        <w:pStyle w:val="HeaderRegProc"/>
                        <w:spacing w:before="0"/>
                        <w:ind w:left="0"/>
                        <w:rPr>
                          <w:lang w:val="fr-CH"/>
                        </w:rPr>
                      </w:pPr>
                      <w:fldSimple w:instr=" DOCPROPERTY &quot;Header&quot; \* MERGEFORMAT ">
                        <w:r w:rsidR="006D7A22">
                          <w:rPr>
                            <w:lang w:val="fr-CH"/>
                          </w:rPr>
                          <w:t>AR</w:t>
                        </w:r>
                      </w:fldSimple>
                      <w:r>
                        <w:fldChar w:fldCharType="begin"/>
                      </w:r>
                      <w:r w:rsidR="006D7A22">
                        <w:rPr>
                          <w:lang w:val="fr-CH"/>
                        </w:rPr>
                        <w:instrText>styleref href2</w:instrText>
                      </w:r>
                      <w:r>
                        <w:fldChar w:fldCharType="separate"/>
                      </w:r>
                      <w:r w:rsidR="002B1B81">
                        <w:rPr>
                          <w:noProof/>
                        </w:rPr>
                        <w:t>5</w:t>
                      </w:r>
                      <w:r>
                        <w:fldChar w:fldCharType="end"/>
                      </w:r>
                    </w:p>
                  </w:tc>
                </w:tr>
                <w:tr w:rsidR="006D7A22">
                  <w:trPr>
                    <w:cantSplit/>
                    <w:trHeight w:hRule="exact" w:val="1605"/>
                    <w:jc w:val="right"/>
                  </w:trPr>
                  <w:tc>
                    <w:tcPr>
                      <w:tcW w:w="255" w:type="dxa"/>
                      <w:textDirection w:val="tbRl"/>
                    </w:tcPr>
                    <w:p w:rsidR="006D7A22" w:rsidRDefault="006D7A22">
                      <w:pPr>
                        <w:pStyle w:val="HeaderRegProc"/>
                        <w:spacing w:before="0"/>
                        <w:ind w:left="0"/>
                        <w:rPr>
                          <w:lang w:val="fr-CH"/>
                        </w:rPr>
                      </w:pPr>
                      <w:r>
                        <w:rPr>
                          <w:lang w:val="fr-FR"/>
                        </w:rPr>
                        <w:t xml:space="preserve">page </w:t>
                      </w:r>
                      <w:r w:rsidR="00AC64D2">
                        <w:rPr>
                          <w:rStyle w:val="PageNumber"/>
                        </w:rPr>
                        <w:fldChar w:fldCharType="begin"/>
                      </w:r>
                      <w:r>
                        <w:rPr>
                          <w:rStyle w:val="PageNumber"/>
                        </w:rPr>
                        <w:instrText xml:space="preserve">PAGE  </w:instrText>
                      </w:r>
                      <w:r w:rsidR="00AC64D2">
                        <w:rPr>
                          <w:rStyle w:val="PageNumber"/>
                        </w:rPr>
                        <w:fldChar w:fldCharType="separate"/>
                      </w:r>
                      <w:r w:rsidR="002B1B81">
                        <w:rPr>
                          <w:rStyle w:val="PageNumber"/>
                          <w:noProof/>
                        </w:rPr>
                        <w:t>21</w:t>
                      </w:r>
                      <w:r w:rsidR="00AC64D2">
                        <w:rPr>
                          <w:rStyle w:val="PageNumber"/>
                        </w:rPr>
                        <w:fldChar w:fldCharType="end"/>
                      </w:r>
                    </w:p>
                  </w:tc>
                </w:tr>
                <w:tr w:rsidR="006D7A22">
                  <w:trPr>
                    <w:cantSplit/>
                    <w:trHeight w:hRule="exact" w:val="1605"/>
                    <w:jc w:val="right"/>
                  </w:trPr>
                  <w:tc>
                    <w:tcPr>
                      <w:tcW w:w="255" w:type="dxa"/>
                      <w:textDirection w:val="tbRl"/>
                    </w:tcPr>
                    <w:p w:rsidR="006D7A22" w:rsidRDefault="006D7A22">
                      <w:pPr>
                        <w:pStyle w:val="HeaderRegProc"/>
                        <w:spacing w:before="0"/>
                        <w:ind w:left="0"/>
                        <w:rPr>
                          <w:lang w:val="fr-CH"/>
                        </w:rPr>
                      </w:pPr>
                      <w:r>
                        <w:rPr>
                          <w:lang w:val="fr-CH"/>
                        </w:rPr>
                        <w:t>rev.</w:t>
                      </w:r>
                      <w:fldSimple w:instr=" DOCPROPERTY &quot;Header10&quot; \* MERGEFORMAT ">
                        <w:r>
                          <w:rPr>
                            <w:lang w:val="fr-CH"/>
                          </w:rPr>
                          <w:t>-</w:t>
                        </w:r>
                      </w:fldSimple>
                    </w:p>
                  </w:tc>
                </w:tr>
              </w:tbl>
              <w:p w:rsidR="006D7A22" w:rsidRDefault="006D7A22">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6D7A22">
      <w:trPr>
        <w:cantSplit/>
      </w:trPr>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6D7A22" w:rsidRDefault="00AC64D2">
          <w:pPr>
            <w:pStyle w:val="HeaderRegProc"/>
            <w:rPr>
              <w:lang w:val="en-US"/>
            </w:rPr>
          </w:pPr>
          <w:fldSimple w:instr=" DOCPROPERTY &quot;Header&quot; \* MERGEFORMAT ">
            <w:r w:rsidR="006D7A22">
              <w:rPr>
                <w:lang w:val="en-US"/>
              </w:rPr>
              <w:t>AR</w:t>
            </w:r>
          </w:fldSimple>
          <w:r>
            <w:fldChar w:fldCharType="begin"/>
          </w:r>
          <w:r w:rsidR="006D7A22">
            <w:rPr>
              <w:lang w:val="en-US"/>
            </w:rPr>
            <w:instrText>styleref href2</w:instrText>
          </w:r>
          <w:r>
            <w:fldChar w:fldCharType="separate"/>
          </w:r>
          <w:r w:rsidR="002B1B81">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lang w:val="fr-CH"/>
            </w:rPr>
          </w:pPr>
          <w:r>
            <w:rPr>
              <w:lang w:val="fr-FR"/>
            </w:rPr>
            <w:t xml:space="preserve">page </w:t>
          </w:r>
          <w:r w:rsidR="00AC64D2">
            <w:rPr>
              <w:rStyle w:val="PageNumber"/>
            </w:rPr>
            <w:fldChar w:fldCharType="begin"/>
          </w:r>
          <w:r>
            <w:rPr>
              <w:rStyle w:val="PageNumber"/>
            </w:rPr>
            <w:instrText xml:space="preserve"> PAGE </w:instrText>
          </w:r>
          <w:r w:rsidR="00AC64D2">
            <w:rPr>
              <w:rStyle w:val="PageNumber"/>
            </w:rPr>
            <w:fldChar w:fldCharType="separate"/>
          </w:r>
          <w:r w:rsidR="002B1B81">
            <w:rPr>
              <w:rStyle w:val="PageNumber"/>
              <w:noProof/>
            </w:rPr>
            <w:t>22</w:t>
          </w:r>
          <w:r w:rsidR="00AC64D2">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D7A22" w:rsidRDefault="006D7A22">
          <w:pPr>
            <w:pStyle w:val="HeaderRegProc"/>
            <w:rPr>
              <w:lang w:val="fr-CH"/>
            </w:rPr>
          </w:pPr>
          <w:r>
            <w:rPr>
              <w:lang w:val="fr-CH"/>
            </w:rPr>
            <w:t>rev.</w:t>
          </w:r>
          <w:fldSimple w:instr=" DOCPROPERTY &quot;Header10&quot; \* MERGEFORMAT ">
            <w:r>
              <w:rPr>
                <w:lang w:val="fr-CH"/>
              </w:rPr>
              <w:t>-</w:t>
            </w:r>
          </w:fldSimple>
        </w:p>
      </w:tc>
    </w:tr>
  </w:tbl>
  <w:p w:rsidR="006D7A22" w:rsidRDefault="006D7A22">
    <w:pPr>
      <w:rPr>
        <w:lang w:val="fr-C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attachedTemplate r:id="rId1"/>
  <w:stylePaneFormatFilter w:val="3F01"/>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rsids>
    <w:rsidRoot w:val="00496DC6"/>
    <w:rsid w:val="0002351C"/>
    <w:rsid w:val="000258DE"/>
    <w:rsid w:val="0003667F"/>
    <w:rsid w:val="00044477"/>
    <w:rsid w:val="00047B75"/>
    <w:rsid w:val="000513A2"/>
    <w:rsid w:val="0005689B"/>
    <w:rsid w:val="0005762E"/>
    <w:rsid w:val="000D172F"/>
    <w:rsid w:val="000D4CFF"/>
    <w:rsid w:val="000F1EF4"/>
    <w:rsid w:val="001106F3"/>
    <w:rsid w:val="0011221B"/>
    <w:rsid w:val="00144D92"/>
    <w:rsid w:val="001C50C5"/>
    <w:rsid w:val="001C70B8"/>
    <w:rsid w:val="001F1740"/>
    <w:rsid w:val="00200136"/>
    <w:rsid w:val="00206635"/>
    <w:rsid w:val="0025042A"/>
    <w:rsid w:val="00256800"/>
    <w:rsid w:val="002853D9"/>
    <w:rsid w:val="002B1B81"/>
    <w:rsid w:val="00345017"/>
    <w:rsid w:val="003D65EE"/>
    <w:rsid w:val="003E4B8B"/>
    <w:rsid w:val="003F7A71"/>
    <w:rsid w:val="004060BD"/>
    <w:rsid w:val="00416A2A"/>
    <w:rsid w:val="00476B4C"/>
    <w:rsid w:val="00496DC6"/>
    <w:rsid w:val="0049768F"/>
    <w:rsid w:val="004C3E81"/>
    <w:rsid w:val="004C55DF"/>
    <w:rsid w:val="00503F01"/>
    <w:rsid w:val="00517396"/>
    <w:rsid w:val="0052183F"/>
    <w:rsid w:val="005B6EC7"/>
    <w:rsid w:val="005D0D07"/>
    <w:rsid w:val="006578FD"/>
    <w:rsid w:val="006A4865"/>
    <w:rsid w:val="006D7A22"/>
    <w:rsid w:val="006F3B20"/>
    <w:rsid w:val="00704EC7"/>
    <w:rsid w:val="00736B1D"/>
    <w:rsid w:val="00741856"/>
    <w:rsid w:val="007D2C0A"/>
    <w:rsid w:val="007D497A"/>
    <w:rsid w:val="008049C8"/>
    <w:rsid w:val="00806C19"/>
    <w:rsid w:val="00815FAC"/>
    <w:rsid w:val="008556F6"/>
    <w:rsid w:val="00856632"/>
    <w:rsid w:val="008C61CD"/>
    <w:rsid w:val="008C6B08"/>
    <w:rsid w:val="009005C3"/>
    <w:rsid w:val="009042FB"/>
    <w:rsid w:val="009B64EB"/>
    <w:rsid w:val="009C68C0"/>
    <w:rsid w:val="009F2CE1"/>
    <w:rsid w:val="00A14EF7"/>
    <w:rsid w:val="00A46DA2"/>
    <w:rsid w:val="00A60ECE"/>
    <w:rsid w:val="00A87925"/>
    <w:rsid w:val="00A9681D"/>
    <w:rsid w:val="00AB39EF"/>
    <w:rsid w:val="00AC64D2"/>
    <w:rsid w:val="00B22EAF"/>
    <w:rsid w:val="00B56FCD"/>
    <w:rsid w:val="00B90C3F"/>
    <w:rsid w:val="00BA14CD"/>
    <w:rsid w:val="00BA2AB6"/>
    <w:rsid w:val="00BC1EDD"/>
    <w:rsid w:val="00BD2C25"/>
    <w:rsid w:val="00BE7A2C"/>
    <w:rsid w:val="00BF1FA3"/>
    <w:rsid w:val="00C22927"/>
    <w:rsid w:val="00C371A2"/>
    <w:rsid w:val="00C438BF"/>
    <w:rsid w:val="00C44E41"/>
    <w:rsid w:val="00C6682E"/>
    <w:rsid w:val="00CB5821"/>
    <w:rsid w:val="00CC60C8"/>
    <w:rsid w:val="00D02580"/>
    <w:rsid w:val="00D27CAE"/>
    <w:rsid w:val="00D33D89"/>
    <w:rsid w:val="00D61793"/>
    <w:rsid w:val="00D62179"/>
    <w:rsid w:val="00E155A9"/>
    <w:rsid w:val="00E44507"/>
    <w:rsid w:val="00E63370"/>
    <w:rsid w:val="00EA7838"/>
    <w:rsid w:val="00EF7E61"/>
    <w:rsid w:val="00F11361"/>
    <w:rsid w:val="00F34531"/>
    <w:rsid w:val="00F53F17"/>
    <w:rsid w:val="00F614F2"/>
    <w:rsid w:val="00F67F47"/>
    <w:rsid w:val="00F96EDD"/>
    <w:rsid w:val="00FB3FD9"/>
    <w:rsid w:val="00FE282F"/>
    <w:rsid w:val="00FF37B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CC60C8"/>
    <w:rPr>
      <w:position w:val="6"/>
      <w:sz w:val="16"/>
    </w:rPr>
  </w:style>
  <w:style w:type="paragraph" w:styleId="FootnoteText">
    <w:name w:val="footnote text"/>
    <w:basedOn w:val="Normal"/>
    <w:link w:val="FootnoteTextChar"/>
    <w:semiHidden/>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semiHidden/>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358-F98C-43F3-9A85-2DB1FB1D1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TotalTime>
  <Pages>25</Pages>
  <Words>9102</Words>
  <Characters>46930</Characters>
  <Application>Microsoft Office Word</Application>
  <DocSecurity>0</DocSecurity>
  <Lines>391</Lines>
  <Paragraphs>111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55921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5</dc:subject>
  <dc:creator>Composition des Publications</dc:creator>
  <cp:keywords>Folios: 1 - 22</cp:keywords>
  <dc:description>Edition 2009:   09.02.2009/SdN_x000d_
Corr.:  23.02.2009/DD (dict. ok)_x000d_
Corr. ULT:   27.02.2009/DD </dc:description>
  <cp:lastModifiedBy>denicola</cp:lastModifiedBy>
  <cp:revision>5</cp:revision>
  <cp:lastPrinted>2008-10-08T13:08:00Z</cp:lastPrinted>
  <dcterms:created xsi:type="dcterms:W3CDTF">2010-04-15T09:22:00Z</dcterms:created>
  <dcterms:modified xsi:type="dcterms:W3CDTF">2010-04-16T11:13:00Z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