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3968" w14:textId="77777777" w:rsidR="005D6832" w:rsidRDefault="005D6832" w:rsidP="005D6832">
      <w:pPr>
        <w:pStyle w:val="QuestionNoBR"/>
        <w:rPr>
          <w:szCs w:val="24"/>
        </w:rPr>
      </w:pPr>
      <w:proofErr w:type="spellStart"/>
      <w:r w:rsidRPr="00311BFC">
        <w:rPr>
          <w:lang w:eastAsia="zh-CN"/>
        </w:rPr>
        <w:t>question</w:t>
      </w:r>
      <w:proofErr w:type="spellEnd"/>
      <w:r w:rsidRPr="00311BFC">
        <w:rPr>
          <w:lang w:eastAsia="zh-CN"/>
        </w:rPr>
        <w:t xml:space="preserve"> itu-r</w:t>
      </w:r>
      <w:r>
        <w:rPr>
          <w:szCs w:val="24"/>
        </w:rPr>
        <w:t xml:space="preserve"> 247/7</w:t>
      </w:r>
    </w:p>
    <w:p w14:paraId="5AA612A3" w14:textId="77777777" w:rsidR="005D6832" w:rsidRDefault="005D6832" w:rsidP="005D6832">
      <w:pPr>
        <w:pStyle w:val="Questiontitle"/>
        <w:rPr>
          <w:lang w:eastAsia="zh-CN"/>
        </w:rPr>
      </w:pPr>
      <w:r>
        <w:rPr>
          <w:lang w:eastAsia="zh-CN"/>
        </w:rPr>
        <w:t>Emergency radiocommunications for human space flight</w:t>
      </w:r>
    </w:p>
    <w:p w14:paraId="3025D879" w14:textId="77777777" w:rsidR="005D6832" w:rsidRDefault="005D6832" w:rsidP="00165EB1">
      <w:pPr>
        <w:pStyle w:val="Questiondate"/>
      </w:pPr>
      <w:r w:rsidRPr="00DD760A">
        <w:t>(</w:t>
      </w:r>
      <w:r w:rsidRPr="00165EB1">
        <w:t>2009</w:t>
      </w:r>
      <w:r w:rsidRPr="00DD760A">
        <w:t>)</w:t>
      </w:r>
    </w:p>
    <w:p w14:paraId="7389FA0A" w14:textId="77777777" w:rsidR="005D6832" w:rsidRDefault="005D6832" w:rsidP="005D6832">
      <w:pPr>
        <w:pStyle w:val="Normalaftertitle0"/>
        <w:spacing w:before="480"/>
      </w:pPr>
      <w:r>
        <w:t>The ITU Radiocommunication Assembly,</w:t>
      </w:r>
    </w:p>
    <w:p w14:paraId="0F4A44F3" w14:textId="77777777" w:rsidR="005D6832" w:rsidRPr="00D029FA" w:rsidRDefault="005D6832" w:rsidP="007C722F">
      <w:pPr>
        <w:pStyle w:val="Call"/>
      </w:pPr>
      <w:r w:rsidRPr="007C722F">
        <w:t>considering</w:t>
      </w:r>
    </w:p>
    <w:p w14:paraId="2F43E6BC" w14:textId="77777777" w:rsidR="005D6832" w:rsidRDefault="005D6832" w:rsidP="007C722F">
      <w:pPr>
        <w:tabs>
          <w:tab w:val="clear" w:pos="794"/>
          <w:tab w:val="clear" w:pos="1191"/>
          <w:tab w:val="clear" w:pos="1588"/>
          <w:tab w:val="clear" w:pos="1985"/>
          <w:tab w:val="left" w:pos="1134"/>
          <w:tab w:val="left" w:pos="1871"/>
          <w:tab w:val="left" w:pos="2268"/>
        </w:tabs>
      </w:pPr>
      <w:r w:rsidRPr="005D6832">
        <w:rPr>
          <w:i/>
          <w:iCs/>
        </w:rPr>
        <w:t>a)</w:t>
      </w:r>
      <w:r>
        <w:tab/>
        <w:t xml:space="preserve">that manned </w:t>
      </w:r>
      <w:r w:rsidRPr="00F77E1A">
        <w:t xml:space="preserve">space </w:t>
      </w:r>
      <w:r>
        <w:t>exploration</w:t>
      </w:r>
      <w:r w:rsidRPr="00F77E1A">
        <w:t xml:space="preserve"> spacecraft and spa</w:t>
      </w:r>
      <w:r>
        <w:t>ce stations</w:t>
      </w:r>
      <w:r w:rsidRPr="00F77E1A">
        <w:t xml:space="preserve"> require</w:t>
      </w:r>
      <w:r>
        <w:t xml:space="preserve"> continuous radiocommunication with e</w:t>
      </w:r>
      <w:r w:rsidRPr="00F77E1A">
        <w:t>arth stations;</w:t>
      </w:r>
    </w:p>
    <w:p w14:paraId="5AF78693"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i/>
          <w:iCs/>
        </w:rPr>
        <w:t>b)</w:t>
      </w:r>
      <w:r>
        <w:tab/>
      </w:r>
      <w:r w:rsidRPr="004E3F70">
        <w:t xml:space="preserve">that human space flight may require provisions for emergency </w:t>
      </w:r>
      <w:r>
        <w:t>radio</w:t>
      </w:r>
      <w:r w:rsidRPr="004E3F70">
        <w:t>communications for the entire duration of the manned missions;</w:t>
      </w:r>
    </w:p>
    <w:p w14:paraId="64F28BCB"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i/>
          <w:iCs/>
        </w:rPr>
        <w:t>c)</w:t>
      </w:r>
      <w:r>
        <w:tab/>
      </w:r>
      <w:r w:rsidRPr="004E3F70">
        <w:t xml:space="preserve">that the technical characteristics and operational requirements of emergency space </w:t>
      </w:r>
      <w:r>
        <w:t>radio</w:t>
      </w:r>
      <w:r w:rsidRPr="004E3F70">
        <w:t>communication</w:t>
      </w:r>
      <w:r>
        <w:t xml:space="preserve"> channels</w:t>
      </w:r>
      <w:r w:rsidRPr="004E3F70">
        <w:t xml:space="preserve"> may </w:t>
      </w:r>
      <w:r>
        <w:t xml:space="preserve">be </w:t>
      </w:r>
      <w:r w:rsidRPr="004E3F70">
        <w:t>differ</w:t>
      </w:r>
      <w:r>
        <w:t>ent</w:t>
      </w:r>
      <w:r w:rsidRPr="004E3F70">
        <w:t xml:space="preserve"> from those of routine links between </w:t>
      </w:r>
      <w:r>
        <w:t>e</w:t>
      </w:r>
      <w:r w:rsidRPr="004E3F70">
        <w:t>arth stations and manned vehicles in space flight, including for near-Earth, lunar, and planetary missions;</w:t>
      </w:r>
    </w:p>
    <w:p w14:paraId="47E9D525"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7C722F">
        <w:rPr>
          <w:i/>
          <w:iCs/>
        </w:rPr>
        <w:t>d)</w:t>
      </w:r>
      <w:r>
        <w:tab/>
      </w:r>
      <w:r w:rsidRPr="00EE69A7">
        <w:t xml:space="preserve">that there are many advantages in the use of </w:t>
      </w:r>
      <w:r>
        <w:t xml:space="preserve">predefined sets of frequency pairs with specific channels for manned space </w:t>
      </w:r>
      <w:r w:rsidRPr="004E3F70">
        <w:t xml:space="preserve">exploration emergency </w:t>
      </w:r>
      <w:r>
        <w:t>radio</w:t>
      </w:r>
      <w:r w:rsidRPr="004E3F70">
        <w:t>communications;</w:t>
      </w:r>
    </w:p>
    <w:p w14:paraId="70A2C395"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7C722F">
        <w:rPr>
          <w:i/>
          <w:iCs/>
        </w:rPr>
        <w:t>e)</w:t>
      </w:r>
      <w:r>
        <w:tab/>
      </w:r>
      <w:r w:rsidRPr="004E3F70">
        <w:t>that existing space research service allocations</w:t>
      </w:r>
      <w:r>
        <w:t xml:space="preserve"> for radiocommunications</w:t>
      </w:r>
      <w:r w:rsidRPr="004E3F70">
        <w:t xml:space="preserve"> could be used for emergency radiocommunication</w:t>
      </w:r>
      <w:r>
        <w:t xml:space="preserve"> channels for human space flight</w:t>
      </w:r>
      <w:r w:rsidRPr="004E3F70">
        <w:t>; and</w:t>
      </w:r>
    </w:p>
    <w:p w14:paraId="2F360E7C"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7C722F">
        <w:rPr>
          <w:i/>
          <w:iCs/>
        </w:rPr>
        <w:t>f)</w:t>
      </w:r>
      <w:r>
        <w:tab/>
      </w:r>
      <w:r w:rsidRPr="004E3F70">
        <w:t>that a number of administrations are either directly involved in human space flights, or have space-faring interests, and may be able to operationally contribute to radiocommunication</w:t>
      </w:r>
      <w:r>
        <w:t>s</w:t>
      </w:r>
      <w:r w:rsidRPr="004E3F70">
        <w:t xml:space="preserve"> that have an emergency nature,</w:t>
      </w:r>
    </w:p>
    <w:p w14:paraId="47D67F7E" w14:textId="77777777" w:rsidR="005D6832" w:rsidRPr="004E3F70" w:rsidRDefault="005D6832" w:rsidP="005D6832">
      <w:pPr>
        <w:pStyle w:val="Call"/>
      </w:pPr>
      <w:r w:rsidRPr="004E3F70">
        <w:t>noting</w:t>
      </w:r>
    </w:p>
    <w:p w14:paraId="0AE5D374"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i/>
          <w:iCs/>
        </w:rPr>
        <w:t>a)</w:t>
      </w:r>
      <w:r>
        <w:tab/>
      </w:r>
      <w:r w:rsidRPr="004E3F70">
        <w:t>that it is desirable</w:t>
      </w:r>
      <w:r>
        <w:t xml:space="preserve"> to promote and encourage multi</w:t>
      </w:r>
      <w:r w:rsidRPr="004E3F70">
        <w:t>national monitoring capability and assistance if emergency conditions occur during human space flights;</w:t>
      </w:r>
    </w:p>
    <w:p w14:paraId="2DEDB1FA"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i/>
          <w:iCs/>
        </w:rPr>
        <w:t>b)</w:t>
      </w:r>
      <w:r>
        <w:tab/>
      </w:r>
      <w:r w:rsidRPr="004E3F70">
        <w:t xml:space="preserve">that a low-rate/low-power reliable </w:t>
      </w:r>
      <w:r>
        <w:t>radio</w:t>
      </w:r>
      <w:r w:rsidRPr="004E3F70">
        <w:t xml:space="preserve">communications </w:t>
      </w:r>
      <w:r>
        <w:t xml:space="preserve">link </w:t>
      </w:r>
      <w:r w:rsidRPr="004E3F70">
        <w:t xml:space="preserve">during human space flight is needed to provide backup capability in the event of </w:t>
      </w:r>
      <w:r>
        <w:t xml:space="preserve">a </w:t>
      </w:r>
      <w:r w:rsidRPr="004E3F70">
        <w:t xml:space="preserve">failure of the primary spacecraft </w:t>
      </w:r>
      <w:r>
        <w:t>radio</w:t>
      </w:r>
      <w:r w:rsidRPr="004E3F70">
        <w:t>communication systems;</w:t>
      </w:r>
    </w:p>
    <w:p w14:paraId="12D19D70" w14:textId="77777777" w:rsidR="005D6832" w:rsidRDefault="005D6832" w:rsidP="007C722F">
      <w:pPr>
        <w:tabs>
          <w:tab w:val="clear" w:pos="794"/>
          <w:tab w:val="clear" w:pos="1191"/>
          <w:tab w:val="clear" w:pos="1588"/>
          <w:tab w:val="clear" w:pos="1985"/>
          <w:tab w:val="left" w:pos="1134"/>
          <w:tab w:val="left" w:pos="1871"/>
          <w:tab w:val="left" w:pos="2268"/>
        </w:tabs>
      </w:pPr>
      <w:r w:rsidRPr="005D6832">
        <w:rPr>
          <w:i/>
          <w:iCs/>
        </w:rPr>
        <w:t>c)</w:t>
      </w:r>
      <w:r>
        <w:tab/>
      </w:r>
      <w:r w:rsidRPr="004E3F70">
        <w:t xml:space="preserve">that an emergency </w:t>
      </w:r>
      <w:r>
        <w:t>radio</w:t>
      </w:r>
      <w:r w:rsidRPr="004E3F70">
        <w:t xml:space="preserve">communications </w:t>
      </w:r>
      <w:r>
        <w:t>link</w:t>
      </w:r>
      <w:r w:rsidRPr="004E3F70">
        <w:t xml:space="preserve"> should be independent of the launch and ascent </w:t>
      </w:r>
      <w:r>
        <w:t>radio</w:t>
      </w:r>
      <w:r w:rsidRPr="004E3F70">
        <w:t xml:space="preserve">communications </w:t>
      </w:r>
      <w:r>
        <w:t>link</w:t>
      </w:r>
      <w:r w:rsidRPr="004E3F70">
        <w:t>,</w:t>
      </w:r>
      <w:r>
        <w:t xml:space="preserve"> and</w:t>
      </w:r>
      <w:r w:rsidRPr="00D81B5E">
        <w:t xml:space="preserve"> </w:t>
      </w:r>
      <w:r>
        <w:t>should contain channels in the Earth-space, space-Earth, and possibly space-space directions;</w:t>
      </w:r>
    </w:p>
    <w:p w14:paraId="0E918E75" w14:textId="77777777" w:rsidR="005D6832" w:rsidRDefault="005D6832" w:rsidP="007C722F">
      <w:pPr>
        <w:tabs>
          <w:tab w:val="clear" w:pos="794"/>
          <w:tab w:val="clear" w:pos="1191"/>
          <w:tab w:val="clear" w:pos="1588"/>
          <w:tab w:val="clear" w:pos="1985"/>
          <w:tab w:val="left" w:pos="1134"/>
          <w:tab w:val="left" w:pos="1871"/>
          <w:tab w:val="left" w:pos="2268"/>
        </w:tabs>
      </w:pPr>
      <w:r w:rsidRPr="005D6832">
        <w:rPr>
          <w:i/>
          <w:iCs/>
        </w:rPr>
        <w:t>d)</w:t>
      </w:r>
      <w:r>
        <w:tab/>
        <w:t>that the use of space research service channels for emergency radiocommunication is not considered to be a safety application and should not result in additional protection requirements for the space research service with respect to other radiocommunication services operating in the same or adjacent bands,</w:t>
      </w:r>
    </w:p>
    <w:p w14:paraId="0112DDE6" w14:textId="77777777" w:rsidR="005D6832" w:rsidRPr="004E3F70" w:rsidRDefault="005D6832" w:rsidP="005D6832">
      <w:pPr>
        <w:pStyle w:val="Call"/>
      </w:pPr>
      <w:r>
        <w:br w:type="page"/>
      </w:r>
      <w:r>
        <w:lastRenderedPageBreak/>
        <w:t>recognizing</w:t>
      </w:r>
    </w:p>
    <w:p w14:paraId="4BD7674B" w14:textId="0393391B" w:rsidR="005D6832" w:rsidRDefault="005D6832" w:rsidP="007C722F">
      <w:pPr>
        <w:tabs>
          <w:tab w:val="clear" w:pos="794"/>
          <w:tab w:val="clear" w:pos="1191"/>
          <w:tab w:val="clear" w:pos="1588"/>
          <w:tab w:val="clear" w:pos="1985"/>
          <w:tab w:val="left" w:pos="1134"/>
          <w:tab w:val="left" w:pos="1871"/>
          <w:tab w:val="left" w:pos="2268"/>
        </w:tabs>
      </w:pPr>
      <w:r>
        <w:rPr>
          <w:i/>
          <w:iCs/>
        </w:rPr>
        <w:t>a)</w:t>
      </w:r>
      <w:r>
        <w:rPr>
          <w:i/>
          <w:iCs/>
        </w:rPr>
        <w:tab/>
      </w:r>
      <w:r w:rsidRPr="004E3F70">
        <w:t>that Article V of the United Nations Treaty on principles governing the activities of States in the exploration and use of outer space, including the Moon and other celestial bodies, provides that, “States Parties to the Treaty shall regard astronauts as envoys of mankind in outer space and shall render to them all possible assistance in the event of accident, distress, or emergency landing on the territory of another S</w:t>
      </w:r>
      <w:r>
        <w:t>tate Party or on the high seas”;</w:t>
      </w:r>
      <w:r w:rsidRPr="004E3F70">
        <w:t xml:space="preserve"> and </w:t>
      </w:r>
    </w:p>
    <w:p w14:paraId="21A27E91" w14:textId="11472592"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i/>
          <w:iCs/>
        </w:rPr>
        <w:t>b)</w:t>
      </w:r>
      <w:r>
        <w:tab/>
        <w:t xml:space="preserve">that this Article </w:t>
      </w:r>
      <w:r w:rsidRPr="004E3F70">
        <w:t>further provides that, “In carrying on activities in outer space and on celestial bodies, the astronauts of one State Party shall render all possible assistance to the astronauts of other States Parties”,</w:t>
      </w:r>
    </w:p>
    <w:p w14:paraId="71DE4934" w14:textId="77777777" w:rsidR="005D6832" w:rsidRPr="002E5A05" w:rsidRDefault="005D6832" w:rsidP="005D6832">
      <w:pPr>
        <w:pStyle w:val="Call"/>
        <w:rPr>
          <w:lang w:val="en-US"/>
        </w:rPr>
      </w:pPr>
      <w:r w:rsidRPr="002E5A05">
        <w:rPr>
          <w:lang w:val="en-US"/>
        </w:rPr>
        <w:t xml:space="preserve">decides </w:t>
      </w:r>
      <w:r w:rsidRPr="002E5A05">
        <w:rPr>
          <w:i w:val="0"/>
          <w:iCs/>
          <w:lang w:val="en-US"/>
        </w:rPr>
        <w:t xml:space="preserve">that the following Questions should be studied, taking particular account of </w:t>
      </w:r>
      <w:r w:rsidRPr="00020E2C">
        <w:rPr>
          <w:lang w:val="en-US"/>
        </w:rPr>
        <w:t>noting</w:t>
      </w:r>
      <w:r w:rsidRPr="002E5A05">
        <w:rPr>
          <w:i w:val="0"/>
          <w:iCs/>
          <w:lang w:val="en-US"/>
        </w:rPr>
        <w:t> </w:t>
      </w:r>
      <w:r w:rsidRPr="00165EB1">
        <w:rPr>
          <w:lang w:val="en-US"/>
        </w:rPr>
        <w:t>d)</w:t>
      </w:r>
      <w:r w:rsidRPr="002E5A05">
        <w:rPr>
          <w:i w:val="0"/>
          <w:iCs/>
          <w:lang w:val="en-US"/>
        </w:rPr>
        <w:t xml:space="preserve"> </w:t>
      </w:r>
      <w:proofErr w:type="gramStart"/>
      <w:r w:rsidRPr="002E5A05">
        <w:rPr>
          <w:i w:val="0"/>
          <w:iCs/>
          <w:lang w:val="en-US"/>
        </w:rPr>
        <w:t>above</w:t>
      </w:r>
      <w:proofErr w:type="gramEnd"/>
    </w:p>
    <w:p w14:paraId="77AB497F" w14:textId="77777777" w:rsidR="005D6832" w:rsidRPr="00840FBA" w:rsidRDefault="005D6832" w:rsidP="007C722F">
      <w:pPr>
        <w:tabs>
          <w:tab w:val="clear" w:pos="794"/>
          <w:tab w:val="clear" w:pos="1191"/>
          <w:tab w:val="clear" w:pos="1588"/>
          <w:tab w:val="clear" w:pos="1985"/>
          <w:tab w:val="left" w:pos="1134"/>
          <w:tab w:val="left" w:pos="1871"/>
          <w:tab w:val="left" w:pos="2268"/>
        </w:tabs>
      </w:pPr>
      <w:r w:rsidRPr="005D6832">
        <w:rPr>
          <w:bCs/>
        </w:rPr>
        <w:t>1</w:t>
      </w:r>
      <w:r w:rsidRPr="00840FBA">
        <w:tab/>
        <w:t xml:space="preserve">What are the possible operational scenarios and operational requirements for emergency radiocommunication </w:t>
      </w:r>
      <w:r>
        <w:t>channels</w:t>
      </w:r>
      <w:r w:rsidRPr="00840FBA">
        <w:t xml:space="preserve"> among manned spacecraft, </w:t>
      </w:r>
      <w:r>
        <w:t>e</w:t>
      </w:r>
      <w:r w:rsidRPr="00840FBA">
        <w:t>arth stations, and space stations?</w:t>
      </w:r>
    </w:p>
    <w:p w14:paraId="012F85DA" w14:textId="77777777" w:rsidR="005D6832" w:rsidRPr="004E3F70" w:rsidRDefault="005D6832" w:rsidP="007C722F">
      <w:pPr>
        <w:tabs>
          <w:tab w:val="clear" w:pos="794"/>
          <w:tab w:val="clear" w:pos="1191"/>
          <w:tab w:val="clear" w:pos="1588"/>
          <w:tab w:val="clear" w:pos="1985"/>
          <w:tab w:val="left" w:pos="1134"/>
          <w:tab w:val="left" w:pos="1871"/>
          <w:tab w:val="left" w:pos="2268"/>
        </w:tabs>
        <w:rPr>
          <w:color w:val="000000"/>
        </w:rPr>
      </w:pPr>
      <w:r w:rsidRPr="005D6832">
        <w:rPr>
          <w:bCs/>
          <w:color w:val="000000"/>
        </w:rPr>
        <w:t>2</w:t>
      </w:r>
      <w:r w:rsidRPr="004E3F70">
        <w:rPr>
          <w:color w:val="000000"/>
        </w:rPr>
        <w:tab/>
        <w:t xml:space="preserve">What are the </w:t>
      </w:r>
      <w:r w:rsidRPr="007C722F">
        <w:t>technical</w:t>
      </w:r>
      <w:r w:rsidRPr="004E3F70">
        <w:rPr>
          <w:color w:val="000000"/>
        </w:rPr>
        <w:t xml:space="preserve"> characteristics of emergency radiocommunication </w:t>
      </w:r>
      <w:r>
        <w:rPr>
          <w:color w:val="000000"/>
        </w:rPr>
        <w:t>channels</w:t>
      </w:r>
      <w:r w:rsidRPr="004E3F70">
        <w:rPr>
          <w:color w:val="000000"/>
        </w:rPr>
        <w:t xml:space="preserve"> </w:t>
      </w:r>
      <w:r>
        <w:rPr>
          <w:color w:val="000000"/>
        </w:rPr>
        <w:t>among manned spacecraft, e</w:t>
      </w:r>
      <w:r w:rsidRPr="004E3F70">
        <w:rPr>
          <w:color w:val="000000"/>
        </w:rPr>
        <w:t>arth stations, and space stations?</w:t>
      </w:r>
    </w:p>
    <w:p w14:paraId="172EA14A" w14:textId="77777777" w:rsidR="005D6832" w:rsidRPr="004E3F70" w:rsidRDefault="005D6832" w:rsidP="007C722F">
      <w:pPr>
        <w:tabs>
          <w:tab w:val="clear" w:pos="794"/>
          <w:tab w:val="clear" w:pos="1191"/>
          <w:tab w:val="clear" w:pos="1588"/>
          <w:tab w:val="clear" w:pos="1985"/>
          <w:tab w:val="left" w:pos="1134"/>
          <w:tab w:val="left" w:pos="1871"/>
          <w:tab w:val="left" w:pos="2268"/>
        </w:tabs>
        <w:rPr>
          <w:color w:val="000000"/>
        </w:rPr>
      </w:pPr>
      <w:r w:rsidRPr="005D6832">
        <w:rPr>
          <w:bCs/>
          <w:color w:val="000000"/>
        </w:rPr>
        <w:t>3</w:t>
      </w:r>
      <w:r w:rsidRPr="004E3F70">
        <w:rPr>
          <w:color w:val="000000"/>
        </w:rPr>
        <w:tab/>
        <w:t xml:space="preserve">What are the </w:t>
      </w:r>
      <w:r>
        <w:rPr>
          <w:color w:val="000000"/>
        </w:rPr>
        <w:t xml:space="preserve">suitable radio </w:t>
      </w:r>
      <w:r w:rsidRPr="004E3F70">
        <w:rPr>
          <w:color w:val="000000"/>
        </w:rPr>
        <w:t xml:space="preserve">frequency </w:t>
      </w:r>
      <w:r w:rsidRPr="0002289D">
        <w:rPr>
          <w:color w:val="000000"/>
        </w:rPr>
        <w:t xml:space="preserve">channels within existing space research service frequency </w:t>
      </w:r>
      <w:r w:rsidRPr="007C722F">
        <w:t>allocations</w:t>
      </w:r>
      <w:r w:rsidRPr="0002289D">
        <w:rPr>
          <w:color w:val="000000"/>
        </w:rPr>
        <w:t xml:space="preserve"> and the appropriate channel bandwidths for emergency radiocommunication, including for data and voice, during human space f</w:t>
      </w:r>
      <w:r w:rsidRPr="004E3F70">
        <w:rPr>
          <w:color w:val="000000"/>
        </w:rPr>
        <w:t>light?</w:t>
      </w:r>
    </w:p>
    <w:p w14:paraId="72EE43FC" w14:textId="77777777" w:rsidR="005D6832" w:rsidRPr="004E3F70" w:rsidRDefault="005D6832" w:rsidP="005D6832">
      <w:pPr>
        <w:pStyle w:val="Call"/>
      </w:pPr>
      <w:r w:rsidRPr="004E3F70">
        <w:t>further decides</w:t>
      </w:r>
    </w:p>
    <w:p w14:paraId="39B3176A" w14:textId="77777777"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bCs/>
        </w:rPr>
        <w:t>1</w:t>
      </w:r>
      <w:r w:rsidRPr="004E3F70">
        <w:tab/>
        <w:t>that the results of the above studies should be included in one or more Recommendations</w:t>
      </w:r>
      <w:r>
        <w:t xml:space="preserve"> and/or Reports</w:t>
      </w:r>
      <w:r w:rsidRPr="004E3F70">
        <w:t>;</w:t>
      </w:r>
    </w:p>
    <w:p w14:paraId="26961F4B" w14:textId="13967E53" w:rsidR="005D6832" w:rsidRPr="004E3F70" w:rsidRDefault="005D6832" w:rsidP="007C722F">
      <w:pPr>
        <w:tabs>
          <w:tab w:val="clear" w:pos="794"/>
          <w:tab w:val="clear" w:pos="1191"/>
          <w:tab w:val="clear" w:pos="1588"/>
          <w:tab w:val="clear" w:pos="1985"/>
          <w:tab w:val="left" w:pos="1134"/>
          <w:tab w:val="left" w:pos="1871"/>
          <w:tab w:val="left" w:pos="2268"/>
        </w:tabs>
      </w:pPr>
      <w:r w:rsidRPr="005D6832">
        <w:rPr>
          <w:bCs/>
        </w:rPr>
        <w:t>2</w:t>
      </w:r>
      <w:r w:rsidRPr="004E3F70">
        <w:tab/>
        <w:t xml:space="preserve">that the above studies should be </w:t>
      </w:r>
      <w:r>
        <w:t>completed</w:t>
      </w:r>
      <w:r w:rsidRPr="004E3F70">
        <w:t xml:space="preserve"> by </w:t>
      </w:r>
      <w:r>
        <w:t>2027</w:t>
      </w:r>
      <w:r w:rsidRPr="004E3F70">
        <w:t>.</w:t>
      </w:r>
    </w:p>
    <w:p w14:paraId="42786F2A" w14:textId="77777777" w:rsidR="005D6832" w:rsidRPr="004E3F70" w:rsidRDefault="005D6832" w:rsidP="005D6832">
      <w:pPr>
        <w:spacing w:before="360"/>
        <w:rPr>
          <w:color w:val="000000"/>
        </w:rPr>
      </w:pPr>
      <w:r w:rsidRPr="004E3F70">
        <w:rPr>
          <w:color w:val="000000"/>
        </w:rPr>
        <w:t>Category:</w:t>
      </w:r>
      <w:r>
        <w:rPr>
          <w:color w:val="000000"/>
        </w:rPr>
        <w:t xml:space="preserve"> </w:t>
      </w:r>
      <w:proofErr w:type="spellStart"/>
      <w:r>
        <w:rPr>
          <w:color w:val="000000"/>
        </w:rPr>
        <w:t>S2</w:t>
      </w:r>
      <w:proofErr w:type="spellEnd"/>
    </w:p>
    <w:sectPr w:rsidR="005D6832" w:rsidRPr="004E3F70" w:rsidSect="00D02712">
      <w:headerReference w:type="default" r:id="rId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0387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es-ES_tradnl"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75D61"/>
    <w:rsid w:val="000A7D55"/>
    <w:rsid w:val="000C12C8"/>
    <w:rsid w:val="000C2E8E"/>
    <w:rsid w:val="000E0E7C"/>
    <w:rsid w:val="000F1B4B"/>
    <w:rsid w:val="0012744F"/>
    <w:rsid w:val="00131178"/>
    <w:rsid w:val="00156F66"/>
    <w:rsid w:val="00163271"/>
    <w:rsid w:val="001658F8"/>
    <w:rsid w:val="00165EB1"/>
    <w:rsid w:val="00172122"/>
    <w:rsid w:val="00182528"/>
    <w:rsid w:val="0018500B"/>
    <w:rsid w:val="00196A19"/>
    <w:rsid w:val="00202DC1"/>
    <w:rsid w:val="002116EE"/>
    <w:rsid w:val="002309D8"/>
    <w:rsid w:val="002754A1"/>
    <w:rsid w:val="002845CC"/>
    <w:rsid w:val="002A7FE2"/>
    <w:rsid w:val="002E1B4F"/>
    <w:rsid w:val="002F2E67"/>
    <w:rsid w:val="002F7CB3"/>
    <w:rsid w:val="00315546"/>
    <w:rsid w:val="00330567"/>
    <w:rsid w:val="00386A9D"/>
    <w:rsid w:val="00391081"/>
    <w:rsid w:val="003A1239"/>
    <w:rsid w:val="003B2789"/>
    <w:rsid w:val="003C13CE"/>
    <w:rsid w:val="003C697E"/>
    <w:rsid w:val="003E2518"/>
    <w:rsid w:val="003E7CEF"/>
    <w:rsid w:val="00493BC7"/>
    <w:rsid w:val="004B1EF7"/>
    <w:rsid w:val="004B3FAD"/>
    <w:rsid w:val="004C5749"/>
    <w:rsid w:val="00501DCA"/>
    <w:rsid w:val="00513A47"/>
    <w:rsid w:val="00525812"/>
    <w:rsid w:val="005408DF"/>
    <w:rsid w:val="00573344"/>
    <w:rsid w:val="00583F9B"/>
    <w:rsid w:val="005B0D29"/>
    <w:rsid w:val="005D6832"/>
    <w:rsid w:val="005E5C10"/>
    <w:rsid w:val="005F2C78"/>
    <w:rsid w:val="006144E4"/>
    <w:rsid w:val="00650299"/>
    <w:rsid w:val="00655FC5"/>
    <w:rsid w:val="007C722F"/>
    <w:rsid w:val="00803F21"/>
    <w:rsid w:val="0080538C"/>
    <w:rsid w:val="00814E0A"/>
    <w:rsid w:val="00822581"/>
    <w:rsid w:val="008309DD"/>
    <w:rsid w:val="0083227A"/>
    <w:rsid w:val="00866900"/>
    <w:rsid w:val="00876A8A"/>
    <w:rsid w:val="00881BA1"/>
    <w:rsid w:val="008A28CB"/>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24F4"/>
    <w:rsid w:val="00B066A4"/>
    <w:rsid w:val="00B07A13"/>
    <w:rsid w:val="00B4279B"/>
    <w:rsid w:val="00B43178"/>
    <w:rsid w:val="00B45FC9"/>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80A65"/>
    <w:rsid w:val="00DB178B"/>
    <w:rsid w:val="00DC17D3"/>
    <w:rsid w:val="00DD14F4"/>
    <w:rsid w:val="00DD4BED"/>
    <w:rsid w:val="00DE39F0"/>
    <w:rsid w:val="00DF0AF3"/>
    <w:rsid w:val="00DF7E9F"/>
    <w:rsid w:val="00E27D7E"/>
    <w:rsid w:val="00E42E13"/>
    <w:rsid w:val="00E56D5C"/>
    <w:rsid w:val="00E6257C"/>
    <w:rsid w:val="00E63C59"/>
    <w:rsid w:val="00ED171F"/>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6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enter" w:pos="4820"/>
        <w:tab w:val="right" w:pos="9639"/>
      </w:tabs>
    </w:pPr>
  </w:style>
  <w:style w:type="paragraph" w:customStyle="1" w:styleId="Equationlegend">
    <w:name w:val="Equation_legend"/>
    <w:basedOn w:val="NormalIndent"/>
    <w:rsid w:val="009C185B"/>
    <w:pPr>
      <w:tabs>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right" w:pos="9781"/>
      </w:tabs>
    </w:pPr>
    <w:rPr>
      <w:b/>
    </w:rPr>
  </w:style>
  <w:style w:type="paragraph" w:styleId="TOC1">
    <w:name w:val="toc 1"/>
    <w:basedOn w:val="Normal"/>
    <w:rsid w:val="009C185B"/>
    <w:pPr>
      <w:keepLines/>
      <w:tabs>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spacing w:before="0"/>
    </w:pPr>
    <w:rPr>
      <w:sz w:val="20"/>
      <w:lang w:eastAsia="zh-CN"/>
    </w:rPr>
  </w:style>
  <w:style w:type="character" w:customStyle="1" w:styleId="NormalaftertitleChar">
    <w:name w:val="Normal_after_title Char"/>
    <w:basedOn w:val="DefaultParagraphFont"/>
    <w:link w:val="Normalaftertitle"/>
    <w:locked/>
    <w:rsid w:val="00B024F4"/>
    <w:rPr>
      <w:rFonts w:ascii="Times New Roman" w:hAnsi="Times New Roman"/>
      <w:sz w:val="24"/>
      <w:lang w:val="en-GB" w:eastAsia="en-US"/>
    </w:rPr>
  </w:style>
  <w:style w:type="character" w:customStyle="1" w:styleId="CallChar">
    <w:name w:val="Call Char"/>
    <w:basedOn w:val="DefaultParagraphFont"/>
    <w:link w:val="Call"/>
    <w:locked/>
    <w:rsid w:val="00B024F4"/>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B024F4"/>
    <w:rPr>
      <w:rFonts w:ascii="Times New Roman Bold" w:hAnsi="Times New Roman Bold"/>
      <w:b/>
      <w:sz w:val="28"/>
      <w:lang w:val="en-GB" w:eastAsia="en-US"/>
    </w:rPr>
  </w:style>
  <w:style w:type="character" w:customStyle="1" w:styleId="QuestionNoBRChar">
    <w:name w:val="Question_No_BR Char"/>
    <w:basedOn w:val="DefaultParagraphFont"/>
    <w:link w:val="QuestionNoBR"/>
    <w:locked/>
    <w:rsid w:val="00B024F4"/>
    <w:rPr>
      <w:rFonts w:ascii="Times New Roman" w:hAnsi="Times New Roman"/>
      <w:caps/>
      <w:sz w:val="28"/>
      <w:lang w:val="es-ES_tradnl" w:eastAsia="en-US"/>
    </w:rPr>
  </w:style>
  <w:style w:type="paragraph" w:customStyle="1" w:styleId="QuestionNoBR">
    <w:name w:val="Question_No_BR"/>
    <w:basedOn w:val="Normal"/>
    <w:next w:val="Normal"/>
    <w:link w:val="QuestionNoBRChar"/>
    <w:rsid w:val="00B024F4"/>
    <w:pPr>
      <w:keepNext/>
      <w:keepLines/>
      <w:spacing w:before="480"/>
      <w:jc w:val="center"/>
      <w:textAlignment w:val="auto"/>
    </w:pPr>
    <w:rPr>
      <w:caps/>
      <w:sz w:val="28"/>
      <w:lang w:val="es-ES_tradnl"/>
    </w:rPr>
  </w:style>
  <w:style w:type="character" w:customStyle="1" w:styleId="NormalaftertitleChar0">
    <w:name w:val="Normal after title Char"/>
    <w:basedOn w:val="DefaultParagraphFont"/>
    <w:link w:val="Normalaftertitle0"/>
    <w:rsid w:val="00DD14F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53879">
      <w:bodyDiv w:val="1"/>
      <w:marLeft w:val="0"/>
      <w:marRight w:val="0"/>
      <w:marTop w:val="0"/>
      <w:marBottom w:val="0"/>
      <w:divBdr>
        <w:top w:val="none" w:sz="0" w:space="0" w:color="auto"/>
        <w:left w:val="none" w:sz="0" w:space="0" w:color="auto"/>
        <w:bottom w:val="none" w:sz="0" w:space="0" w:color="auto"/>
        <w:right w:val="none" w:sz="0" w:space="0" w:color="auto"/>
      </w:divBdr>
    </w:div>
    <w:div w:id="147914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E4EA-9EEE-4168-9FF0-3010CBD2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7</TotalTime>
  <Pages>2</Pages>
  <Words>523</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Limousin</dc:creator>
  <cp:lastModifiedBy>Chamova, Alisa</cp:lastModifiedBy>
  <cp:revision>4</cp:revision>
  <cp:lastPrinted>2008-02-21T14:04:00Z</cp:lastPrinted>
  <dcterms:created xsi:type="dcterms:W3CDTF">2024-02-13T10:25:00Z</dcterms:created>
  <dcterms:modified xsi:type="dcterms:W3CDTF">2024-02-13T10:44:00Z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