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20B3" w14:textId="77777777" w:rsidR="00310D74" w:rsidRPr="00FE2D09" w:rsidRDefault="00310D74" w:rsidP="008E3570">
      <w:pPr>
        <w:pStyle w:val="QuestionNo"/>
        <w:rPr>
          <w:lang w:val="fr-FR"/>
        </w:rPr>
      </w:pPr>
      <w:r>
        <w:rPr>
          <w:rtl/>
        </w:rPr>
        <w:t xml:space="preserve">المسـألة </w:t>
      </w:r>
      <w:r>
        <w:rPr>
          <w:lang w:val="fr-FR"/>
        </w:rPr>
        <w:t>ITU-R 234/7</w:t>
      </w:r>
    </w:p>
    <w:p w14:paraId="74A04E83" w14:textId="77777777" w:rsidR="00310D74" w:rsidRPr="0022388D" w:rsidRDefault="00310D74" w:rsidP="00BC0877">
      <w:pPr>
        <w:pStyle w:val="Questiontitle"/>
        <w:spacing w:before="240"/>
        <w:rPr>
          <w:rtl/>
          <w:lang w:bidi="ar-EG"/>
        </w:rPr>
      </w:pPr>
      <w:r w:rsidRPr="00DA0596">
        <w:rPr>
          <w:color w:val="000000"/>
          <w:spacing w:val="-2"/>
          <w:rtl/>
          <w:lang w:bidi="ar-EG"/>
        </w:rPr>
        <w:t xml:space="preserve">تقاسم الترددات بين أنظمة </w:t>
      </w:r>
      <w:proofErr w:type="spellStart"/>
      <w:r w:rsidRPr="00BC0877">
        <w:rPr>
          <w:color w:val="000000"/>
          <w:spacing w:val="-2"/>
          <w:rtl/>
          <w:lang w:bidi="ar-EG"/>
        </w:rPr>
        <w:t>المحاسيس</w:t>
      </w:r>
      <w:proofErr w:type="spellEnd"/>
      <w:r w:rsidRPr="00DA0596">
        <w:rPr>
          <w:color w:val="000000"/>
          <w:spacing w:val="-2"/>
          <w:rtl/>
          <w:lang w:bidi="ar-EG"/>
        </w:rPr>
        <w:t xml:space="preserve"> النشط</w:t>
      </w:r>
      <w:r>
        <w:rPr>
          <w:color w:val="000000"/>
          <w:spacing w:val="-2"/>
          <w:rtl/>
          <w:lang w:bidi="ar-EG"/>
        </w:rPr>
        <w:t>ة</w:t>
      </w:r>
      <w:r>
        <w:rPr>
          <w:color w:val="000000"/>
          <w:spacing w:val="-2"/>
          <w:rtl/>
          <w:lang w:bidi="ar-EG"/>
        </w:rPr>
        <w:br/>
      </w:r>
      <w:r w:rsidRPr="00DA0596">
        <w:rPr>
          <w:color w:val="000000"/>
          <w:spacing w:val="-2"/>
          <w:rtl/>
          <w:lang w:bidi="ar-EG"/>
        </w:rPr>
        <w:t xml:space="preserve">في </w:t>
      </w:r>
      <w:r w:rsidRPr="00BC0877">
        <w:rPr>
          <w:color w:val="000000"/>
          <w:spacing w:val="-2"/>
          <w:rtl/>
          <w:lang w:bidi="ar-EG"/>
        </w:rPr>
        <w:t>خدمة</w:t>
      </w:r>
      <w:r w:rsidRPr="00DA0596">
        <w:rPr>
          <w:color w:val="000000"/>
          <w:spacing w:val="-2"/>
          <w:rtl/>
          <w:lang w:bidi="ar-EG"/>
        </w:rPr>
        <w:t xml:space="preserve"> استكشاف الأرض </w:t>
      </w:r>
      <w:proofErr w:type="spellStart"/>
      <w:r w:rsidRPr="00DA0596">
        <w:rPr>
          <w:color w:val="000000"/>
          <w:spacing w:val="-2"/>
          <w:rtl/>
          <w:lang w:bidi="ar-EG"/>
        </w:rPr>
        <w:t>الساتلية</w:t>
      </w:r>
      <w:proofErr w:type="spellEnd"/>
      <w:r>
        <w:rPr>
          <w:color w:val="000000"/>
          <w:spacing w:val="-2"/>
          <w:rtl/>
          <w:lang w:bidi="ar-EG"/>
        </w:rPr>
        <w:t>،</w:t>
      </w:r>
      <w:r w:rsidRPr="00DA0596">
        <w:rPr>
          <w:color w:val="000000"/>
          <w:spacing w:val="-2"/>
          <w:rtl/>
          <w:lang w:bidi="ar-EG"/>
        </w:rPr>
        <w:t xml:space="preserve"> والأنظمة العاملة</w:t>
      </w:r>
      <w:r>
        <w:rPr>
          <w:color w:val="000000"/>
          <w:spacing w:val="-2"/>
          <w:rtl/>
          <w:lang w:bidi="ar-EG"/>
        </w:rPr>
        <w:br/>
      </w:r>
      <w:r w:rsidRPr="00DA0596">
        <w:rPr>
          <w:color w:val="000000"/>
          <w:spacing w:val="-2"/>
          <w:rtl/>
          <w:lang w:bidi="ar-EG"/>
        </w:rPr>
        <w:t xml:space="preserve">في الخدمات الأخرى في النطاق </w:t>
      </w:r>
      <w:r w:rsidRPr="00DA0596">
        <w:rPr>
          <w:color w:val="000000"/>
          <w:spacing w:val="-2"/>
          <w:lang w:bidi="ar-EG"/>
        </w:rPr>
        <w:t>MHz 1 300-1 215</w:t>
      </w:r>
    </w:p>
    <w:p w14:paraId="44F0EF7A" w14:textId="77777777" w:rsidR="00310D74" w:rsidRPr="00FE2D09" w:rsidRDefault="00310D74" w:rsidP="003155A4">
      <w:pPr>
        <w:jc w:val="right"/>
        <w:rPr>
          <w:lang w:val="fr-FR" w:bidi="ar-EG"/>
        </w:rPr>
      </w:pPr>
      <w:r>
        <w:rPr>
          <w:lang w:val="fr-FR" w:bidi="ar-EG"/>
        </w:rPr>
        <w:t>(2000)</w:t>
      </w:r>
    </w:p>
    <w:p w14:paraId="6A1FE6C5" w14:textId="77777777" w:rsidR="00310D74" w:rsidRDefault="00310D74" w:rsidP="00933823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14:paraId="64E51065" w14:textId="77777777" w:rsidR="00310D74" w:rsidRDefault="00310D74" w:rsidP="00933823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42B2E40F" w14:textId="77777777" w:rsidR="00310D74" w:rsidRDefault="00310D74" w:rsidP="00DF11B7">
      <w:pPr>
        <w:rPr>
          <w:rtl/>
          <w:lang w:val="fr-FR" w:bidi="ar-EG"/>
        </w:rPr>
      </w:pPr>
      <w:r w:rsidRPr="00057008">
        <w:rPr>
          <w:i/>
          <w:iCs/>
          <w:rtl/>
          <w:lang w:bidi="ar-EG"/>
        </w:rPr>
        <w:t xml:space="preserve"> </w:t>
      </w:r>
      <w:proofErr w:type="gramStart"/>
      <w:r w:rsidRPr="00057008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 xml:space="preserve">أن خصائص أنظمة استكشاف الأرض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</w:t>
      </w:r>
      <w:r>
        <w:rPr>
          <w:lang w:val="fr-FR" w:bidi="ar-EG"/>
        </w:rPr>
        <w:t>(</w:t>
      </w:r>
      <w:proofErr w:type="spellStart"/>
      <w:r>
        <w:rPr>
          <w:lang w:val="fr-FR" w:bidi="ar-EG"/>
        </w:rPr>
        <w:t>EESS</w:t>
      </w:r>
      <w:proofErr w:type="spellEnd"/>
      <w:r>
        <w:rPr>
          <w:lang w:val="fr-FR" w:bidi="ar-EG"/>
        </w:rPr>
        <w:t>)</w:t>
      </w:r>
      <w:r>
        <w:rPr>
          <w:rtl/>
          <w:lang w:val="fr-FR" w:bidi="ar-EG"/>
        </w:rPr>
        <w:t xml:space="preserve"> (النشطة)، والترددات وعروض النطاقات ومعايير الأداء والتداخل وتقاسم الترددات مبينة في التوصيتين </w:t>
      </w:r>
      <w:r>
        <w:rPr>
          <w:lang w:val="fr-FR" w:bidi="ar-EG"/>
        </w:rPr>
        <w:t>ITU-R </w:t>
      </w:r>
      <w:proofErr w:type="spellStart"/>
      <w:r>
        <w:rPr>
          <w:lang w:val="fr-FR" w:bidi="ar-EG"/>
        </w:rPr>
        <w:t>RS.577</w:t>
      </w:r>
      <w:proofErr w:type="spellEnd"/>
      <w:r>
        <w:rPr>
          <w:rtl/>
          <w:lang w:val="fr-FR" w:bidi="ar-EG"/>
        </w:rPr>
        <w:t xml:space="preserve"> و</w:t>
      </w:r>
      <w:r>
        <w:rPr>
          <w:lang w:val="fr-FR" w:bidi="ar-EG"/>
        </w:rPr>
        <w:t>ITU-R </w:t>
      </w:r>
      <w:proofErr w:type="spellStart"/>
      <w:r>
        <w:rPr>
          <w:lang w:val="fr-FR" w:bidi="ar-EG"/>
        </w:rPr>
        <w:t>RS.1166</w:t>
      </w:r>
      <w:proofErr w:type="spellEnd"/>
      <w:r>
        <w:rPr>
          <w:rtl/>
          <w:lang w:val="fr-FR" w:bidi="ar-EG"/>
        </w:rPr>
        <w:t>؛</w:t>
      </w:r>
    </w:p>
    <w:p w14:paraId="63E3E678" w14:textId="77777777" w:rsidR="00310D74" w:rsidRDefault="00310D74" w:rsidP="00933823">
      <w:pPr>
        <w:rPr>
          <w:rtl/>
          <w:lang w:val="fr-FR" w:bidi="ar-EG"/>
        </w:rPr>
      </w:pPr>
      <w:r w:rsidRPr="00057008">
        <w:rPr>
          <w:i/>
          <w:iCs/>
          <w:rtl/>
          <w:lang w:val="fr-FR" w:bidi="ar-EG"/>
        </w:rPr>
        <w:t>ب)</w:t>
      </w:r>
      <w:r>
        <w:rPr>
          <w:rtl/>
          <w:lang w:val="fr-FR" w:bidi="ar-EG"/>
        </w:rPr>
        <w:tab/>
        <w:t xml:space="preserve">أن المؤتمر </w:t>
      </w:r>
      <w:r>
        <w:rPr>
          <w:lang w:val="fr-FR" w:bidi="ar-EG"/>
        </w:rPr>
        <w:t>WRC-97</w:t>
      </w:r>
      <w:r>
        <w:rPr>
          <w:rtl/>
          <w:lang w:val="fr-FR" w:bidi="ar-EG"/>
        </w:rPr>
        <w:t xml:space="preserve"> وزَّع نطاق التردد </w:t>
      </w:r>
      <w:r>
        <w:rPr>
          <w:lang w:val="fr-FR" w:bidi="ar-EG"/>
        </w:rPr>
        <w:t>MHz 1 300-1 215</w:t>
      </w:r>
      <w:r>
        <w:rPr>
          <w:rtl/>
          <w:lang w:val="fr-FR" w:bidi="ar-EG"/>
        </w:rPr>
        <w:t xml:space="preserve"> على </w:t>
      </w:r>
      <w:proofErr w:type="spellStart"/>
      <w:r>
        <w:rPr>
          <w:rtl/>
          <w:lang w:val="fr-FR" w:bidi="ar-EG"/>
        </w:rPr>
        <w:t>المحاسيس</w:t>
      </w:r>
      <w:proofErr w:type="spellEnd"/>
      <w:r>
        <w:rPr>
          <w:rtl/>
          <w:lang w:val="fr-FR" w:bidi="ar-EG"/>
        </w:rPr>
        <w:t xml:space="preserve"> النشطة المحمولة في الفضاء العاملة في</w:t>
      </w:r>
      <w:r>
        <w:rPr>
          <w:rFonts w:hint="cs"/>
          <w:rtl/>
          <w:lang w:val="fr-FR" w:bidi="ar-EG"/>
        </w:rPr>
        <w:t> </w:t>
      </w:r>
      <w:r>
        <w:rPr>
          <w:rtl/>
          <w:lang w:val="fr-FR" w:bidi="ar-EG"/>
        </w:rPr>
        <w:t xml:space="preserve">خدمة استكشاف الأرض </w:t>
      </w:r>
      <w:proofErr w:type="spellStart"/>
      <w:r>
        <w:rPr>
          <w:rtl/>
          <w:lang w:val="fr-FR" w:bidi="ar-EG"/>
        </w:rPr>
        <w:t>الساتلية</w:t>
      </w:r>
      <w:proofErr w:type="spellEnd"/>
      <w:r>
        <w:rPr>
          <w:rtl/>
          <w:lang w:val="fr-FR" w:bidi="ar-EG"/>
        </w:rPr>
        <w:t xml:space="preserve"> على أساس أولي مع تقييدات في الحاشية</w:t>
      </w:r>
      <w:r>
        <w:rPr>
          <w:rFonts w:hint="cs"/>
          <w:rtl/>
          <w:lang w:val="fr-FR" w:bidi="ar-EG"/>
        </w:rPr>
        <w:t xml:space="preserve"> رقم </w:t>
      </w:r>
      <w:r w:rsidRPr="00DD3DE2">
        <w:rPr>
          <w:b/>
          <w:bCs/>
          <w:lang w:bidi="ar-EG"/>
        </w:rPr>
        <w:t>332.5</w:t>
      </w:r>
      <w:r>
        <w:rPr>
          <w:rtl/>
          <w:lang w:val="fr-FR" w:bidi="ar-EG"/>
        </w:rPr>
        <w:t>؛</w:t>
      </w:r>
    </w:p>
    <w:p w14:paraId="390D6D53" w14:textId="77777777" w:rsidR="00310D74" w:rsidRDefault="00310D74" w:rsidP="00933823">
      <w:pPr>
        <w:rPr>
          <w:rtl/>
          <w:lang w:val="fr-FR" w:bidi="ar-EG"/>
        </w:rPr>
      </w:pPr>
      <w:r w:rsidRPr="00057008">
        <w:rPr>
          <w:i/>
          <w:iCs/>
          <w:rtl/>
          <w:lang w:val="fr-FR" w:bidi="ar-EG"/>
        </w:rPr>
        <w:t>ج)</w:t>
      </w:r>
      <w:r>
        <w:rPr>
          <w:rtl/>
          <w:lang w:val="fr-FR" w:bidi="ar-EG"/>
        </w:rPr>
        <w:tab/>
        <w:t xml:space="preserve">أن الرقم </w:t>
      </w:r>
      <w:r>
        <w:rPr>
          <w:lang w:val="fr-FR" w:bidi="ar-EG"/>
        </w:rPr>
        <w:t>332.5</w:t>
      </w:r>
      <w:r>
        <w:rPr>
          <w:rtl/>
          <w:lang w:val="fr-FR" w:bidi="ar-EG"/>
        </w:rPr>
        <w:t xml:space="preserve"> يبين أن </w:t>
      </w:r>
      <w:proofErr w:type="spellStart"/>
      <w:r>
        <w:rPr>
          <w:rtl/>
          <w:lang w:val="fr-FR" w:bidi="ar-EG"/>
        </w:rPr>
        <w:t>المحاسيس</w:t>
      </w:r>
      <w:proofErr w:type="spellEnd"/>
      <w:r>
        <w:rPr>
          <w:rtl/>
          <w:lang w:val="fr-FR" w:bidi="ar-EG"/>
        </w:rPr>
        <w:t xml:space="preserve"> النشطة المحمولة في الفضاء في خدمة استكشاف الأرض </w:t>
      </w:r>
      <w:proofErr w:type="spellStart"/>
      <w:r>
        <w:rPr>
          <w:rtl/>
          <w:lang w:val="fr-FR" w:bidi="ar-EG"/>
        </w:rPr>
        <w:t>الساتلية</w:t>
      </w:r>
      <w:proofErr w:type="spellEnd"/>
      <w:r>
        <w:rPr>
          <w:rtl/>
          <w:lang w:val="fr-FR" w:bidi="ar-EG"/>
        </w:rPr>
        <w:t xml:space="preserve"> وفي خدمة البحوث الفضائية العاملة في النطاق </w:t>
      </w:r>
      <w:r>
        <w:rPr>
          <w:lang w:val="fr-FR" w:bidi="ar-EG"/>
        </w:rPr>
        <w:t>MHz 1 300-1 215</w:t>
      </w:r>
      <w:r>
        <w:rPr>
          <w:rtl/>
          <w:lang w:val="fr-FR" w:bidi="ar-EG"/>
        </w:rPr>
        <w:t xml:space="preserve"> لن تسبب تداخلاً ضاراً أو تطالب بالحماية من، أو تفرض بغير ذلك قيوداً على تشغيل أو تطوير خدمة التحديد الراديوي للمواقع وخدمة الملاحة الراديوية </w:t>
      </w:r>
      <w:proofErr w:type="spellStart"/>
      <w:r>
        <w:rPr>
          <w:rtl/>
          <w:lang w:val="fr-FR" w:bidi="ar-EG"/>
        </w:rPr>
        <w:t>الساتلية</w:t>
      </w:r>
      <w:proofErr w:type="spellEnd"/>
      <w:r>
        <w:rPr>
          <w:rtl/>
          <w:lang w:val="fr-FR" w:bidi="ar-EG"/>
        </w:rPr>
        <w:t xml:space="preserve"> والخدمات الأخرى الموزعة على أساس أولي؛ وأن رادارات تحديد الملامح العامة للرياح تعمل في خدمة التحديد الراديوي للمواقع؛</w:t>
      </w:r>
    </w:p>
    <w:p w14:paraId="5327D9ED" w14:textId="77777777" w:rsidR="00310D74" w:rsidRDefault="00310D74" w:rsidP="00933823">
      <w:pPr>
        <w:rPr>
          <w:rtl/>
          <w:lang w:val="fr-FR" w:bidi="ar-EG"/>
        </w:rPr>
      </w:pPr>
      <w:proofErr w:type="gramStart"/>
      <w:r w:rsidRPr="00057008">
        <w:rPr>
          <w:i/>
          <w:iCs/>
          <w:rtl/>
          <w:lang w:val="fr-FR" w:bidi="ar-EG"/>
        </w:rPr>
        <w:t>د )</w:t>
      </w:r>
      <w:proofErr w:type="gramEnd"/>
      <w:r>
        <w:rPr>
          <w:rtl/>
          <w:lang w:val="fr-FR" w:bidi="ar-EG"/>
        </w:rPr>
        <w:tab/>
        <w:t xml:space="preserve">أن دراسات القطاع </w:t>
      </w:r>
      <w:r>
        <w:rPr>
          <w:lang w:val="fr-FR" w:bidi="ar-EG"/>
        </w:rPr>
        <w:t>ITU-R</w:t>
      </w:r>
      <w:r>
        <w:rPr>
          <w:rtl/>
          <w:lang w:val="fr-FR" w:bidi="ar-EG"/>
        </w:rPr>
        <w:t xml:space="preserve"> تبيِّن أن التقاسم بين رادارات الفتحة التركيبية المحمولة في الفضاء ورادارات الأرض ممكن التحقيق باستثناء الرادارات بتشكيل التردد النبضي؛</w:t>
      </w:r>
    </w:p>
    <w:p w14:paraId="3AE02B98" w14:textId="77777777" w:rsidR="00310D74" w:rsidRPr="007D3BF6" w:rsidRDefault="00310D74" w:rsidP="00933823">
      <w:pPr>
        <w:rPr>
          <w:rtl/>
          <w:lang w:val="fr-FR" w:bidi="ar-EG"/>
        </w:rPr>
      </w:pPr>
      <w:proofErr w:type="gramStart"/>
      <w:r w:rsidRPr="00057008">
        <w:rPr>
          <w:i/>
          <w:iCs/>
          <w:rtl/>
          <w:lang w:val="fr-FR" w:bidi="ar-EG"/>
        </w:rPr>
        <w:t>ﻫ )</w:t>
      </w:r>
      <w:proofErr w:type="gramEnd"/>
      <w:r>
        <w:rPr>
          <w:rtl/>
          <w:lang w:val="fr-FR" w:bidi="ar-EG"/>
        </w:rPr>
        <w:tab/>
      </w:r>
      <w:r w:rsidRPr="00FC0FDA">
        <w:rPr>
          <w:spacing w:val="-4"/>
          <w:rtl/>
          <w:lang w:val="fr-FR" w:bidi="ar-EG"/>
        </w:rPr>
        <w:t xml:space="preserve">أن تقنيات التخفيف يمكن تطبيقها على </w:t>
      </w:r>
      <w:proofErr w:type="spellStart"/>
      <w:r w:rsidRPr="00FC0FDA">
        <w:rPr>
          <w:spacing w:val="-4"/>
          <w:rtl/>
          <w:lang w:val="fr-FR" w:bidi="ar-EG"/>
        </w:rPr>
        <w:t>المحاسيس</w:t>
      </w:r>
      <w:proofErr w:type="spellEnd"/>
      <w:r w:rsidRPr="00FC0FDA">
        <w:rPr>
          <w:spacing w:val="-4"/>
          <w:rtl/>
          <w:lang w:val="fr-FR" w:bidi="ar-EG"/>
        </w:rPr>
        <w:t xml:space="preserve"> النشطة المحمولة في الفضاء إذا لزم ذلك لتحسين إمكانيات إجراء التقاسم بين </w:t>
      </w:r>
      <w:proofErr w:type="spellStart"/>
      <w:r w:rsidRPr="00FC0FDA">
        <w:rPr>
          <w:spacing w:val="-4"/>
          <w:rtl/>
          <w:lang w:val="fr-FR" w:bidi="ar-EG"/>
        </w:rPr>
        <w:t>المحاسيس</w:t>
      </w:r>
      <w:proofErr w:type="spellEnd"/>
      <w:r w:rsidRPr="00FC0FDA">
        <w:rPr>
          <w:spacing w:val="-4"/>
          <w:rtl/>
          <w:lang w:val="fr-FR" w:bidi="ar-EG"/>
        </w:rPr>
        <w:t xml:space="preserve"> النشطة المحمولة في الفضاء وأنظمة الرادارات الخاصة بالتحديد الراديوي للمواقع العاملة في النطاق </w:t>
      </w:r>
      <w:r w:rsidRPr="00FC0FDA">
        <w:rPr>
          <w:spacing w:val="-4"/>
          <w:lang w:val="fr-FR" w:bidi="ar-EG"/>
        </w:rPr>
        <w:t>MHz 1 300-1 215</w:t>
      </w:r>
      <w:r w:rsidRPr="00FC0FDA">
        <w:rPr>
          <w:spacing w:val="-4"/>
          <w:rtl/>
          <w:lang w:val="fr-FR" w:bidi="ar-EG"/>
        </w:rPr>
        <w:t>،</w:t>
      </w:r>
    </w:p>
    <w:p w14:paraId="44F53F89" w14:textId="77777777" w:rsidR="00310D74" w:rsidRPr="007D3BF6" w:rsidRDefault="00310D74" w:rsidP="00933823">
      <w:pPr>
        <w:pStyle w:val="Call"/>
        <w:rPr>
          <w:i w:val="0"/>
          <w:iCs w:val="0"/>
          <w:rtl/>
          <w:lang w:bidi="ar-EG"/>
        </w:rPr>
      </w:pPr>
      <w:r w:rsidRPr="007E4FDB">
        <w:rPr>
          <w:rtl/>
          <w:lang w:bidi="ar-EG"/>
        </w:rPr>
        <w:t>تقرر</w:t>
      </w:r>
      <w:r w:rsidRPr="007D3BF6">
        <w:rPr>
          <w:i w:val="0"/>
          <w:iCs w:val="0"/>
          <w:rtl/>
          <w:lang w:bidi="ar-EG"/>
        </w:rPr>
        <w:t xml:space="preserve"> أن المسألة التالية ينبغي دراستها</w:t>
      </w:r>
    </w:p>
    <w:p w14:paraId="0F933208" w14:textId="77777777" w:rsidR="00310D74" w:rsidRPr="008859F6" w:rsidRDefault="00310D74" w:rsidP="00933823">
      <w:pPr>
        <w:rPr>
          <w:rtl/>
          <w:lang w:val="fr-FR" w:bidi="ar-EG"/>
        </w:rPr>
      </w:pPr>
      <w:r w:rsidRPr="00057008">
        <w:rPr>
          <w:lang w:val="fr-FR" w:bidi="ar-EG"/>
        </w:rPr>
        <w:t>1</w:t>
      </w:r>
      <w:r>
        <w:rPr>
          <w:rtl/>
          <w:lang w:val="fr-FR" w:bidi="ar-EG"/>
        </w:rPr>
        <w:tab/>
        <w:t xml:space="preserve">ما هي الإمكانيات والشروط اللازمة لتقاسم الترددات بين أنظمة </w:t>
      </w:r>
      <w:proofErr w:type="spellStart"/>
      <w:r>
        <w:rPr>
          <w:rtl/>
          <w:lang w:val="fr-FR" w:bidi="ar-EG"/>
        </w:rPr>
        <w:t>المحاسيس</w:t>
      </w:r>
      <w:proofErr w:type="spellEnd"/>
      <w:r>
        <w:rPr>
          <w:rtl/>
          <w:lang w:val="fr-FR" w:bidi="ar-EG"/>
        </w:rPr>
        <w:t xml:space="preserve"> النشطة المحمولة في الفضاء في خدمة استكشاف الأرض </w:t>
      </w:r>
      <w:proofErr w:type="spellStart"/>
      <w:r>
        <w:rPr>
          <w:rtl/>
          <w:lang w:val="fr-FR" w:bidi="ar-EG"/>
        </w:rPr>
        <w:t>الساتلية</w:t>
      </w:r>
      <w:proofErr w:type="spellEnd"/>
      <w:r>
        <w:rPr>
          <w:rtl/>
          <w:lang w:val="fr-FR" w:bidi="ar-EG"/>
        </w:rPr>
        <w:t xml:space="preserve"> والأنظمة العاملة في الخدمات الأخرى في النطاق </w:t>
      </w:r>
      <w:r>
        <w:rPr>
          <w:lang w:val="fr-FR" w:bidi="ar-EG"/>
        </w:rPr>
        <w:t>MHz 1 300-1 215</w:t>
      </w:r>
      <w:r>
        <w:rPr>
          <w:rtl/>
          <w:lang w:val="fr-FR" w:bidi="ar-EG"/>
        </w:rPr>
        <w:t>؟</w:t>
      </w:r>
    </w:p>
    <w:p w14:paraId="1CF3066B" w14:textId="77777777" w:rsidR="00310D74" w:rsidRPr="00752DFD" w:rsidRDefault="00310D74" w:rsidP="00933823">
      <w:pPr>
        <w:rPr>
          <w:rtl/>
          <w:lang w:val="fr-FR" w:bidi="ar-EG"/>
        </w:rPr>
      </w:pPr>
      <w:r w:rsidRPr="00057008">
        <w:rPr>
          <w:lang w:val="fr-FR" w:bidi="ar-EG"/>
        </w:rPr>
        <w:t>2</w:t>
      </w:r>
      <w:r>
        <w:rPr>
          <w:rtl/>
          <w:lang w:val="fr-FR" w:bidi="ar-EG"/>
        </w:rPr>
        <w:tab/>
        <w:t xml:space="preserve">ما هي تقنيات تخفيف التداخل الممكنة التي يمكن أن تستعملها </w:t>
      </w:r>
      <w:proofErr w:type="spellStart"/>
      <w:r>
        <w:rPr>
          <w:rtl/>
          <w:lang w:val="fr-FR" w:bidi="ar-EG"/>
        </w:rPr>
        <w:t>المحاسيس</w:t>
      </w:r>
      <w:proofErr w:type="spellEnd"/>
      <w:r>
        <w:rPr>
          <w:rtl/>
          <w:lang w:val="fr-FR" w:bidi="ar-EG"/>
        </w:rPr>
        <w:t xml:space="preserve"> النشطة المحمولة في الفضاء لتيسير التقاسم في</w:t>
      </w:r>
      <w:r>
        <w:rPr>
          <w:rFonts w:hint="cs"/>
          <w:rtl/>
          <w:lang w:val="fr-FR" w:bidi="ar-EG"/>
        </w:rPr>
        <w:t> </w:t>
      </w:r>
      <w:r>
        <w:rPr>
          <w:rtl/>
          <w:lang w:val="fr-FR" w:bidi="ar-EG"/>
        </w:rPr>
        <w:t xml:space="preserve">النطاق </w:t>
      </w:r>
      <w:r>
        <w:rPr>
          <w:lang w:val="fr-FR" w:bidi="ar-EG"/>
        </w:rPr>
        <w:t>MHz 1 300-1 215</w:t>
      </w:r>
      <w:r>
        <w:rPr>
          <w:rtl/>
          <w:lang w:val="fr-FR" w:bidi="ar-EG"/>
        </w:rPr>
        <w:t>؟</w:t>
      </w:r>
    </w:p>
    <w:p w14:paraId="324A027A" w14:textId="77777777" w:rsidR="00310D74" w:rsidRPr="007E4FDB" w:rsidRDefault="00310D74" w:rsidP="00AF4D72">
      <w:pPr>
        <w:pStyle w:val="Call"/>
        <w:rPr>
          <w:rtl/>
          <w:lang w:bidi="ar-EG"/>
        </w:rPr>
      </w:pPr>
      <w:r w:rsidRPr="007E4FDB">
        <w:rPr>
          <w:rtl/>
          <w:lang w:bidi="ar-EG"/>
        </w:rPr>
        <w:t xml:space="preserve">تقرر </w:t>
      </w:r>
      <w:r>
        <w:rPr>
          <w:rFonts w:hint="cs"/>
          <w:rtl/>
          <w:lang w:bidi="ar-EG"/>
        </w:rPr>
        <w:t>كذلك</w:t>
      </w:r>
    </w:p>
    <w:p w14:paraId="5C4DC05C" w14:textId="77777777" w:rsidR="00310D74" w:rsidRDefault="00310D74" w:rsidP="00AF4D72">
      <w:pPr>
        <w:rPr>
          <w:rtl/>
          <w:lang w:bidi="ar-EG"/>
        </w:rPr>
      </w:pPr>
      <w:r w:rsidRPr="00057008">
        <w:rPr>
          <w:lang w:bidi="ar-EG"/>
        </w:rPr>
        <w:t>1</w:t>
      </w:r>
      <w:r w:rsidRPr="00B07BA3">
        <w:rPr>
          <w:b/>
          <w:bCs/>
          <w:rtl/>
          <w:lang w:bidi="ar-EG"/>
        </w:rPr>
        <w:tab/>
      </w:r>
      <w:r>
        <w:rPr>
          <w:rtl/>
          <w:lang w:bidi="ar-EG"/>
        </w:rPr>
        <w:t>أن نتائج الدراسات المذكورة أعلاه ينبغي أن تدرج في توصية (توصيات</w:t>
      </w:r>
      <w:proofErr w:type="gramStart"/>
      <w:r>
        <w:rPr>
          <w:rtl/>
          <w:lang w:bidi="ar-EG"/>
        </w:rPr>
        <w:t>)؛</w:t>
      </w:r>
      <w:proofErr w:type="gramEnd"/>
    </w:p>
    <w:p w14:paraId="2DD9728C" w14:textId="23392BDF" w:rsidR="00310D74" w:rsidRDefault="00310D74" w:rsidP="00DF11B7">
      <w:pPr>
        <w:rPr>
          <w:rtl/>
          <w:lang w:bidi="ar-EG"/>
        </w:rPr>
      </w:pPr>
      <w:r w:rsidRPr="00057008">
        <w:rPr>
          <w:lang w:bidi="ar-EG"/>
        </w:rPr>
        <w:t>2</w:t>
      </w:r>
      <w:r>
        <w:rPr>
          <w:rtl/>
          <w:lang w:bidi="ar-EG"/>
        </w:rPr>
        <w:tab/>
        <w:t xml:space="preserve">أن الدراسات المذكورة أعلاه ينبغي أن تُستكمل بحلول عام </w:t>
      </w:r>
      <w:r>
        <w:rPr>
          <w:lang w:bidi="ar-EG"/>
        </w:rPr>
        <w:t>202</w:t>
      </w:r>
      <w:r w:rsidR="00057008">
        <w:rPr>
          <w:lang w:bidi="ar-EG"/>
        </w:rPr>
        <w:t>7</w:t>
      </w:r>
      <w:r>
        <w:rPr>
          <w:rtl/>
          <w:lang w:bidi="ar-EG"/>
        </w:rPr>
        <w:t>.</w:t>
      </w:r>
    </w:p>
    <w:p w14:paraId="0A0C38A2" w14:textId="77777777" w:rsidR="00310D74" w:rsidRDefault="00310D74" w:rsidP="00DF11B7">
      <w:pPr>
        <w:rPr>
          <w:rtl/>
          <w:lang w:bidi="ar-EG"/>
        </w:rPr>
      </w:pPr>
    </w:p>
    <w:p w14:paraId="11E5552D" w14:textId="77777777" w:rsidR="00310D74" w:rsidRDefault="00310D74" w:rsidP="00DF11B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p w14:paraId="67195573" w14:textId="77777777" w:rsidR="00F925E0" w:rsidRPr="00D84A3F" w:rsidRDefault="00F925E0" w:rsidP="00D84A3F"/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57008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10D74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3DE2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4</cp:revision>
  <dcterms:created xsi:type="dcterms:W3CDTF">2024-02-07T11:32:00Z</dcterms:created>
  <dcterms:modified xsi:type="dcterms:W3CDTF">2024-02-07T11:36:00Z</dcterms:modified>
</cp:coreProperties>
</file>