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D7D" w14:textId="77777777" w:rsidR="008E6DA1" w:rsidRDefault="008E6DA1" w:rsidP="008E6DA1">
      <w:pPr>
        <w:pStyle w:val="QuestionNoBR"/>
      </w:pPr>
      <w:r>
        <w:t>CUESTIÓN UIT-R 146-2/7</w:t>
      </w:r>
      <w:r>
        <w:rPr>
          <w:rStyle w:val="FootnoteReference"/>
        </w:rPr>
        <w:footnoteReference w:customMarkFollows="1" w:id="1"/>
        <w:t>*</w:t>
      </w:r>
    </w:p>
    <w:p w14:paraId="410CE298" w14:textId="77777777" w:rsidR="008E6DA1" w:rsidRDefault="008E6DA1" w:rsidP="008E6DA1">
      <w:pPr>
        <w:pStyle w:val="Questiontitle"/>
      </w:pPr>
      <w:r>
        <w:t>Criterios para evaluar las interferencias</w:t>
      </w:r>
      <w:r>
        <w:br/>
        <w:t>causadas a la radioastronomía</w:t>
      </w:r>
    </w:p>
    <w:p w14:paraId="265DC76C" w14:textId="77777777" w:rsidR="008E6DA1" w:rsidRDefault="008E6DA1" w:rsidP="008E6DA1">
      <w:pPr>
        <w:pStyle w:val="Questiondate"/>
      </w:pPr>
      <w:r>
        <w:t>(1990-1993-2000)</w:t>
      </w:r>
    </w:p>
    <w:p w14:paraId="1719BE9D" w14:textId="77777777" w:rsidR="008E6DA1" w:rsidRDefault="008E6DA1" w:rsidP="008E6DA1">
      <w:pPr>
        <w:pStyle w:val="Normalaftertitle0"/>
        <w:jc w:val="both"/>
      </w:pPr>
      <w:r>
        <w:t>La Asamblea de Radiocomunicaciones de la UIT,</w:t>
      </w:r>
    </w:p>
    <w:p w14:paraId="51B24C80" w14:textId="77777777" w:rsidR="008E6DA1" w:rsidRDefault="008E6DA1" w:rsidP="008E6DA1">
      <w:pPr>
        <w:pStyle w:val="call0"/>
        <w:jc w:val="both"/>
      </w:pPr>
      <w:r>
        <w:t>considerando</w:t>
      </w:r>
    </w:p>
    <w:p w14:paraId="402D9E92" w14:textId="77777777" w:rsidR="008E6DA1" w:rsidRDefault="008E6DA1" w:rsidP="008E6DA1">
      <w:pPr>
        <w:jc w:val="both"/>
      </w:pPr>
      <w:r w:rsidRPr="00CF4C86">
        <w:rPr>
          <w:i/>
          <w:iCs/>
        </w:rPr>
        <w:t>a)</w:t>
      </w:r>
      <w:r>
        <w:tab/>
        <w:t>que según el Reglamento de Radiocomunicaciones (RR), se han atribuido bandas de frecuencias al servicio de radioastronomía para la observación de rayas y del continuum;</w:t>
      </w:r>
    </w:p>
    <w:p w14:paraId="3129193D" w14:textId="77777777" w:rsidR="008E6DA1" w:rsidRDefault="008E6DA1" w:rsidP="008E6DA1">
      <w:pPr>
        <w:jc w:val="both"/>
      </w:pPr>
      <w:r w:rsidRPr="00CF4C86">
        <w:rPr>
          <w:i/>
          <w:iCs/>
        </w:rPr>
        <w:t>b)</w:t>
      </w:r>
      <w:r>
        <w:tab/>
        <w:t>que señales interferentes de potencia muy reducida pueden causar interferencia perjudicial a las observaciones del servicio de radioastronomía;</w:t>
      </w:r>
    </w:p>
    <w:p w14:paraId="10B9F69B" w14:textId="77777777" w:rsidR="008E6DA1" w:rsidRDefault="008E6DA1" w:rsidP="008E6DA1">
      <w:pPr>
        <w:jc w:val="both"/>
      </w:pPr>
      <w:r w:rsidRPr="00CF4C86">
        <w:rPr>
          <w:i/>
          <w:iCs/>
        </w:rPr>
        <w:t>c)</w:t>
      </w:r>
      <w:r>
        <w:tab/>
        <w:t>que hay servicios que funcionan en muchas de las bandas en que existen atribuciones para el servicio de radioastronomía, o que utilizan transmisores de gran potencia en bandas adyacentes a las empleadas para la radioastronomía o en relación armónica con ellas;</w:t>
      </w:r>
    </w:p>
    <w:p w14:paraId="493649B0" w14:textId="77777777" w:rsidR="008E6DA1" w:rsidRDefault="008E6DA1" w:rsidP="008E6DA1">
      <w:pPr>
        <w:jc w:val="both"/>
      </w:pPr>
      <w:r w:rsidRPr="00CF4C86">
        <w:rPr>
          <w:i/>
          <w:iCs/>
        </w:rPr>
        <w:t>d)</w:t>
      </w:r>
      <w:r>
        <w:tab/>
        <w:t>que el creciente número de transmisiones procedentes de vehículos espaciales puede originar interferencias al servicio de radioastronomía, y que estas interferencias no pueden evitarse eligiendo la ubicación del observatorio o mediante medidas locales de protección;</w:t>
      </w:r>
    </w:p>
    <w:p w14:paraId="42B5B350" w14:textId="77777777" w:rsidR="008E6DA1" w:rsidRDefault="008E6DA1" w:rsidP="008E6DA1">
      <w:pPr>
        <w:jc w:val="both"/>
      </w:pPr>
      <w:r w:rsidRPr="00CF4C86">
        <w:rPr>
          <w:i/>
          <w:iCs/>
        </w:rPr>
        <w:t>e)</w:t>
      </w:r>
      <w:r w:rsidRPr="00CF4C86">
        <w:rPr>
          <w:i/>
          <w:iCs/>
        </w:rPr>
        <w:tab/>
      </w:r>
      <w:r>
        <w:t>que la utilización en radioastronomía de antenas en órbita como elementos de una formación de antenas o como radiotelescopios independientes, ofrece ventajas con respecto a las antenas terrenales, en cierto tipo de observaciones;</w:t>
      </w:r>
    </w:p>
    <w:p w14:paraId="4FACDDC0" w14:textId="77777777" w:rsidR="008E6DA1" w:rsidRDefault="008E6DA1" w:rsidP="008E6DA1">
      <w:pPr>
        <w:jc w:val="both"/>
      </w:pPr>
      <w:r w:rsidRPr="00CF4C86">
        <w:rPr>
          <w:i/>
          <w:iCs/>
        </w:rPr>
        <w:t>f)</w:t>
      </w:r>
      <w:r>
        <w:tab/>
        <w:t>que la Recomendación 61</w:t>
      </w:r>
      <w:r>
        <w:rPr>
          <w:rStyle w:val="FootnoteReference"/>
        </w:rPr>
        <w:footnoteReference w:customMarkFollows="1" w:id="2"/>
        <w:t>**</w:t>
      </w:r>
      <w:r>
        <w:t xml:space="preserve"> (CAMR-79) ha pedido información acerca de los criterios sobre la interferencia perjudicial causada a la radioastronomía;</w:t>
      </w:r>
    </w:p>
    <w:p w14:paraId="35C3F8D9" w14:textId="77777777" w:rsidR="008E6DA1" w:rsidRDefault="008E6DA1" w:rsidP="008E6DA1">
      <w:pPr>
        <w:jc w:val="both"/>
      </w:pPr>
      <w:r w:rsidRPr="00CF4C86">
        <w:rPr>
          <w:i/>
          <w:iCs/>
        </w:rPr>
        <w:t>g)</w:t>
      </w:r>
      <w:r w:rsidRPr="00CF4C86">
        <w:rPr>
          <w:i/>
          <w:iCs/>
        </w:rPr>
        <w:tab/>
      </w:r>
      <w:r>
        <w:t>que la Resolución 63 (Rev.CMR-97) invitaba al UIT-R a continuar los estudios relacionados con los equipos industriales, científicos y médicos (ICM) con el fin de asegurar una protección adecuada a los equipos de radiocomunicaciones,</w:t>
      </w:r>
    </w:p>
    <w:p w14:paraId="3A2E7E77" w14:textId="77777777" w:rsidR="008E6DA1" w:rsidRDefault="008E6DA1" w:rsidP="008E6DA1">
      <w:pPr>
        <w:pStyle w:val="call0"/>
        <w:jc w:val="both"/>
      </w:pPr>
      <w:r>
        <w:t xml:space="preserve">decide </w:t>
      </w:r>
      <w:r>
        <w:rPr>
          <w:i w:val="0"/>
          <w:iCs/>
        </w:rPr>
        <w:t>poner a estudio la siguiente Cuestión</w:t>
      </w:r>
    </w:p>
    <w:p w14:paraId="24B668B5" w14:textId="77777777" w:rsidR="008E6DA1" w:rsidRDefault="008E6DA1" w:rsidP="008E6DA1">
      <w:pPr>
        <w:jc w:val="both"/>
      </w:pPr>
      <w:r w:rsidRPr="00CF4C86">
        <w:rPr>
          <w:bCs/>
        </w:rPr>
        <w:t>1</w:t>
      </w:r>
      <w:r>
        <w:tab/>
        <w:t>¿Cuál es la interpretación práctica, en lo que respecta al servicio de radioastronomía, del concepto de interferencia perjudicial definido en el número 1.169 del RR?</w:t>
      </w:r>
    </w:p>
    <w:p w14:paraId="04DBBA8E" w14:textId="77777777" w:rsidR="008E6DA1" w:rsidRDefault="008E6DA1" w:rsidP="008E6DA1">
      <w:pPr>
        <w:jc w:val="both"/>
      </w:pPr>
      <w:r w:rsidRPr="00CF4C86">
        <w:rPr>
          <w:bCs/>
        </w:rPr>
        <w:t>2</w:t>
      </w:r>
      <w:r>
        <w:tab/>
        <w:t>¿Qué niveles de umbral de las señales interferentes pueden dar lugar a interferencia perjudicial cuando se rebasan durante más de un porcentaje de tiempo especificado, y cómo dependen esos niveles de umbral de la naturaleza y los métodos de las observaciones radioastronómicas?</w:t>
      </w:r>
    </w:p>
    <w:p w14:paraId="7C90820B" w14:textId="77777777" w:rsidR="008E6DA1" w:rsidRDefault="008E6DA1" w:rsidP="008E6DA1">
      <w:pPr>
        <w:keepNext/>
        <w:keepLines/>
        <w:jc w:val="both"/>
      </w:pPr>
      <w:r w:rsidRPr="00CF4C86">
        <w:rPr>
          <w:bCs/>
        </w:rPr>
        <w:lastRenderedPageBreak/>
        <w:t>3</w:t>
      </w:r>
      <w:r>
        <w:tab/>
        <w:t>¿Qué niveles de interferencia pueden producirse en ubicaciones típicas de observatorios</w:t>
      </w:r>
      <w:r>
        <w:rPr>
          <w:rStyle w:val="FootnoteReference"/>
        </w:rPr>
        <w:footnoteReference w:customMarkFollows="1" w:id="3"/>
        <w:t>***</w:t>
      </w:r>
      <w:r>
        <w:t xml:space="preserve"> debido a diferentes fuentes de interferencia, con inclusión de:</w:t>
      </w:r>
    </w:p>
    <w:p w14:paraId="4ED9E37F" w14:textId="77777777" w:rsidR="008E6DA1" w:rsidRDefault="008E6DA1" w:rsidP="008E6DA1">
      <w:pPr>
        <w:jc w:val="both"/>
      </w:pPr>
      <w:r w:rsidRPr="00CF4C86">
        <w:rPr>
          <w:bCs/>
        </w:rPr>
        <w:t>3.1</w:t>
      </w:r>
      <w:r w:rsidRPr="00CF4C86">
        <w:rPr>
          <w:bCs/>
        </w:rPr>
        <w:tab/>
      </w:r>
      <w:r>
        <w:t>las transmisiones de otros servicios que funcionen en las bandas utilizadas para las observaciones radioastronómicas;</w:t>
      </w:r>
    </w:p>
    <w:p w14:paraId="17F95096" w14:textId="77777777" w:rsidR="008E6DA1" w:rsidRDefault="008E6DA1" w:rsidP="008E6DA1">
      <w:pPr>
        <w:jc w:val="both"/>
      </w:pPr>
      <w:r w:rsidRPr="00CF4C86">
        <w:rPr>
          <w:bCs/>
        </w:rPr>
        <w:t>3.2</w:t>
      </w:r>
      <w:r w:rsidRPr="00CF4C86">
        <w:rPr>
          <w:bCs/>
        </w:rPr>
        <w:tab/>
        <w:t>los</w:t>
      </w:r>
      <w:r>
        <w:t xml:space="preserve"> armónicos, productos de intermodulación y bandas laterales de transmisores que funcionen en otras bandas de frecuencias;</w:t>
      </w:r>
    </w:p>
    <w:p w14:paraId="52954EFA" w14:textId="77777777" w:rsidR="008E6DA1" w:rsidRDefault="008E6DA1" w:rsidP="008E6DA1">
      <w:pPr>
        <w:jc w:val="both"/>
      </w:pPr>
      <w:r w:rsidRPr="00CF4C86">
        <w:rPr>
          <w:bCs/>
        </w:rPr>
        <w:t>3.3</w:t>
      </w:r>
      <w:r w:rsidRPr="00CF4C86">
        <w:rPr>
          <w:bCs/>
        </w:rPr>
        <w:tab/>
      </w:r>
      <w:r>
        <w:t>¿otras fuentes de interferencia radioeléctrica, incluidos los equipos ICM?</w:t>
      </w:r>
    </w:p>
    <w:p w14:paraId="4503A769" w14:textId="77777777" w:rsidR="008E6DA1" w:rsidRDefault="008E6DA1" w:rsidP="008E6DA1">
      <w:pPr>
        <w:jc w:val="both"/>
      </w:pPr>
      <w:r w:rsidRPr="00CF4C86">
        <w:rPr>
          <w:bCs/>
        </w:rPr>
        <w:t>4</w:t>
      </w:r>
      <w:r>
        <w:tab/>
        <w:t>¿Cuál es la influencia de las reflexiones en aeronaves y en satélites artificiales, en el aumento del riesgo de interferencias?</w:t>
      </w:r>
    </w:p>
    <w:p w14:paraId="383A31C6" w14:textId="77777777" w:rsidR="008E6DA1" w:rsidRDefault="008E6DA1" w:rsidP="008E6DA1">
      <w:pPr>
        <w:jc w:val="both"/>
      </w:pPr>
      <w:r w:rsidRPr="00CF4C86">
        <w:rPr>
          <w:bCs/>
        </w:rPr>
        <w:t>5</w:t>
      </w:r>
      <w:r w:rsidRPr="00CF4C86">
        <w:rPr>
          <w:bCs/>
        </w:rPr>
        <w:tab/>
      </w:r>
      <w:r>
        <w:t>¿Cuál es la respuesta de los receptores típicos del servicio de radioastronomía a señales de bandas de frecuencias adyacentes a la banda pasante nominal del receptor?</w:t>
      </w:r>
    </w:p>
    <w:p w14:paraId="2B944F79" w14:textId="77777777" w:rsidR="008E6DA1" w:rsidRDefault="008E6DA1" w:rsidP="008E6DA1">
      <w:pPr>
        <w:jc w:val="both"/>
      </w:pPr>
      <w:r w:rsidRPr="00CF4C86">
        <w:rPr>
          <w:bCs/>
        </w:rPr>
        <w:t>6</w:t>
      </w:r>
      <w:r>
        <w:tab/>
        <w:t>¿Qué precauciones especiales pueden revelarse necesarias, por parte de los radioastrónomos y de los operadores de los demás servicios, cuando en un vehículo espacial o en una aeronave que se halle dentro del campo de visión de un observatorio radioastronómico se encuentre un transmisor que constituye una fuente potencial de interferencias?</w:t>
      </w:r>
    </w:p>
    <w:p w14:paraId="73B9A6ED" w14:textId="77777777" w:rsidR="008E6DA1" w:rsidRDefault="008E6DA1" w:rsidP="008E6DA1">
      <w:pPr>
        <w:jc w:val="both"/>
      </w:pPr>
      <w:r w:rsidRPr="00CF4C86">
        <w:rPr>
          <w:bCs/>
        </w:rPr>
        <w:t>7</w:t>
      </w:r>
      <w:r>
        <w:tab/>
        <w:t>¿Cuáles son las condiciones necesarias para evitar interferencia perjudicial a las observaciones que incluyen antenas de radioastronomía en órbita?</w:t>
      </w:r>
    </w:p>
    <w:p w14:paraId="3445C75D" w14:textId="77777777" w:rsidR="008E6DA1" w:rsidRDefault="008E6DA1" w:rsidP="008E6DA1">
      <w:pPr>
        <w:pStyle w:val="call0"/>
        <w:jc w:val="both"/>
      </w:pPr>
      <w:r>
        <w:t>decide también</w:t>
      </w:r>
    </w:p>
    <w:p w14:paraId="73FDF899" w14:textId="77777777" w:rsidR="008E6DA1" w:rsidRDefault="008E6DA1" w:rsidP="008E6DA1">
      <w:pPr>
        <w:jc w:val="both"/>
      </w:pPr>
      <w:r w:rsidRPr="00CF4C86">
        <w:rPr>
          <w:bCs/>
        </w:rPr>
        <w:t>1</w:t>
      </w:r>
      <w:r>
        <w:tab/>
        <w:t>que los resultados de estos estudios se incluyan en una o varias Recomendaciones;</w:t>
      </w:r>
    </w:p>
    <w:p w14:paraId="71370029" w14:textId="254B14C8" w:rsidR="008E6DA1" w:rsidRDefault="008E6DA1" w:rsidP="008E6DA1">
      <w:pPr>
        <w:jc w:val="both"/>
      </w:pPr>
      <w:r w:rsidRPr="00CF4C86">
        <w:rPr>
          <w:bCs/>
        </w:rPr>
        <w:t>2</w:t>
      </w:r>
      <w:r>
        <w:tab/>
        <w:t>que dichos estudios se terminen en 202</w:t>
      </w:r>
      <w:r w:rsidR="00C14FD0">
        <w:t>7</w:t>
      </w:r>
      <w:r>
        <w:t>.</w:t>
      </w:r>
    </w:p>
    <w:p w14:paraId="3E945FE3" w14:textId="6BEC4103" w:rsidR="00860893" w:rsidRDefault="008E6DA1" w:rsidP="008E6DA1">
      <w:pPr>
        <w:spacing w:before="360"/>
        <w:jc w:val="both"/>
      </w:pPr>
      <w:r>
        <w:t>Categoría: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245B3803" w14:textId="77777777" w:rsidR="008E6DA1" w:rsidRPr="007471FC" w:rsidRDefault="008E6DA1" w:rsidP="008E6DA1">
      <w:pPr>
        <w:pStyle w:val="FootnoteText"/>
        <w:tabs>
          <w:tab w:val="clear" w:pos="255"/>
          <w:tab w:val="clear" w:pos="794"/>
          <w:tab w:val="left" w:pos="426"/>
        </w:tabs>
        <w:ind w:left="426" w:hanging="426"/>
        <w:jc w:val="both"/>
        <w:rPr>
          <w:sz w:val="24"/>
          <w:szCs w:val="24"/>
        </w:rPr>
      </w:pPr>
      <w:r w:rsidRPr="007471FC">
        <w:rPr>
          <w:rStyle w:val="FootnoteReference"/>
          <w:sz w:val="24"/>
          <w:szCs w:val="24"/>
        </w:rPr>
        <w:t>*</w:t>
      </w:r>
      <w:r w:rsidRPr="007471FC">
        <w:rPr>
          <w:sz w:val="24"/>
          <w:szCs w:val="24"/>
        </w:rPr>
        <w:t xml:space="preserve"> </w:t>
      </w:r>
      <w:r w:rsidRPr="007471FC">
        <w:rPr>
          <w:sz w:val="24"/>
          <w:szCs w:val="24"/>
        </w:rPr>
        <w:tab/>
        <w:t>En el año 2011, la Comisión de Estudio 7 de Radiocomunicaciones pospuso la fecha de finalización de los estudios para esta Cuestión.</w:t>
      </w:r>
    </w:p>
  </w:footnote>
  <w:footnote w:id="2">
    <w:p w14:paraId="5A80A24E" w14:textId="77777777" w:rsidR="008E6DA1" w:rsidRPr="007471FC" w:rsidRDefault="008E6DA1" w:rsidP="008E6DA1">
      <w:pPr>
        <w:pStyle w:val="FootnoteText"/>
        <w:tabs>
          <w:tab w:val="clear" w:pos="255"/>
          <w:tab w:val="clear" w:pos="794"/>
          <w:tab w:val="left" w:pos="426"/>
        </w:tabs>
        <w:ind w:left="0" w:firstLine="0"/>
        <w:jc w:val="both"/>
        <w:rPr>
          <w:sz w:val="24"/>
          <w:szCs w:val="24"/>
        </w:rPr>
      </w:pPr>
      <w:r w:rsidRPr="007471FC">
        <w:rPr>
          <w:rStyle w:val="FootnoteReference"/>
          <w:sz w:val="24"/>
          <w:szCs w:val="24"/>
        </w:rPr>
        <w:t>**</w:t>
      </w:r>
      <w:r w:rsidRPr="007471FC">
        <w:rPr>
          <w:sz w:val="24"/>
          <w:szCs w:val="24"/>
        </w:rPr>
        <w:t xml:space="preserve"> </w:t>
      </w:r>
      <w:r w:rsidRPr="007471FC">
        <w:rPr>
          <w:sz w:val="24"/>
          <w:szCs w:val="24"/>
        </w:rPr>
        <w:tab/>
        <w:t>Esta Cuestión ha sido suprimida por la CMR-2000.</w:t>
      </w:r>
    </w:p>
  </w:footnote>
  <w:footnote w:id="3">
    <w:p w14:paraId="13DF74AA" w14:textId="420A64F3" w:rsidR="008E6DA1" w:rsidRDefault="008E6DA1" w:rsidP="008E6DA1">
      <w:pPr>
        <w:pStyle w:val="FootnoteText"/>
        <w:tabs>
          <w:tab w:val="clear" w:pos="255"/>
          <w:tab w:val="clear" w:pos="794"/>
          <w:tab w:val="left" w:pos="426"/>
        </w:tabs>
        <w:ind w:left="426" w:hanging="426"/>
        <w:jc w:val="both"/>
      </w:pPr>
      <w:r>
        <w:rPr>
          <w:rStyle w:val="FootnoteReference"/>
        </w:rPr>
        <w:t>***</w:t>
      </w:r>
      <w:r>
        <w:rPr>
          <w:rStyle w:val="FootnoteReference"/>
        </w:rPr>
        <w:tab/>
      </w:r>
      <w:r w:rsidRPr="00D83D64">
        <w:rPr>
          <w:sz w:val="24"/>
          <w:szCs w:val="24"/>
        </w:rPr>
        <w:t>Los datos sobre propagación para este estudio se podrán extraer de los trabajos de la Comisión de Estudio 3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8E6DA1"/>
    <w:rsid w:val="009D1DC3"/>
    <w:rsid w:val="009E2590"/>
    <w:rsid w:val="00A127AD"/>
    <w:rsid w:val="00A31D52"/>
    <w:rsid w:val="00B966F9"/>
    <w:rsid w:val="00C049E0"/>
    <w:rsid w:val="00C14FD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D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E6DA1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Normal"/>
    <w:rsid w:val="008E6DA1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8E6DA1"/>
    <w:pPr>
      <w:spacing w:before="280"/>
    </w:pPr>
  </w:style>
  <w:style w:type="paragraph" w:customStyle="1" w:styleId="call0">
    <w:name w:val="call"/>
    <w:basedOn w:val="Normal"/>
    <w:next w:val="Normal"/>
    <w:rsid w:val="008E6DA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3</TotalTime>
  <Pages>2</Pages>
  <Words>521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6</cp:revision>
  <cp:lastPrinted>2008-02-21T14:04:00Z</cp:lastPrinted>
  <dcterms:created xsi:type="dcterms:W3CDTF">2024-01-17T07:42:00Z</dcterms:created>
  <dcterms:modified xsi:type="dcterms:W3CDTF">2024-02-05T10:27:00Z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