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F734" w14:textId="77777777" w:rsidR="006261AA" w:rsidRDefault="006261AA" w:rsidP="00643C17">
      <w:pPr>
        <w:pStyle w:val="QuestionNoBR"/>
      </w:pPr>
      <w:r>
        <w:t>CUESTIÓN UIT-R 118-2/7</w:t>
      </w:r>
    </w:p>
    <w:p w14:paraId="014E285D" w14:textId="77777777" w:rsidR="006261AA" w:rsidRDefault="006261AA" w:rsidP="00867DF3">
      <w:pPr>
        <w:pStyle w:val="Questiontitle"/>
      </w:pPr>
      <w:r>
        <w:t>Factores que influyen en la compartición de frecuencias entre sistemas de satélites de retransmisión de datos y sistemas de otros servicios</w:t>
      </w:r>
    </w:p>
    <w:p w14:paraId="2E6F1A2E" w14:textId="77777777" w:rsidR="006261AA" w:rsidRDefault="006261AA" w:rsidP="00867DF3">
      <w:pPr>
        <w:pStyle w:val="Questiondate"/>
      </w:pPr>
      <w:r>
        <w:t>(1990-1996-2000)</w:t>
      </w:r>
    </w:p>
    <w:p w14:paraId="3D54B7E9" w14:textId="77777777" w:rsidR="006261AA" w:rsidRDefault="006261AA" w:rsidP="00CF13A9">
      <w:pPr>
        <w:pStyle w:val="Normalaftertitle0"/>
        <w:jc w:val="both"/>
      </w:pPr>
      <w:r>
        <w:t>La Asamblea de Radiocomunicaciones de la UIT,</w:t>
      </w:r>
    </w:p>
    <w:p w14:paraId="762039F0" w14:textId="77777777" w:rsidR="006261AA" w:rsidRDefault="006261AA" w:rsidP="00CF13A9">
      <w:pPr>
        <w:pStyle w:val="Call"/>
        <w:jc w:val="both"/>
      </w:pPr>
      <w:r>
        <w:t>considerando</w:t>
      </w:r>
    </w:p>
    <w:p w14:paraId="4D5B934A" w14:textId="77777777" w:rsidR="006261AA" w:rsidRDefault="006261AA" w:rsidP="00CF13A9">
      <w:pPr>
        <w:jc w:val="both"/>
      </w:pPr>
      <w:r w:rsidRPr="00CF13A9">
        <w:rPr>
          <w:i/>
          <w:iCs/>
        </w:rPr>
        <w:t>a)</w:t>
      </w:r>
      <w:r>
        <w:tab/>
        <w:t>que los satélites de retransmisión de datos se utilizan para retransmitir datos recopilados en misiones, comunicaciones de televisión y de voz para misiones tripuladas, datos sobre seguimiento de la órbita tales como posición y velocidad del vehículo espacial y telemandos para gobierno y control del vehículo espacial;</w:t>
      </w:r>
    </w:p>
    <w:p w14:paraId="4D2E5553" w14:textId="77777777" w:rsidR="006261AA" w:rsidRDefault="006261AA" w:rsidP="00CF13A9">
      <w:pPr>
        <w:jc w:val="both"/>
      </w:pPr>
      <w:r w:rsidRPr="00CF13A9">
        <w:rPr>
          <w:i/>
          <w:iCs/>
        </w:rPr>
        <w:t>b)</w:t>
      </w:r>
      <w:r>
        <w:tab/>
        <w:t>que las frecuencias entre 2 y 30 GHz utilizadas por los satélites cercanos a la Tierra y los satélites de retransmisión de datos están compartidas por sistemas de otros servicios;</w:t>
      </w:r>
    </w:p>
    <w:p w14:paraId="058C2A05" w14:textId="77777777" w:rsidR="006261AA" w:rsidRDefault="006261AA" w:rsidP="00CF13A9">
      <w:pPr>
        <w:jc w:val="both"/>
      </w:pPr>
      <w:r w:rsidRPr="00CF13A9">
        <w:rPr>
          <w:i/>
          <w:iCs/>
        </w:rPr>
        <w:t>c)</w:t>
      </w:r>
      <w:r>
        <w:tab/>
        <w:t>que las bandas de frecuencias entre 20 y 30 GHz cada vez son más utilizadas por los sistemas actuales y previstos;</w:t>
      </w:r>
    </w:p>
    <w:p w14:paraId="6D34C5A0" w14:textId="77777777" w:rsidR="006261AA" w:rsidRDefault="006261AA" w:rsidP="00CF13A9">
      <w:pPr>
        <w:jc w:val="both"/>
      </w:pPr>
      <w:r w:rsidRPr="00CF13A9">
        <w:rPr>
          <w:i/>
          <w:iCs/>
        </w:rPr>
        <w:t>d)</w:t>
      </w:r>
      <w:r>
        <w:tab/>
        <w:t>que es posible la compartición de frecuencias entre estaciones espaciales de una red de satélites de retransmisión de datos y sistemas terrenales, siempre que:</w:t>
      </w:r>
    </w:p>
    <w:p w14:paraId="1C8E73BA" w14:textId="77777777" w:rsidR="006261AA" w:rsidRDefault="006261AA" w:rsidP="00CF13A9">
      <w:pPr>
        <w:pStyle w:val="enumlev1"/>
        <w:jc w:val="both"/>
      </w:pPr>
      <w:r>
        <w:t>–</w:t>
      </w:r>
      <w:r>
        <w:tab/>
        <w:t>se apliquen los límites de densidad de flujo de potencia adecuados a las emisiones de las estaciones espaciales de las redes de satélites de retransmisión de datos;</w:t>
      </w:r>
    </w:p>
    <w:p w14:paraId="1FFA6FED" w14:textId="77777777" w:rsidR="006261AA" w:rsidRDefault="006261AA" w:rsidP="00CF13A9">
      <w:pPr>
        <w:pStyle w:val="enumlev1"/>
        <w:jc w:val="both"/>
      </w:pPr>
      <w:r>
        <w:t>–</w:t>
      </w:r>
      <w:r>
        <w:tab/>
        <w:t xml:space="preserve">se apliquen los límites de densidad de </w:t>
      </w:r>
      <w:proofErr w:type="spellStart"/>
      <w:r>
        <w:t>p.i.r.e</w:t>
      </w:r>
      <w:proofErr w:type="spellEnd"/>
      <w:r>
        <w:t>. apropiados a las estaciones del servicio terrenal;</w:t>
      </w:r>
    </w:p>
    <w:p w14:paraId="65A4AA44" w14:textId="77777777" w:rsidR="006261AA" w:rsidRDefault="006261AA" w:rsidP="00CF13A9">
      <w:pPr>
        <w:jc w:val="both"/>
      </w:pPr>
      <w:r w:rsidRPr="00CF13A9">
        <w:rPr>
          <w:i/>
          <w:iCs/>
        </w:rPr>
        <w:t>e)</w:t>
      </w:r>
      <w:r>
        <w:tab/>
        <w:t>que la interferencia causada por las emisiones de estaciones terrenales fijas a las estaciones de una red de retransmisión de datos por satélite podría dar lugar a niveles de interferencia que sobrepasen el nivel de protección cuando sean visibles desde esas estaciones;</w:t>
      </w:r>
    </w:p>
    <w:p w14:paraId="7924E45E" w14:textId="77777777" w:rsidR="006261AA" w:rsidRDefault="006261AA" w:rsidP="00CF13A9">
      <w:pPr>
        <w:jc w:val="both"/>
      </w:pPr>
      <w:r w:rsidRPr="00CF13A9">
        <w:rPr>
          <w:i/>
          <w:iCs/>
        </w:rPr>
        <w:t>f)</w:t>
      </w:r>
      <w:r>
        <w:tab/>
        <w:t>que la utilización por los satélites de retransmisión de datos de técnicas de reducción de la interferencia, tales como agilidad de frecuencia, compensación adaptativa de la interferencia y evitación del acoplamiento haz principal a haz principal, puede facilitar la compartición con los servicios terrenales,</w:t>
      </w:r>
    </w:p>
    <w:p w14:paraId="1759D90C" w14:textId="48CA6474" w:rsidR="006261AA" w:rsidRDefault="006261AA" w:rsidP="00CF13A9">
      <w:pPr>
        <w:pStyle w:val="Call"/>
        <w:jc w:val="both"/>
      </w:pPr>
      <w:r>
        <w:t>decide</w:t>
      </w:r>
      <w:r>
        <w:rPr>
          <w:i w:val="0"/>
          <w:iCs/>
        </w:rPr>
        <w:t xml:space="preserve"> poner a estudio la</w:t>
      </w:r>
      <w:r w:rsidR="00E96D3B">
        <w:rPr>
          <w:i w:val="0"/>
          <w:iCs/>
        </w:rPr>
        <w:t>s</w:t>
      </w:r>
      <w:r>
        <w:rPr>
          <w:i w:val="0"/>
          <w:iCs/>
        </w:rPr>
        <w:t xml:space="preserve"> siguiente</w:t>
      </w:r>
      <w:r w:rsidR="00E96D3B">
        <w:rPr>
          <w:i w:val="0"/>
          <w:iCs/>
        </w:rPr>
        <w:t>s</w:t>
      </w:r>
      <w:r>
        <w:rPr>
          <w:i w:val="0"/>
          <w:iCs/>
        </w:rPr>
        <w:t xml:space="preserve"> Cuesti</w:t>
      </w:r>
      <w:r w:rsidR="00E96D3B">
        <w:rPr>
          <w:i w:val="0"/>
          <w:iCs/>
        </w:rPr>
        <w:t>ones</w:t>
      </w:r>
    </w:p>
    <w:p w14:paraId="6CE84E3D" w14:textId="77777777" w:rsidR="006261AA" w:rsidRDefault="006261AA" w:rsidP="00CF13A9">
      <w:pPr>
        <w:jc w:val="both"/>
      </w:pPr>
      <w:r w:rsidRPr="00CF13A9">
        <w:rPr>
          <w:bCs/>
        </w:rPr>
        <w:t>1</w:t>
      </w:r>
      <w:r>
        <w:tab/>
        <w:t xml:space="preserve">¿Cuáles son los servicios con los que es posible la compartición de bandas de frecuencias con los sistemas de satélites de transmisión de datos y </w:t>
      </w:r>
      <w:proofErr w:type="gramStart"/>
      <w:r>
        <w:t>bajo qué condiciones</w:t>
      </w:r>
      <w:proofErr w:type="gramEnd"/>
      <w:r>
        <w:t>?</w:t>
      </w:r>
    </w:p>
    <w:p w14:paraId="270E72CC" w14:textId="7CCCB458" w:rsidR="006261AA" w:rsidRDefault="006261AA" w:rsidP="00CF13A9">
      <w:pPr>
        <w:jc w:val="both"/>
      </w:pPr>
      <w:r w:rsidRPr="00CF13A9">
        <w:rPr>
          <w:bCs/>
        </w:rPr>
        <w:t>2</w:t>
      </w:r>
      <w:r>
        <w:tab/>
        <w:t>¿Cuáles son los límites de densidad de flujo de potencia procedente de las emisiones de satélites de retransmisión de datos para proteger otros servicios que compartan frecuencias entre 2</w:t>
      </w:r>
      <w:r w:rsidR="0060764D">
        <w:t> </w:t>
      </w:r>
      <w:r>
        <w:t>GHz y 30 GHz?</w:t>
      </w:r>
    </w:p>
    <w:p w14:paraId="7056C0AB" w14:textId="77777777" w:rsidR="006261AA" w:rsidRDefault="006261AA" w:rsidP="00CF13A9">
      <w:pPr>
        <w:jc w:val="both"/>
      </w:pPr>
      <w:r w:rsidRPr="00CF13A9">
        <w:rPr>
          <w:bCs/>
        </w:rPr>
        <w:t>3</w:t>
      </w:r>
      <w:r>
        <w:tab/>
      </w:r>
      <w:proofErr w:type="gramStart"/>
      <w:r>
        <w:t xml:space="preserve">¿Qué límites de densidad de </w:t>
      </w:r>
      <w:proofErr w:type="spellStart"/>
      <w:r>
        <w:t>p.</w:t>
      </w:r>
      <w:proofErr w:type="gramEnd"/>
      <w:r>
        <w:t>i.r.e</w:t>
      </w:r>
      <w:proofErr w:type="spellEnd"/>
      <w:r>
        <w:t xml:space="preserve"> deben aplicarse a las estaciones de los servicios terrenales para facilitar la compartición con las redes de satélites de retransmisión de datos?</w:t>
      </w:r>
    </w:p>
    <w:p w14:paraId="4B2A41AD" w14:textId="77777777" w:rsidR="006261AA" w:rsidRDefault="006261AA" w:rsidP="00CF13A9">
      <w:pPr>
        <w:jc w:val="both"/>
      </w:pPr>
      <w:r w:rsidRPr="00CF13A9">
        <w:t>4</w:t>
      </w:r>
      <w:r>
        <w:tab/>
        <w:t>¿Cuáles son las consecuencias de la interferencia causada por emisiones de estaciones terrenales fijas a las estaciones de una red de retransmisión de datos por satélite, en comparación con la interferencia causada por las emisiones de estaciones terrenales no estacionarias ubicadas de manera aleatoria?</w:t>
      </w:r>
    </w:p>
    <w:p w14:paraId="2F2676DF" w14:textId="77777777" w:rsidR="006261AA" w:rsidRDefault="006261AA" w:rsidP="00CF13A9">
      <w:pPr>
        <w:jc w:val="both"/>
      </w:pPr>
      <w:r w:rsidRPr="00CF13A9">
        <w:rPr>
          <w:bCs/>
        </w:rPr>
        <w:lastRenderedPageBreak/>
        <w:t>5</w:t>
      </w:r>
      <w:r>
        <w:tab/>
        <w:t>¿Cuáles son las técnicas de reducción de la interferencia más adecuadas para su utilización en las redes de satélites de retransmisión de datos que funcionan por encima de 20 GHz?</w:t>
      </w:r>
    </w:p>
    <w:p w14:paraId="71AB0780" w14:textId="77777777" w:rsidR="006261AA" w:rsidRDefault="006261AA" w:rsidP="00CF13A9">
      <w:pPr>
        <w:pStyle w:val="Call"/>
        <w:jc w:val="both"/>
      </w:pPr>
      <w:r>
        <w:t>decide también</w:t>
      </w:r>
    </w:p>
    <w:p w14:paraId="494BA612" w14:textId="77777777" w:rsidR="006261AA" w:rsidRDefault="006261AA" w:rsidP="00CF13A9">
      <w:pPr>
        <w:jc w:val="both"/>
        <w:rPr>
          <w:b/>
        </w:rPr>
      </w:pPr>
      <w:r w:rsidRPr="00CF13A9">
        <w:rPr>
          <w:bCs/>
        </w:rPr>
        <w:t>1</w:t>
      </w:r>
      <w:r>
        <w:tab/>
        <w:t>que los resultados de estos estudios se incluyan en una o varias Recomendaciones;</w:t>
      </w:r>
    </w:p>
    <w:p w14:paraId="762EE205" w14:textId="7C3279B4" w:rsidR="006261AA" w:rsidRPr="006261AA" w:rsidRDefault="006261AA" w:rsidP="00CF13A9">
      <w:pPr>
        <w:jc w:val="both"/>
      </w:pPr>
      <w:r w:rsidRPr="00CF13A9">
        <w:rPr>
          <w:bCs/>
        </w:rPr>
        <w:t>2</w:t>
      </w:r>
      <w:r w:rsidRPr="006261AA">
        <w:tab/>
        <w:t>que dic</w:t>
      </w:r>
      <w:r w:rsidR="00965A94">
        <w:t>hos estudios se terminen en 202</w:t>
      </w:r>
      <w:r w:rsidR="00CF13A9">
        <w:t>7</w:t>
      </w:r>
      <w:r w:rsidRPr="006261AA">
        <w:t>.</w:t>
      </w:r>
    </w:p>
    <w:p w14:paraId="1A0E3C41" w14:textId="77777777" w:rsidR="00BC3B76" w:rsidRDefault="00BC3B76" w:rsidP="00D22597">
      <w:pPr>
        <w:spacing w:before="360"/>
      </w:pPr>
      <w:r>
        <w:t xml:space="preserve">Categoría: </w:t>
      </w:r>
      <w:proofErr w:type="spellStart"/>
      <w:r>
        <w:t>S2</w:t>
      </w:r>
      <w:proofErr w:type="spellEnd"/>
    </w:p>
    <w:sectPr w:rsidR="00BC3B76" w:rsidSect="006507BF">
      <w:headerReference w:type="default" r:id="rId7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D37A" w14:textId="77777777" w:rsidR="00092447" w:rsidRDefault="00092447">
      <w:r>
        <w:separator/>
      </w:r>
    </w:p>
  </w:endnote>
  <w:endnote w:type="continuationSeparator" w:id="0">
    <w:p w14:paraId="31E2ACC5" w14:textId="77777777" w:rsidR="00092447" w:rsidRDefault="000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7592" w14:textId="77777777" w:rsidR="00092447" w:rsidRDefault="00092447">
      <w:r>
        <w:t>____________________</w:t>
      </w:r>
    </w:p>
  </w:footnote>
  <w:footnote w:type="continuationSeparator" w:id="0">
    <w:p w14:paraId="78879D14" w14:textId="77777777" w:rsidR="00092447" w:rsidRDefault="0009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9D70" w14:textId="77777777" w:rsidR="003B42CD" w:rsidRDefault="003B42C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3C1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6E4"/>
    <w:multiLevelType w:val="hybridMultilevel"/>
    <w:tmpl w:val="AF0E16EA"/>
    <w:lvl w:ilvl="0" w:tplc="9E04A2EC">
      <w:numFmt w:val="bullet"/>
      <w:lvlText w:val="–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2F3249B2"/>
    <w:multiLevelType w:val="hybridMultilevel"/>
    <w:tmpl w:val="0E3EC85E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57F47A39"/>
    <w:multiLevelType w:val="hybridMultilevel"/>
    <w:tmpl w:val="93E07BCA"/>
    <w:lvl w:ilvl="0" w:tplc="C3869974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5264412">
    <w:abstractNumId w:val="1"/>
  </w:num>
  <w:num w:numId="2" w16cid:durableId="300892593">
    <w:abstractNumId w:val="0"/>
  </w:num>
  <w:num w:numId="3" w16cid:durableId="209967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FD"/>
    <w:rsid w:val="0001028A"/>
    <w:rsid w:val="00034C78"/>
    <w:rsid w:val="00044876"/>
    <w:rsid w:val="00052524"/>
    <w:rsid w:val="000573D0"/>
    <w:rsid w:val="00092447"/>
    <w:rsid w:val="00103974"/>
    <w:rsid w:val="00105A36"/>
    <w:rsid w:val="001137FD"/>
    <w:rsid w:val="00123C6E"/>
    <w:rsid w:val="0013205A"/>
    <w:rsid w:val="00176161"/>
    <w:rsid w:val="00180387"/>
    <w:rsid w:val="00186841"/>
    <w:rsid w:val="0019289B"/>
    <w:rsid w:val="001B16A4"/>
    <w:rsid w:val="001B4E93"/>
    <w:rsid w:val="001F3652"/>
    <w:rsid w:val="002075F2"/>
    <w:rsid w:val="00207CC0"/>
    <w:rsid w:val="00212817"/>
    <w:rsid w:val="00237904"/>
    <w:rsid w:val="0024137E"/>
    <w:rsid w:val="00277CB4"/>
    <w:rsid w:val="00286D2D"/>
    <w:rsid w:val="002B41A5"/>
    <w:rsid w:val="002B5C6F"/>
    <w:rsid w:val="002E5084"/>
    <w:rsid w:val="00302BF2"/>
    <w:rsid w:val="003253A3"/>
    <w:rsid w:val="003540C3"/>
    <w:rsid w:val="00356EAD"/>
    <w:rsid w:val="00396CC1"/>
    <w:rsid w:val="003B42CD"/>
    <w:rsid w:val="003C0DA1"/>
    <w:rsid w:val="003C201F"/>
    <w:rsid w:val="003C44C2"/>
    <w:rsid w:val="003D13AF"/>
    <w:rsid w:val="003E774A"/>
    <w:rsid w:val="00437F26"/>
    <w:rsid w:val="004604BD"/>
    <w:rsid w:val="004D2602"/>
    <w:rsid w:val="005011A3"/>
    <w:rsid w:val="005045FF"/>
    <w:rsid w:val="005437D7"/>
    <w:rsid w:val="0056795E"/>
    <w:rsid w:val="005A6D99"/>
    <w:rsid w:val="005C24A6"/>
    <w:rsid w:val="005D5B9E"/>
    <w:rsid w:val="0060764D"/>
    <w:rsid w:val="00615B9C"/>
    <w:rsid w:val="006261AA"/>
    <w:rsid w:val="00643C17"/>
    <w:rsid w:val="006507BF"/>
    <w:rsid w:val="006A5497"/>
    <w:rsid w:val="006A782B"/>
    <w:rsid w:val="006B460A"/>
    <w:rsid w:val="006D0581"/>
    <w:rsid w:val="007304B1"/>
    <w:rsid w:val="00764061"/>
    <w:rsid w:val="007802DA"/>
    <w:rsid w:val="007A10F6"/>
    <w:rsid w:val="007A5088"/>
    <w:rsid w:val="007A7ECB"/>
    <w:rsid w:val="007C5B1F"/>
    <w:rsid w:val="007D6E75"/>
    <w:rsid w:val="007E331F"/>
    <w:rsid w:val="007F3A72"/>
    <w:rsid w:val="00804409"/>
    <w:rsid w:val="00805EDF"/>
    <w:rsid w:val="0085480F"/>
    <w:rsid w:val="00867DF3"/>
    <w:rsid w:val="00884BB1"/>
    <w:rsid w:val="008A09BD"/>
    <w:rsid w:val="008A1AAB"/>
    <w:rsid w:val="008A47B9"/>
    <w:rsid w:val="008B71AB"/>
    <w:rsid w:val="008C5E00"/>
    <w:rsid w:val="008F1627"/>
    <w:rsid w:val="009056A5"/>
    <w:rsid w:val="009119C7"/>
    <w:rsid w:val="00914806"/>
    <w:rsid w:val="00915062"/>
    <w:rsid w:val="00915ACD"/>
    <w:rsid w:val="00941269"/>
    <w:rsid w:val="00941E0C"/>
    <w:rsid w:val="009636DB"/>
    <w:rsid w:val="00965A94"/>
    <w:rsid w:val="009807F5"/>
    <w:rsid w:val="009B5089"/>
    <w:rsid w:val="009B59F1"/>
    <w:rsid w:val="009C5C21"/>
    <w:rsid w:val="00A1346A"/>
    <w:rsid w:val="00A50C12"/>
    <w:rsid w:val="00A534AB"/>
    <w:rsid w:val="00A55904"/>
    <w:rsid w:val="00A72126"/>
    <w:rsid w:val="00A900E7"/>
    <w:rsid w:val="00AB0CDA"/>
    <w:rsid w:val="00AD2B94"/>
    <w:rsid w:val="00AF40C8"/>
    <w:rsid w:val="00B02EFD"/>
    <w:rsid w:val="00B06FA6"/>
    <w:rsid w:val="00B0775A"/>
    <w:rsid w:val="00B240F9"/>
    <w:rsid w:val="00B41148"/>
    <w:rsid w:val="00B92A02"/>
    <w:rsid w:val="00BC3B76"/>
    <w:rsid w:val="00C66C98"/>
    <w:rsid w:val="00C807F6"/>
    <w:rsid w:val="00C96F4B"/>
    <w:rsid w:val="00CC7B1D"/>
    <w:rsid w:val="00CF13A9"/>
    <w:rsid w:val="00CF67E8"/>
    <w:rsid w:val="00D03851"/>
    <w:rsid w:val="00D03D74"/>
    <w:rsid w:val="00D2028E"/>
    <w:rsid w:val="00D22597"/>
    <w:rsid w:val="00D2317B"/>
    <w:rsid w:val="00D61C28"/>
    <w:rsid w:val="00D74612"/>
    <w:rsid w:val="00D94509"/>
    <w:rsid w:val="00DA259A"/>
    <w:rsid w:val="00DB7910"/>
    <w:rsid w:val="00DC1543"/>
    <w:rsid w:val="00DF40FB"/>
    <w:rsid w:val="00E06624"/>
    <w:rsid w:val="00E110A5"/>
    <w:rsid w:val="00E17BF3"/>
    <w:rsid w:val="00E9427A"/>
    <w:rsid w:val="00E96D3B"/>
    <w:rsid w:val="00EA17C6"/>
    <w:rsid w:val="00EA18B5"/>
    <w:rsid w:val="00EA4950"/>
    <w:rsid w:val="00EB5516"/>
    <w:rsid w:val="00EE28D2"/>
    <w:rsid w:val="00F54027"/>
    <w:rsid w:val="00FA686D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FE8C447"/>
  <w15:docId w15:val="{F9A7842C-58D3-4AC8-82F2-AF4850DB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D03851"/>
    <w:rPr>
      <w:color w:val="0000FF"/>
      <w:u w:val="single"/>
    </w:rPr>
  </w:style>
  <w:style w:type="paragraph" w:customStyle="1" w:styleId="TableLegend0">
    <w:name w:val="Table_Legend"/>
    <w:basedOn w:val="Normal"/>
    <w:next w:val="Normal"/>
    <w:rsid w:val="006B460A"/>
    <w:pPr>
      <w:keepNext/>
      <w:overflowPunct/>
      <w:autoSpaceDE/>
      <w:autoSpaceDN/>
      <w:adjustRightInd/>
      <w:spacing w:before="86" w:line="199" w:lineRule="exact"/>
      <w:jc w:val="both"/>
      <w:textAlignment w:val="auto"/>
    </w:pPr>
    <w:rPr>
      <w:sz w:val="18"/>
      <w:lang w:val="en-GB"/>
    </w:rPr>
  </w:style>
  <w:style w:type="paragraph" w:customStyle="1" w:styleId="TableTitle0">
    <w:name w:val="Table_Title"/>
    <w:basedOn w:val="Table"/>
    <w:next w:val="Blanc"/>
    <w:rsid w:val="006B460A"/>
    <w:pPr>
      <w:spacing w:before="0"/>
    </w:pPr>
    <w:rPr>
      <w:b/>
    </w:rPr>
  </w:style>
  <w:style w:type="paragraph" w:customStyle="1" w:styleId="TableText0">
    <w:name w:val="Table_Text"/>
    <w:basedOn w:val="TableLegend0"/>
    <w:rsid w:val="006B460A"/>
    <w:pPr>
      <w:spacing w:before="100" w:after="100" w:line="190" w:lineRule="exact"/>
    </w:pPr>
  </w:style>
  <w:style w:type="paragraph" w:customStyle="1" w:styleId="Table">
    <w:name w:val="Table_#"/>
    <w:basedOn w:val="Normal"/>
    <w:next w:val="TableTitle0"/>
    <w:rsid w:val="006B460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7" w:after="113"/>
      <w:jc w:val="center"/>
      <w:textAlignment w:val="auto"/>
    </w:pPr>
    <w:rPr>
      <w:sz w:val="18"/>
      <w:lang w:val="en-GB"/>
    </w:rPr>
  </w:style>
  <w:style w:type="paragraph" w:customStyle="1" w:styleId="Annex">
    <w:name w:val="Annex_#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/>
      <w:autoSpaceDE/>
      <w:autoSpaceDN/>
      <w:adjustRightInd/>
      <w:spacing w:before="720" w:after="68"/>
      <w:jc w:val="center"/>
      <w:textAlignment w:val="auto"/>
    </w:pPr>
    <w:rPr>
      <w:sz w:val="20"/>
      <w:lang w:val="en-GB"/>
    </w:rPr>
  </w:style>
  <w:style w:type="paragraph" w:customStyle="1" w:styleId="AnnexTitle">
    <w:name w:val="Annex_Title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overflowPunct/>
      <w:autoSpaceDE/>
      <w:autoSpaceDN/>
      <w:adjustRightInd/>
      <w:spacing w:before="136" w:after="68"/>
      <w:jc w:val="center"/>
      <w:textAlignment w:val="auto"/>
    </w:pPr>
    <w:rPr>
      <w:b/>
      <w:sz w:val="20"/>
      <w:lang w:val="en-GB"/>
    </w:rPr>
  </w:style>
  <w:style w:type="paragraph" w:customStyle="1" w:styleId="Tablefin">
    <w:name w:val="Table_fin"/>
    <w:basedOn w:val="Normal"/>
    <w:next w:val="Normal"/>
    <w:rsid w:val="006B460A"/>
    <w:pPr>
      <w:overflowPunct/>
      <w:autoSpaceDE/>
      <w:autoSpaceDN/>
      <w:adjustRightInd/>
      <w:spacing w:before="284"/>
      <w:jc w:val="both"/>
      <w:textAlignment w:val="auto"/>
    </w:pPr>
    <w:rPr>
      <w:sz w:val="20"/>
      <w:lang w:val="en-GB"/>
    </w:rPr>
  </w:style>
  <w:style w:type="paragraph" w:customStyle="1" w:styleId="Blanc">
    <w:name w:val="Blanc"/>
    <w:basedOn w:val="Normal"/>
    <w:next w:val="TableText0"/>
    <w:rsid w:val="006B460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  <w:lang w:val="en-GB"/>
    </w:rPr>
  </w:style>
  <w:style w:type="paragraph" w:customStyle="1" w:styleId="Fig">
    <w:name w:val="Fig"/>
    <w:basedOn w:val="Figure"/>
    <w:next w:val="Fig0"/>
    <w:rsid w:val="006B460A"/>
    <w:pPr>
      <w:keepNext w:val="0"/>
      <w:keepLines w:val="0"/>
      <w:overflowPunct/>
      <w:autoSpaceDE/>
      <w:autoSpaceDN/>
      <w:adjustRightInd/>
      <w:spacing w:before="136" w:after="0"/>
      <w:textAlignment w:val="auto"/>
    </w:pPr>
    <w:rPr>
      <w:sz w:val="20"/>
      <w:lang w:val="en-US"/>
    </w:rPr>
  </w:style>
  <w:style w:type="paragraph" w:customStyle="1" w:styleId="Fig0">
    <w:name w:val="Fig_#"/>
    <w:basedOn w:val="Fig"/>
    <w:next w:val="Normal"/>
    <w:rsid w:val="006B460A"/>
    <w:pPr>
      <w:jc w:val="left"/>
    </w:pPr>
    <w:rPr>
      <w:color w:val="FFFFFF"/>
    </w:rPr>
  </w:style>
  <w:style w:type="paragraph" w:customStyle="1" w:styleId="Char1CharChar1Char">
    <w:name w:val="Char1 Char Char1 Char"/>
    <w:basedOn w:val="Normal"/>
    <w:rsid w:val="007A508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Notitle0">
    <w:name w:val="Annex_No &amp; title"/>
    <w:basedOn w:val="Normal"/>
    <w:next w:val="Normal"/>
    <w:rsid w:val="007A5088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7A5088"/>
    <w:rPr>
      <w:sz w:val="24"/>
      <w:lang w:val="es-ES_tradnl" w:eastAsia="en-US" w:bidi="ar-SA"/>
    </w:rPr>
  </w:style>
  <w:style w:type="paragraph" w:customStyle="1" w:styleId="QuestionNoBR">
    <w:name w:val="Question_No_BR"/>
    <w:basedOn w:val="Normal"/>
    <w:next w:val="Normal"/>
    <w:rsid w:val="003C201F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3C201F"/>
    <w:pPr>
      <w:spacing w:before="280"/>
    </w:pPr>
  </w:style>
  <w:style w:type="paragraph" w:customStyle="1" w:styleId="call0">
    <w:name w:val="call"/>
    <w:basedOn w:val="Normal"/>
    <w:next w:val="Normal"/>
    <w:rsid w:val="003C201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">
    <w:name w:val="Question_#"/>
    <w:basedOn w:val="Normal"/>
    <w:next w:val="Questiontitle"/>
    <w:rsid w:val="006261A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  <w:rPr>
      <w:sz w:val="20"/>
      <w:lang w:val="en-GB"/>
    </w:rPr>
  </w:style>
  <w:style w:type="paragraph" w:customStyle="1" w:styleId="QuestionTitleRef">
    <w:name w:val="Question_Title/Ref"/>
    <w:basedOn w:val="Normal"/>
    <w:next w:val="Normal"/>
    <w:rsid w:val="00B0775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36"/>
      <w:jc w:val="center"/>
    </w:pPr>
    <w:rPr>
      <w:sz w:val="20"/>
      <w:lang w:val="en-GB"/>
    </w:rPr>
  </w:style>
  <w:style w:type="paragraph" w:customStyle="1" w:styleId="QuestionTitle0">
    <w:name w:val="Question_Titl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240"/>
      <w:jc w:val="center"/>
    </w:pPr>
    <w:rPr>
      <w:b/>
      <w:sz w:val="18"/>
      <w:lang w:val="en-GB"/>
    </w:rPr>
  </w:style>
  <w:style w:type="paragraph" w:customStyle="1" w:styleId="QuestionTitleDate">
    <w:name w:val="Question_Title/Dat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CUESTIÓN UIT R 110-2/7</vt:lpstr>
    </vt:vector>
  </TitlesOfParts>
  <Manager>General Secretariat - Pool</Manager>
  <Company>International Telecommunication Union (ITU)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CUESTIÓN UIT R 110-2/7</dc:title>
  <dc:subject>Comisiones de estudio de radiocomunicaciones</dc:subject>
  <dc:creator>bossona</dc:creator>
  <cp:keywords/>
  <dc:description>Documento 7/1-S  For: _x000d_Document date: 1 de noviembre de 2007_x000d_Saved by PFR44244 at 14:57:54 on 06/11/2007</dc:description>
  <cp:lastModifiedBy>Author1</cp:lastModifiedBy>
  <cp:revision>10</cp:revision>
  <cp:lastPrinted>2007-11-06T13:56:00Z</cp:lastPrinted>
  <dcterms:created xsi:type="dcterms:W3CDTF">2012-02-02T15:24:00Z</dcterms:created>
  <dcterms:modified xsi:type="dcterms:W3CDTF">2024-02-01T15:55:00Z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7/1-S</vt:lpwstr>
  </property>
  <property fmtid="{D5CDD505-2E9C-101B-9397-08002B2CF9AE}" pid="3" name="Docdate">
    <vt:lpwstr>1 de noviembre de 2007</vt:lpwstr>
  </property>
  <property fmtid="{D5CDD505-2E9C-101B-9397-08002B2CF9AE}" pid="4" name="Docorlang">
    <vt:lpwstr>Original: inglés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