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81DEA" w14:textId="3407BA82" w:rsidR="007D40D4" w:rsidRPr="00262A91" w:rsidRDefault="007D40D4" w:rsidP="00910D79">
      <w:pPr>
        <w:pStyle w:val="QuestionNo"/>
        <w:rPr>
          <w:rFonts w:ascii="Dubai" w:hAnsi="Dubai" w:cs="Dubai"/>
          <w:sz w:val="28"/>
          <w:szCs w:val="28"/>
          <w:rtl/>
          <w:lang w:val="fr-FR" w:bidi="ar-EG"/>
        </w:rPr>
      </w:pPr>
      <w:r w:rsidRPr="00262A91">
        <w:rPr>
          <w:rFonts w:ascii="Dubai" w:hAnsi="Dubai" w:cs="Dubai"/>
          <w:sz w:val="28"/>
          <w:szCs w:val="28"/>
          <w:rtl/>
          <w:lang w:bidi="ar-EG"/>
        </w:rPr>
        <w:t xml:space="preserve">المسـألة </w:t>
      </w:r>
      <w:r w:rsidR="00E75F52" w:rsidRPr="00262A91">
        <w:rPr>
          <w:rFonts w:ascii="Dubai" w:hAnsi="Dubai" w:cs="Dubai"/>
          <w:sz w:val="28"/>
          <w:szCs w:val="28"/>
          <w:lang w:val="fr-FR" w:bidi="ar-EG"/>
        </w:rPr>
        <w:t>ITU-R 118-2/7</w:t>
      </w:r>
    </w:p>
    <w:p w14:paraId="67B04D8E" w14:textId="77777777" w:rsidR="007D40D4" w:rsidRPr="00262A91" w:rsidRDefault="00AC133E" w:rsidP="00AC133E">
      <w:pPr>
        <w:pStyle w:val="Questiontitle"/>
        <w:spacing w:before="240"/>
        <w:rPr>
          <w:rFonts w:ascii="Dubai" w:hAnsi="Dubai" w:cs="Dubai"/>
          <w:szCs w:val="28"/>
          <w:rtl/>
          <w:lang w:bidi="ar-EG"/>
        </w:rPr>
      </w:pPr>
      <w:r w:rsidRPr="00262A91">
        <w:rPr>
          <w:rFonts w:ascii="Dubai" w:hAnsi="Dubai" w:cs="Dubai"/>
          <w:color w:val="000000"/>
          <w:spacing w:val="-6"/>
          <w:szCs w:val="28"/>
          <w:rtl/>
          <w:lang w:val="en-US" w:eastAsia="zh-CN" w:bidi="ar-EG"/>
        </w:rPr>
        <w:t>العوامل التي تؤثر على تقاسم الترددات بين الأنظمة الساتلية لمرحلات البيانات</w:t>
      </w:r>
      <w:r w:rsidRPr="00262A91">
        <w:rPr>
          <w:rFonts w:ascii="Dubai" w:hAnsi="Dubai" w:cs="Dubai"/>
          <w:color w:val="000000"/>
          <w:spacing w:val="-6"/>
          <w:szCs w:val="28"/>
          <w:rtl/>
          <w:lang w:val="en-US" w:eastAsia="zh-CN" w:bidi="ar-EG"/>
        </w:rPr>
        <w:br/>
        <w:t>وأنظمة الخدمات الأخرى</w:t>
      </w:r>
    </w:p>
    <w:p w14:paraId="719C3F96" w14:textId="77777777" w:rsidR="007D40D4" w:rsidRPr="00262A91" w:rsidRDefault="007D40D4" w:rsidP="000E04EE">
      <w:pPr>
        <w:spacing w:before="0"/>
        <w:jc w:val="right"/>
        <w:rPr>
          <w:rFonts w:ascii="Dubai" w:hAnsi="Dubai" w:cs="Dubai"/>
          <w:szCs w:val="22"/>
          <w:lang w:val="fr-FR" w:bidi="ar-EG"/>
        </w:rPr>
      </w:pPr>
      <w:r w:rsidRPr="00262A91">
        <w:rPr>
          <w:rFonts w:ascii="Dubai" w:hAnsi="Dubai" w:cs="Dubai"/>
          <w:szCs w:val="22"/>
          <w:lang w:val="fr-FR" w:bidi="ar-EG"/>
        </w:rPr>
        <w:t>(</w:t>
      </w:r>
      <w:r w:rsidR="00AC133E" w:rsidRPr="00262A91">
        <w:rPr>
          <w:rFonts w:ascii="Dubai" w:hAnsi="Dubai" w:cs="Dubai"/>
          <w:szCs w:val="22"/>
          <w:lang w:val="fr-FR" w:bidi="ar-EG"/>
        </w:rPr>
        <w:t>2000</w:t>
      </w:r>
      <w:r w:rsidRPr="00262A91">
        <w:rPr>
          <w:rFonts w:ascii="Dubai" w:hAnsi="Dubai" w:cs="Dubai"/>
          <w:szCs w:val="22"/>
          <w:lang w:val="fr-FR" w:bidi="ar-EG"/>
        </w:rPr>
        <w:t>-</w:t>
      </w:r>
      <w:r w:rsidR="00AC133E" w:rsidRPr="00262A91">
        <w:rPr>
          <w:rFonts w:ascii="Dubai" w:hAnsi="Dubai" w:cs="Dubai"/>
          <w:szCs w:val="22"/>
          <w:lang w:val="fr-FR" w:bidi="ar-EG"/>
        </w:rPr>
        <w:t>1996-1990</w:t>
      </w:r>
      <w:r w:rsidRPr="00262A91">
        <w:rPr>
          <w:rFonts w:ascii="Dubai" w:hAnsi="Dubai" w:cs="Dubai"/>
          <w:szCs w:val="22"/>
          <w:lang w:val="fr-FR" w:bidi="ar-EG"/>
        </w:rPr>
        <w:t>)</w:t>
      </w:r>
    </w:p>
    <w:p w14:paraId="12405921" w14:textId="77777777" w:rsidR="007D40D4" w:rsidRPr="00262A91" w:rsidRDefault="007D40D4" w:rsidP="00262A91">
      <w:pPr>
        <w:pStyle w:val="Normalaftertitle"/>
        <w:spacing w:before="280"/>
        <w:rPr>
          <w:rFonts w:ascii="Dubai" w:hAnsi="Dubai" w:cs="Dubai"/>
          <w:szCs w:val="22"/>
          <w:rtl/>
          <w:lang w:bidi="ar-EG"/>
        </w:rPr>
      </w:pPr>
      <w:r w:rsidRPr="00262A91">
        <w:rPr>
          <w:rFonts w:ascii="Dubai" w:hAnsi="Dubai" w:cs="Dubai"/>
          <w:szCs w:val="22"/>
          <w:rtl/>
          <w:lang w:bidi="ar-EG"/>
        </w:rPr>
        <w:t>إن جمعية الاتصالات الراديوية ل</w:t>
      </w:r>
      <w:r w:rsidRPr="00262A91">
        <w:rPr>
          <w:rFonts w:ascii="Dubai" w:hAnsi="Dubai" w:cs="Dubai"/>
          <w:szCs w:val="22"/>
          <w:rtl/>
          <w:lang w:val="fr-CH" w:bidi="ar-EG"/>
        </w:rPr>
        <w:t>لاتحاد الدولي للاتصالات</w:t>
      </w:r>
      <w:r w:rsidRPr="00262A91">
        <w:rPr>
          <w:rFonts w:ascii="Dubai" w:hAnsi="Dubai" w:cs="Dubai"/>
          <w:szCs w:val="22"/>
          <w:rtl/>
          <w:lang w:bidi="ar-EG"/>
        </w:rPr>
        <w:t>،</w:t>
      </w:r>
    </w:p>
    <w:p w14:paraId="49A7EF60" w14:textId="77777777" w:rsidR="007D40D4" w:rsidRPr="00262A91" w:rsidRDefault="007D40D4" w:rsidP="007D40D4">
      <w:pPr>
        <w:pStyle w:val="Call"/>
        <w:rPr>
          <w:rFonts w:ascii="Dubai" w:hAnsi="Dubai" w:cs="Dubai"/>
          <w:szCs w:val="22"/>
          <w:rtl/>
          <w:lang w:bidi="ar-EG"/>
        </w:rPr>
      </w:pPr>
      <w:r w:rsidRPr="00262A91">
        <w:rPr>
          <w:rFonts w:ascii="Dubai" w:hAnsi="Dubai" w:cs="Dubai"/>
          <w:szCs w:val="22"/>
          <w:rtl/>
          <w:lang w:bidi="ar-EG"/>
        </w:rPr>
        <w:t>إذ تضع في اعتبارها</w:t>
      </w:r>
    </w:p>
    <w:p w14:paraId="4A970C0B" w14:textId="77777777" w:rsidR="007D40D4" w:rsidRPr="00262A91" w:rsidRDefault="00AA3FDB" w:rsidP="007D40D4">
      <w:pPr>
        <w:rPr>
          <w:rFonts w:ascii="Dubai" w:hAnsi="Dubai" w:cs="Dubai"/>
          <w:szCs w:val="22"/>
          <w:rtl/>
          <w:lang w:bidi="ar-EG"/>
        </w:rPr>
      </w:pPr>
      <w:r w:rsidRPr="00262A91">
        <w:rPr>
          <w:rFonts w:ascii="Dubai" w:hAnsi="Dubai" w:cs="Dubai"/>
          <w:szCs w:val="22"/>
          <w:rtl/>
          <w:lang w:bidi="ar-EG"/>
        </w:rPr>
        <w:t xml:space="preserve"> أ )</w:t>
      </w:r>
      <w:r w:rsidRPr="00262A91">
        <w:rPr>
          <w:rFonts w:ascii="Dubai" w:hAnsi="Dubai" w:cs="Dubai"/>
          <w:szCs w:val="22"/>
          <w:rtl/>
          <w:lang w:bidi="ar-EG"/>
        </w:rPr>
        <w:tab/>
        <w:t>أن الأنظمة الساتلية لمرحلات البيانات تستخدم لترحيل البيانات المستمدة من البعثات، والاتصالات الفيديوية والصوتية في البعثات المسكونة، وبيانات التتبع المداري مثل موضع وسرعة مركبة الفضاء، والتحكم من بُعد لأغراض الإرشاد والتحكم في مركبة الفضاء؛</w:t>
      </w:r>
    </w:p>
    <w:p w14:paraId="1FB5D77E" w14:textId="77777777" w:rsidR="00AA3FDB" w:rsidRPr="00262A91" w:rsidRDefault="00AA3FDB" w:rsidP="00AA3FDB">
      <w:pPr>
        <w:rPr>
          <w:rFonts w:ascii="Dubai" w:hAnsi="Dubai" w:cs="Dubai"/>
          <w:szCs w:val="22"/>
          <w:rtl/>
          <w:lang w:val="en-US" w:bidi="ar-EG"/>
        </w:rPr>
      </w:pPr>
      <w:r w:rsidRPr="00262A91">
        <w:rPr>
          <w:rFonts w:ascii="Dubai" w:hAnsi="Dubai" w:cs="Dubai"/>
          <w:szCs w:val="22"/>
          <w:rtl/>
          <w:lang w:bidi="ar-EG"/>
        </w:rPr>
        <w:t>ب)</w:t>
      </w:r>
      <w:r w:rsidRPr="00262A91">
        <w:rPr>
          <w:rFonts w:ascii="Dubai" w:hAnsi="Dubai" w:cs="Dubai"/>
          <w:szCs w:val="22"/>
          <w:rtl/>
          <w:lang w:bidi="ar-EG"/>
        </w:rPr>
        <w:tab/>
        <w:t xml:space="preserve">أن نطاقات التردد بين </w:t>
      </w:r>
      <w:r w:rsidRPr="00262A91">
        <w:rPr>
          <w:rFonts w:ascii="Dubai" w:hAnsi="Dubai" w:cs="Dubai"/>
          <w:szCs w:val="22"/>
          <w:lang w:val="en-US" w:bidi="ar-EG"/>
        </w:rPr>
        <w:t>2</w:t>
      </w:r>
      <w:r w:rsidRPr="00262A91">
        <w:rPr>
          <w:rFonts w:ascii="Dubai" w:hAnsi="Dubai" w:cs="Dubai"/>
          <w:szCs w:val="22"/>
          <w:rtl/>
          <w:lang w:val="en-US" w:bidi="ar-EG"/>
        </w:rPr>
        <w:t xml:space="preserve"> و</w:t>
      </w:r>
      <w:r w:rsidRPr="00262A91">
        <w:rPr>
          <w:rFonts w:ascii="Dubai" w:hAnsi="Dubai" w:cs="Dubai"/>
          <w:szCs w:val="22"/>
          <w:lang w:val="en-US" w:bidi="ar-EG"/>
        </w:rPr>
        <w:t>GHz 30</w:t>
      </w:r>
      <w:r w:rsidRPr="00262A91">
        <w:rPr>
          <w:rFonts w:ascii="Dubai" w:hAnsi="Dubai" w:cs="Dubai"/>
          <w:szCs w:val="22"/>
          <w:rtl/>
          <w:lang w:val="en-US" w:bidi="ar-EG"/>
        </w:rPr>
        <w:t xml:space="preserve"> التي يستخدمها الساتل القريب من الأرض وسواتل ترحيل البيانات، يجري </w:t>
      </w:r>
      <w:r w:rsidR="00EA78C1" w:rsidRPr="00262A91">
        <w:rPr>
          <w:rFonts w:ascii="Dubai" w:hAnsi="Dubai" w:cs="Dubai"/>
          <w:szCs w:val="22"/>
          <w:rtl/>
          <w:lang w:val="en-US" w:bidi="ar-EG"/>
        </w:rPr>
        <w:t>تقاسمها مع أنظمة الخدمات الأخرى؛</w:t>
      </w:r>
    </w:p>
    <w:p w14:paraId="1E18B9EB" w14:textId="77777777" w:rsidR="00AA3FDB" w:rsidRPr="00262A91" w:rsidRDefault="00AA3FDB" w:rsidP="00AA3FDB">
      <w:pPr>
        <w:rPr>
          <w:rFonts w:ascii="Dubai" w:hAnsi="Dubai" w:cs="Dubai"/>
          <w:szCs w:val="22"/>
          <w:rtl/>
          <w:lang w:val="en-US" w:bidi="ar-EG"/>
        </w:rPr>
      </w:pPr>
      <w:r w:rsidRPr="00262A91">
        <w:rPr>
          <w:rFonts w:ascii="Dubai" w:hAnsi="Dubai" w:cs="Dubai"/>
          <w:szCs w:val="22"/>
          <w:rtl/>
          <w:lang w:val="en-US" w:bidi="ar-EG"/>
        </w:rPr>
        <w:t>ج)</w:t>
      </w:r>
      <w:r w:rsidRPr="00262A91">
        <w:rPr>
          <w:rFonts w:ascii="Dubai" w:hAnsi="Dubai" w:cs="Dubai"/>
          <w:szCs w:val="22"/>
          <w:rtl/>
          <w:lang w:val="en-US" w:bidi="ar-EG"/>
        </w:rPr>
        <w:tab/>
        <w:t>أن الأنظمة الحالية والأنظمة المخطط لها أصبحت</w:t>
      </w:r>
      <w:r w:rsidR="00152AD6" w:rsidRPr="00262A91">
        <w:rPr>
          <w:rFonts w:ascii="Dubai" w:hAnsi="Dubai" w:cs="Dubai"/>
          <w:szCs w:val="22"/>
          <w:rtl/>
          <w:lang w:val="en-US" w:bidi="ar-EG"/>
        </w:rPr>
        <w:t xml:space="preserve"> تشغل بدرجة أكبر نطاقات التردد</w:t>
      </w:r>
      <w:r w:rsidRPr="00262A91">
        <w:rPr>
          <w:rFonts w:ascii="Dubai" w:hAnsi="Dubai" w:cs="Dubai"/>
          <w:szCs w:val="22"/>
          <w:rtl/>
          <w:lang w:val="en-US" w:bidi="ar-EG"/>
        </w:rPr>
        <w:t xml:space="preserve"> بين </w:t>
      </w:r>
      <w:r w:rsidRPr="00262A91">
        <w:rPr>
          <w:rFonts w:ascii="Dubai" w:hAnsi="Dubai" w:cs="Dubai"/>
          <w:szCs w:val="22"/>
          <w:lang w:val="en-US" w:bidi="ar-EG"/>
        </w:rPr>
        <w:t>20</w:t>
      </w:r>
      <w:r w:rsidRPr="00262A91">
        <w:rPr>
          <w:rFonts w:ascii="Dubai" w:hAnsi="Dubai" w:cs="Dubai"/>
          <w:szCs w:val="22"/>
          <w:rtl/>
          <w:lang w:val="en-US" w:bidi="ar-EG"/>
        </w:rPr>
        <w:t xml:space="preserve"> و</w:t>
      </w:r>
      <w:r w:rsidRPr="00262A91">
        <w:rPr>
          <w:rFonts w:ascii="Dubai" w:hAnsi="Dubai" w:cs="Dubai"/>
          <w:szCs w:val="22"/>
          <w:lang w:val="en-US" w:bidi="ar-EG"/>
        </w:rPr>
        <w:t>GHz 30</w:t>
      </w:r>
      <w:r w:rsidRPr="00262A91">
        <w:rPr>
          <w:rFonts w:ascii="Dubai" w:hAnsi="Dubai" w:cs="Dubai"/>
          <w:szCs w:val="22"/>
          <w:rtl/>
          <w:lang w:val="en-US" w:bidi="ar-EG"/>
        </w:rPr>
        <w:t>؛</w:t>
      </w:r>
    </w:p>
    <w:p w14:paraId="35A1283D" w14:textId="77777777" w:rsidR="00AA3FDB" w:rsidRPr="00262A91" w:rsidRDefault="00AA3FDB" w:rsidP="00AA3FDB">
      <w:pPr>
        <w:rPr>
          <w:rFonts w:ascii="Dubai" w:hAnsi="Dubai" w:cs="Dubai"/>
          <w:szCs w:val="22"/>
          <w:rtl/>
          <w:lang w:val="en-US" w:bidi="ar-EG"/>
        </w:rPr>
      </w:pPr>
      <w:r w:rsidRPr="00262A91">
        <w:rPr>
          <w:rFonts w:ascii="Dubai" w:hAnsi="Dubai" w:cs="Dubai"/>
          <w:szCs w:val="22"/>
          <w:rtl/>
          <w:lang w:val="en-US" w:bidi="ar-EG"/>
        </w:rPr>
        <w:t>د )</w:t>
      </w:r>
      <w:r w:rsidRPr="00262A91">
        <w:rPr>
          <w:rFonts w:ascii="Dubai" w:hAnsi="Dubai" w:cs="Dubai"/>
          <w:szCs w:val="22"/>
          <w:rtl/>
          <w:lang w:val="en-US" w:bidi="ar-EG"/>
        </w:rPr>
        <w:tab/>
        <w:t>أن تقاسم الترددات ممكن بين المحطات الفضائية للشبكات الساتلية لمرحلات البيانات وأنظمة الأرض، شريطة أن:</w:t>
      </w:r>
    </w:p>
    <w:p w14:paraId="02918B06" w14:textId="77777777" w:rsidR="00AA3FDB" w:rsidRPr="00262A91" w:rsidRDefault="00AA3FDB" w:rsidP="00AA3FDB">
      <w:pPr>
        <w:rPr>
          <w:rFonts w:ascii="Dubai" w:hAnsi="Dubai" w:cs="Dubai"/>
          <w:szCs w:val="22"/>
          <w:rtl/>
          <w:lang w:val="en-US" w:bidi="ar-EG"/>
        </w:rPr>
      </w:pPr>
      <w:r w:rsidRPr="00262A91">
        <w:rPr>
          <w:rFonts w:ascii="Dubai" w:hAnsi="Dubai" w:cs="Dubai"/>
          <w:szCs w:val="22"/>
          <w:rtl/>
          <w:lang w:val="en-US" w:bidi="ar-EG"/>
        </w:rPr>
        <w:t>-</w:t>
      </w:r>
      <w:r w:rsidRPr="00262A91">
        <w:rPr>
          <w:rFonts w:ascii="Dubai" w:hAnsi="Dubai" w:cs="Dubai"/>
          <w:szCs w:val="22"/>
          <w:rtl/>
          <w:lang w:val="en-US" w:bidi="ar-EG"/>
        </w:rPr>
        <w:tab/>
        <w:t>تطبق الحدود الملائمة لكثافة تدفق القدرة على إرسالات المحطات الفضائية للشبكات الساتلية لمرحلات البيانات؛</w:t>
      </w:r>
    </w:p>
    <w:p w14:paraId="248F1702" w14:textId="77777777" w:rsidR="00AA3FDB" w:rsidRPr="00262A91" w:rsidRDefault="00AA3FDB" w:rsidP="00AA3FDB">
      <w:pPr>
        <w:rPr>
          <w:rFonts w:ascii="Dubai" w:hAnsi="Dubai" w:cs="Dubai"/>
          <w:szCs w:val="22"/>
          <w:rtl/>
          <w:lang w:val="en-US" w:bidi="ar-EG"/>
        </w:rPr>
      </w:pPr>
      <w:r w:rsidRPr="00262A91">
        <w:rPr>
          <w:rFonts w:ascii="Dubai" w:hAnsi="Dubai" w:cs="Dubai"/>
          <w:szCs w:val="22"/>
          <w:rtl/>
          <w:lang w:val="en-US" w:bidi="ar-EG"/>
        </w:rPr>
        <w:t>-</w:t>
      </w:r>
      <w:r w:rsidRPr="00262A91">
        <w:rPr>
          <w:rFonts w:ascii="Dubai" w:hAnsi="Dubai" w:cs="Dubai"/>
          <w:szCs w:val="22"/>
          <w:rtl/>
          <w:lang w:val="en-US" w:bidi="ar-EG"/>
        </w:rPr>
        <w:tab/>
        <w:t>تطبق معايير كثافة القدرة المشعة المكافئة المتناحية على محطات خدمة الأرض؛</w:t>
      </w:r>
    </w:p>
    <w:p w14:paraId="2072798E" w14:textId="77777777" w:rsidR="00AA3FDB" w:rsidRPr="00262A91" w:rsidRDefault="00AA3FDB" w:rsidP="00AA3FDB">
      <w:pPr>
        <w:rPr>
          <w:rFonts w:ascii="Dubai" w:hAnsi="Dubai" w:cs="Dubai"/>
          <w:szCs w:val="22"/>
          <w:rtl/>
          <w:lang w:bidi="ar-EG"/>
        </w:rPr>
      </w:pPr>
      <w:r w:rsidRPr="00262A91">
        <w:rPr>
          <w:rFonts w:ascii="Dubai" w:hAnsi="Dubai" w:cs="Dubai"/>
          <w:szCs w:val="22"/>
          <w:rtl/>
          <w:lang w:bidi="ar-EG"/>
        </w:rPr>
        <w:t>ﻫ )</w:t>
      </w:r>
      <w:r w:rsidRPr="00262A91">
        <w:rPr>
          <w:rFonts w:ascii="Dubai" w:hAnsi="Dubai" w:cs="Dubai"/>
          <w:szCs w:val="22"/>
          <w:rtl/>
          <w:lang w:bidi="ar-EG"/>
        </w:rPr>
        <w:tab/>
        <w:t>أن التداخل في محطات الشبكات الساتلية لمرحلات البيانات من إرسالات المحطات الثابتة للأرض قد يؤدي إلى سويات تداخل تتجاوز سوية الحماية عندما تكون على مرمى البصر من هذه المحطات؛</w:t>
      </w:r>
    </w:p>
    <w:p w14:paraId="62ADEE30" w14:textId="77777777" w:rsidR="00AA3FDB" w:rsidRPr="00262A91" w:rsidRDefault="00AA3FDB" w:rsidP="00AA3FDB">
      <w:pPr>
        <w:rPr>
          <w:rFonts w:ascii="Dubai" w:hAnsi="Dubai" w:cs="Dubai"/>
          <w:szCs w:val="22"/>
          <w:rtl/>
          <w:lang w:val="en-US" w:bidi="ar-EG"/>
        </w:rPr>
      </w:pPr>
      <w:r w:rsidRPr="00262A91">
        <w:rPr>
          <w:rFonts w:ascii="Dubai" w:hAnsi="Dubai" w:cs="Dubai"/>
          <w:szCs w:val="22"/>
          <w:rtl/>
          <w:lang w:bidi="ar-EG"/>
        </w:rPr>
        <w:t>و )</w:t>
      </w:r>
      <w:r w:rsidRPr="00262A91">
        <w:rPr>
          <w:rFonts w:ascii="Dubai" w:hAnsi="Dubai" w:cs="Dubai"/>
          <w:szCs w:val="22"/>
          <w:rtl/>
          <w:lang w:bidi="ar-EG"/>
        </w:rPr>
        <w:tab/>
        <w:t>أن استخدام سواتل مرحلات البيانات لتقنيات تخفيف التداخل مثل خفة حركة التردد، وإلغاء التداخل التكيفي، وتحاشي الاقتران بين حزمة رئيسية وأخرى، قد يسهِّل التقاسم مع خدمات الأرض،</w:t>
      </w:r>
    </w:p>
    <w:p w14:paraId="45978AB8" w14:textId="77777777" w:rsidR="007D40D4" w:rsidRPr="00262A91" w:rsidRDefault="007D40D4" w:rsidP="007D40D4">
      <w:pPr>
        <w:pStyle w:val="Call"/>
        <w:rPr>
          <w:rFonts w:ascii="Dubai" w:hAnsi="Dubai" w:cs="Dubai"/>
          <w:i w:val="0"/>
          <w:iCs w:val="0"/>
          <w:szCs w:val="22"/>
          <w:rtl/>
          <w:lang w:bidi="ar-EG"/>
        </w:rPr>
      </w:pPr>
      <w:r w:rsidRPr="00262A91">
        <w:rPr>
          <w:rFonts w:ascii="Dubai" w:hAnsi="Dubai" w:cs="Dubai"/>
          <w:szCs w:val="22"/>
          <w:rtl/>
          <w:lang w:bidi="ar-EG"/>
        </w:rPr>
        <w:t xml:space="preserve">تقرر </w:t>
      </w:r>
      <w:r w:rsidRPr="00262A91">
        <w:rPr>
          <w:rFonts w:ascii="Dubai" w:hAnsi="Dubai" w:cs="Dubai"/>
          <w:i w:val="0"/>
          <w:iCs w:val="0"/>
          <w:szCs w:val="22"/>
          <w:rtl/>
          <w:lang w:bidi="ar-EG"/>
        </w:rPr>
        <w:t>أن المسألة التالية ينبغي دراستها</w:t>
      </w:r>
    </w:p>
    <w:p w14:paraId="61B1822B" w14:textId="77777777" w:rsidR="007D40D4" w:rsidRPr="00262A91" w:rsidRDefault="000E04EE" w:rsidP="007D40D4">
      <w:pPr>
        <w:rPr>
          <w:rFonts w:ascii="Dubai" w:hAnsi="Dubai" w:cs="Dubai"/>
          <w:spacing w:val="-8"/>
          <w:szCs w:val="22"/>
          <w:rtl/>
          <w:lang w:val="en-US" w:bidi="ar-EG"/>
        </w:rPr>
      </w:pPr>
      <w:r w:rsidRPr="00262A91">
        <w:rPr>
          <w:rFonts w:ascii="Dubai" w:hAnsi="Dubai" w:cs="Dubai"/>
          <w:spacing w:val="-8"/>
          <w:szCs w:val="22"/>
          <w:lang w:val="en-US" w:bidi="ar-EG"/>
        </w:rPr>
        <w:t>1</w:t>
      </w:r>
      <w:r w:rsidRPr="00262A91">
        <w:rPr>
          <w:rFonts w:ascii="Dubai" w:hAnsi="Dubai" w:cs="Dubai"/>
          <w:spacing w:val="-8"/>
          <w:szCs w:val="22"/>
          <w:rtl/>
          <w:lang w:val="en-US" w:bidi="ar-EG"/>
        </w:rPr>
        <w:tab/>
        <w:t>ما هي الخدمات التي يكون تقاسم نطاقات التردد معها للأنظمة الساتلية لمرحلات البيانات مسألة عملية، وفي ظل أي ظروف؟</w:t>
      </w:r>
    </w:p>
    <w:p w14:paraId="71DB96D7" w14:textId="77777777" w:rsidR="000E04EE" w:rsidRPr="00262A91" w:rsidRDefault="000E04EE" w:rsidP="00152AD6">
      <w:pPr>
        <w:rPr>
          <w:rFonts w:ascii="Dubai" w:hAnsi="Dubai" w:cs="Dubai"/>
          <w:szCs w:val="22"/>
          <w:rtl/>
          <w:lang w:val="en-US" w:bidi="ar-EG"/>
        </w:rPr>
      </w:pPr>
      <w:r w:rsidRPr="00262A91">
        <w:rPr>
          <w:rFonts w:ascii="Dubai" w:hAnsi="Dubai" w:cs="Dubai"/>
          <w:szCs w:val="22"/>
          <w:lang w:val="en-US" w:bidi="ar-EG"/>
        </w:rPr>
        <w:t>2</w:t>
      </w:r>
      <w:r w:rsidRPr="00262A91">
        <w:rPr>
          <w:rFonts w:ascii="Dubai" w:hAnsi="Dubai" w:cs="Dubai"/>
          <w:b/>
          <w:bCs/>
          <w:szCs w:val="22"/>
          <w:rtl/>
          <w:lang w:val="en-US" w:bidi="ar-EG"/>
        </w:rPr>
        <w:tab/>
      </w:r>
      <w:r w:rsidRPr="00262A91">
        <w:rPr>
          <w:rFonts w:ascii="Dubai" w:hAnsi="Dubai" w:cs="Dubai"/>
          <w:szCs w:val="22"/>
          <w:rtl/>
          <w:lang w:val="en-US" w:bidi="ar-EG"/>
        </w:rPr>
        <w:t xml:space="preserve">ما هي حدود كثافة تدفق القدرة لإرسالات الأنظمة الساتلية لمرحلات البيانات المطلوبة لحماية خدمات أخرى تتقاسم الترددات بين </w:t>
      </w:r>
      <w:r w:rsidRPr="00262A91">
        <w:rPr>
          <w:rFonts w:ascii="Dubai" w:hAnsi="Dubai" w:cs="Dubai"/>
          <w:szCs w:val="22"/>
          <w:lang w:val="en-US" w:bidi="ar-EG"/>
        </w:rPr>
        <w:t>2</w:t>
      </w:r>
      <w:r w:rsidRPr="00262A91">
        <w:rPr>
          <w:rFonts w:ascii="Dubai" w:hAnsi="Dubai" w:cs="Dubai"/>
          <w:szCs w:val="22"/>
          <w:rtl/>
          <w:lang w:val="en-US" w:bidi="ar-EG"/>
        </w:rPr>
        <w:t xml:space="preserve"> و</w:t>
      </w:r>
      <w:r w:rsidRPr="00262A91">
        <w:rPr>
          <w:rFonts w:ascii="Dubai" w:hAnsi="Dubai" w:cs="Dubai"/>
          <w:szCs w:val="22"/>
          <w:lang w:val="en-US" w:bidi="ar-EG"/>
        </w:rPr>
        <w:t>GHz 30</w:t>
      </w:r>
      <w:r w:rsidRPr="00262A91">
        <w:rPr>
          <w:rFonts w:ascii="Dubai" w:hAnsi="Dubai" w:cs="Dubai"/>
          <w:szCs w:val="22"/>
          <w:rtl/>
          <w:lang w:val="en-US" w:bidi="ar-EG"/>
        </w:rPr>
        <w:t>؟</w:t>
      </w:r>
    </w:p>
    <w:p w14:paraId="1036B38A" w14:textId="77777777" w:rsidR="000E04EE" w:rsidRPr="00262A91" w:rsidRDefault="000E04EE" w:rsidP="00152AD6">
      <w:pPr>
        <w:rPr>
          <w:rFonts w:ascii="Dubai" w:hAnsi="Dubai" w:cs="Dubai"/>
          <w:szCs w:val="22"/>
          <w:rtl/>
          <w:lang w:val="en-US" w:bidi="ar-EG"/>
        </w:rPr>
      </w:pPr>
      <w:r w:rsidRPr="00262A91">
        <w:rPr>
          <w:rFonts w:ascii="Dubai" w:hAnsi="Dubai" w:cs="Dubai"/>
          <w:szCs w:val="22"/>
          <w:lang w:val="en-US" w:bidi="ar-EG"/>
        </w:rPr>
        <w:t>3</w:t>
      </w:r>
      <w:r w:rsidRPr="00262A91">
        <w:rPr>
          <w:rFonts w:ascii="Dubai" w:hAnsi="Dubai" w:cs="Dubai"/>
          <w:szCs w:val="22"/>
          <w:rtl/>
          <w:lang w:val="en-US" w:bidi="ar-EG"/>
        </w:rPr>
        <w:tab/>
        <w:t>ما هي حدود كثافة القدرة المشعة المكافئة المتناحية الواجب تطبيقها على محطات خدمة الأرض لتسهيل التقاسم مع ال</w:t>
      </w:r>
      <w:r w:rsidR="00152AD6" w:rsidRPr="00262A91">
        <w:rPr>
          <w:rFonts w:ascii="Dubai" w:hAnsi="Dubai" w:cs="Dubai"/>
          <w:szCs w:val="22"/>
          <w:rtl/>
          <w:lang w:val="en-US" w:bidi="ar-EG"/>
        </w:rPr>
        <w:t xml:space="preserve">شبكات </w:t>
      </w:r>
      <w:r w:rsidRPr="00262A91">
        <w:rPr>
          <w:rFonts w:ascii="Dubai" w:hAnsi="Dubai" w:cs="Dubai"/>
          <w:szCs w:val="22"/>
          <w:rtl/>
          <w:lang w:val="en-US" w:bidi="ar-EG"/>
        </w:rPr>
        <w:t>الساتلية لمرحلات البيانات؟</w:t>
      </w:r>
    </w:p>
    <w:p w14:paraId="1D926B4F" w14:textId="77777777" w:rsidR="000E04EE" w:rsidRPr="00262A91" w:rsidRDefault="000E04EE" w:rsidP="00152AD6">
      <w:pPr>
        <w:rPr>
          <w:rFonts w:ascii="Dubai" w:hAnsi="Dubai" w:cs="Dubai"/>
          <w:szCs w:val="22"/>
          <w:rtl/>
          <w:lang w:val="en-US" w:bidi="ar-EG"/>
        </w:rPr>
      </w:pPr>
      <w:r w:rsidRPr="00262A91">
        <w:rPr>
          <w:rFonts w:ascii="Dubai" w:hAnsi="Dubai" w:cs="Dubai"/>
          <w:szCs w:val="22"/>
          <w:lang w:val="en-US" w:bidi="ar-EG"/>
        </w:rPr>
        <w:t>4</w:t>
      </w:r>
      <w:r w:rsidRPr="00262A91">
        <w:rPr>
          <w:rFonts w:ascii="Dubai" w:hAnsi="Dubai" w:cs="Dubai"/>
          <w:szCs w:val="22"/>
          <w:rtl/>
          <w:lang w:val="en-US" w:bidi="ar-EG"/>
        </w:rPr>
        <w:tab/>
        <w:t xml:space="preserve">ما هي الآثار المترتبة على التداخل في محطات </w:t>
      </w:r>
      <w:r w:rsidR="00152AD6" w:rsidRPr="00262A91">
        <w:rPr>
          <w:rFonts w:ascii="Dubai" w:hAnsi="Dubai" w:cs="Dubai"/>
          <w:szCs w:val="22"/>
          <w:rtl/>
          <w:lang w:val="en-US" w:bidi="ar-EG"/>
        </w:rPr>
        <w:t>في شبكة ساتلية لمرحلات البيانات</w:t>
      </w:r>
      <w:r w:rsidRPr="00262A91">
        <w:rPr>
          <w:rFonts w:ascii="Dubai" w:hAnsi="Dubai" w:cs="Dubai"/>
          <w:szCs w:val="22"/>
          <w:rtl/>
          <w:lang w:val="en-US" w:bidi="ar-EG"/>
        </w:rPr>
        <w:t xml:space="preserve"> بسبب إرسالات من المحطات الثابتة للأرض مقارنة بالتداخل من إرسالات محطات للأرض عشوائية الموقع، وغير مستقرة في مدارها بالنسبة إلى الأرض؟</w:t>
      </w:r>
    </w:p>
    <w:p w14:paraId="152B75B1" w14:textId="77777777" w:rsidR="000E04EE" w:rsidRPr="00262A91" w:rsidRDefault="000E04EE" w:rsidP="000E04EE">
      <w:pPr>
        <w:rPr>
          <w:rFonts w:ascii="Dubai" w:hAnsi="Dubai" w:cs="Dubai"/>
          <w:spacing w:val="-4"/>
          <w:szCs w:val="22"/>
          <w:rtl/>
          <w:lang w:val="en-US" w:bidi="ar-EG"/>
        </w:rPr>
      </w:pPr>
      <w:r w:rsidRPr="00262A91">
        <w:rPr>
          <w:rFonts w:ascii="Dubai" w:hAnsi="Dubai" w:cs="Dubai"/>
          <w:spacing w:val="-4"/>
          <w:szCs w:val="22"/>
          <w:lang w:val="en-US" w:bidi="ar-EG"/>
        </w:rPr>
        <w:t>5</w:t>
      </w:r>
      <w:r w:rsidRPr="00262A91">
        <w:rPr>
          <w:rFonts w:ascii="Dubai" w:hAnsi="Dubai" w:cs="Dubai"/>
          <w:spacing w:val="-4"/>
          <w:szCs w:val="22"/>
          <w:rtl/>
          <w:lang w:val="en-US" w:bidi="ar-EG"/>
        </w:rPr>
        <w:tab/>
        <w:t xml:space="preserve">ما هي التقنيات المفضلة لتخفيف التداخل لكي تستخدمها الشبكات الساتلية لمرحلات البيانات العاملة فوق </w:t>
      </w:r>
      <w:r w:rsidRPr="00262A91">
        <w:rPr>
          <w:rFonts w:ascii="Dubai" w:hAnsi="Dubai" w:cs="Dubai"/>
          <w:spacing w:val="-4"/>
          <w:szCs w:val="22"/>
          <w:lang w:val="en-US" w:bidi="ar-EG"/>
        </w:rPr>
        <w:t>GHz 20</w:t>
      </w:r>
      <w:r w:rsidRPr="00262A91">
        <w:rPr>
          <w:rFonts w:ascii="Dubai" w:hAnsi="Dubai" w:cs="Dubai"/>
          <w:spacing w:val="-4"/>
          <w:szCs w:val="22"/>
          <w:rtl/>
          <w:lang w:val="en-US" w:bidi="ar-EG"/>
        </w:rPr>
        <w:t>؟</w:t>
      </w:r>
    </w:p>
    <w:p w14:paraId="3F4EBF6C" w14:textId="77777777" w:rsidR="000E04EE" w:rsidRPr="00262A91" w:rsidRDefault="000E04EE" w:rsidP="000E04EE">
      <w:pPr>
        <w:pStyle w:val="Call"/>
        <w:rPr>
          <w:rFonts w:ascii="Dubai" w:hAnsi="Dubai" w:cs="Dubai"/>
          <w:szCs w:val="22"/>
          <w:lang w:bidi="ar-EG"/>
        </w:rPr>
      </w:pPr>
      <w:r w:rsidRPr="00262A91">
        <w:rPr>
          <w:rFonts w:ascii="Dubai" w:hAnsi="Dubai" w:cs="Dubai"/>
          <w:szCs w:val="22"/>
          <w:rtl/>
          <w:lang w:bidi="ar-EG"/>
        </w:rPr>
        <w:t>تقرر كذلك</w:t>
      </w:r>
    </w:p>
    <w:p w14:paraId="4B126DF2" w14:textId="77777777" w:rsidR="000E04EE" w:rsidRPr="00262A91" w:rsidRDefault="000E04EE" w:rsidP="000E04EE">
      <w:pPr>
        <w:rPr>
          <w:rFonts w:ascii="Dubai" w:hAnsi="Dubai" w:cs="Dubai"/>
          <w:szCs w:val="22"/>
          <w:rtl/>
          <w:lang w:val="en-US" w:bidi="ar-EG"/>
        </w:rPr>
      </w:pPr>
      <w:r w:rsidRPr="00262A91">
        <w:rPr>
          <w:rFonts w:ascii="Dubai" w:hAnsi="Dubai" w:cs="Dubai"/>
          <w:szCs w:val="22"/>
          <w:lang w:val="en-US" w:bidi="ar-EG"/>
        </w:rPr>
        <w:t>1</w:t>
      </w:r>
      <w:r w:rsidRPr="00262A91">
        <w:rPr>
          <w:rFonts w:ascii="Dubai" w:hAnsi="Dubai" w:cs="Dubai"/>
          <w:b/>
          <w:bCs/>
          <w:szCs w:val="22"/>
          <w:rtl/>
          <w:lang w:val="en-US" w:bidi="ar-EG"/>
        </w:rPr>
        <w:tab/>
      </w:r>
      <w:r w:rsidRPr="00262A91">
        <w:rPr>
          <w:rFonts w:ascii="Dubai" w:hAnsi="Dubai" w:cs="Dubai"/>
          <w:szCs w:val="22"/>
          <w:rtl/>
          <w:lang w:bidi="ar-EG"/>
        </w:rPr>
        <w:t>أن نتائج الدراسات المشار إليها أعلاه ينبغي أن تدرج في توصية (توصيات)؛</w:t>
      </w:r>
    </w:p>
    <w:p w14:paraId="1D10C358" w14:textId="54ED579D" w:rsidR="000E04EE" w:rsidRPr="00262A91" w:rsidRDefault="000E04EE" w:rsidP="000216E0">
      <w:pPr>
        <w:rPr>
          <w:rFonts w:ascii="Dubai" w:hAnsi="Dubai" w:cs="Dubai"/>
          <w:szCs w:val="22"/>
          <w:lang w:val="en-US" w:bidi="ar-EG"/>
        </w:rPr>
      </w:pPr>
      <w:r w:rsidRPr="00262A91">
        <w:rPr>
          <w:rFonts w:ascii="Dubai" w:hAnsi="Dubai" w:cs="Dubai"/>
          <w:szCs w:val="22"/>
          <w:lang w:val="en-US" w:bidi="ar-EG"/>
        </w:rPr>
        <w:t>2</w:t>
      </w:r>
      <w:r w:rsidRPr="00262A91">
        <w:rPr>
          <w:rFonts w:ascii="Dubai" w:hAnsi="Dubai" w:cs="Dubai"/>
          <w:szCs w:val="22"/>
          <w:rtl/>
          <w:lang w:val="en-US" w:bidi="ar-EG"/>
        </w:rPr>
        <w:tab/>
        <w:t xml:space="preserve">أن الدراسات المشار إليها أعلاه ينبغي أن تستكمل بحلول عام </w:t>
      </w:r>
      <w:r w:rsidRPr="00262A91">
        <w:rPr>
          <w:rFonts w:ascii="Dubai" w:hAnsi="Dubai" w:cs="Dubai"/>
          <w:szCs w:val="22"/>
          <w:lang w:val="en-US" w:bidi="ar-EG"/>
        </w:rPr>
        <w:t>20</w:t>
      </w:r>
      <w:r w:rsidR="00243BCB" w:rsidRPr="00262A91">
        <w:rPr>
          <w:rFonts w:ascii="Dubai" w:hAnsi="Dubai" w:cs="Dubai"/>
          <w:szCs w:val="22"/>
          <w:lang w:val="en-US" w:bidi="ar-EG"/>
        </w:rPr>
        <w:t>2</w:t>
      </w:r>
      <w:r w:rsidR="00262A91">
        <w:rPr>
          <w:rFonts w:ascii="Dubai" w:hAnsi="Dubai" w:cs="Dubai"/>
          <w:szCs w:val="22"/>
          <w:lang w:val="en-US" w:bidi="ar-EG"/>
        </w:rPr>
        <w:t>7</w:t>
      </w:r>
      <w:r w:rsidRPr="00262A91">
        <w:rPr>
          <w:rFonts w:ascii="Dubai" w:hAnsi="Dubai" w:cs="Dubai"/>
          <w:szCs w:val="22"/>
          <w:rtl/>
          <w:lang w:val="en-US" w:bidi="ar-EG"/>
        </w:rPr>
        <w:t>.</w:t>
      </w:r>
    </w:p>
    <w:p w14:paraId="1B4ADCF1" w14:textId="220AD2AF" w:rsidR="00E75F52" w:rsidRPr="00262A91" w:rsidRDefault="00E75F52" w:rsidP="000216E0">
      <w:pPr>
        <w:rPr>
          <w:rFonts w:ascii="Dubai" w:hAnsi="Dubai" w:cs="Dubai"/>
          <w:szCs w:val="22"/>
          <w:lang w:val="en-US" w:bidi="ar-EG"/>
        </w:rPr>
      </w:pPr>
    </w:p>
    <w:p w14:paraId="144141D8" w14:textId="6733D6F5" w:rsidR="00E75F52" w:rsidRPr="00262A91" w:rsidRDefault="00E75F52" w:rsidP="00262A91">
      <w:pPr>
        <w:spacing w:before="360"/>
        <w:rPr>
          <w:rFonts w:ascii="Dubai" w:hAnsi="Dubai" w:cs="Dubai"/>
          <w:szCs w:val="22"/>
          <w:lang w:val="en-US" w:bidi="ar-EG"/>
        </w:rPr>
      </w:pPr>
      <w:r w:rsidRPr="00262A91">
        <w:rPr>
          <w:rFonts w:ascii="Dubai" w:hAnsi="Dubai" w:cs="Dubai"/>
          <w:szCs w:val="22"/>
          <w:rtl/>
          <w:lang w:val="en-US" w:bidi="ar-EG"/>
        </w:rPr>
        <w:t xml:space="preserve">الفئة: </w:t>
      </w:r>
      <w:proofErr w:type="spellStart"/>
      <w:r w:rsidRPr="00262A91">
        <w:rPr>
          <w:rFonts w:ascii="Dubai" w:hAnsi="Dubai" w:cs="Dubai"/>
          <w:szCs w:val="22"/>
          <w:lang w:val="en-US" w:bidi="ar-EG"/>
        </w:rPr>
        <w:t>S2</w:t>
      </w:r>
      <w:proofErr w:type="spellEnd"/>
    </w:p>
    <w:sectPr w:rsidR="00E75F52" w:rsidRPr="00262A91" w:rsidSect="00D572D7">
      <w:headerReference w:type="default" r:id="rId8"/>
      <w:pgSz w:w="11907" w:h="16834" w:code="9"/>
      <w:pgMar w:top="851" w:right="1134" w:bottom="1134" w:left="1134" w:header="720" w:footer="720" w:gutter="0"/>
      <w:paperSrc w:first="15" w:other="15"/>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4C9F6" w14:textId="77777777" w:rsidR="001F4B50" w:rsidRDefault="001F4B50">
      <w:r>
        <w:separator/>
      </w:r>
    </w:p>
  </w:endnote>
  <w:endnote w:type="continuationSeparator" w:id="0">
    <w:p w14:paraId="707E3551" w14:textId="77777777" w:rsidR="001F4B50" w:rsidRDefault="001F4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altName w:val="Times New Roman"/>
    <w:charset w:val="B2"/>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2C60F" w14:textId="77777777" w:rsidR="001F4B50" w:rsidRDefault="001F4B50">
      <w:r>
        <w:t>____________________</w:t>
      </w:r>
    </w:p>
  </w:footnote>
  <w:footnote w:type="continuationSeparator" w:id="0">
    <w:p w14:paraId="4D6F376F" w14:textId="77777777" w:rsidR="001F4B50" w:rsidRDefault="001F4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58DC" w14:textId="77777777" w:rsidR="00D679D8" w:rsidRPr="008E3F42" w:rsidRDefault="00D679D8" w:rsidP="00391360">
    <w:pPr>
      <w:pStyle w:val="Header"/>
      <w:bidi w:val="0"/>
      <w:rPr>
        <w:sz w:val="18"/>
        <w:szCs w:val="18"/>
        <w:lang w:bidi="ar-EG"/>
      </w:rPr>
    </w:pPr>
    <w:r w:rsidRPr="008E3F42">
      <w:rPr>
        <w:sz w:val="18"/>
        <w:szCs w:val="18"/>
      </w:rPr>
      <w:t xml:space="preserve">- </w:t>
    </w:r>
    <w:r w:rsidRPr="008E3F42">
      <w:rPr>
        <w:rStyle w:val="PageNumber"/>
        <w:caps w:val="0"/>
        <w:noProof w:val="0"/>
        <w:sz w:val="18"/>
        <w:szCs w:val="18"/>
      </w:rPr>
      <w:fldChar w:fldCharType="begin"/>
    </w:r>
    <w:r w:rsidRPr="008E3F42">
      <w:rPr>
        <w:rStyle w:val="PageNumber"/>
        <w:caps w:val="0"/>
        <w:noProof w:val="0"/>
        <w:sz w:val="18"/>
        <w:szCs w:val="18"/>
      </w:rPr>
      <w:instrText xml:space="preserve"> PAGE </w:instrText>
    </w:r>
    <w:r w:rsidRPr="008E3F42">
      <w:rPr>
        <w:rStyle w:val="PageNumber"/>
        <w:caps w:val="0"/>
        <w:noProof w:val="0"/>
        <w:sz w:val="18"/>
        <w:szCs w:val="18"/>
      </w:rPr>
      <w:fldChar w:fldCharType="separate"/>
    </w:r>
    <w:r w:rsidR="00D572D7">
      <w:rPr>
        <w:rStyle w:val="PageNumber"/>
        <w:caps w:val="0"/>
        <w:sz w:val="18"/>
        <w:szCs w:val="18"/>
      </w:rPr>
      <w:t>2</w:t>
    </w:r>
    <w:r w:rsidRPr="008E3F42">
      <w:rPr>
        <w:rStyle w:val="PageNumber"/>
        <w:caps w:val="0"/>
        <w:noProof w:val="0"/>
        <w:sz w:val="18"/>
        <w:szCs w:val="18"/>
      </w:rPr>
      <w:fldChar w:fldCharType="end"/>
    </w:r>
    <w:r w:rsidRPr="008E3F42">
      <w:rPr>
        <w:rStyle w:val="PageNumber"/>
        <w:caps w:val="0"/>
        <w:noProof w:val="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DE0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3404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980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F0B7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0084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A090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63C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58E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F891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D28B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1"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num w:numId="1" w16cid:durableId="1249578412">
    <w:abstractNumId w:val="11"/>
  </w:num>
  <w:num w:numId="2" w16cid:durableId="1457917609">
    <w:abstractNumId w:val="6"/>
  </w:num>
  <w:num w:numId="3" w16cid:durableId="272521047">
    <w:abstractNumId w:val="5"/>
  </w:num>
  <w:num w:numId="4" w16cid:durableId="1886484913">
    <w:abstractNumId w:val="4"/>
  </w:num>
  <w:num w:numId="5" w16cid:durableId="943808660">
    <w:abstractNumId w:val="8"/>
  </w:num>
  <w:num w:numId="6" w16cid:durableId="664750269">
    <w:abstractNumId w:val="3"/>
  </w:num>
  <w:num w:numId="7" w16cid:durableId="1677071695">
    <w:abstractNumId w:val="2"/>
  </w:num>
  <w:num w:numId="8" w16cid:durableId="1976641645">
    <w:abstractNumId w:val="1"/>
  </w:num>
  <w:num w:numId="9" w16cid:durableId="1192307055">
    <w:abstractNumId w:val="0"/>
  </w:num>
  <w:num w:numId="10" w16cid:durableId="1716811173">
    <w:abstractNumId w:val="9"/>
  </w:num>
  <w:num w:numId="11" w16cid:durableId="298456020">
    <w:abstractNumId w:val="7"/>
  </w:num>
  <w:num w:numId="12" w16cid:durableId="1384140167">
    <w:abstractNumId w:val="10"/>
  </w:num>
  <w:num w:numId="13" w16cid:durableId="1857838835">
    <w:abstractNumId w:val="10"/>
  </w:num>
  <w:num w:numId="14" w16cid:durableId="1709992593">
    <w:abstractNumId w:val="10"/>
  </w:num>
  <w:num w:numId="15" w16cid:durableId="44070438">
    <w:abstractNumId w:val="10"/>
  </w:num>
  <w:num w:numId="16" w16cid:durableId="12784865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ar-SA" w:vendorID="4" w:dllVersion="512" w:checkStyle="0"/>
  <w:activeWritingStyle w:appName="MSWord" w:lang="ar-EG" w:vendorID="4"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47"/>
    <w:rsid w:val="00015FBA"/>
    <w:rsid w:val="000216E0"/>
    <w:rsid w:val="00024B55"/>
    <w:rsid w:val="00035CCA"/>
    <w:rsid w:val="00036187"/>
    <w:rsid w:val="00072054"/>
    <w:rsid w:val="00092EE8"/>
    <w:rsid w:val="000A61EB"/>
    <w:rsid w:val="000C1B49"/>
    <w:rsid w:val="000C55E1"/>
    <w:rsid w:val="000E04EE"/>
    <w:rsid w:val="000F4E3A"/>
    <w:rsid w:val="00106428"/>
    <w:rsid w:val="0013009F"/>
    <w:rsid w:val="00152AD6"/>
    <w:rsid w:val="00171B8B"/>
    <w:rsid w:val="00173421"/>
    <w:rsid w:val="00174E3A"/>
    <w:rsid w:val="001A0B78"/>
    <w:rsid w:val="001A26C8"/>
    <w:rsid w:val="001B6057"/>
    <w:rsid w:val="001E0390"/>
    <w:rsid w:val="001E2177"/>
    <w:rsid w:val="001E5659"/>
    <w:rsid w:val="001F4B50"/>
    <w:rsid w:val="001F5A40"/>
    <w:rsid w:val="002056C0"/>
    <w:rsid w:val="00213B92"/>
    <w:rsid w:val="0022388D"/>
    <w:rsid w:val="00225E26"/>
    <w:rsid w:val="00237491"/>
    <w:rsid w:val="00243BCB"/>
    <w:rsid w:val="00246FD3"/>
    <w:rsid w:val="0026025B"/>
    <w:rsid w:val="00262A91"/>
    <w:rsid w:val="00264D5D"/>
    <w:rsid w:val="00287A2E"/>
    <w:rsid w:val="00287A5A"/>
    <w:rsid w:val="00292508"/>
    <w:rsid w:val="00293653"/>
    <w:rsid w:val="00295315"/>
    <w:rsid w:val="00295A35"/>
    <w:rsid w:val="002A0E8C"/>
    <w:rsid w:val="002C77B9"/>
    <w:rsid w:val="002E40CE"/>
    <w:rsid w:val="002E780F"/>
    <w:rsid w:val="0031051E"/>
    <w:rsid w:val="003155A4"/>
    <w:rsid w:val="0032742A"/>
    <w:rsid w:val="00332D31"/>
    <w:rsid w:val="003332C8"/>
    <w:rsid w:val="00385ACA"/>
    <w:rsid w:val="00387796"/>
    <w:rsid w:val="00391360"/>
    <w:rsid w:val="003966A4"/>
    <w:rsid w:val="003A5B3F"/>
    <w:rsid w:val="003B43F6"/>
    <w:rsid w:val="003C0ED8"/>
    <w:rsid w:val="003C7F15"/>
    <w:rsid w:val="003E4A2B"/>
    <w:rsid w:val="003F2EC0"/>
    <w:rsid w:val="003F3D78"/>
    <w:rsid w:val="00446102"/>
    <w:rsid w:val="00452F0C"/>
    <w:rsid w:val="00453268"/>
    <w:rsid w:val="0045573A"/>
    <w:rsid w:val="00461CA9"/>
    <w:rsid w:val="0046316B"/>
    <w:rsid w:val="004C5074"/>
    <w:rsid w:val="004D5D23"/>
    <w:rsid w:val="004D5E64"/>
    <w:rsid w:val="00524055"/>
    <w:rsid w:val="0052667D"/>
    <w:rsid w:val="00535738"/>
    <w:rsid w:val="00542EED"/>
    <w:rsid w:val="00560947"/>
    <w:rsid w:val="00566D98"/>
    <w:rsid w:val="00567180"/>
    <w:rsid w:val="005A4A5E"/>
    <w:rsid w:val="005B3129"/>
    <w:rsid w:val="005C25EC"/>
    <w:rsid w:val="005D0803"/>
    <w:rsid w:val="00615AEB"/>
    <w:rsid w:val="00661E08"/>
    <w:rsid w:val="0066756A"/>
    <w:rsid w:val="00682F13"/>
    <w:rsid w:val="00694089"/>
    <w:rsid w:val="006A7366"/>
    <w:rsid w:val="006A785D"/>
    <w:rsid w:val="006B68E4"/>
    <w:rsid w:val="006E09C0"/>
    <w:rsid w:val="006F3654"/>
    <w:rsid w:val="007059E7"/>
    <w:rsid w:val="0071171D"/>
    <w:rsid w:val="00717FBB"/>
    <w:rsid w:val="00730170"/>
    <w:rsid w:val="00730522"/>
    <w:rsid w:val="007360B0"/>
    <w:rsid w:val="00752DFD"/>
    <w:rsid w:val="00762689"/>
    <w:rsid w:val="00773447"/>
    <w:rsid w:val="00780EE7"/>
    <w:rsid w:val="00783369"/>
    <w:rsid w:val="007D3BF6"/>
    <w:rsid w:val="007D40D4"/>
    <w:rsid w:val="007D5608"/>
    <w:rsid w:val="007E4FDB"/>
    <w:rsid w:val="0080475C"/>
    <w:rsid w:val="00806355"/>
    <w:rsid w:val="00821C31"/>
    <w:rsid w:val="008256ED"/>
    <w:rsid w:val="00826F9F"/>
    <w:rsid w:val="00833C90"/>
    <w:rsid w:val="00835838"/>
    <w:rsid w:val="00841247"/>
    <w:rsid w:val="00843E0D"/>
    <w:rsid w:val="00846113"/>
    <w:rsid w:val="008500D0"/>
    <w:rsid w:val="00877889"/>
    <w:rsid w:val="008859F6"/>
    <w:rsid w:val="008D2F61"/>
    <w:rsid w:val="008E3F42"/>
    <w:rsid w:val="008E4924"/>
    <w:rsid w:val="008F45C4"/>
    <w:rsid w:val="00910B6C"/>
    <w:rsid w:val="00910D79"/>
    <w:rsid w:val="00911EF3"/>
    <w:rsid w:val="00922CA5"/>
    <w:rsid w:val="0093195F"/>
    <w:rsid w:val="00933823"/>
    <w:rsid w:val="00936D4B"/>
    <w:rsid w:val="00996FBF"/>
    <w:rsid w:val="009B18BA"/>
    <w:rsid w:val="009B20B2"/>
    <w:rsid w:val="009B69FD"/>
    <w:rsid w:val="009C3992"/>
    <w:rsid w:val="00A10FC6"/>
    <w:rsid w:val="00A140EB"/>
    <w:rsid w:val="00A24B18"/>
    <w:rsid w:val="00A31410"/>
    <w:rsid w:val="00A36748"/>
    <w:rsid w:val="00A37E53"/>
    <w:rsid w:val="00A557B3"/>
    <w:rsid w:val="00A627F6"/>
    <w:rsid w:val="00A864CE"/>
    <w:rsid w:val="00A97A2B"/>
    <w:rsid w:val="00AA2796"/>
    <w:rsid w:val="00AA3FDB"/>
    <w:rsid w:val="00AC133E"/>
    <w:rsid w:val="00AC6958"/>
    <w:rsid w:val="00AC6EE7"/>
    <w:rsid w:val="00AC7680"/>
    <w:rsid w:val="00AF0C75"/>
    <w:rsid w:val="00AF4288"/>
    <w:rsid w:val="00AF4D72"/>
    <w:rsid w:val="00B112A3"/>
    <w:rsid w:val="00B26C1F"/>
    <w:rsid w:val="00B51B02"/>
    <w:rsid w:val="00B7289E"/>
    <w:rsid w:val="00B73D92"/>
    <w:rsid w:val="00B92DEB"/>
    <w:rsid w:val="00BA523D"/>
    <w:rsid w:val="00BC0877"/>
    <w:rsid w:val="00BC2CE3"/>
    <w:rsid w:val="00BE08CB"/>
    <w:rsid w:val="00BE0D0E"/>
    <w:rsid w:val="00BE6377"/>
    <w:rsid w:val="00BF2754"/>
    <w:rsid w:val="00C0065A"/>
    <w:rsid w:val="00C14784"/>
    <w:rsid w:val="00C943DE"/>
    <w:rsid w:val="00C94991"/>
    <w:rsid w:val="00CE4CE7"/>
    <w:rsid w:val="00CE6EE7"/>
    <w:rsid w:val="00CF72A5"/>
    <w:rsid w:val="00D124B3"/>
    <w:rsid w:val="00D17D8A"/>
    <w:rsid w:val="00D32487"/>
    <w:rsid w:val="00D45DB4"/>
    <w:rsid w:val="00D534A5"/>
    <w:rsid w:val="00D568CA"/>
    <w:rsid w:val="00D572D7"/>
    <w:rsid w:val="00D600B8"/>
    <w:rsid w:val="00D62A3D"/>
    <w:rsid w:val="00D63D9C"/>
    <w:rsid w:val="00D679D8"/>
    <w:rsid w:val="00D71473"/>
    <w:rsid w:val="00D80045"/>
    <w:rsid w:val="00D8775B"/>
    <w:rsid w:val="00DA085B"/>
    <w:rsid w:val="00DA2B75"/>
    <w:rsid w:val="00DA5A38"/>
    <w:rsid w:val="00DC0FBA"/>
    <w:rsid w:val="00DD74B8"/>
    <w:rsid w:val="00DD7E40"/>
    <w:rsid w:val="00E238AF"/>
    <w:rsid w:val="00E3723A"/>
    <w:rsid w:val="00E513C0"/>
    <w:rsid w:val="00E64022"/>
    <w:rsid w:val="00E65C71"/>
    <w:rsid w:val="00E75F52"/>
    <w:rsid w:val="00E76752"/>
    <w:rsid w:val="00E85B1F"/>
    <w:rsid w:val="00E87903"/>
    <w:rsid w:val="00E93715"/>
    <w:rsid w:val="00E97991"/>
    <w:rsid w:val="00EA1C88"/>
    <w:rsid w:val="00EA78C1"/>
    <w:rsid w:val="00EB4E34"/>
    <w:rsid w:val="00EC5DD0"/>
    <w:rsid w:val="00EE3E52"/>
    <w:rsid w:val="00EE6F8B"/>
    <w:rsid w:val="00F148AC"/>
    <w:rsid w:val="00F170E2"/>
    <w:rsid w:val="00F27973"/>
    <w:rsid w:val="00F320DC"/>
    <w:rsid w:val="00F45A99"/>
    <w:rsid w:val="00F612D5"/>
    <w:rsid w:val="00F634C2"/>
    <w:rsid w:val="00F77F71"/>
    <w:rsid w:val="00FB27EE"/>
    <w:rsid w:val="00FB4F3A"/>
    <w:rsid w:val="00FC3BF1"/>
    <w:rsid w:val="00FD117D"/>
    <w:rsid w:val="00FE2D09"/>
    <w:rsid w:val="00FE47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9D998D7"/>
  <w15:docId w15:val="{D20AD205-D347-4CFE-B0D4-A4E0D756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qFormat/>
    <w:rsid w:val="00E76752"/>
    <w:pPr>
      <w:spacing w:before="240"/>
      <w:outlineLvl w:val="1"/>
    </w:pPr>
    <w:rPr>
      <w:sz w:val="24"/>
      <w:szCs w:val="32"/>
      <w:lang w:val="en-US" w:bidi="ar-EG"/>
    </w:rPr>
  </w:style>
  <w:style w:type="paragraph" w:styleId="Heading3">
    <w:name w:val="heading 3"/>
    <w:basedOn w:val="Heading1"/>
    <w:next w:val="Normal"/>
    <w:qFormat/>
    <w:rsid w:val="00E76752"/>
    <w:pPr>
      <w:spacing w:before="160"/>
      <w:ind w:left="794" w:hanging="794"/>
      <w:outlineLvl w:val="2"/>
    </w:pPr>
    <w:rPr>
      <w:sz w:val="22"/>
      <w:szCs w:val="30"/>
      <w:lang w:val="en-US" w:bidi="ar-EG"/>
    </w:rPr>
  </w:style>
  <w:style w:type="paragraph" w:styleId="Heading4">
    <w:name w:val="heading 4"/>
    <w:basedOn w:val="Heading3"/>
    <w:next w:val="Normal"/>
    <w:qFormat/>
    <w:rsid w:val="00E76752"/>
    <w:pPr>
      <w:tabs>
        <w:tab w:val="clear" w:pos="794"/>
        <w:tab w:val="left" w:pos="992"/>
      </w:tabs>
      <w:ind w:left="0" w:firstLine="0"/>
      <w:outlineLvl w:val="3"/>
    </w:pPr>
  </w:style>
  <w:style w:type="paragraph" w:styleId="Heading5">
    <w:name w:val="heading 5"/>
    <w:basedOn w:val="Heading4"/>
    <w:next w:val="Normal"/>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qFormat/>
    <w:rsid w:val="00E76752"/>
    <w:pPr>
      <w:numPr>
        <w:ilvl w:val="6"/>
      </w:numPr>
      <w:tabs>
        <w:tab w:val="clear" w:pos="1296"/>
        <w:tab w:val="num" w:pos="360"/>
      </w:tabs>
      <w:ind w:left="0" w:firstLine="0"/>
      <w:outlineLvl w:val="6"/>
    </w:pPr>
  </w:style>
  <w:style w:type="paragraph" w:styleId="Heading8">
    <w:name w:val="heading 8"/>
    <w:basedOn w:val="Heading6"/>
    <w:next w:val="Normal"/>
    <w:qFormat/>
    <w:rsid w:val="00E76752"/>
    <w:pPr>
      <w:numPr>
        <w:ilvl w:val="7"/>
      </w:numPr>
      <w:tabs>
        <w:tab w:val="clear" w:pos="1440"/>
        <w:tab w:val="num" w:pos="360"/>
      </w:tabs>
      <w:ind w:left="0" w:firstLine="0"/>
      <w:outlineLvl w:val="7"/>
    </w:pPr>
  </w:style>
  <w:style w:type="paragraph" w:styleId="Heading9">
    <w:name w:val="heading 9"/>
    <w:basedOn w:val="Heading6"/>
    <w:next w:val="Normal"/>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pPr>
      <w:keepNext/>
      <w:keepLines/>
      <w:spacing w:before="240"/>
      <w:jc w:val="center"/>
    </w:pPr>
    <w:rPr>
      <w:rFonts w:ascii="Times New Roman Bold" w:hAnsi="Times New Roman Bold"/>
      <w:b/>
      <w:sz w:val="26"/>
      <w:szCs w:val="36"/>
    </w:rPr>
  </w:style>
  <w:style w:type="paragraph" w:customStyle="1" w:styleId="AppendixNotitle">
    <w:name w:val="Appendix_No &amp; title"/>
    <w:basedOn w:val="AnnexNotitle"/>
    <w:next w:val="Normal"/>
    <w:link w:val="AppendixNotitleChar"/>
    <w:rsid w:val="00E76752"/>
  </w:style>
  <w:style w:type="paragraph" w:customStyle="1" w:styleId="AnnexNotitle">
    <w:name w:val="Annex_No &amp; title"/>
    <w:basedOn w:val="Normal"/>
    <w:next w:val="Normal"/>
    <w:link w:val="AnnexNotitleChar"/>
    <w:rsid w:val="00E76752"/>
    <w:pPr>
      <w:keepNext/>
      <w:keepLines/>
      <w:spacing w:before="480"/>
      <w:jc w:val="center"/>
    </w:pPr>
    <w:rPr>
      <w:rFonts w:ascii="Times New Roman Bold" w:eastAsia="Batang" w:hAnsi="Times New Roman Bold"/>
      <w:b/>
      <w:bCs/>
      <w:sz w:val="26"/>
      <w:szCs w:val="36"/>
    </w:rPr>
  </w:style>
  <w:style w:type="paragraph" w:customStyle="1" w:styleId="Title1">
    <w:name w:val="Title1"/>
    <w:basedOn w:val="Normal"/>
    <w:rsid w:val="00730170"/>
    <w:pPr>
      <w:tabs>
        <w:tab w:val="clear" w:pos="794"/>
        <w:tab w:val="clear" w:pos="1191"/>
        <w:tab w:val="clear" w:pos="1588"/>
        <w:tab w:val="clear" w:pos="1985"/>
        <w:tab w:val="left" w:pos="851"/>
      </w:tabs>
      <w:overflowPunct/>
      <w:autoSpaceDE/>
      <w:autoSpaceDN/>
      <w:adjustRightInd/>
      <w:spacing w:before="240" w:after="120"/>
      <w:jc w:val="center"/>
      <w:textAlignment w:val="auto"/>
    </w:pPr>
    <w:rPr>
      <w:sz w:val="28"/>
      <w:szCs w:val="40"/>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6"/>
      <w:szCs w:val="36"/>
    </w:rPr>
  </w:style>
  <w:style w:type="paragraph" w:customStyle="1" w:styleId="Arttitle">
    <w:name w:val="Art_title"/>
    <w:basedOn w:val="Normal"/>
    <w:next w:val="Normalaftertitle"/>
    <w:pPr>
      <w:keepNext/>
      <w:keepLines/>
      <w:spacing w:before="240"/>
      <w:jc w:val="center"/>
    </w:pPr>
    <w:rPr>
      <w:rFonts w:ascii="Times New Roman Bold" w:hAnsi="Times New Roman Bold"/>
      <w:b/>
      <w:sz w:val="26"/>
      <w:szCs w:val="36"/>
    </w:rPr>
  </w:style>
  <w:style w:type="paragraph" w:customStyle="1" w:styleId="Call">
    <w:name w:val="Call"/>
    <w:basedOn w:val="Normal"/>
    <w:next w:val="Normal"/>
    <w:rsid w:val="003B43F6"/>
    <w:pPr>
      <w:keepNext/>
      <w:keepLines/>
      <w:spacing w:before="160"/>
      <w:ind w:left="794" w:right="794"/>
    </w:pPr>
    <w:rPr>
      <w:i/>
      <w:iCs/>
    </w:rPr>
  </w:style>
  <w:style w:type="paragraph" w:customStyle="1" w:styleId="enumlev1">
    <w:name w:val="enumlev1"/>
    <w:basedOn w:val="Normal"/>
    <w:link w:val="enumlev1Char"/>
    <w:rsid w:val="00E76752"/>
    <w:pPr>
      <w:spacing w:before="80"/>
      <w:ind w:left="794" w:hanging="794"/>
    </w:pPr>
    <w:rPr>
      <w:rFonts w:eastAsia="Batang"/>
    </w:rPr>
  </w:style>
  <w:style w:type="paragraph" w:customStyle="1" w:styleId="enumlev2">
    <w:name w:val="enumlev2"/>
    <w:basedOn w:val="enumlev1"/>
    <w:rsid w:val="00E76752"/>
    <w:pPr>
      <w:ind w:left="1191" w:hanging="397"/>
    </w:pPr>
  </w:style>
  <w:style w:type="paragraph" w:customStyle="1" w:styleId="enumlev3">
    <w:name w:val="enumlev3"/>
    <w:basedOn w:val="enumlev2"/>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E76752"/>
    <w:pPr>
      <w:keepLines/>
      <w:spacing w:before="240"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3B43F6"/>
    <w:rPr>
      <w:rFonts w:ascii="Times New Roman" w:hAnsi="Times New Roman" w:cs="Times New Roman"/>
      <w:position w:val="6"/>
      <w:sz w:val="18"/>
      <w:szCs w:val="18"/>
    </w:rPr>
  </w:style>
  <w:style w:type="paragraph" w:styleId="FootnoteText">
    <w:name w:val="footnote text"/>
    <w:basedOn w:val="Normal"/>
    <w:rsid w:val="00E76752"/>
    <w:pPr>
      <w:keepLines/>
      <w:tabs>
        <w:tab w:val="left" w:pos="255"/>
      </w:tabs>
      <w:spacing w:before="80" w:line="180" w:lineRule="auto"/>
      <w:ind w:left="255" w:hanging="255"/>
    </w:pPr>
    <w:rPr>
      <w:rFonts w:eastAsia="Batang"/>
      <w:sz w:val="20"/>
      <w:szCs w:val="26"/>
    </w:rPr>
  </w:style>
  <w:style w:type="paragraph" w:customStyle="1" w:styleId="Note">
    <w:name w:val="Note"/>
    <w:basedOn w:val="Normal"/>
    <w:rsid w:val="00E76752"/>
    <w:pPr>
      <w:spacing w:before="80" w:line="180" w:lineRule="auto"/>
    </w:pPr>
    <w:rPr>
      <w:sz w:val="20"/>
      <w:szCs w:val="26"/>
    </w:rPr>
  </w:style>
  <w:style w:type="paragraph" w:styleId="Header">
    <w:name w:val="header"/>
    <w:basedOn w:val="Normal"/>
    <w:rsid w:val="00246FD3"/>
    <w:pPr>
      <w:spacing w:before="0" w:after="240" w:line="240" w:lineRule="auto"/>
      <w:jc w:val="center"/>
    </w:pPr>
    <w:rPr>
      <w:rFonts w:eastAsia="Batang" w:cs="Times New Roman"/>
      <w:sz w:val="20"/>
      <w:szCs w:val="20"/>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RecNo"/>
    <w:next w:val="Questiontitle"/>
    <w:rsid w:val="00FE2D09"/>
    <w:pPr>
      <w:jc w:val="center"/>
    </w:pPr>
    <w:rPr>
      <w:rFonts w:ascii="Times New Roman"/>
      <w:b w:val="0"/>
      <w:sz w:val="26"/>
      <w:szCs w:val="36"/>
    </w:rPr>
  </w:style>
  <w:style w:type="paragraph" w:customStyle="1" w:styleId="RecNo">
    <w:name w:val="Rec_No"/>
    <w:basedOn w:val="Normal"/>
    <w:next w:val="Rectitle"/>
    <w:pPr>
      <w:keepNext/>
      <w:keepLines/>
      <w:spacing w:before="0"/>
    </w:pPr>
    <w:rPr>
      <w:rFonts w:ascii="Times New Roman Bold" w:hAnsi="Times New Roman Bold"/>
      <w:b/>
      <w:sz w:val="28"/>
      <w:szCs w:val="40"/>
    </w:rPr>
  </w:style>
  <w:style w:type="paragraph" w:customStyle="1" w:styleId="Rectitle">
    <w:name w:val="Rec_title"/>
    <w:basedOn w:val="Normal"/>
    <w:next w:val="Normalaftertitle"/>
    <w:pPr>
      <w:keepNext/>
      <w:keepLines/>
      <w:spacing w:before="360"/>
      <w:jc w:val="center"/>
    </w:pPr>
    <w:rPr>
      <w:rFonts w:ascii="Times New Roman Bold" w:hAnsi="Times New Roman Bold"/>
      <w:b/>
      <w:sz w:val="28"/>
      <w:szCs w:val="40"/>
    </w:rPr>
  </w:style>
  <w:style w:type="paragraph" w:customStyle="1" w:styleId="Questiontitle">
    <w:name w:val="Question_title"/>
    <w:basedOn w:val="Rectitle"/>
    <w:next w:val="Questionref"/>
    <w:rsid w:val="00FE2D09"/>
    <w:rPr>
      <w:bCs/>
    </w:rPr>
  </w:style>
  <w:style w:type="paragraph" w:customStyle="1" w:styleId="Questionref">
    <w:name w:val="Question_ref"/>
    <w:basedOn w:val="Recref"/>
    <w:next w:val="Questiondate"/>
  </w:style>
  <w:style w:type="paragraph" w:customStyle="1" w:styleId="Reftext">
    <w:name w:val="Ref_text"/>
    <w:basedOn w:val="Normal"/>
    <w:pPr>
      <w:ind w:left="794" w:righ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E76752"/>
    <w:pPr>
      <w:spacing w:before="840" w:after="200"/>
      <w:jc w:val="center"/>
    </w:pPr>
    <w:rPr>
      <w:rFonts w:ascii="Times New Roman Bold" w:hAnsi="Times New Roman Bold"/>
      <w:b/>
      <w:bCs/>
      <w:sz w:val="28"/>
      <w:szCs w:val="40"/>
    </w:rPr>
  </w:style>
  <w:style w:type="paragraph" w:customStyle="1" w:styleId="SpecialFooter">
    <w:name w:val="Special Footer"/>
    <w:basedOn w:val="Footer"/>
    <w:pPr>
      <w:tabs>
        <w:tab w:val="left" w:pos="567"/>
        <w:tab w:val="left" w:pos="1134"/>
        <w:tab w:val="left" w:pos="1701"/>
        <w:tab w:val="left" w:pos="2268"/>
        <w:tab w:val="left" w:pos="2835"/>
      </w:tabs>
    </w:pPr>
    <w:rPr>
      <w:caps w:val="0"/>
      <w:noProof w:val="0"/>
    </w:rPr>
  </w:style>
  <w:style w:type="paragraph" w:customStyle="1" w:styleId="Tablehead">
    <w:name w:val="Table_head"/>
    <w:basedOn w:val="Normal"/>
    <w:next w:val="Normal"/>
    <w:rsid w:val="00E7675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0">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0"/>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b/>
    </w:rPr>
  </w:style>
  <w:style w:type="paragraph" w:customStyle="1" w:styleId="Annextitle">
    <w:name w:val="Annex_title"/>
    <w:basedOn w:val="Normal"/>
    <w:next w:val="Annexref"/>
    <w:rsid w:val="008E3F42"/>
    <w:pPr>
      <w:keepNext/>
      <w:keepLines/>
      <w:tabs>
        <w:tab w:val="clear" w:pos="794"/>
        <w:tab w:val="clear" w:pos="1191"/>
        <w:tab w:val="clear" w:pos="1588"/>
        <w:tab w:val="clear" w:pos="1985"/>
      </w:tabs>
      <w:spacing w:before="240" w:after="280"/>
      <w:jc w:val="center"/>
    </w:pPr>
    <w:rPr>
      <w:rFonts w:ascii="Times New Roman Bold" w:hAnsi="Times New Roman Bold"/>
      <w:b/>
      <w:sz w:val="28"/>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E76752"/>
    <w:pPr>
      <w:keepNext/>
      <w:spacing w:before="160"/>
    </w:pPr>
    <w:rPr>
      <w:rFonts w:ascii="Times New Roman Bold" w:eastAsia="Batang" w:hAnsi="Times New Roman Bold"/>
      <w:b/>
      <w:bCs/>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RecNoBR">
    <w:name w:val="Rec_No_BR"/>
    <w:basedOn w:val="Normal"/>
    <w:next w:val="Rectitle"/>
    <w:pPr>
      <w:keepNext/>
      <w:keepLines/>
      <w:spacing w:before="480"/>
      <w:jc w:val="center"/>
    </w:pPr>
    <w:rPr>
      <w:caps/>
      <w:sz w:val="28"/>
      <w:szCs w:val="40"/>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rsid w:val="00E76752"/>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E76752"/>
    <w:pPr>
      <w:keepNext/>
      <w:keepLines/>
      <w:spacing w:before="480" w:after="12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character" w:customStyle="1" w:styleId="AnnexNotitleChar">
    <w:name w:val="Annex_No &amp; title Char"/>
    <w:basedOn w:val="DefaultParagraphFont"/>
    <w:link w:val="AnnexNotitle"/>
    <w:locked/>
    <w:rsid w:val="00E76752"/>
    <w:rPr>
      <w:rFonts w:ascii="Times New Roman Bold" w:eastAsia="Batang" w:hAnsi="Times New Roman Bold" w:cs="Traditional Arabic"/>
      <w:b/>
      <w:bCs/>
      <w:sz w:val="26"/>
      <w:szCs w:val="36"/>
      <w:lang w:val="en-GB" w:eastAsia="en-US" w:bidi="ar-SA"/>
    </w:rPr>
  </w:style>
  <w:style w:type="character" w:customStyle="1" w:styleId="AppendixNotitleChar">
    <w:name w:val="Appendix_No &amp; title Char"/>
    <w:basedOn w:val="AnnexNotitleChar"/>
    <w:link w:val="AppendixNotitle"/>
    <w:locked/>
    <w:rsid w:val="00E76752"/>
    <w:rPr>
      <w:rFonts w:ascii="Times New Roman Bold" w:eastAsia="Batang" w:hAnsi="Times New Roman Bold" w:cs="Traditional Arabic"/>
      <w:b/>
      <w:bCs/>
      <w:sz w:val="26"/>
      <w:szCs w:val="36"/>
      <w:lang w:val="en-GB" w:eastAsia="en-US" w:bidi="ar-SA"/>
    </w:rPr>
  </w:style>
  <w:style w:type="paragraph" w:customStyle="1" w:styleId="AppendixNoTitle0">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Annexref">
    <w:name w:val="Annex_ref"/>
    <w:basedOn w:val="Normal"/>
    <w:next w:val="Normal"/>
    <w:rsid w:val="008E3F42"/>
    <w:pPr>
      <w:keepNext/>
      <w:keepLines/>
      <w:tabs>
        <w:tab w:val="clear" w:pos="794"/>
        <w:tab w:val="clear" w:pos="1191"/>
        <w:tab w:val="clear" w:pos="1588"/>
        <w:tab w:val="clear" w:pos="1985"/>
      </w:tabs>
      <w:spacing w:before="0" w:after="280"/>
      <w:jc w:val="center"/>
    </w:pPr>
  </w:style>
  <w:style w:type="character" w:customStyle="1" w:styleId="enumlev1Char">
    <w:name w:val="enumlev1 Char"/>
    <w:basedOn w:val="DefaultParagraphFont"/>
    <w:link w:val="enumlev1"/>
    <w:rsid w:val="009B69FD"/>
    <w:rPr>
      <w:rFonts w:eastAsia="Batang" w:cs="Traditional Arabic"/>
      <w:sz w:val="22"/>
      <w:szCs w:val="30"/>
      <w:lang w:val="en-GB" w:eastAsia="en-US" w:bidi="ar-SA"/>
    </w:rPr>
  </w:style>
  <w:style w:type="paragraph" w:customStyle="1" w:styleId="Line">
    <w:name w:val="Line"/>
    <w:basedOn w:val="Normal"/>
    <w:next w:val="Normal"/>
    <w:rsid w:val="00264D5D"/>
    <w:pPr>
      <w:tabs>
        <w:tab w:val="clear" w:pos="794"/>
        <w:tab w:val="clear" w:pos="1191"/>
        <w:tab w:val="clear" w:pos="1588"/>
        <w:tab w:val="clear" w:pos="1985"/>
      </w:tabs>
      <w:spacing w:before="159"/>
      <w:jc w:val="center"/>
      <w:textAlignment w:val="auto"/>
    </w:pPr>
    <w:rPr>
      <w:sz w:val="20"/>
      <w:lang w:val="es-ES_tradnl"/>
    </w:rPr>
  </w:style>
  <w:style w:type="table" w:styleId="TableGrid">
    <w:name w:val="Table Grid"/>
    <w:basedOn w:val="TableNormal"/>
    <w:rsid w:val="00264D5D"/>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win\Application%20Data\Microsoft\Templates\POOL%20A%20-%20ITU\PA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1FDFC-E35A-4673-B424-0A68FD89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PA_BR.DOT</Template>
  <TotalTime>4</TotalTime>
  <Pages>1</Pages>
  <Words>360</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INTERNATIONAL TELECOMMUNICATION UNION	</vt:lpstr>
    </vt:vector>
  </TitlesOfParts>
  <Company>ITU</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POOL</dc:creator>
  <cp:keywords/>
  <dc:description/>
  <cp:lastModifiedBy>Author1</cp:lastModifiedBy>
  <cp:revision>5</cp:revision>
  <cp:lastPrinted>2008-01-07T13:30:00Z</cp:lastPrinted>
  <dcterms:created xsi:type="dcterms:W3CDTF">2019-09-23T09:25:00Z</dcterms:created>
  <dcterms:modified xsi:type="dcterms:W3CDTF">2024-02-01T15:51:00Z</dcterms:modified>
</cp:coreProperties>
</file>