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AF4" w:rsidRPr="00050B59" w:rsidRDefault="004E4AF4" w:rsidP="004E4AF4">
      <w:pPr>
        <w:pStyle w:val="QuestionNoBR"/>
      </w:pPr>
      <w:r w:rsidRPr="00050B59">
        <w:t>Question ITU-r 15-</w:t>
      </w:r>
      <w:r>
        <w:t>2</w:t>
      </w:r>
      <w:r w:rsidRPr="00050B59">
        <w:t>/6</w:t>
      </w:r>
      <w:r w:rsidR="000912EF">
        <w:rPr>
          <w:rStyle w:val="FootnoteReference"/>
        </w:rPr>
        <w:footnoteReference w:customMarkFollows="1" w:id="1"/>
        <w:t>1</w:t>
      </w:r>
      <w:r w:rsidR="0009443A">
        <w:t xml:space="preserve">, </w:t>
      </w:r>
      <w:r w:rsidR="0009443A" w:rsidRPr="0009443A">
        <w:rPr>
          <w:rStyle w:val="FootnoteReference"/>
        </w:rPr>
        <w:footnoteReference w:customMarkFollows="1" w:id="2"/>
        <w:sym w:font="Symbol" w:char="F02A"/>
      </w:r>
    </w:p>
    <w:p w:rsidR="004E4AF4" w:rsidRPr="00050B59" w:rsidRDefault="004E4AF4" w:rsidP="004E4AF4">
      <w:pPr>
        <w:pStyle w:val="Questiontitle"/>
      </w:pPr>
      <w:r w:rsidRPr="00050B59">
        <w:t>Large screen digital imagery (</w:t>
      </w:r>
      <w:proofErr w:type="spellStart"/>
      <w:r w:rsidRPr="00050B59">
        <w:t>LSDI</w:t>
      </w:r>
      <w:proofErr w:type="spellEnd"/>
      <w:r w:rsidRPr="00050B59">
        <w:t>)</w:t>
      </w:r>
      <w:r w:rsidR="000912EF">
        <w:rPr>
          <w:rStyle w:val="FootnoteReference"/>
        </w:rPr>
        <w:footnoteReference w:customMarkFollows="1" w:id="3"/>
        <w:t>2</w:t>
      </w:r>
    </w:p>
    <w:p w:rsidR="004E4AF4" w:rsidRPr="009B4157" w:rsidRDefault="00097EE1" w:rsidP="004E4AF4">
      <w:pPr>
        <w:pStyle w:val="Questiondate"/>
        <w:rPr>
          <w:lang w:val="en-US"/>
          <w:rPrChange w:id="0" w:author="huguet" w:date="2012-02-10T14:42:00Z">
            <w:rPr>
              <w:i/>
              <w:iCs/>
              <w:lang w:val="en-US"/>
            </w:rPr>
          </w:rPrChange>
        </w:rPr>
      </w:pPr>
      <w:r w:rsidRPr="00097EE1">
        <w:rPr>
          <w:lang w:val="en-US"/>
          <w:rPrChange w:id="1" w:author="huguet" w:date="2012-02-10T14:42:00Z">
            <w:rPr>
              <w:i/>
              <w:iCs/>
              <w:lang w:val="en-US"/>
            </w:rPr>
          </w:rPrChange>
        </w:rPr>
        <w:t>(2002-2003-2007)</w:t>
      </w:r>
    </w:p>
    <w:p w:rsidR="004E4AF4" w:rsidRDefault="004E4AF4" w:rsidP="004E4AF4">
      <w:pPr>
        <w:pStyle w:val="Normalaftertitle0"/>
      </w:pPr>
      <w:r>
        <w:t xml:space="preserve">The ITU </w:t>
      </w:r>
      <w:proofErr w:type="spellStart"/>
      <w:r>
        <w:t>Radiocommunications</w:t>
      </w:r>
      <w:proofErr w:type="spellEnd"/>
      <w:r>
        <w:t xml:space="preserve"> Assembly,</w:t>
      </w:r>
    </w:p>
    <w:p w:rsidR="004E4AF4" w:rsidRDefault="004E4AF4" w:rsidP="004E4AF4">
      <w:pPr>
        <w:pStyle w:val="Call"/>
        <w:rPr>
          <w:lang w:val="en-US"/>
        </w:rPr>
      </w:pPr>
      <w:proofErr w:type="gramStart"/>
      <w:r>
        <w:rPr>
          <w:lang w:val="en-US"/>
        </w:rPr>
        <w:t>considering</w:t>
      </w:r>
      <w:proofErr w:type="gramEnd"/>
    </w:p>
    <w:p w:rsidR="004E4AF4" w:rsidRDefault="00097EE1" w:rsidP="004E4AF4">
      <w:pPr>
        <w:rPr>
          <w:lang w:val="en-US"/>
        </w:rPr>
      </w:pPr>
      <w:r w:rsidRPr="00097EE1">
        <w:rPr>
          <w:i/>
          <w:iCs/>
          <w:lang w:val="en-US"/>
          <w:rPrChange w:id="2" w:author="huguet" w:date="2012-02-10T14:43:00Z">
            <w:rPr>
              <w:lang w:val="en-US"/>
            </w:rPr>
          </w:rPrChange>
        </w:rPr>
        <w:t>a)</w:t>
      </w:r>
      <w:r w:rsidR="004E4AF4">
        <w:rPr>
          <w:lang w:val="en-US"/>
        </w:rPr>
        <w:tab/>
        <w:t xml:space="preserve">that new very high resolution, </w:t>
      </w:r>
      <w:proofErr w:type="spellStart"/>
      <w:r w:rsidR="004E4AF4">
        <w:rPr>
          <w:lang w:val="en-US"/>
        </w:rPr>
        <w:t>LSDI</w:t>
      </w:r>
      <w:proofErr w:type="spellEnd"/>
      <w:r w:rsidR="004E4AF4">
        <w:rPr>
          <w:lang w:val="en-US"/>
        </w:rPr>
        <w:t xml:space="preserve"> are being introduced</w:t>
      </w:r>
      <w:r w:rsidR="004E4AF4">
        <w:rPr>
          <w:color w:val="000000"/>
          <w:lang w:val="en-US"/>
        </w:rPr>
        <w:t xml:space="preserve"> </w:t>
      </w:r>
      <w:r w:rsidR="004E4AF4">
        <w:rPr>
          <w:lang w:val="en-US"/>
        </w:rPr>
        <w:t>in some countries, whereby dramas, plays, sporting events, concerts, cultural events, etc., photographed electronically or on film, can be delivered, and exhibited in high resolution quality in theatres, halls, and other venues equipped with digital imaging capabilities;</w:t>
      </w:r>
    </w:p>
    <w:p w:rsidR="004E4AF4" w:rsidRPr="009F4189" w:rsidRDefault="00097EE1" w:rsidP="004E4AF4">
      <w:pPr>
        <w:tabs>
          <w:tab w:val="left" w:pos="6237"/>
        </w:tabs>
        <w:rPr>
          <w:lang w:val="en-US"/>
        </w:rPr>
      </w:pPr>
      <w:r w:rsidRPr="00097EE1">
        <w:rPr>
          <w:i/>
          <w:iCs/>
          <w:lang w:val="en-US"/>
          <w:rPrChange w:id="3" w:author="huguet" w:date="2012-02-10T14:43:00Z">
            <w:rPr>
              <w:lang w:val="en-US"/>
            </w:rPr>
          </w:rPrChange>
        </w:rPr>
        <w:t>b)</w:t>
      </w:r>
      <w:r w:rsidR="004E4AF4" w:rsidRPr="009F4189">
        <w:rPr>
          <w:lang w:val="en-US"/>
        </w:rPr>
        <w:tab/>
      </w:r>
      <w:proofErr w:type="gramStart"/>
      <w:r w:rsidR="004E4AF4" w:rsidRPr="009F4189">
        <w:rPr>
          <w:lang w:val="en-US"/>
        </w:rPr>
        <w:t>that</w:t>
      </w:r>
      <w:proofErr w:type="gramEnd"/>
      <w:r w:rsidR="004E4AF4" w:rsidRPr="009F4189">
        <w:rPr>
          <w:lang w:val="en-US"/>
        </w:rPr>
        <w:t xml:space="preserve"> such practice has the potential to produce excellent picture quality, equal or superior to that available heretofore, and opens the possibility for program delivery in various digital forms for exhibition to large audiences;</w:t>
      </w:r>
    </w:p>
    <w:p w:rsidR="004E4AF4" w:rsidRPr="009F4189" w:rsidRDefault="00097EE1" w:rsidP="004E4AF4">
      <w:pPr>
        <w:tabs>
          <w:tab w:val="left" w:pos="6237"/>
        </w:tabs>
        <w:rPr>
          <w:lang w:val="en-US"/>
        </w:rPr>
      </w:pPr>
      <w:r w:rsidRPr="00097EE1">
        <w:rPr>
          <w:i/>
          <w:iCs/>
          <w:lang w:val="en-US"/>
          <w:rPrChange w:id="4" w:author="huguet" w:date="2012-02-10T14:43:00Z">
            <w:rPr>
              <w:lang w:val="en-US"/>
            </w:rPr>
          </w:rPrChange>
        </w:rPr>
        <w:t>c)</w:t>
      </w:r>
      <w:r w:rsidR="004E4AF4" w:rsidRPr="009F4189">
        <w:rPr>
          <w:lang w:val="en-US"/>
        </w:rPr>
        <w:tab/>
        <w:t>that such practice is reported to also offer significant benefits in terms of a faster, lower cost production/postproduction and distribution, including to smaller, less-developed markets;</w:t>
      </w:r>
    </w:p>
    <w:p w:rsidR="004E4AF4" w:rsidRDefault="00097EE1" w:rsidP="004E4AF4">
      <w:pPr>
        <w:rPr>
          <w:lang w:val="en-US"/>
        </w:rPr>
      </w:pPr>
      <w:r w:rsidRPr="00097EE1">
        <w:rPr>
          <w:i/>
          <w:iCs/>
          <w:lang w:val="en-US"/>
          <w:rPrChange w:id="5" w:author="huguet" w:date="2012-02-10T14:43:00Z">
            <w:rPr>
              <w:lang w:val="en-US"/>
            </w:rPr>
          </w:rPrChange>
        </w:rPr>
        <w:t>d)</w:t>
      </w:r>
      <w:r w:rsidR="004E4AF4">
        <w:rPr>
          <w:lang w:val="en-US"/>
        </w:rPr>
        <w:tab/>
      </w:r>
      <w:proofErr w:type="gramStart"/>
      <w:r w:rsidR="004E4AF4">
        <w:rPr>
          <w:lang w:val="en-US"/>
        </w:rPr>
        <w:t>that</w:t>
      </w:r>
      <w:proofErr w:type="gramEnd"/>
      <w:r w:rsidR="004E4AF4">
        <w:rPr>
          <w:lang w:val="en-US"/>
        </w:rPr>
        <w:t xml:space="preserve"> high resolution, bright, large screen projection equipment is available from several international manufacturers;</w:t>
      </w:r>
    </w:p>
    <w:p w:rsidR="004E4AF4" w:rsidRDefault="00097EE1" w:rsidP="004E4AF4">
      <w:pPr>
        <w:rPr>
          <w:lang w:val="en-US"/>
        </w:rPr>
      </w:pPr>
      <w:r w:rsidRPr="00097EE1">
        <w:rPr>
          <w:i/>
          <w:iCs/>
          <w:lang w:val="en-US"/>
          <w:rPrChange w:id="6" w:author="huguet" w:date="2012-02-10T14:43:00Z">
            <w:rPr>
              <w:lang w:val="en-US"/>
            </w:rPr>
          </w:rPrChange>
        </w:rPr>
        <w:t>e)</w:t>
      </w:r>
      <w:r w:rsidR="004E4AF4">
        <w:rPr>
          <w:lang w:val="en-US"/>
        </w:rPr>
        <w:tab/>
        <w:t>that it may be beneficial to develop a uniform or compatible hierarchy of technical standards for program recording, mastering</w:t>
      </w:r>
      <w:r w:rsidR="000912EF">
        <w:rPr>
          <w:rStyle w:val="FootnoteReference"/>
          <w:lang w:val="en-US"/>
        </w:rPr>
        <w:footnoteReference w:customMarkFollows="1" w:id="4"/>
        <w:t>3</w:t>
      </w:r>
      <w:r w:rsidR="004E4AF4">
        <w:rPr>
          <w:lang w:val="en-US"/>
        </w:rPr>
        <w:t>, exchange, delivery and exhibition, harmonized with those established for the recording and mastering, exchange and delivery of programs for other applications, since this can ease international program exchange;</w:t>
      </w:r>
    </w:p>
    <w:p w:rsidR="004E4AF4" w:rsidRDefault="00097EE1" w:rsidP="004E4AF4">
      <w:pPr>
        <w:rPr>
          <w:lang w:val="en-US"/>
        </w:rPr>
      </w:pPr>
      <w:r w:rsidRPr="00097EE1">
        <w:rPr>
          <w:i/>
          <w:iCs/>
          <w:lang w:val="en-US"/>
          <w:rPrChange w:id="7" w:author="huguet" w:date="2012-02-10T14:43:00Z">
            <w:rPr>
              <w:lang w:val="en-US"/>
            </w:rPr>
          </w:rPrChange>
        </w:rPr>
        <w:t>f)</w:t>
      </w:r>
      <w:r w:rsidR="004E4AF4">
        <w:rPr>
          <w:lang w:val="en-US"/>
        </w:rPr>
        <w:tab/>
      </w:r>
      <w:proofErr w:type="gramStart"/>
      <w:r w:rsidR="004E4AF4">
        <w:rPr>
          <w:lang w:val="en-US"/>
        </w:rPr>
        <w:t>that</w:t>
      </w:r>
      <w:proofErr w:type="gramEnd"/>
      <w:r w:rsidR="004E4AF4">
        <w:rPr>
          <w:lang w:val="en-US"/>
        </w:rPr>
        <w:t xml:space="preserve"> the ITU-R has been studying extremely high resolution imagery under Question ITU</w:t>
      </w:r>
      <w:r w:rsidR="004E4AF4">
        <w:rPr>
          <w:lang w:val="en-US"/>
        </w:rPr>
        <w:noBreakHyphen/>
        <w:t>R 40/6 based on the concept of a tiered or hierarchical approach;</w:t>
      </w:r>
    </w:p>
    <w:p w:rsidR="004E4AF4" w:rsidRDefault="00097EE1" w:rsidP="004E4AF4">
      <w:pPr>
        <w:rPr>
          <w:lang w:val="en-US"/>
        </w:rPr>
      </w:pPr>
      <w:r w:rsidRPr="00097EE1">
        <w:rPr>
          <w:i/>
          <w:iCs/>
          <w:lang w:val="en-US"/>
          <w:rPrChange w:id="8" w:author="huguet" w:date="2012-02-10T14:43:00Z">
            <w:rPr>
              <w:lang w:val="en-US"/>
            </w:rPr>
          </w:rPrChange>
        </w:rPr>
        <w:t>g)</w:t>
      </w:r>
      <w:r w:rsidR="004E4AF4">
        <w:rPr>
          <w:lang w:val="en-US"/>
        </w:rPr>
        <w:tab/>
        <w:t>that the introduction of digital technologies results in the converging of broadcast and telecommunication data channels, so that the secondary distribution of digital programs now also foresees the possible distribution of digital packetized data, in real-time and non-real-time, program-related and non-program-related, to the general public as well as to individual recipients or groups of recipients;</w:t>
      </w:r>
    </w:p>
    <w:p w:rsidR="004E4AF4" w:rsidRDefault="004E4AF4" w:rsidP="004E4AF4">
      <w:pPr>
        <w:rPr>
          <w:lang w:val="en-US"/>
        </w:rPr>
      </w:pPr>
      <w:r>
        <w:rPr>
          <w:lang w:val="en-US"/>
        </w:rPr>
        <w:br w:type="page"/>
      </w:r>
      <w:r w:rsidR="00097EE1" w:rsidRPr="00097EE1">
        <w:rPr>
          <w:i/>
          <w:iCs/>
          <w:lang w:val="en-US"/>
          <w:rPrChange w:id="9" w:author="huguet" w:date="2012-02-10T14:43:00Z">
            <w:rPr>
              <w:lang w:val="en-US"/>
            </w:rPr>
          </w:rPrChange>
        </w:rPr>
        <w:lastRenderedPageBreak/>
        <w:t>h)</w:t>
      </w:r>
      <w:r>
        <w:rPr>
          <w:lang w:val="en-US"/>
        </w:rPr>
        <w:tab/>
        <w:t>that the definition of broadcasting included in the ITU Constitution (CS/A.1010)</w:t>
      </w:r>
      <w:r w:rsidR="000912EF">
        <w:rPr>
          <w:rStyle w:val="FootnoteReference"/>
          <w:lang w:val="en-US"/>
        </w:rPr>
        <w:footnoteReference w:customMarkFollows="1" w:id="5"/>
        <w:t>4</w:t>
      </w:r>
      <w:r>
        <w:rPr>
          <w:lang w:val="en-US"/>
        </w:rPr>
        <w:t xml:space="preserve"> from the regulatory point of view, makes no distinction between real-time and non-real-time service delivery, nor between interactive and non-interactive programming, nor among sound, television or other types of content, nor among analog, digital or digital packetized delivery;</w:t>
      </w:r>
    </w:p>
    <w:p w:rsidR="004E4AF4" w:rsidRDefault="00097EE1" w:rsidP="004E4AF4">
      <w:pPr>
        <w:rPr>
          <w:lang w:val="en-US"/>
        </w:rPr>
      </w:pPr>
      <w:r w:rsidRPr="00097EE1">
        <w:rPr>
          <w:i/>
          <w:iCs/>
          <w:lang w:val="en-US"/>
          <w:rPrChange w:id="10" w:author="huguet" w:date="2012-02-10T14:43:00Z">
            <w:rPr>
              <w:lang w:val="en-US"/>
            </w:rPr>
          </w:rPrChange>
        </w:rPr>
        <w:t>j)</w:t>
      </w:r>
      <w:r w:rsidR="004E4AF4">
        <w:rPr>
          <w:lang w:val="en-US"/>
        </w:rPr>
        <w:tab/>
        <w:t xml:space="preserve">that various aspects of </w:t>
      </w:r>
      <w:proofErr w:type="spellStart"/>
      <w:r w:rsidR="004E4AF4">
        <w:rPr>
          <w:lang w:val="en-US"/>
        </w:rPr>
        <w:t>LSDI</w:t>
      </w:r>
      <w:proofErr w:type="spellEnd"/>
      <w:r w:rsidR="004E4AF4">
        <w:rPr>
          <w:lang w:val="en-US"/>
        </w:rPr>
        <w:t xml:space="preserve"> are within the scope of Study Group 6 as defined in Resolution ITU-R 4-4</w:t>
      </w:r>
      <w:r w:rsidR="000912EF">
        <w:rPr>
          <w:rStyle w:val="FootnoteReference"/>
          <w:lang w:val="en-US"/>
        </w:rPr>
        <w:footnoteReference w:customMarkFollows="1" w:id="6"/>
        <w:t>5</w:t>
      </w:r>
      <w:r w:rsidR="004E4AF4">
        <w:rPr>
          <w:lang w:val="en-US"/>
        </w:rPr>
        <w:t>, e.g.:</w:t>
      </w:r>
    </w:p>
    <w:p w:rsidR="004E4AF4" w:rsidRDefault="004E4AF4" w:rsidP="004E4AF4">
      <w:pPr>
        <w:pStyle w:val="enumlev1"/>
        <w:rPr>
          <w:lang w:val="en-US"/>
        </w:rPr>
      </w:pPr>
      <w:r>
        <w:rPr>
          <w:lang w:val="en-US"/>
        </w:rPr>
        <w:t>–</w:t>
      </w:r>
      <w:r>
        <w:rPr>
          <w:lang w:val="en-US"/>
        </w:rPr>
        <w:tab/>
      </w:r>
      <w:proofErr w:type="gramStart"/>
      <w:r>
        <w:rPr>
          <w:lang w:val="en-US"/>
        </w:rPr>
        <w:t>acquisition</w:t>
      </w:r>
      <w:proofErr w:type="gramEnd"/>
      <w:r>
        <w:rPr>
          <w:lang w:val="en-US"/>
        </w:rPr>
        <w:t>, production, postproduction and mastering;</w:t>
      </w:r>
    </w:p>
    <w:p w:rsidR="004E4AF4" w:rsidRDefault="004E4AF4" w:rsidP="004E4AF4">
      <w:pPr>
        <w:pStyle w:val="enumlev1"/>
        <w:rPr>
          <w:lang w:val="en-US"/>
        </w:rPr>
      </w:pPr>
      <w:r>
        <w:rPr>
          <w:lang w:val="en-US"/>
        </w:rPr>
        <w:t>–</w:t>
      </w:r>
      <w:r>
        <w:rPr>
          <w:lang w:val="en-US"/>
        </w:rPr>
        <w:tab/>
      </w:r>
      <w:proofErr w:type="gramStart"/>
      <w:r>
        <w:rPr>
          <w:lang w:val="en-US"/>
        </w:rPr>
        <w:t>storage</w:t>
      </w:r>
      <w:proofErr w:type="gramEnd"/>
      <w:r>
        <w:rPr>
          <w:lang w:val="en-US"/>
        </w:rPr>
        <w:t xml:space="preserve"> and transfer to and from film for international exchange;</w:t>
      </w:r>
    </w:p>
    <w:p w:rsidR="004E4AF4" w:rsidRDefault="004E4AF4" w:rsidP="004E4AF4">
      <w:pPr>
        <w:pStyle w:val="enumlev1"/>
        <w:rPr>
          <w:lang w:val="en-US"/>
        </w:rPr>
      </w:pPr>
      <w:r>
        <w:rPr>
          <w:lang w:val="en-US"/>
        </w:rPr>
        <w:t>–</w:t>
      </w:r>
      <w:r>
        <w:rPr>
          <w:lang w:val="en-US"/>
        </w:rPr>
        <w:tab/>
      </w:r>
      <w:proofErr w:type="gramStart"/>
      <w:r>
        <w:rPr>
          <w:lang w:val="en-US"/>
        </w:rPr>
        <w:t>encoding</w:t>
      </w:r>
      <w:proofErr w:type="gramEnd"/>
      <w:r>
        <w:rPr>
          <w:lang w:val="en-US"/>
        </w:rPr>
        <w:t>, encryption and assembling with control and metadata;</w:t>
      </w:r>
    </w:p>
    <w:p w:rsidR="004E4AF4" w:rsidRDefault="004E4AF4" w:rsidP="004E4AF4">
      <w:pPr>
        <w:pStyle w:val="enumlev1"/>
        <w:rPr>
          <w:lang w:val="en-US"/>
        </w:rPr>
      </w:pPr>
      <w:r>
        <w:rPr>
          <w:lang w:val="en-US"/>
        </w:rPr>
        <w:t>–</w:t>
      </w:r>
      <w:r>
        <w:rPr>
          <w:lang w:val="en-US"/>
        </w:rPr>
        <w:tab/>
      </w:r>
      <w:proofErr w:type="gramStart"/>
      <w:r>
        <w:rPr>
          <w:lang w:val="en-US"/>
        </w:rPr>
        <w:t>delivery</w:t>
      </w:r>
      <w:proofErr w:type="gramEnd"/>
      <w:r>
        <w:rPr>
          <w:lang w:val="en-US"/>
        </w:rPr>
        <w:t xml:space="preserve"> by terrestrial or satellite means;</w:t>
      </w:r>
    </w:p>
    <w:p w:rsidR="004E4AF4" w:rsidRDefault="004E4AF4" w:rsidP="004E4AF4">
      <w:pPr>
        <w:pStyle w:val="enumlev1"/>
        <w:rPr>
          <w:lang w:val="en-US"/>
        </w:rPr>
      </w:pPr>
      <w:r>
        <w:rPr>
          <w:lang w:val="en-US"/>
        </w:rPr>
        <w:t>–</w:t>
      </w:r>
      <w:r>
        <w:rPr>
          <w:lang w:val="en-US"/>
        </w:rPr>
        <w:tab/>
      </w:r>
      <w:proofErr w:type="gramStart"/>
      <w:r>
        <w:rPr>
          <w:lang w:val="en-US"/>
        </w:rPr>
        <w:t>quality</w:t>
      </w:r>
      <w:proofErr w:type="gramEnd"/>
      <w:r>
        <w:rPr>
          <w:lang w:val="en-US"/>
        </w:rPr>
        <w:t xml:space="preserve"> assessments of the proposed technical solutions;</w:t>
      </w:r>
    </w:p>
    <w:p w:rsidR="004E4AF4" w:rsidRDefault="00097EE1" w:rsidP="004E4AF4">
      <w:pPr>
        <w:rPr>
          <w:lang w:val="en-US"/>
        </w:rPr>
      </w:pPr>
      <w:r w:rsidRPr="00097EE1">
        <w:rPr>
          <w:i/>
          <w:iCs/>
          <w:lang w:val="en-US"/>
          <w:rPrChange w:id="11" w:author="huguet" w:date="2012-02-10T14:43:00Z">
            <w:rPr>
              <w:lang w:val="en-US"/>
            </w:rPr>
          </w:rPrChange>
        </w:rPr>
        <w:t>k)</w:t>
      </w:r>
      <w:r w:rsidR="004E4AF4">
        <w:rPr>
          <w:lang w:val="en-US"/>
        </w:rPr>
        <w:tab/>
        <w:t xml:space="preserve">that some other aspects of </w:t>
      </w:r>
      <w:proofErr w:type="spellStart"/>
      <w:r w:rsidR="004E4AF4">
        <w:rPr>
          <w:lang w:val="en-US"/>
        </w:rPr>
        <w:t>LSDI</w:t>
      </w:r>
      <w:proofErr w:type="spellEnd"/>
      <w:r w:rsidR="004E4AF4">
        <w:rPr>
          <w:lang w:val="en-US"/>
        </w:rPr>
        <w:t xml:space="preserve"> are in the scope of ITU-T Study Group 9; the </w:t>
      </w:r>
      <w:proofErr w:type="spellStart"/>
      <w:r w:rsidR="004E4AF4">
        <w:rPr>
          <w:lang w:val="en-US"/>
        </w:rPr>
        <w:t>IEC</w:t>
      </w:r>
      <w:proofErr w:type="spellEnd"/>
      <w:r w:rsidR="004E4AF4">
        <w:rPr>
          <w:lang w:val="en-US"/>
        </w:rPr>
        <w:t xml:space="preserve"> and ISO; other international or regional standardizing bodies as well as other relevant </w:t>
      </w:r>
      <w:proofErr w:type="spellStart"/>
      <w:r w:rsidR="004E4AF4">
        <w:rPr>
          <w:lang w:val="en-US"/>
        </w:rPr>
        <w:t>fora</w:t>
      </w:r>
      <w:proofErr w:type="spellEnd"/>
      <w:r w:rsidR="004E4AF4">
        <w:rPr>
          <w:lang w:val="en-US"/>
        </w:rPr>
        <w:t>;</w:t>
      </w:r>
    </w:p>
    <w:p w:rsidR="004E4AF4" w:rsidRDefault="00097EE1" w:rsidP="004E4AF4">
      <w:pPr>
        <w:rPr>
          <w:lang w:val="en-US"/>
        </w:rPr>
      </w:pPr>
      <w:r w:rsidRPr="00097EE1">
        <w:rPr>
          <w:i/>
          <w:iCs/>
          <w:lang w:val="en-US"/>
          <w:rPrChange w:id="12" w:author="huguet" w:date="2012-02-10T14:43:00Z">
            <w:rPr>
              <w:lang w:val="en-US"/>
            </w:rPr>
          </w:rPrChange>
        </w:rPr>
        <w:t>l)</w:t>
      </w:r>
      <w:r w:rsidR="004E4AF4">
        <w:rPr>
          <w:lang w:val="en-US"/>
        </w:rPr>
        <w:tab/>
      </w:r>
      <w:proofErr w:type="gramStart"/>
      <w:r w:rsidR="004E4AF4">
        <w:rPr>
          <w:lang w:val="en-US"/>
        </w:rPr>
        <w:t>that</w:t>
      </w:r>
      <w:proofErr w:type="gramEnd"/>
      <w:r w:rsidR="004E4AF4">
        <w:rPr>
          <w:lang w:val="en-US"/>
        </w:rPr>
        <w:t>, in view of its scope, Study Group 6 is well placed to act as a focal point to coordinate relevant studies among the various concerned ITU and non-ITU bodies;</w:t>
      </w:r>
    </w:p>
    <w:p w:rsidR="004E4AF4" w:rsidRDefault="00097EE1" w:rsidP="004E4AF4">
      <w:pPr>
        <w:rPr>
          <w:lang w:val="en-US"/>
        </w:rPr>
      </w:pPr>
      <w:r w:rsidRPr="00097EE1">
        <w:rPr>
          <w:i/>
          <w:iCs/>
          <w:lang w:val="en-US"/>
          <w:rPrChange w:id="13" w:author="huguet" w:date="2012-02-10T14:43:00Z">
            <w:rPr>
              <w:lang w:val="en-US"/>
            </w:rPr>
          </w:rPrChange>
        </w:rPr>
        <w:t>m)</w:t>
      </w:r>
      <w:r w:rsidR="004E4AF4" w:rsidRPr="009F4189">
        <w:rPr>
          <w:lang w:val="en-US"/>
        </w:rPr>
        <w:tab/>
      </w:r>
      <w:proofErr w:type="gramStart"/>
      <w:r w:rsidR="004E4AF4" w:rsidRPr="009F4189">
        <w:rPr>
          <w:lang w:val="en-US"/>
        </w:rPr>
        <w:t>that</w:t>
      </w:r>
      <w:proofErr w:type="gramEnd"/>
      <w:r w:rsidR="004E4AF4" w:rsidRPr="009F4189">
        <w:rPr>
          <w:lang w:val="en-US"/>
        </w:rPr>
        <w:t xml:space="preserve"> studies on </w:t>
      </w:r>
      <w:proofErr w:type="spellStart"/>
      <w:r w:rsidR="004E4AF4" w:rsidRPr="009F4189">
        <w:rPr>
          <w:lang w:val="en-US"/>
        </w:rPr>
        <w:t>LSDI</w:t>
      </w:r>
      <w:proofErr w:type="spellEnd"/>
      <w:r w:rsidR="004E4AF4" w:rsidRPr="009F4189">
        <w:rPr>
          <w:lang w:val="en-US"/>
        </w:rPr>
        <w:t xml:space="preserve"> are important both for the theatre and for broadcasting, and the</w:t>
      </w:r>
      <w:r w:rsidR="004E4AF4">
        <w:rPr>
          <w:lang w:val="en-US"/>
        </w:rPr>
        <w:t xml:space="preserve"> opening of some </w:t>
      </w:r>
      <w:proofErr w:type="spellStart"/>
      <w:r w:rsidR="004E4AF4">
        <w:rPr>
          <w:lang w:val="en-US"/>
        </w:rPr>
        <w:t>LSDI</w:t>
      </w:r>
      <w:proofErr w:type="spellEnd"/>
      <w:r w:rsidR="004E4AF4">
        <w:rPr>
          <w:lang w:val="en-US"/>
        </w:rPr>
        <w:t xml:space="preserve"> operational services makes it urgent for the ITU</w:t>
      </w:r>
      <w:r w:rsidR="004E4AF4">
        <w:rPr>
          <w:lang w:val="en-US"/>
        </w:rPr>
        <w:noBreakHyphen/>
        <w:t>R to initiate those studies;</w:t>
      </w:r>
    </w:p>
    <w:p w:rsidR="004E4AF4" w:rsidRDefault="00097EE1" w:rsidP="004E4AF4">
      <w:pPr>
        <w:rPr>
          <w:lang w:val="en-US"/>
        </w:rPr>
      </w:pPr>
      <w:r w:rsidRPr="00097EE1">
        <w:rPr>
          <w:i/>
          <w:iCs/>
          <w:lang w:val="en-US"/>
          <w:rPrChange w:id="14" w:author="huguet" w:date="2012-02-10T14:43:00Z">
            <w:rPr>
              <w:lang w:val="en-US"/>
            </w:rPr>
          </w:rPrChange>
        </w:rPr>
        <w:t>n)</w:t>
      </w:r>
      <w:r w:rsidR="004E4AF4">
        <w:rPr>
          <w:lang w:val="en-US"/>
        </w:rPr>
        <w:tab/>
      </w:r>
      <w:proofErr w:type="gramStart"/>
      <w:r w:rsidR="004E4AF4">
        <w:rPr>
          <w:lang w:val="en-US"/>
        </w:rPr>
        <w:t>that</w:t>
      </w:r>
      <w:proofErr w:type="gramEnd"/>
      <w:r w:rsidR="004E4AF4">
        <w:rPr>
          <w:lang w:val="en-US"/>
        </w:rPr>
        <w:t xml:space="preserve"> although studies are currently being carried out in various countries on all aspects of </w:t>
      </w:r>
      <w:proofErr w:type="spellStart"/>
      <w:r w:rsidR="004E4AF4">
        <w:rPr>
          <w:lang w:val="en-US"/>
        </w:rPr>
        <w:t>LSDI</w:t>
      </w:r>
      <w:proofErr w:type="spellEnd"/>
      <w:r w:rsidR="004E4AF4">
        <w:rPr>
          <w:lang w:val="en-US"/>
        </w:rPr>
        <w:t>, those specifically related to motion pictures</w:t>
      </w:r>
      <w:r w:rsidR="000912EF">
        <w:rPr>
          <w:rStyle w:val="FootnoteReference"/>
          <w:lang w:val="en-US"/>
        </w:rPr>
        <w:footnoteReference w:customMarkFollows="1" w:id="7"/>
        <w:t>6</w:t>
      </w:r>
      <w:r w:rsidR="004E4AF4">
        <w:rPr>
          <w:lang w:val="en-US"/>
        </w:rPr>
        <w:t xml:space="preserve"> are not yet fully completed,</w:t>
      </w:r>
    </w:p>
    <w:p w:rsidR="004E4AF4" w:rsidRDefault="004E4AF4" w:rsidP="004E4AF4">
      <w:pPr>
        <w:pStyle w:val="Call"/>
        <w:rPr>
          <w:lang w:val="en-US"/>
        </w:rPr>
      </w:pPr>
      <w:proofErr w:type="gramStart"/>
      <w:r>
        <w:rPr>
          <w:lang w:val="en-US"/>
        </w:rPr>
        <w:t>decides</w:t>
      </w:r>
      <w:proofErr w:type="gramEnd"/>
      <w:r>
        <w:rPr>
          <w:lang w:val="en-US"/>
        </w:rPr>
        <w:t xml:space="preserve"> </w:t>
      </w:r>
      <w:r>
        <w:rPr>
          <w:i w:val="0"/>
          <w:lang w:val="en-US"/>
        </w:rPr>
        <w:t>that the following Question</w:t>
      </w:r>
      <w:r w:rsidR="000912EF">
        <w:rPr>
          <w:i w:val="0"/>
          <w:lang w:val="en-US"/>
        </w:rPr>
        <w:t>s</w:t>
      </w:r>
      <w:r>
        <w:rPr>
          <w:i w:val="0"/>
          <w:lang w:val="en-US"/>
        </w:rPr>
        <w:t xml:space="preserve"> should be studied</w:t>
      </w:r>
    </w:p>
    <w:p w:rsidR="004E4AF4" w:rsidRDefault="00097EE1" w:rsidP="004E4AF4">
      <w:pPr>
        <w:rPr>
          <w:lang w:val="en-US"/>
        </w:rPr>
      </w:pPr>
      <w:r w:rsidRPr="00097EE1">
        <w:rPr>
          <w:bCs/>
          <w:lang w:val="en-US"/>
          <w:rPrChange w:id="15" w:author="huguet" w:date="2012-02-10T14:44:00Z">
            <w:rPr>
              <w:b/>
              <w:lang w:val="en-US"/>
            </w:rPr>
          </w:rPrChange>
        </w:rPr>
        <w:t>1</w:t>
      </w:r>
      <w:r w:rsidR="004E4AF4">
        <w:rPr>
          <w:lang w:val="en-US"/>
        </w:rPr>
        <w:tab/>
        <w:t xml:space="preserve">What are the picture and sound performance goals, in subjective and objective terms, of the </w:t>
      </w:r>
      <w:proofErr w:type="spellStart"/>
      <w:r w:rsidR="004E4AF4">
        <w:rPr>
          <w:lang w:val="en-US"/>
        </w:rPr>
        <w:t>LSDI</w:t>
      </w:r>
      <w:proofErr w:type="spellEnd"/>
      <w:r w:rsidR="004E4AF4">
        <w:rPr>
          <w:lang w:val="en-US"/>
        </w:rPr>
        <w:t xml:space="preserve"> </w:t>
      </w:r>
      <w:proofErr w:type="gramStart"/>
      <w:r w:rsidR="004E4AF4">
        <w:rPr>
          <w:lang w:val="en-US"/>
        </w:rPr>
        <w:t>applications  that</w:t>
      </w:r>
      <w:proofErr w:type="gramEnd"/>
      <w:r w:rsidR="004E4AF4">
        <w:rPr>
          <w:lang w:val="en-US"/>
        </w:rPr>
        <w:t xml:space="preserve"> require the use of the higher members of the expanded </w:t>
      </w:r>
      <w:proofErr w:type="spellStart"/>
      <w:r w:rsidR="004E4AF4">
        <w:rPr>
          <w:lang w:val="en-US"/>
        </w:rPr>
        <w:t>LSDI</w:t>
      </w:r>
      <w:proofErr w:type="spellEnd"/>
      <w:r w:rsidR="004E4AF4">
        <w:rPr>
          <w:lang w:val="en-US"/>
        </w:rPr>
        <w:t xml:space="preserve"> hierarchy of image systems?</w:t>
      </w:r>
    </w:p>
    <w:p w:rsidR="004E4AF4" w:rsidRDefault="00097EE1" w:rsidP="004E4AF4">
      <w:pPr>
        <w:rPr>
          <w:lang w:val="en-US"/>
        </w:rPr>
      </w:pPr>
      <w:r w:rsidRPr="00097EE1">
        <w:rPr>
          <w:bCs/>
          <w:lang w:val="en-US"/>
          <w:rPrChange w:id="16" w:author="huguet" w:date="2012-02-10T14:44:00Z">
            <w:rPr>
              <w:b/>
              <w:lang w:val="en-US"/>
            </w:rPr>
          </w:rPrChange>
        </w:rPr>
        <w:t>2</w:t>
      </w:r>
      <w:r w:rsidR="004E4AF4">
        <w:rPr>
          <w:lang w:val="en-US"/>
        </w:rPr>
        <w:tab/>
        <w:t xml:space="preserve">What methods are appropriate for the subjective and objective assessment of the sound and image quality of </w:t>
      </w:r>
      <w:proofErr w:type="spellStart"/>
      <w:r w:rsidR="004E4AF4">
        <w:rPr>
          <w:lang w:val="en-US"/>
        </w:rPr>
        <w:t>LSDI</w:t>
      </w:r>
      <w:proofErr w:type="spellEnd"/>
      <w:r w:rsidR="004E4AF4">
        <w:rPr>
          <w:lang w:val="en-US"/>
        </w:rPr>
        <w:t xml:space="preserve"> systems including those intended for applications that require the use of the higher members of the expanded </w:t>
      </w:r>
      <w:proofErr w:type="spellStart"/>
      <w:r w:rsidR="004E4AF4">
        <w:rPr>
          <w:lang w:val="en-US"/>
        </w:rPr>
        <w:t>LSDI</w:t>
      </w:r>
      <w:proofErr w:type="spellEnd"/>
      <w:r w:rsidR="004E4AF4">
        <w:rPr>
          <w:lang w:val="en-US"/>
        </w:rPr>
        <w:t xml:space="preserve"> hierarchy of image systems?</w:t>
      </w:r>
    </w:p>
    <w:p w:rsidR="004E4AF4" w:rsidRDefault="00097EE1" w:rsidP="004E4AF4">
      <w:pPr>
        <w:rPr>
          <w:lang w:val="en-US"/>
        </w:rPr>
      </w:pPr>
      <w:r w:rsidRPr="00097EE1">
        <w:rPr>
          <w:bCs/>
          <w:lang w:val="en-US"/>
          <w:rPrChange w:id="17" w:author="huguet" w:date="2012-02-10T14:44:00Z">
            <w:rPr>
              <w:b/>
              <w:lang w:val="en-US"/>
            </w:rPr>
          </w:rPrChange>
        </w:rPr>
        <w:t>3</w:t>
      </w:r>
      <w:r w:rsidR="004E4AF4">
        <w:rPr>
          <w:lang w:val="en-US"/>
        </w:rPr>
        <w:tab/>
        <w:t xml:space="preserve">Which digital formats, standards and operating practices for program production, storage and international exchange should be recommended in order to reliably meet the performance goals of </w:t>
      </w:r>
      <w:proofErr w:type="spellStart"/>
      <w:r w:rsidR="004E4AF4">
        <w:rPr>
          <w:lang w:val="en-US"/>
        </w:rPr>
        <w:t>LSDI</w:t>
      </w:r>
      <w:proofErr w:type="spellEnd"/>
      <w:r w:rsidR="004E4AF4">
        <w:rPr>
          <w:lang w:val="en-US"/>
        </w:rPr>
        <w:t xml:space="preserve"> applications, including those intended for applications that require the use of the higher members of the expanded </w:t>
      </w:r>
      <w:proofErr w:type="spellStart"/>
      <w:r w:rsidR="004E4AF4">
        <w:rPr>
          <w:lang w:val="en-US"/>
        </w:rPr>
        <w:t>LSDI</w:t>
      </w:r>
      <w:proofErr w:type="spellEnd"/>
      <w:r w:rsidR="004E4AF4">
        <w:rPr>
          <w:lang w:val="en-US"/>
        </w:rPr>
        <w:t xml:space="preserve"> hierarchy of image systems?</w:t>
      </w:r>
    </w:p>
    <w:p w:rsidR="004E4AF4" w:rsidRDefault="00097EE1" w:rsidP="004E4AF4">
      <w:pPr>
        <w:rPr>
          <w:lang w:val="en-US"/>
        </w:rPr>
      </w:pPr>
      <w:r w:rsidRPr="00097EE1">
        <w:rPr>
          <w:bCs/>
          <w:lang w:val="en-US"/>
          <w:rPrChange w:id="18" w:author="huguet" w:date="2012-02-10T14:44:00Z">
            <w:rPr>
              <w:b/>
              <w:lang w:val="en-US"/>
            </w:rPr>
          </w:rPrChange>
        </w:rPr>
        <w:t>4</w:t>
      </w:r>
      <w:r w:rsidR="004E4AF4">
        <w:rPr>
          <w:lang w:val="en-US"/>
        </w:rPr>
        <w:tab/>
        <w:t xml:space="preserve">Which information related to </w:t>
      </w:r>
      <w:proofErr w:type="spellStart"/>
      <w:r w:rsidR="004E4AF4">
        <w:rPr>
          <w:lang w:val="en-US"/>
        </w:rPr>
        <w:t>LSDI</w:t>
      </w:r>
      <w:proofErr w:type="spellEnd"/>
      <w:r w:rsidR="004E4AF4">
        <w:rPr>
          <w:lang w:val="en-US"/>
        </w:rPr>
        <w:t xml:space="preserve"> programs should be included as metadata through the mastering</w:t>
      </w:r>
      <w:r w:rsidR="004E4AF4">
        <w:rPr>
          <w:color w:val="000000"/>
          <w:lang w:val="en-US"/>
        </w:rPr>
        <w:t xml:space="preserve"> </w:t>
      </w:r>
      <w:r w:rsidR="004E4AF4" w:rsidRPr="009F4189">
        <w:rPr>
          <w:lang w:val="en-US"/>
        </w:rPr>
        <w:t>and carried through the digital distribution ch</w:t>
      </w:r>
      <w:r w:rsidR="004E4AF4">
        <w:rPr>
          <w:lang w:val="en-US"/>
        </w:rPr>
        <w:t>ain, and in which form?</w:t>
      </w:r>
    </w:p>
    <w:p w:rsidR="004E4AF4" w:rsidRDefault="00097EE1" w:rsidP="004E4AF4">
      <w:pPr>
        <w:rPr>
          <w:lang w:val="en-US"/>
        </w:rPr>
      </w:pPr>
      <w:r w:rsidRPr="00097EE1">
        <w:rPr>
          <w:bCs/>
          <w:lang w:val="en-US"/>
          <w:rPrChange w:id="19" w:author="huguet" w:date="2012-02-10T14:44:00Z">
            <w:rPr>
              <w:b/>
              <w:lang w:val="en-US"/>
            </w:rPr>
          </w:rPrChange>
        </w:rPr>
        <w:t>5</w:t>
      </w:r>
      <w:r w:rsidR="004E4AF4">
        <w:rPr>
          <w:lang w:val="en-US"/>
        </w:rPr>
        <w:tab/>
        <w:t xml:space="preserve">Which methods can be recommended for the bit-rate-reduction encoding and for the encryption of </w:t>
      </w:r>
      <w:proofErr w:type="spellStart"/>
      <w:r w:rsidR="004E4AF4">
        <w:rPr>
          <w:lang w:val="en-US"/>
        </w:rPr>
        <w:t>LSDI</w:t>
      </w:r>
      <w:proofErr w:type="spellEnd"/>
      <w:r w:rsidR="004E4AF4">
        <w:rPr>
          <w:lang w:val="en-US"/>
        </w:rPr>
        <w:t xml:space="preserve"> programs?</w:t>
      </w:r>
    </w:p>
    <w:p w:rsidR="004E4AF4" w:rsidRDefault="00097EE1" w:rsidP="004E4AF4">
      <w:pPr>
        <w:rPr>
          <w:lang w:val="en-US"/>
        </w:rPr>
      </w:pPr>
      <w:r w:rsidRPr="00097EE1">
        <w:rPr>
          <w:bCs/>
          <w:lang w:val="en-US"/>
          <w:rPrChange w:id="20" w:author="huguet" w:date="2012-02-10T14:44:00Z">
            <w:rPr>
              <w:b/>
              <w:lang w:val="en-US"/>
            </w:rPr>
          </w:rPrChange>
        </w:rPr>
        <w:t>6</w:t>
      </w:r>
      <w:r w:rsidR="004E4AF4">
        <w:rPr>
          <w:lang w:val="en-US"/>
        </w:rPr>
        <w:tab/>
        <w:t xml:space="preserve">Which methods can be recommended for conditional access and copy protection of </w:t>
      </w:r>
      <w:proofErr w:type="spellStart"/>
      <w:r w:rsidR="004E4AF4">
        <w:rPr>
          <w:lang w:val="en-US"/>
        </w:rPr>
        <w:t>LSDI</w:t>
      </w:r>
      <w:proofErr w:type="spellEnd"/>
      <w:r w:rsidR="004E4AF4">
        <w:rPr>
          <w:lang w:val="en-US"/>
        </w:rPr>
        <w:t xml:space="preserve"> programs?</w:t>
      </w:r>
    </w:p>
    <w:p w:rsidR="004E4AF4" w:rsidRDefault="00097EE1" w:rsidP="004E4AF4">
      <w:pPr>
        <w:rPr>
          <w:lang w:val="en-US"/>
        </w:rPr>
      </w:pPr>
      <w:r w:rsidRPr="00097EE1">
        <w:rPr>
          <w:bCs/>
          <w:lang w:val="en-US"/>
          <w:rPrChange w:id="21" w:author="huguet" w:date="2012-02-10T14:44:00Z">
            <w:rPr>
              <w:b/>
              <w:lang w:val="en-US"/>
            </w:rPr>
          </w:rPrChange>
        </w:rPr>
        <w:t>7</w:t>
      </w:r>
      <w:r w:rsidR="004E4AF4">
        <w:rPr>
          <w:lang w:val="en-US"/>
        </w:rPr>
        <w:tab/>
        <w:t xml:space="preserve">Which methods can be recommended to adapt </w:t>
      </w:r>
      <w:proofErr w:type="spellStart"/>
      <w:r w:rsidR="004E4AF4">
        <w:rPr>
          <w:lang w:val="en-US"/>
        </w:rPr>
        <w:t>LSDI</w:t>
      </w:r>
      <w:proofErr w:type="spellEnd"/>
      <w:r w:rsidR="004E4AF4">
        <w:rPr>
          <w:lang w:val="en-US"/>
        </w:rPr>
        <w:t xml:space="preserve"> programs for delivery by terrestrial emission?</w:t>
      </w:r>
    </w:p>
    <w:p w:rsidR="004E4AF4" w:rsidRDefault="00097EE1" w:rsidP="004E4AF4">
      <w:pPr>
        <w:rPr>
          <w:lang w:val="en-US"/>
        </w:rPr>
      </w:pPr>
      <w:r w:rsidRPr="00097EE1">
        <w:rPr>
          <w:bCs/>
          <w:lang w:val="en-US"/>
          <w:rPrChange w:id="22" w:author="huguet" w:date="2012-02-10T14:44:00Z">
            <w:rPr>
              <w:b/>
              <w:lang w:val="en-US"/>
            </w:rPr>
          </w:rPrChange>
        </w:rPr>
        <w:t>8</w:t>
      </w:r>
      <w:r w:rsidR="004E4AF4">
        <w:rPr>
          <w:lang w:val="en-US"/>
        </w:rPr>
        <w:tab/>
        <w:t xml:space="preserve">Which methods can be recommended to adapt </w:t>
      </w:r>
      <w:proofErr w:type="spellStart"/>
      <w:r w:rsidR="004E4AF4">
        <w:rPr>
          <w:lang w:val="en-US"/>
        </w:rPr>
        <w:t>LSDI</w:t>
      </w:r>
      <w:proofErr w:type="spellEnd"/>
      <w:r w:rsidR="004E4AF4">
        <w:rPr>
          <w:lang w:val="en-US"/>
        </w:rPr>
        <w:t xml:space="preserve"> programs for delivery by satellite emission?</w:t>
      </w:r>
    </w:p>
    <w:p w:rsidR="004E4AF4" w:rsidRDefault="00097EE1" w:rsidP="004E4AF4">
      <w:pPr>
        <w:rPr>
          <w:lang w:val="en-US"/>
        </w:rPr>
      </w:pPr>
      <w:r w:rsidRPr="00097EE1">
        <w:rPr>
          <w:bCs/>
          <w:lang w:val="en-US"/>
          <w:rPrChange w:id="23" w:author="huguet" w:date="2012-02-10T14:44:00Z">
            <w:rPr>
              <w:b/>
              <w:bCs/>
              <w:lang w:val="en-US"/>
            </w:rPr>
          </w:rPrChange>
        </w:rPr>
        <w:t>9</w:t>
      </w:r>
      <w:r w:rsidR="004E4AF4">
        <w:rPr>
          <w:lang w:val="en-US"/>
        </w:rPr>
        <w:tab/>
        <w:t xml:space="preserve">Which methods can be recommended for archiving of </w:t>
      </w:r>
      <w:proofErr w:type="spellStart"/>
      <w:r w:rsidR="004E4AF4">
        <w:rPr>
          <w:lang w:val="en-US"/>
        </w:rPr>
        <w:t>LSDI</w:t>
      </w:r>
      <w:proofErr w:type="spellEnd"/>
      <w:r w:rsidR="004E4AF4">
        <w:rPr>
          <w:lang w:val="en-US"/>
        </w:rPr>
        <w:t xml:space="preserve"> material?</w:t>
      </w:r>
    </w:p>
    <w:p w:rsidR="004E4AF4" w:rsidRDefault="004E4AF4" w:rsidP="004E4AF4">
      <w:pPr>
        <w:pStyle w:val="Call"/>
        <w:rPr>
          <w:lang w:val="en-US"/>
        </w:rPr>
      </w:pPr>
      <w:proofErr w:type="gramStart"/>
      <w:r>
        <w:rPr>
          <w:lang w:val="en-US"/>
        </w:rPr>
        <w:t>further</w:t>
      </w:r>
      <w:proofErr w:type="gramEnd"/>
      <w:r>
        <w:rPr>
          <w:lang w:val="en-US"/>
        </w:rPr>
        <w:t xml:space="preserve"> decides</w:t>
      </w:r>
    </w:p>
    <w:p w:rsidR="004E4AF4" w:rsidRDefault="00097EE1" w:rsidP="004E4AF4">
      <w:pPr>
        <w:rPr>
          <w:lang w:val="en-US"/>
        </w:rPr>
      </w:pPr>
      <w:r w:rsidRPr="00097EE1">
        <w:rPr>
          <w:bCs/>
          <w:lang w:val="en-US"/>
          <w:rPrChange w:id="24" w:author="huguet" w:date="2012-02-10T14:44:00Z">
            <w:rPr>
              <w:b/>
              <w:lang w:val="en-US"/>
            </w:rPr>
          </w:rPrChange>
        </w:rPr>
        <w:t>1</w:t>
      </w:r>
      <w:r w:rsidR="004E4AF4">
        <w:rPr>
          <w:lang w:val="en-US"/>
        </w:rPr>
        <w:tab/>
        <w:t xml:space="preserve">that co-operation between ITU-T Study Group 9 and ITU-R Study Group 6 is desirable in the selection of methods for the delivery of </w:t>
      </w:r>
      <w:proofErr w:type="spellStart"/>
      <w:r w:rsidR="004E4AF4">
        <w:rPr>
          <w:lang w:val="en-US"/>
        </w:rPr>
        <w:t>LSDI</w:t>
      </w:r>
      <w:proofErr w:type="spellEnd"/>
      <w:r w:rsidR="004E4AF4">
        <w:rPr>
          <w:lang w:val="en-US"/>
        </w:rPr>
        <w:t xml:space="preserve"> programs to their end users by television cable, fiber networks and telecommunications networks;</w:t>
      </w:r>
    </w:p>
    <w:p w:rsidR="004E4AF4" w:rsidRDefault="00097EE1" w:rsidP="004E4AF4">
      <w:pPr>
        <w:rPr>
          <w:lang w:val="en-US"/>
        </w:rPr>
      </w:pPr>
      <w:r w:rsidRPr="00097EE1">
        <w:rPr>
          <w:bCs/>
          <w:lang w:val="en-US"/>
          <w:rPrChange w:id="25" w:author="huguet" w:date="2012-02-10T14:44:00Z">
            <w:rPr>
              <w:b/>
              <w:lang w:val="en-US"/>
            </w:rPr>
          </w:rPrChange>
        </w:rPr>
        <w:t>2</w:t>
      </w:r>
      <w:r w:rsidR="004E4AF4">
        <w:rPr>
          <w:lang w:val="en-US"/>
        </w:rPr>
        <w:tab/>
        <w:t>that co-operation with the ISO/</w:t>
      </w:r>
      <w:proofErr w:type="spellStart"/>
      <w:r w:rsidR="004E4AF4">
        <w:rPr>
          <w:lang w:val="en-US"/>
        </w:rPr>
        <w:t>IEC</w:t>
      </w:r>
      <w:proofErr w:type="spellEnd"/>
      <w:r w:rsidR="004E4AF4">
        <w:rPr>
          <w:lang w:val="en-US"/>
        </w:rPr>
        <w:t xml:space="preserve"> JTC1/SC29/WG11 (MPEG) is desirable in the selection of compression tools for the delivery of </w:t>
      </w:r>
      <w:proofErr w:type="spellStart"/>
      <w:r w:rsidR="004E4AF4">
        <w:rPr>
          <w:lang w:val="en-US"/>
        </w:rPr>
        <w:t>LSDI</w:t>
      </w:r>
      <w:proofErr w:type="spellEnd"/>
      <w:r w:rsidR="004E4AF4">
        <w:rPr>
          <w:lang w:val="en-US"/>
        </w:rPr>
        <w:t xml:space="preserve"> programs to their end users;</w:t>
      </w:r>
    </w:p>
    <w:p w:rsidR="004E4AF4" w:rsidRDefault="00097EE1" w:rsidP="004E4AF4">
      <w:pPr>
        <w:rPr>
          <w:lang w:val="en-US"/>
        </w:rPr>
      </w:pPr>
      <w:r w:rsidRPr="00097EE1">
        <w:rPr>
          <w:bCs/>
          <w:lang w:val="en-US"/>
          <w:rPrChange w:id="26" w:author="huguet" w:date="2012-02-10T14:44:00Z">
            <w:rPr>
              <w:b/>
              <w:lang w:val="en-US"/>
            </w:rPr>
          </w:rPrChange>
        </w:rPr>
        <w:t>3</w:t>
      </w:r>
      <w:r w:rsidR="004E4AF4">
        <w:rPr>
          <w:lang w:val="en-US"/>
        </w:rPr>
        <w:tab/>
        <w:t xml:space="preserve">that co-operation with ISO, </w:t>
      </w:r>
      <w:proofErr w:type="spellStart"/>
      <w:r w:rsidR="004E4AF4">
        <w:rPr>
          <w:lang w:val="en-US"/>
        </w:rPr>
        <w:t>IEC</w:t>
      </w:r>
      <w:proofErr w:type="spellEnd"/>
      <w:r w:rsidR="004E4AF4">
        <w:rPr>
          <w:lang w:val="en-US"/>
        </w:rPr>
        <w:t xml:space="preserve"> and the other international and regional standardizing bodies and </w:t>
      </w:r>
      <w:proofErr w:type="spellStart"/>
      <w:r w:rsidR="004E4AF4">
        <w:rPr>
          <w:lang w:val="en-US"/>
        </w:rPr>
        <w:t>fora</w:t>
      </w:r>
      <w:proofErr w:type="spellEnd"/>
      <w:r w:rsidR="004E4AF4">
        <w:rPr>
          <w:lang w:val="en-US"/>
        </w:rPr>
        <w:t xml:space="preserve"> (see examples in Annex 1) is desirable in the study of the </w:t>
      </w:r>
      <w:proofErr w:type="spellStart"/>
      <w:r w:rsidR="004E4AF4">
        <w:rPr>
          <w:lang w:val="en-US"/>
        </w:rPr>
        <w:t>LSDI’s</w:t>
      </w:r>
      <w:proofErr w:type="spellEnd"/>
      <w:r w:rsidR="004E4AF4">
        <w:rPr>
          <w:lang w:val="en-US"/>
        </w:rPr>
        <w:t xml:space="preserve"> presentation environment objectives and the related methods and devices;</w:t>
      </w:r>
    </w:p>
    <w:p w:rsidR="004E4AF4" w:rsidRDefault="00097EE1" w:rsidP="004E4AF4">
      <w:pPr>
        <w:rPr>
          <w:lang w:val="en-US"/>
        </w:rPr>
      </w:pPr>
      <w:r w:rsidRPr="00097EE1">
        <w:rPr>
          <w:bCs/>
          <w:lang w:val="en-US"/>
          <w:rPrChange w:id="27" w:author="huguet" w:date="2012-02-10T14:44:00Z">
            <w:rPr>
              <w:b/>
              <w:lang w:val="en-US"/>
            </w:rPr>
          </w:rPrChange>
        </w:rPr>
        <w:t>4</w:t>
      </w:r>
      <w:r w:rsidR="004E4AF4">
        <w:rPr>
          <w:lang w:val="en-US"/>
        </w:rPr>
        <w:tab/>
        <w:t xml:space="preserve">that co-operation with other bodies such as those given as examples in Annex 1 is desirable in the selection of methods compatible with the end-to-end </w:t>
      </w:r>
      <w:proofErr w:type="spellStart"/>
      <w:r w:rsidR="004E4AF4">
        <w:rPr>
          <w:lang w:val="en-US"/>
        </w:rPr>
        <w:t>LSDI</w:t>
      </w:r>
      <w:proofErr w:type="spellEnd"/>
      <w:r w:rsidR="004E4AF4">
        <w:rPr>
          <w:lang w:val="en-US"/>
        </w:rPr>
        <w:t xml:space="preserve"> specifications currently being developed;</w:t>
      </w:r>
    </w:p>
    <w:p w:rsidR="004E4AF4" w:rsidRDefault="00097EE1" w:rsidP="004E4AF4">
      <w:pPr>
        <w:rPr>
          <w:lang w:val="en-US"/>
        </w:rPr>
      </w:pPr>
      <w:r w:rsidRPr="00097EE1">
        <w:rPr>
          <w:bCs/>
          <w:lang w:val="en-US"/>
          <w:rPrChange w:id="28" w:author="huguet" w:date="2012-02-10T14:44:00Z">
            <w:rPr>
              <w:b/>
              <w:lang w:val="en-US"/>
            </w:rPr>
          </w:rPrChange>
        </w:rPr>
        <w:t>5</w:t>
      </w:r>
      <w:r w:rsidR="004E4AF4">
        <w:rPr>
          <w:lang w:val="en-US"/>
        </w:rPr>
        <w:tab/>
        <w:t>that the bodies selected for liaison should be chosen on a case-by-case basis depending on their relevance to the particular topic;</w:t>
      </w:r>
    </w:p>
    <w:p w:rsidR="004E4AF4" w:rsidRDefault="00097EE1" w:rsidP="004E4AF4">
      <w:pPr>
        <w:rPr>
          <w:lang w:val="en-US"/>
        </w:rPr>
      </w:pPr>
      <w:r w:rsidRPr="00097EE1">
        <w:rPr>
          <w:bCs/>
          <w:lang w:val="en-US"/>
          <w:rPrChange w:id="29" w:author="huguet" w:date="2012-02-10T14:44:00Z">
            <w:rPr>
              <w:b/>
              <w:lang w:val="en-US"/>
            </w:rPr>
          </w:rPrChange>
        </w:rPr>
        <w:t>6</w:t>
      </w:r>
      <w:r w:rsidR="004E4AF4">
        <w:rPr>
          <w:lang w:val="en-US"/>
        </w:rPr>
        <w:tab/>
        <w:t xml:space="preserve">that </w:t>
      </w:r>
      <w:proofErr w:type="spellStart"/>
      <w:r w:rsidR="004E4AF4">
        <w:rPr>
          <w:lang w:val="en-US"/>
        </w:rPr>
        <w:t>SG</w:t>
      </w:r>
      <w:proofErr w:type="spellEnd"/>
      <w:r w:rsidR="004E4AF4">
        <w:rPr>
          <w:lang w:val="en-US"/>
        </w:rPr>
        <w:t xml:space="preserve"> 6 studies of the methods for the production, delivery and presentation of </w:t>
      </w:r>
      <w:proofErr w:type="spellStart"/>
      <w:r w:rsidR="004E4AF4">
        <w:rPr>
          <w:lang w:val="en-US"/>
        </w:rPr>
        <w:t>LSDI</w:t>
      </w:r>
      <w:proofErr w:type="spellEnd"/>
      <w:r w:rsidR="004E4AF4">
        <w:rPr>
          <w:lang w:val="en-US"/>
        </w:rPr>
        <w:t xml:space="preserve"> programs should rely, where appropriate, on the use of existing tools and toolkits; </w:t>
      </w:r>
    </w:p>
    <w:p w:rsidR="004E4AF4" w:rsidRDefault="00097EE1" w:rsidP="004E4AF4">
      <w:pPr>
        <w:rPr>
          <w:lang w:val="en-US"/>
        </w:rPr>
      </w:pPr>
      <w:r w:rsidRPr="00097EE1">
        <w:rPr>
          <w:bCs/>
          <w:lang w:val="en-US"/>
          <w:rPrChange w:id="30" w:author="huguet" w:date="2012-02-10T14:44:00Z">
            <w:rPr>
              <w:b/>
              <w:lang w:val="en-US"/>
            </w:rPr>
          </w:rPrChange>
        </w:rPr>
        <w:t>7</w:t>
      </w:r>
      <w:r w:rsidR="004E4AF4">
        <w:rPr>
          <w:b/>
          <w:lang w:val="en-US"/>
        </w:rPr>
        <w:tab/>
      </w:r>
      <w:r w:rsidR="004E4AF4">
        <w:rPr>
          <w:lang w:val="en-US"/>
        </w:rPr>
        <w:t xml:space="preserve">that the </w:t>
      </w:r>
      <w:proofErr w:type="spellStart"/>
      <w:r w:rsidR="004E4AF4">
        <w:rPr>
          <w:lang w:val="en-US"/>
        </w:rPr>
        <w:t>LSDI</w:t>
      </w:r>
      <w:proofErr w:type="spellEnd"/>
      <w:r w:rsidR="004E4AF4">
        <w:rPr>
          <w:lang w:val="en-US"/>
        </w:rPr>
        <w:t xml:space="preserve"> studies should result in a set of Recommendations based on a hierarchy of levels of system performance that harmonize where possible with existing systems for digital imagery;</w:t>
      </w:r>
    </w:p>
    <w:p w:rsidR="004E4AF4" w:rsidRDefault="004E4AF4" w:rsidP="004E4AF4">
      <w:pPr>
        <w:rPr>
          <w:lang w:val="en-US"/>
        </w:rPr>
      </w:pPr>
      <w:r w:rsidRPr="00CC1391">
        <w:rPr>
          <w:bCs/>
          <w:lang w:val="en-US"/>
        </w:rPr>
        <w:t>8</w:t>
      </w:r>
      <w:r>
        <w:rPr>
          <w:lang w:val="en-US"/>
        </w:rPr>
        <w:tab/>
        <w:t xml:space="preserve">That while studies of </w:t>
      </w:r>
      <w:proofErr w:type="spellStart"/>
      <w:r>
        <w:rPr>
          <w:lang w:val="en-US"/>
        </w:rPr>
        <w:t>LSDI</w:t>
      </w:r>
      <w:proofErr w:type="spellEnd"/>
      <w:r>
        <w:rPr>
          <w:lang w:val="en-US"/>
        </w:rPr>
        <w:t xml:space="preserve"> may include characteristics</w:t>
      </w:r>
      <w:r w:rsidR="000912EF">
        <w:rPr>
          <w:rStyle w:val="FootnoteReference"/>
          <w:lang w:val="en-US"/>
        </w:rPr>
        <w:footnoteReference w:customMarkFollows="1" w:id="8"/>
        <w:t>7</w:t>
      </w:r>
      <w:r>
        <w:rPr>
          <w:lang w:val="en-US"/>
        </w:rPr>
        <w:t xml:space="preserve"> that are common to motion pictures</w:t>
      </w:r>
      <w:r w:rsidR="000912EF">
        <w:rPr>
          <w:rStyle w:val="FootnoteReference"/>
          <w:lang w:val="en-US"/>
        </w:rPr>
        <w:footnoteReference w:customMarkFollows="1" w:id="9"/>
        <w:t>8</w:t>
      </w:r>
      <w:r>
        <w:rPr>
          <w:lang w:val="en-US"/>
        </w:rPr>
        <w:t xml:space="preserve"> and in the purview of Study Group 6, Study Group 6 recognizes that aspects</w:t>
      </w:r>
      <w:r w:rsidR="000912EF">
        <w:rPr>
          <w:rStyle w:val="FootnoteReference"/>
          <w:lang w:val="en-US"/>
        </w:rPr>
        <w:footnoteReference w:customMarkFollows="1" w:id="10"/>
        <w:t>9</w:t>
      </w:r>
      <w:r>
        <w:rPr>
          <w:lang w:val="en-US"/>
        </w:rPr>
        <w:t xml:space="preserve"> specifically relating to motion pictures should be based on standards developed by the motion picture expert groups;</w:t>
      </w:r>
    </w:p>
    <w:p w:rsidR="004E4AF4" w:rsidRDefault="004E4AF4" w:rsidP="004E4AF4">
      <w:pPr>
        <w:rPr>
          <w:lang w:val="en-US"/>
        </w:rPr>
      </w:pPr>
      <w:proofErr w:type="gramStart"/>
      <w:r w:rsidRPr="00CC1391">
        <w:rPr>
          <w:bCs/>
          <w:lang w:val="en-US"/>
        </w:rPr>
        <w:t>9</w:t>
      </w:r>
      <w:r>
        <w:rPr>
          <w:lang w:val="en-US"/>
        </w:rPr>
        <w:tab/>
        <w:t xml:space="preserve">that the </w:t>
      </w:r>
      <w:proofErr w:type="spellStart"/>
      <w:r>
        <w:rPr>
          <w:lang w:val="en-US"/>
        </w:rPr>
        <w:t>LSDI</w:t>
      </w:r>
      <w:proofErr w:type="spellEnd"/>
      <w:r>
        <w:rPr>
          <w:lang w:val="en-US"/>
        </w:rPr>
        <w:t xml:space="preserve"> studies shou</w:t>
      </w:r>
      <w:r w:rsidR="000510EB">
        <w:rPr>
          <w:lang w:val="en-US"/>
        </w:rPr>
        <w:t>ld be completed by the year 2015</w:t>
      </w:r>
      <w:r>
        <w:rPr>
          <w:lang w:val="en-US"/>
        </w:rPr>
        <w:t>.</w:t>
      </w:r>
      <w:proofErr w:type="gramEnd"/>
    </w:p>
    <w:p w:rsidR="004E4AF4" w:rsidRDefault="004E4AF4" w:rsidP="004E4AF4">
      <w:pPr>
        <w:rPr>
          <w:lang w:val="en-US"/>
        </w:rPr>
      </w:pPr>
    </w:p>
    <w:p w:rsidR="004E4AF4" w:rsidRDefault="004E4AF4" w:rsidP="004E4AF4">
      <w:pPr>
        <w:rPr>
          <w:lang w:val="en-US"/>
        </w:rPr>
      </w:pPr>
      <w:r>
        <w:rPr>
          <w:lang w:val="en-US"/>
        </w:rPr>
        <w:t>Category: S2</w:t>
      </w:r>
    </w:p>
    <w:p w:rsidR="004E4AF4" w:rsidRDefault="004E4AF4" w:rsidP="004E4AF4">
      <w:pPr>
        <w:rPr>
          <w:lang w:val="en-US"/>
        </w:rPr>
      </w:pPr>
    </w:p>
    <w:p w:rsidR="004E4AF4" w:rsidRDefault="004E4AF4" w:rsidP="004E4AF4">
      <w:pPr>
        <w:pStyle w:val="AnnexNoTitle"/>
        <w:rPr>
          <w:lang w:val="en-US"/>
        </w:rPr>
      </w:pPr>
      <w:r>
        <w:rPr>
          <w:lang w:val="en-US"/>
        </w:rPr>
        <w:t>Annex 1</w:t>
      </w:r>
      <w:r>
        <w:rPr>
          <w:lang w:val="en-US"/>
        </w:rPr>
        <w:br/>
      </w:r>
      <w:r>
        <w:rPr>
          <w:lang w:val="en-US"/>
        </w:rPr>
        <w:br/>
      </w:r>
      <w:proofErr w:type="gramStart"/>
      <w:r>
        <w:rPr>
          <w:lang w:val="en-US"/>
        </w:rPr>
        <w:t>Some</w:t>
      </w:r>
      <w:proofErr w:type="gramEnd"/>
      <w:r>
        <w:rPr>
          <w:lang w:val="en-US"/>
        </w:rPr>
        <w:t xml:space="preserve"> bodies within and outside the ITU that could provide </w:t>
      </w:r>
      <w:r>
        <w:rPr>
          <w:lang w:val="en-US"/>
        </w:rPr>
        <w:br/>
        <w:t xml:space="preserve">cooperation on </w:t>
      </w:r>
      <w:proofErr w:type="spellStart"/>
      <w:r>
        <w:rPr>
          <w:lang w:val="en-US"/>
        </w:rPr>
        <w:t>LSDI</w:t>
      </w:r>
      <w:proofErr w:type="spellEnd"/>
      <w:r>
        <w:rPr>
          <w:lang w:val="en-US"/>
        </w:rPr>
        <w:t xml:space="preserve"> studies</w:t>
      </w:r>
    </w:p>
    <w:p w:rsidR="004E4AF4" w:rsidRDefault="004E4AF4" w:rsidP="004E4AF4">
      <w:pPr>
        <w:pStyle w:val="Normalaftertitle0"/>
        <w:spacing w:before="120"/>
        <w:rPr>
          <w:lang w:val="en-US"/>
        </w:rPr>
      </w:pPr>
    </w:p>
    <w:p w:rsidR="004E4AF4" w:rsidRDefault="004E4AF4" w:rsidP="004E4AF4">
      <w:pPr>
        <w:pStyle w:val="Normalaftertitle0"/>
        <w:rPr>
          <w:lang w:val="en-US"/>
        </w:rPr>
      </w:pPr>
      <w:r>
        <w:rPr>
          <w:lang w:val="en-US"/>
        </w:rPr>
        <w:t xml:space="preserve">The list below provides an indication of some entities within and outside the ITU that possess an expertise relevant to </w:t>
      </w:r>
      <w:proofErr w:type="spellStart"/>
      <w:r>
        <w:rPr>
          <w:lang w:val="en-US"/>
        </w:rPr>
        <w:t>LSDI</w:t>
      </w:r>
      <w:proofErr w:type="spellEnd"/>
      <w:r>
        <w:rPr>
          <w:lang w:val="en-US"/>
        </w:rPr>
        <w:t xml:space="preserve"> and could co-operate to </w:t>
      </w:r>
      <w:proofErr w:type="spellStart"/>
      <w:r>
        <w:rPr>
          <w:lang w:val="en-US"/>
        </w:rPr>
        <w:t>LSDI</w:t>
      </w:r>
      <w:proofErr w:type="spellEnd"/>
      <w:r>
        <w:rPr>
          <w:lang w:val="en-US"/>
        </w:rPr>
        <w:t xml:space="preserve"> studies within ITU-R Study Group 6.</w:t>
      </w:r>
    </w:p>
    <w:p w:rsidR="004E4AF4" w:rsidRDefault="004E4AF4" w:rsidP="004E4AF4">
      <w:pPr>
        <w:pStyle w:val="headingb0"/>
        <w:rPr>
          <w:lang w:val="en-US"/>
        </w:rPr>
      </w:pPr>
      <w:r>
        <w:rPr>
          <w:lang w:val="en-US"/>
        </w:rPr>
        <w:t>ITU bodies</w:t>
      </w:r>
    </w:p>
    <w:p w:rsidR="004E4AF4" w:rsidRDefault="004E4AF4" w:rsidP="004E4AF4">
      <w:pPr>
        <w:pStyle w:val="enumlev1"/>
        <w:rPr>
          <w:lang w:val="en-US"/>
        </w:rPr>
      </w:pPr>
      <w:r>
        <w:rPr>
          <w:lang w:val="en-US"/>
        </w:rPr>
        <w:t>ITU-T Study Group 9</w:t>
      </w:r>
    </w:p>
    <w:p w:rsidR="004E4AF4" w:rsidRDefault="004E4AF4" w:rsidP="004E4AF4">
      <w:pPr>
        <w:pStyle w:val="enumlev1"/>
        <w:rPr>
          <w:lang w:val="en-US"/>
        </w:rPr>
      </w:pPr>
      <w:r>
        <w:rPr>
          <w:lang w:val="en-US"/>
        </w:rPr>
        <w:t>ITU-T Study Group 16</w:t>
      </w:r>
    </w:p>
    <w:p w:rsidR="004E4AF4" w:rsidRDefault="004E4AF4" w:rsidP="004E4AF4">
      <w:pPr>
        <w:pStyle w:val="headingb0"/>
        <w:rPr>
          <w:lang w:val="en-US"/>
        </w:rPr>
      </w:pPr>
      <w:r>
        <w:rPr>
          <w:lang w:val="en-US"/>
        </w:rPr>
        <w:t xml:space="preserve">Some other international or regional standardizing bodies and </w:t>
      </w:r>
      <w:proofErr w:type="spellStart"/>
      <w:r>
        <w:rPr>
          <w:lang w:val="en-US"/>
        </w:rPr>
        <w:t>fora</w:t>
      </w:r>
      <w:proofErr w:type="spellEnd"/>
    </w:p>
    <w:p w:rsidR="004E4AF4" w:rsidRDefault="004E4AF4" w:rsidP="004E4AF4">
      <w:pPr>
        <w:rPr>
          <w:lang w:val="en-US"/>
        </w:rPr>
      </w:pPr>
      <w:proofErr w:type="spellStart"/>
      <w:r>
        <w:rPr>
          <w:lang w:val="en-US"/>
        </w:rPr>
        <w:t>ARIB</w:t>
      </w:r>
      <w:proofErr w:type="spellEnd"/>
      <w:r>
        <w:rPr>
          <w:lang w:val="en-US"/>
        </w:rPr>
        <w:t xml:space="preserve"> – Association of Radio Industries and Businesses</w:t>
      </w:r>
    </w:p>
    <w:p w:rsidR="004E4AF4" w:rsidRDefault="004E4AF4" w:rsidP="004E4AF4">
      <w:pPr>
        <w:rPr>
          <w:lang w:val="en-US"/>
        </w:rPr>
      </w:pPr>
      <w:proofErr w:type="spellStart"/>
      <w:r>
        <w:rPr>
          <w:lang w:val="en-US"/>
        </w:rPr>
        <w:t>ATSC</w:t>
      </w:r>
      <w:proofErr w:type="spellEnd"/>
      <w:r>
        <w:rPr>
          <w:lang w:val="en-US"/>
        </w:rPr>
        <w:t xml:space="preserve"> – Advanced Television Systems Committee</w:t>
      </w:r>
    </w:p>
    <w:p w:rsidR="004E4AF4" w:rsidRDefault="004E4AF4" w:rsidP="004E4AF4">
      <w:pPr>
        <w:rPr>
          <w:lang w:val="en-US"/>
        </w:rPr>
      </w:pPr>
      <w:proofErr w:type="spellStart"/>
      <w:r>
        <w:rPr>
          <w:lang w:val="en-US"/>
        </w:rPr>
        <w:t>DVB</w:t>
      </w:r>
      <w:proofErr w:type="spellEnd"/>
      <w:r>
        <w:rPr>
          <w:lang w:val="en-US"/>
        </w:rPr>
        <w:t xml:space="preserve"> – Digital Video Broadcasting</w:t>
      </w:r>
    </w:p>
    <w:p w:rsidR="004E4AF4" w:rsidRDefault="004E4AF4" w:rsidP="004E4AF4">
      <w:pPr>
        <w:rPr>
          <w:lang w:val="en-US"/>
        </w:rPr>
      </w:pPr>
      <w:proofErr w:type="spellStart"/>
      <w:r>
        <w:rPr>
          <w:lang w:val="en-US"/>
        </w:rPr>
        <w:t>EDCF</w:t>
      </w:r>
      <w:proofErr w:type="spellEnd"/>
      <w:r>
        <w:rPr>
          <w:lang w:val="en-US"/>
        </w:rPr>
        <w:t xml:space="preserve"> – European Digital Cinema Forum</w:t>
      </w:r>
    </w:p>
    <w:p w:rsidR="004E4AF4" w:rsidRDefault="004E4AF4" w:rsidP="004E4AF4">
      <w:pPr>
        <w:rPr>
          <w:lang w:val="en-US"/>
        </w:rPr>
      </w:pPr>
      <w:proofErr w:type="spellStart"/>
      <w:r>
        <w:rPr>
          <w:lang w:val="en-US"/>
        </w:rPr>
        <w:t>IEC</w:t>
      </w:r>
      <w:proofErr w:type="spellEnd"/>
      <w:r>
        <w:rPr>
          <w:lang w:val="en-US"/>
        </w:rPr>
        <w:t xml:space="preserve"> – International </w:t>
      </w:r>
      <w:proofErr w:type="spellStart"/>
      <w:r>
        <w:rPr>
          <w:lang w:val="en-US"/>
        </w:rPr>
        <w:t>Electrotechnical</w:t>
      </w:r>
      <w:proofErr w:type="spellEnd"/>
      <w:r>
        <w:rPr>
          <w:lang w:val="en-US"/>
        </w:rPr>
        <w:t xml:space="preserve"> Commission</w:t>
      </w:r>
    </w:p>
    <w:p w:rsidR="004E4AF4" w:rsidRDefault="004E4AF4" w:rsidP="004E4AF4">
      <w:pPr>
        <w:rPr>
          <w:lang w:val="en-US"/>
        </w:rPr>
      </w:pPr>
      <w:r>
        <w:rPr>
          <w:lang w:val="en-US"/>
        </w:rPr>
        <w:t xml:space="preserve">ISO – International Standards </w:t>
      </w:r>
      <w:proofErr w:type="spellStart"/>
      <w:r>
        <w:rPr>
          <w:lang w:val="en-US"/>
        </w:rPr>
        <w:t>Organisation</w:t>
      </w:r>
      <w:proofErr w:type="spellEnd"/>
    </w:p>
    <w:p w:rsidR="004E4AF4" w:rsidRDefault="004E4AF4" w:rsidP="004E4AF4">
      <w:pPr>
        <w:rPr>
          <w:lang w:val="en-US"/>
        </w:rPr>
      </w:pPr>
      <w:r>
        <w:rPr>
          <w:lang w:val="en-US"/>
        </w:rPr>
        <w:t>ISO/</w:t>
      </w:r>
      <w:proofErr w:type="spellStart"/>
      <w:r>
        <w:rPr>
          <w:lang w:val="en-US"/>
        </w:rPr>
        <w:t>IEC</w:t>
      </w:r>
      <w:proofErr w:type="spellEnd"/>
      <w:r>
        <w:rPr>
          <w:lang w:val="en-US"/>
        </w:rPr>
        <w:t xml:space="preserve"> JTC1/SC29/WG11 (MPEG) –Moving Picture Experts Group</w:t>
      </w:r>
    </w:p>
    <w:p w:rsidR="004E4AF4" w:rsidRDefault="004E4AF4" w:rsidP="004E4AF4">
      <w:pPr>
        <w:rPr>
          <w:lang w:val="en-US"/>
        </w:rPr>
      </w:pPr>
      <w:proofErr w:type="spellStart"/>
      <w:r>
        <w:rPr>
          <w:lang w:val="en-US"/>
        </w:rPr>
        <w:t>SMPTE</w:t>
      </w:r>
      <w:proofErr w:type="spellEnd"/>
      <w:r>
        <w:rPr>
          <w:lang w:val="en-US"/>
        </w:rPr>
        <w:t xml:space="preserve"> – Society of Motion Picture and Television Engineers</w:t>
      </w:r>
    </w:p>
    <w:p w:rsidR="004E4AF4" w:rsidRDefault="004E4AF4" w:rsidP="004E4AF4">
      <w:pPr>
        <w:pStyle w:val="headingb0"/>
        <w:rPr>
          <w:lang w:val="en-US"/>
        </w:rPr>
      </w:pPr>
      <w:r>
        <w:rPr>
          <w:lang w:val="en-US"/>
        </w:rPr>
        <w:t>International or regional Unions and Associations of broadcasters</w:t>
      </w:r>
    </w:p>
    <w:p w:rsidR="004E4AF4" w:rsidRDefault="004E4AF4" w:rsidP="004E4AF4">
      <w:pPr>
        <w:rPr>
          <w:lang w:val="en-US"/>
        </w:rPr>
      </w:pPr>
      <w:proofErr w:type="spellStart"/>
      <w:r>
        <w:rPr>
          <w:lang w:val="en-US"/>
        </w:rPr>
        <w:t>WBU-TC</w:t>
      </w:r>
      <w:proofErr w:type="spellEnd"/>
      <w:r>
        <w:rPr>
          <w:lang w:val="en-US"/>
        </w:rPr>
        <w:t xml:space="preserve"> – Technical Committee of the World Broadcasting Unions </w:t>
      </w:r>
    </w:p>
    <w:p w:rsidR="004E4AF4" w:rsidRDefault="004E4AF4" w:rsidP="004E4AF4">
      <w:pPr>
        <w:rPr>
          <w:lang w:val="en-US"/>
        </w:rPr>
      </w:pPr>
      <w:r>
        <w:rPr>
          <w:lang w:val="en-US"/>
        </w:rPr>
        <w:t xml:space="preserve">Regional Unions and Associations of Broadcasters (ABU, </w:t>
      </w:r>
      <w:proofErr w:type="spellStart"/>
      <w:r>
        <w:rPr>
          <w:lang w:val="en-US"/>
        </w:rPr>
        <w:t>ASBU</w:t>
      </w:r>
      <w:proofErr w:type="spellEnd"/>
      <w:r>
        <w:rPr>
          <w:lang w:val="en-US"/>
        </w:rPr>
        <w:t xml:space="preserve">, </w:t>
      </w:r>
      <w:proofErr w:type="spellStart"/>
      <w:r>
        <w:rPr>
          <w:lang w:val="en-US"/>
        </w:rPr>
        <w:t>CBU</w:t>
      </w:r>
      <w:proofErr w:type="spellEnd"/>
      <w:r>
        <w:rPr>
          <w:lang w:val="en-US"/>
        </w:rPr>
        <w:t xml:space="preserve">, </w:t>
      </w:r>
      <w:proofErr w:type="spellStart"/>
      <w:r>
        <w:rPr>
          <w:lang w:val="en-US"/>
        </w:rPr>
        <w:t>EBU</w:t>
      </w:r>
      <w:proofErr w:type="spellEnd"/>
      <w:r>
        <w:rPr>
          <w:lang w:val="en-US"/>
        </w:rPr>
        <w:t xml:space="preserve">, </w:t>
      </w:r>
      <w:proofErr w:type="spellStart"/>
      <w:r>
        <w:rPr>
          <w:lang w:val="en-US"/>
        </w:rPr>
        <w:t>IAB</w:t>
      </w:r>
      <w:proofErr w:type="spellEnd"/>
      <w:r>
        <w:rPr>
          <w:lang w:val="en-US"/>
        </w:rPr>
        <w:t xml:space="preserve">, NABA, </w:t>
      </w:r>
      <w:proofErr w:type="spellStart"/>
      <w:r>
        <w:rPr>
          <w:lang w:val="en-US"/>
        </w:rPr>
        <w:t>OTI</w:t>
      </w:r>
      <w:proofErr w:type="spellEnd"/>
      <w:r>
        <w:rPr>
          <w:lang w:val="en-US"/>
        </w:rPr>
        <w:t xml:space="preserve">, </w:t>
      </w:r>
      <w:proofErr w:type="spellStart"/>
      <w:r>
        <w:rPr>
          <w:lang w:val="en-US"/>
        </w:rPr>
        <w:t>URTNA</w:t>
      </w:r>
      <w:proofErr w:type="spellEnd"/>
      <w:r>
        <w:rPr>
          <w:lang w:val="en-US"/>
        </w:rPr>
        <w:t>)</w:t>
      </w:r>
    </w:p>
    <w:p w:rsidR="004E4AF4" w:rsidRDefault="004E4AF4" w:rsidP="004E4AF4">
      <w:pPr>
        <w:pStyle w:val="headingb0"/>
        <w:rPr>
          <w:lang w:val="en-US"/>
        </w:rPr>
      </w:pPr>
      <w:r>
        <w:rPr>
          <w:lang w:val="en-US"/>
        </w:rPr>
        <w:t>Other bodies</w:t>
      </w:r>
    </w:p>
    <w:p w:rsidR="004E4AF4" w:rsidRDefault="004E4AF4" w:rsidP="004E4AF4">
      <w:pPr>
        <w:rPr>
          <w:lang w:val="en-US"/>
        </w:rPr>
      </w:pPr>
      <w:r>
        <w:rPr>
          <w:lang w:val="en-US"/>
        </w:rPr>
        <w:t>Associations of manufacturers</w:t>
      </w:r>
    </w:p>
    <w:p w:rsidR="004E4AF4" w:rsidRDefault="004E4AF4" w:rsidP="004E4AF4">
      <w:pPr>
        <w:rPr>
          <w:lang w:val="en-US"/>
        </w:rPr>
      </w:pPr>
      <w:r>
        <w:rPr>
          <w:lang w:val="en-US"/>
        </w:rPr>
        <w:t>Associations of program distributors</w:t>
      </w:r>
    </w:p>
    <w:p w:rsidR="004E4AF4" w:rsidRDefault="004E4AF4" w:rsidP="004E4AF4">
      <w:pPr>
        <w:rPr>
          <w:lang w:val="en-US"/>
        </w:rPr>
      </w:pPr>
      <w:proofErr w:type="gramStart"/>
      <w:r>
        <w:rPr>
          <w:lang w:val="en-US"/>
        </w:rPr>
        <w:t>Associations of theatre owners and operators (e.g., U. S. National Association of Theatre Owners (NATO), International Union of Cinemas (</w:t>
      </w:r>
      <w:proofErr w:type="spellStart"/>
      <w:r>
        <w:rPr>
          <w:lang w:val="en-US"/>
        </w:rPr>
        <w:t>UNIC</w:t>
      </w:r>
      <w:proofErr w:type="spellEnd"/>
      <w:r>
        <w:rPr>
          <w:lang w:val="en-US"/>
        </w:rPr>
        <w:t>) and Motion Picture Theatre Owners Association of Canada (</w:t>
      </w:r>
      <w:proofErr w:type="spellStart"/>
      <w:r>
        <w:rPr>
          <w:lang w:val="en-US"/>
        </w:rPr>
        <w:t>MPTAC</w:t>
      </w:r>
      <w:proofErr w:type="spellEnd"/>
      <w:r>
        <w:rPr>
          <w:lang w:val="en-US"/>
        </w:rPr>
        <w:t>), etc.).</w:t>
      </w:r>
      <w:proofErr w:type="gramEnd"/>
    </w:p>
    <w:p w:rsidR="004E4AF4" w:rsidRDefault="004E4AF4">
      <w:pPr>
        <w:tabs>
          <w:tab w:val="clear" w:pos="1134"/>
          <w:tab w:val="clear" w:pos="1871"/>
          <w:tab w:val="clear" w:pos="2268"/>
        </w:tabs>
        <w:overflowPunct/>
        <w:autoSpaceDE/>
        <w:autoSpaceDN/>
        <w:adjustRightInd/>
        <w:spacing w:before="0"/>
        <w:textAlignment w:val="auto"/>
        <w:rPr>
          <w:lang w:val="en-US" w:eastAsia="zh-CN"/>
        </w:rPr>
      </w:pPr>
    </w:p>
    <w:sectPr w:rsidR="004E4AF4" w:rsidSect="00D02712">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EE4" w:rsidRDefault="00756EE4">
      <w:r>
        <w:separator/>
      </w:r>
    </w:p>
  </w:endnote>
  <w:endnote w:type="continuationSeparator" w:id="0">
    <w:p w:rsidR="00756EE4" w:rsidRDefault="0075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1B" w:rsidRDefault="00DE1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E4" w:rsidRPr="00DE151B" w:rsidRDefault="00756EE4" w:rsidP="00DE1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E4" w:rsidRPr="00DE151B" w:rsidRDefault="00756EE4" w:rsidP="00DE1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EE4" w:rsidRDefault="00756EE4">
      <w:r>
        <w:t>____________________</w:t>
      </w:r>
    </w:p>
  </w:footnote>
  <w:footnote w:type="continuationSeparator" w:id="0">
    <w:p w:rsidR="00756EE4" w:rsidRDefault="00756EE4">
      <w:r>
        <w:continuationSeparator/>
      </w:r>
    </w:p>
  </w:footnote>
  <w:footnote w:id="1">
    <w:p w:rsidR="00756EE4" w:rsidRPr="000F4FBE" w:rsidRDefault="00756EE4" w:rsidP="004E4AF4">
      <w:pPr>
        <w:pStyle w:val="FootnoteText"/>
        <w:rPr>
          <w:lang w:val="en-US"/>
        </w:rPr>
      </w:pPr>
      <w:r>
        <w:rPr>
          <w:rStyle w:val="FootnoteReference"/>
        </w:rPr>
        <w:t>1</w:t>
      </w:r>
      <w:r>
        <w:t xml:space="preserve"> </w:t>
      </w:r>
      <w:r>
        <w:tab/>
      </w:r>
      <w:r w:rsidRPr="00D21A32">
        <w:rPr>
          <w:szCs w:val="24"/>
        </w:rPr>
        <w:t>This Question should be brought to the attention of Working Parties 6B, 6E, 6M, 6Q and 6S.</w:t>
      </w:r>
    </w:p>
  </w:footnote>
  <w:footnote w:id="2">
    <w:p w:rsidR="0009443A" w:rsidRPr="0009443A" w:rsidRDefault="0009443A">
      <w:pPr>
        <w:pStyle w:val="FootnoteText"/>
      </w:pPr>
      <w:r w:rsidRPr="0009443A">
        <w:rPr>
          <w:rStyle w:val="FootnoteReference"/>
        </w:rPr>
        <w:sym w:font="Symbol" w:char="F02A"/>
      </w:r>
      <w:r>
        <w:t xml:space="preserve"> </w:t>
      </w:r>
      <w:r>
        <w:tab/>
      </w:r>
      <w:r>
        <w:rPr>
          <w:rFonts w:eastAsia="Arial Unicode MS"/>
        </w:rPr>
        <w:t xml:space="preserve">In the year 2012, Radiocommunication Study Group 6 extended the completion date </w:t>
      </w:r>
      <w:r>
        <w:t xml:space="preserve">of studies for </w:t>
      </w:r>
      <w:r>
        <w:rPr>
          <w:rFonts w:eastAsia="Arial Unicode MS"/>
        </w:rPr>
        <w:t>this Question.</w:t>
      </w:r>
    </w:p>
  </w:footnote>
  <w:footnote w:id="3">
    <w:p w:rsidR="00756EE4" w:rsidRPr="000F4FBE" w:rsidRDefault="00756EE4" w:rsidP="004E4AF4">
      <w:pPr>
        <w:pStyle w:val="FootnoteText"/>
      </w:pPr>
      <w:r>
        <w:rPr>
          <w:rStyle w:val="FootnoteReference"/>
        </w:rPr>
        <w:t>2</w:t>
      </w:r>
      <w:r>
        <w:t xml:space="preserve"> </w:t>
      </w:r>
      <w:r>
        <w:tab/>
      </w:r>
      <w:r w:rsidRPr="00D21A32">
        <w:rPr>
          <w:szCs w:val="24"/>
          <w:lang w:val="en-US"/>
        </w:rPr>
        <w:t>Large Screen Digital Imagery is a family of digital imagery systems applicable to programs such as dramas, plays, sporting events, concerts, cultural events, etc., from capture to large screen presentation in high resolution quality in appropriately equipped theatres, halls, and other venues.</w:t>
      </w:r>
    </w:p>
  </w:footnote>
  <w:footnote w:id="4">
    <w:p w:rsidR="00756EE4" w:rsidRPr="00CC3D30" w:rsidRDefault="00756EE4" w:rsidP="004E4AF4">
      <w:pPr>
        <w:pStyle w:val="FootnoteText"/>
        <w:rPr>
          <w:sz w:val="22"/>
          <w:szCs w:val="22"/>
        </w:rPr>
      </w:pPr>
      <w:r>
        <w:rPr>
          <w:rStyle w:val="FootnoteReference"/>
        </w:rPr>
        <w:t>3</w:t>
      </w:r>
      <w:r w:rsidRPr="00CC3D30">
        <w:rPr>
          <w:sz w:val="22"/>
          <w:szCs w:val="22"/>
        </w:rPr>
        <w:t xml:space="preserve"> </w:t>
      </w:r>
      <w:r w:rsidRPr="00CC3D30">
        <w:rPr>
          <w:sz w:val="22"/>
          <w:szCs w:val="22"/>
        </w:rPr>
        <w:tab/>
      </w:r>
      <w:r w:rsidRPr="00D21A32">
        <w:rPr>
          <w:szCs w:val="24"/>
          <w:lang w:val="en-US"/>
        </w:rPr>
        <w:t>The term “mastering” indicates the set of those technical activities that lead to the finished edited master of a program, which normally materializes the creative intent of its authors (see for instance Rec. ITU</w:t>
      </w:r>
      <w:r w:rsidRPr="00D21A32">
        <w:rPr>
          <w:szCs w:val="24"/>
          <w:lang w:val="en-US"/>
        </w:rPr>
        <w:noBreakHyphen/>
        <w:t>R BR.1292).</w:t>
      </w:r>
    </w:p>
  </w:footnote>
  <w:footnote w:id="5">
    <w:p w:rsidR="00756EE4" w:rsidRPr="00D21A32" w:rsidRDefault="00756EE4" w:rsidP="004E4AF4">
      <w:pPr>
        <w:pStyle w:val="FootnoteText"/>
        <w:rPr>
          <w:szCs w:val="24"/>
          <w:lang w:val="en-US"/>
        </w:rPr>
      </w:pPr>
      <w:r>
        <w:rPr>
          <w:rStyle w:val="FootnoteReference"/>
        </w:rPr>
        <w:t>4</w:t>
      </w:r>
      <w:r w:rsidRPr="00CC3D30">
        <w:rPr>
          <w:sz w:val="22"/>
          <w:szCs w:val="22"/>
        </w:rPr>
        <w:t xml:space="preserve"> </w:t>
      </w:r>
      <w:r w:rsidRPr="00CC3D30">
        <w:rPr>
          <w:sz w:val="22"/>
          <w:szCs w:val="22"/>
        </w:rPr>
        <w:tab/>
      </w:r>
      <w:r w:rsidRPr="00D21A32">
        <w:rPr>
          <w:szCs w:val="24"/>
          <w:lang w:val="en-US"/>
        </w:rPr>
        <w:t>The definition of broadcasting given in the ITU Constitution (CS/A.1010) is broadcasting service: A radiocommunication service in which the transmissions are intended for direct reception by the general public. This service may include sound transmissions, television transmissions or other types of transmission.</w:t>
      </w:r>
    </w:p>
    <w:p w:rsidR="00756EE4" w:rsidRPr="00D21A32" w:rsidRDefault="00756EE4" w:rsidP="004E4AF4">
      <w:pPr>
        <w:pStyle w:val="FootnoteText"/>
        <w:rPr>
          <w:szCs w:val="24"/>
        </w:rPr>
      </w:pPr>
      <w:r w:rsidRPr="00CC3D30">
        <w:rPr>
          <w:sz w:val="22"/>
          <w:szCs w:val="22"/>
          <w:lang w:val="en-US"/>
        </w:rPr>
        <w:tab/>
      </w:r>
      <w:r w:rsidRPr="00D21A32">
        <w:rPr>
          <w:szCs w:val="24"/>
          <w:lang w:val="en-US"/>
        </w:rPr>
        <w:t xml:space="preserve">This definition appears also as 1.38 in Art. 1 of the ITU Radio </w:t>
      </w:r>
      <w:proofErr w:type="gramStart"/>
      <w:r w:rsidRPr="00D21A32">
        <w:rPr>
          <w:szCs w:val="24"/>
          <w:lang w:val="en-US"/>
        </w:rPr>
        <w:t>Regulations,</w:t>
      </w:r>
      <w:proofErr w:type="gramEnd"/>
      <w:r w:rsidRPr="00D21A32">
        <w:rPr>
          <w:szCs w:val="24"/>
          <w:lang w:val="en-US"/>
        </w:rPr>
        <w:t xml:space="preserve"> and the scope of ITU-R Study Group 6 in Resolution ITU-R 4-4 provides details on it.</w:t>
      </w:r>
    </w:p>
  </w:footnote>
  <w:footnote w:id="6">
    <w:p w:rsidR="00756EE4" w:rsidRPr="00D21A32" w:rsidRDefault="00756EE4" w:rsidP="004E4AF4">
      <w:pPr>
        <w:pStyle w:val="FootnoteText"/>
        <w:rPr>
          <w:szCs w:val="24"/>
        </w:rPr>
      </w:pPr>
      <w:r>
        <w:rPr>
          <w:rStyle w:val="FootnoteReference"/>
        </w:rPr>
        <w:t>5</w:t>
      </w:r>
      <w:r w:rsidRPr="00CC3D30">
        <w:rPr>
          <w:sz w:val="22"/>
          <w:szCs w:val="22"/>
        </w:rPr>
        <w:t xml:space="preserve"> </w:t>
      </w:r>
      <w:r w:rsidRPr="00CC3D30">
        <w:rPr>
          <w:sz w:val="22"/>
          <w:szCs w:val="22"/>
        </w:rPr>
        <w:tab/>
      </w:r>
      <w:r w:rsidRPr="00D21A32">
        <w:rPr>
          <w:szCs w:val="24"/>
        </w:rPr>
        <w:t>Resolution ITU-R 4-4 – Structure of Radiocommunication Study Groups.</w:t>
      </w:r>
    </w:p>
  </w:footnote>
  <w:footnote w:id="7">
    <w:p w:rsidR="00756EE4" w:rsidRPr="00CC3D30" w:rsidRDefault="00756EE4" w:rsidP="004E4AF4">
      <w:pPr>
        <w:pStyle w:val="FootnoteText"/>
        <w:rPr>
          <w:sz w:val="22"/>
          <w:szCs w:val="22"/>
        </w:rPr>
      </w:pPr>
      <w:r>
        <w:rPr>
          <w:rStyle w:val="FootnoteReference"/>
        </w:rPr>
        <w:t>6</w:t>
      </w:r>
      <w:r w:rsidRPr="00CC3D30">
        <w:rPr>
          <w:sz w:val="22"/>
          <w:szCs w:val="22"/>
        </w:rPr>
        <w:t xml:space="preserve"> </w:t>
      </w:r>
      <w:r w:rsidRPr="00CC3D30">
        <w:rPr>
          <w:sz w:val="22"/>
          <w:szCs w:val="22"/>
        </w:rPr>
        <w:tab/>
      </w:r>
      <w:r w:rsidRPr="00D21A32">
        <w:rPr>
          <w:szCs w:val="24"/>
          <w:lang w:val="en-US"/>
        </w:rPr>
        <w:t>The term “motion pictures” (also called movies, features, etc.), is used to indicate content that is intended for first release in a cinema theatre setting.</w:t>
      </w:r>
    </w:p>
  </w:footnote>
  <w:footnote w:id="8">
    <w:p w:rsidR="00756EE4" w:rsidRPr="00CC3D30" w:rsidRDefault="00756EE4" w:rsidP="004E4AF4">
      <w:pPr>
        <w:pStyle w:val="FootnoteText"/>
        <w:rPr>
          <w:sz w:val="22"/>
          <w:szCs w:val="22"/>
        </w:rPr>
      </w:pPr>
      <w:r>
        <w:rPr>
          <w:rStyle w:val="FootnoteReference"/>
        </w:rPr>
        <w:t>7</w:t>
      </w:r>
      <w:r w:rsidRPr="00CC3D30">
        <w:rPr>
          <w:sz w:val="22"/>
          <w:szCs w:val="22"/>
        </w:rPr>
        <w:t xml:space="preserve"> </w:t>
      </w:r>
      <w:r w:rsidRPr="00CC3D30">
        <w:rPr>
          <w:sz w:val="22"/>
          <w:szCs w:val="22"/>
        </w:rPr>
        <w:tab/>
      </w:r>
      <w:r w:rsidRPr="00D21A32">
        <w:rPr>
          <w:szCs w:val="24"/>
          <w:lang w:val="en-US"/>
        </w:rPr>
        <w:t xml:space="preserve">Such as frame rates, </w:t>
      </w:r>
      <w:proofErr w:type="spellStart"/>
      <w:r w:rsidRPr="00D21A32">
        <w:rPr>
          <w:szCs w:val="24"/>
          <w:lang w:val="en-US"/>
        </w:rPr>
        <w:t>colorimetry</w:t>
      </w:r>
      <w:proofErr w:type="spellEnd"/>
      <w:r w:rsidRPr="00D21A32">
        <w:rPr>
          <w:szCs w:val="24"/>
          <w:lang w:val="en-US"/>
        </w:rPr>
        <w:t>, resolution, and aspect ratios.</w:t>
      </w:r>
    </w:p>
  </w:footnote>
  <w:footnote w:id="9">
    <w:p w:rsidR="00756EE4" w:rsidRPr="00CC3D30" w:rsidRDefault="00756EE4" w:rsidP="004E4AF4">
      <w:pPr>
        <w:pStyle w:val="FootnoteText"/>
        <w:rPr>
          <w:sz w:val="22"/>
          <w:szCs w:val="22"/>
          <w:lang w:val="en-US"/>
        </w:rPr>
      </w:pPr>
      <w:r>
        <w:rPr>
          <w:rStyle w:val="FootnoteReference"/>
        </w:rPr>
        <w:t>8</w:t>
      </w:r>
      <w:r w:rsidRPr="00CC3D30">
        <w:rPr>
          <w:sz w:val="22"/>
          <w:szCs w:val="22"/>
        </w:rPr>
        <w:t xml:space="preserve"> </w:t>
      </w:r>
      <w:r w:rsidRPr="00CC3D30">
        <w:rPr>
          <w:sz w:val="22"/>
          <w:szCs w:val="22"/>
        </w:rPr>
        <w:tab/>
      </w:r>
      <w:r w:rsidRPr="00D21A32">
        <w:rPr>
          <w:szCs w:val="24"/>
          <w:lang w:val="en-US"/>
        </w:rPr>
        <w:t>The term “motion pictures” (also called movies, features, etc.), is used to indicate content that, which is intended for first release in a cinema theatre setting.</w:t>
      </w:r>
    </w:p>
  </w:footnote>
  <w:footnote w:id="10">
    <w:p w:rsidR="00756EE4" w:rsidRPr="00456A21" w:rsidRDefault="00756EE4" w:rsidP="004E4AF4">
      <w:pPr>
        <w:pStyle w:val="FootnoteText"/>
        <w:rPr>
          <w:lang w:val="en-US"/>
        </w:rPr>
      </w:pPr>
      <w:r>
        <w:rPr>
          <w:rStyle w:val="FootnoteReference"/>
        </w:rPr>
        <w:t>9</w:t>
      </w:r>
      <w:r w:rsidRPr="00CC3D30">
        <w:rPr>
          <w:sz w:val="22"/>
          <w:szCs w:val="22"/>
        </w:rPr>
        <w:t xml:space="preserve"> </w:t>
      </w:r>
      <w:r w:rsidRPr="00CC3D30">
        <w:rPr>
          <w:sz w:val="22"/>
          <w:szCs w:val="22"/>
        </w:rPr>
        <w:tab/>
      </w:r>
      <w:bookmarkStart w:id="31" w:name="_GoBack"/>
      <w:r w:rsidRPr="00D21A32">
        <w:rPr>
          <w:szCs w:val="24"/>
        </w:rPr>
        <w:t>Such as production, post-production, distribution, exhibition, trailers, etc.</w:t>
      </w:r>
      <w:bookmarkEnd w:id="3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1B" w:rsidRDefault="00DE15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E4" w:rsidRDefault="00756EE4"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21A32">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1B" w:rsidRDefault="00DE15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41DFB"/>
    <w:multiLevelType w:val="hybridMultilevel"/>
    <w:tmpl w:val="59160346"/>
    <w:lvl w:ilvl="0" w:tplc="118EBC0E">
      <w:start w:val="1"/>
      <w:numFmt w:val="lowerLetter"/>
      <w:lvlText w:val="%1)"/>
      <w:lvlJc w:val="left"/>
      <w:pPr>
        <w:tabs>
          <w:tab w:val="num" w:pos="795"/>
        </w:tabs>
        <w:ind w:left="795" w:hanging="795"/>
      </w:pPr>
      <w:rPr>
        <w:rFonts w:hint="default"/>
        <w:i/>
        <w:iC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E940465"/>
    <w:multiLevelType w:val="hybridMultilevel"/>
    <w:tmpl w:val="EE887BBA"/>
    <w:lvl w:ilvl="0" w:tplc="F4340134">
      <w:start w:val="2"/>
      <w:numFmt w:val="lowerLetter"/>
      <w:lvlText w:val="%1)"/>
      <w:lvlJc w:val="left"/>
      <w:pPr>
        <w:tabs>
          <w:tab w:val="num" w:pos="1155"/>
        </w:tabs>
        <w:ind w:left="1155" w:hanging="795"/>
      </w:pPr>
      <w:rPr>
        <w:rFonts w:hint="default"/>
        <w:i/>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3D"/>
    <w:rsid w:val="00004908"/>
    <w:rsid w:val="000069D4"/>
    <w:rsid w:val="000174AD"/>
    <w:rsid w:val="00044F32"/>
    <w:rsid w:val="000510EB"/>
    <w:rsid w:val="00074DDB"/>
    <w:rsid w:val="000912EF"/>
    <w:rsid w:val="0009443A"/>
    <w:rsid w:val="00097EE1"/>
    <w:rsid w:val="000A7D55"/>
    <w:rsid w:val="000B0C1E"/>
    <w:rsid w:val="000C0117"/>
    <w:rsid w:val="000C2E8E"/>
    <w:rsid w:val="000E0E7C"/>
    <w:rsid w:val="000F1B4B"/>
    <w:rsid w:val="0012744F"/>
    <w:rsid w:val="00156F66"/>
    <w:rsid w:val="00182528"/>
    <w:rsid w:val="0018500B"/>
    <w:rsid w:val="00196A19"/>
    <w:rsid w:val="001A07F0"/>
    <w:rsid w:val="0020032E"/>
    <w:rsid w:val="00202DC1"/>
    <w:rsid w:val="0020626B"/>
    <w:rsid w:val="0021015A"/>
    <w:rsid w:val="002116EE"/>
    <w:rsid w:val="002309D8"/>
    <w:rsid w:val="0023446B"/>
    <w:rsid w:val="00256D46"/>
    <w:rsid w:val="00264552"/>
    <w:rsid w:val="002A1995"/>
    <w:rsid w:val="002A7FE2"/>
    <w:rsid w:val="002E1B4F"/>
    <w:rsid w:val="002E2EBE"/>
    <w:rsid w:val="002F2E67"/>
    <w:rsid w:val="00315546"/>
    <w:rsid w:val="00330567"/>
    <w:rsid w:val="00386A9D"/>
    <w:rsid w:val="00391081"/>
    <w:rsid w:val="003B2789"/>
    <w:rsid w:val="003C13CE"/>
    <w:rsid w:val="003E2518"/>
    <w:rsid w:val="004123A4"/>
    <w:rsid w:val="00423CE1"/>
    <w:rsid w:val="004B1EF7"/>
    <w:rsid w:val="004B3FAD"/>
    <w:rsid w:val="004D31D1"/>
    <w:rsid w:val="004E4AF4"/>
    <w:rsid w:val="004F6B9B"/>
    <w:rsid w:val="00501DCA"/>
    <w:rsid w:val="00513A47"/>
    <w:rsid w:val="00536474"/>
    <w:rsid w:val="005408DF"/>
    <w:rsid w:val="00545ED6"/>
    <w:rsid w:val="005515E8"/>
    <w:rsid w:val="00553F7A"/>
    <w:rsid w:val="00573344"/>
    <w:rsid w:val="00583F9B"/>
    <w:rsid w:val="005A7C13"/>
    <w:rsid w:val="005E5C10"/>
    <w:rsid w:val="005F2C78"/>
    <w:rsid w:val="006144E4"/>
    <w:rsid w:val="00650299"/>
    <w:rsid w:val="00655FC5"/>
    <w:rsid w:val="00671DEB"/>
    <w:rsid w:val="006A7970"/>
    <w:rsid w:val="006D3D48"/>
    <w:rsid w:val="00710B2B"/>
    <w:rsid w:val="00754885"/>
    <w:rsid w:val="00756EE4"/>
    <w:rsid w:val="0078082C"/>
    <w:rsid w:val="00791D8A"/>
    <w:rsid w:val="00822581"/>
    <w:rsid w:val="008309DD"/>
    <w:rsid w:val="0083227A"/>
    <w:rsid w:val="008567F2"/>
    <w:rsid w:val="00866900"/>
    <w:rsid w:val="00881BA1"/>
    <w:rsid w:val="008C26B8"/>
    <w:rsid w:val="008E453D"/>
    <w:rsid w:val="00982084"/>
    <w:rsid w:val="00995963"/>
    <w:rsid w:val="009B4157"/>
    <w:rsid w:val="009B61EB"/>
    <w:rsid w:val="009C2064"/>
    <w:rsid w:val="009D1697"/>
    <w:rsid w:val="00A014F8"/>
    <w:rsid w:val="00A5173C"/>
    <w:rsid w:val="00A61AEF"/>
    <w:rsid w:val="00A66DB5"/>
    <w:rsid w:val="00AA1663"/>
    <w:rsid w:val="00AF173A"/>
    <w:rsid w:val="00B066A4"/>
    <w:rsid w:val="00B07A13"/>
    <w:rsid w:val="00B24322"/>
    <w:rsid w:val="00B4279B"/>
    <w:rsid w:val="00B44ED9"/>
    <w:rsid w:val="00B45FC9"/>
    <w:rsid w:val="00B863C1"/>
    <w:rsid w:val="00BC7CCF"/>
    <w:rsid w:val="00BE470B"/>
    <w:rsid w:val="00C06FB3"/>
    <w:rsid w:val="00C41676"/>
    <w:rsid w:val="00C57A91"/>
    <w:rsid w:val="00C85263"/>
    <w:rsid w:val="00CC01C2"/>
    <w:rsid w:val="00CC1391"/>
    <w:rsid w:val="00CC2F2D"/>
    <w:rsid w:val="00CD6619"/>
    <w:rsid w:val="00CF21F2"/>
    <w:rsid w:val="00D02712"/>
    <w:rsid w:val="00D214D0"/>
    <w:rsid w:val="00D21A32"/>
    <w:rsid w:val="00D6546B"/>
    <w:rsid w:val="00D97276"/>
    <w:rsid w:val="00DD4BED"/>
    <w:rsid w:val="00DE151B"/>
    <w:rsid w:val="00DE39F0"/>
    <w:rsid w:val="00DF0AF3"/>
    <w:rsid w:val="00E20362"/>
    <w:rsid w:val="00E2513C"/>
    <w:rsid w:val="00E27D7E"/>
    <w:rsid w:val="00E317E5"/>
    <w:rsid w:val="00E42E13"/>
    <w:rsid w:val="00E6257C"/>
    <w:rsid w:val="00E63C59"/>
    <w:rsid w:val="00EC461A"/>
    <w:rsid w:val="00EC5BE6"/>
    <w:rsid w:val="00EF426F"/>
    <w:rsid w:val="00F86343"/>
    <w:rsid w:val="00FA124A"/>
    <w:rsid w:val="00FC08DD"/>
    <w:rsid w:val="00FC2316"/>
    <w:rsid w:val="00FC2CFD"/>
    <w:rsid w:val="00FF0D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link w:val="QuestionNoChar"/>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table" w:styleId="TableGrid">
    <w:name w:val="Table Grid"/>
    <w:basedOn w:val="TableNormal"/>
    <w:rsid w:val="008E4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0D9F"/>
    <w:rPr>
      <w:rFonts w:ascii="Times New Roman" w:hAnsi="Times New Roman"/>
      <w:sz w:val="24"/>
      <w:lang w:val="en-GB" w:eastAsia="en-US"/>
    </w:rPr>
  </w:style>
  <w:style w:type="character" w:styleId="Hyperlink">
    <w:name w:val="Hyperlink"/>
    <w:basedOn w:val="DefaultParagraphFont"/>
    <w:rsid w:val="0021015A"/>
    <w:rPr>
      <w:color w:val="0000FF" w:themeColor="hyperlink"/>
      <w:u w:val="single"/>
    </w:rPr>
  </w:style>
  <w:style w:type="paragraph" w:customStyle="1" w:styleId="QuestionNoBR">
    <w:name w:val="Question_No_BR"/>
    <w:basedOn w:val="Normal"/>
    <w:next w:val="Questiontitle"/>
    <w:rsid w:val="004E4AF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sz w:val="28"/>
    </w:rPr>
  </w:style>
  <w:style w:type="paragraph" w:customStyle="1" w:styleId="QuestionTitleDate">
    <w:name w:val="Question_Title/Date"/>
    <w:basedOn w:val="Normal"/>
    <w:next w:val="Normal"/>
    <w:rsid w:val="004E4AF4"/>
    <w:pPr>
      <w:keepNext/>
      <w:keepLines/>
      <w:tabs>
        <w:tab w:val="clear" w:pos="1134"/>
        <w:tab w:val="clear" w:pos="1871"/>
        <w:tab w:val="clear" w:pos="2268"/>
        <w:tab w:val="right" w:pos="9696"/>
      </w:tabs>
      <w:spacing w:before="136"/>
      <w:jc w:val="right"/>
    </w:pPr>
    <w:rPr>
      <w:rFonts w:ascii="CG Times" w:hAnsi="CG Times"/>
      <w:sz w:val="20"/>
    </w:rPr>
  </w:style>
  <w:style w:type="character" w:customStyle="1" w:styleId="CallChar">
    <w:name w:val="Call Char"/>
    <w:basedOn w:val="DefaultParagraphFont"/>
    <w:link w:val="Call"/>
    <w:rsid w:val="004E4AF4"/>
    <w:rPr>
      <w:rFonts w:ascii="Times New Roman" w:hAnsi="Times New Roman"/>
      <w:i/>
      <w:sz w:val="24"/>
      <w:lang w:val="en-GB" w:eastAsia="en-US"/>
    </w:rPr>
  </w:style>
  <w:style w:type="character" w:customStyle="1" w:styleId="NormalaftertitleChar0">
    <w:name w:val="Normal after title Char"/>
    <w:basedOn w:val="DefaultParagraphFont"/>
    <w:link w:val="Normalaftertitle0"/>
    <w:rsid w:val="004E4AF4"/>
    <w:rPr>
      <w:rFonts w:ascii="Times New Roman" w:hAnsi="Times New Roman"/>
      <w:sz w:val="24"/>
      <w:lang w:val="en-GB" w:eastAsia="en-US"/>
    </w:rPr>
  </w:style>
  <w:style w:type="paragraph" w:customStyle="1" w:styleId="RecTitleDate">
    <w:name w:val="Rec_Title/Date"/>
    <w:basedOn w:val="Normal"/>
    <w:next w:val="Normal"/>
    <w:rsid w:val="004E4AF4"/>
    <w:pPr>
      <w:keepNext/>
      <w:keepLines/>
      <w:tabs>
        <w:tab w:val="clear" w:pos="1134"/>
        <w:tab w:val="clear" w:pos="1871"/>
        <w:tab w:val="clear" w:pos="2268"/>
        <w:tab w:val="right" w:pos="9696"/>
      </w:tabs>
      <w:spacing w:before="136"/>
      <w:jc w:val="right"/>
    </w:pPr>
    <w:rPr>
      <w:rFonts w:ascii="CG Times" w:hAnsi="CG Times"/>
      <w:sz w:val="20"/>
    </w:rPr>
  </w:style>
  <w:style w:type="paragraph" w:customStyle="1" w:styleId="headingb0">
    <w:name w:val="heading_b"/>
    <w:basedOn w:val="Heading3"/>
    <w:next w:val="Normal"/>
    <w:rsid w:val="004E4AF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style>
  <w:style w:type="paragraph" w:customStyle="1" w:styleId="AnnexNoTitle">
    <w:name w:val="Annex_NoTitle"/>
    <w:basedOn w:val="Normal"/>
    <w:next w:val="Normalaftertitle"/>
    <w:uiPriority w:val="99"/>
    <w:rsid w:val="004E4AF4"/>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call0">
    <w:name w:val="call"/>
    <w:basedOn w:val="Normal"/>
    <w:next w:val="Normal"/>
    <w:rsid w:val="004E4AF4"/>
    <w:pPr>
      <w:keepNext/>
      <w:keepLines/>
      <w:tabs>
        <w:tab w:val="clear" w:pos="1134"/>
        <w:tab w:val="clear" w:pos="1871"/>
        <w:tab w:val="clear" w:pos="2268"/>
        <w:tab w:val="left" w:pos="794"/>
      </w:tabs>
      <w:spacing w:before="227"/>
      <w:ind w:left="794"/>
    </w:pPr>
    <w:rPr>
      <w:rFonts w:eastAsia="MS Mincho"/>
      <w:i/>
      <w:sz w:val="20"/>
      <w:lang w:val="es-ES_tradnl"/>
    </w:rPr>
  </w:style>
  <w:style w:type="paragraph" w:customStyle="1" w:styleId="a">
    <w:name w:val="Стиль"/>
    <w:basedOn w:val="Normal"/>
    <w:rsid w:val="004E4AF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paragraph" w:customStyle="1" w:styleId="headfoot">
    <w:name w:val="head_foot"/>
    <w:basedOn w:val="Normal"/>
    <w:next w:val="Normalaftertitle0"/>
    <w:rsid w:val="004E4AF4"/>
    <w:pPr>
      <w:tabs>
        <w:tab w:val="clear" w:pos="1134"/>
        <w:tab w:val="clear" w:pos="1871"/>
        <w:tab w:val="clear" w:pos="2268"/>
      </w:tabs>
      <w:spacing w:before="0"/>
      <w:jc w:val="both"/>
    </w:pPr>
    <w:rPr>
      <w:rFonts w:ascii="Times" w:hAnsi="Times"/>
      <w:color w:val="FFFFFF"/>
      <w:sz w:val="8"/>
    </w:rPr>
  </w:style>
  <w:style w:type="paragraph" w:customStyle="1" w:styleId="Char1CharChar1Char">
    <w:name w:val="Char1 Char Char1 Char"/>
    <w:basedOn w:val="Normal"/>
    <w:rsid w:val="004E4AF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enumlev1Char">
    <w:name w:val="enumlev1 Char"/>
    <w:basedOn w:val="DefaultParagraphFont"/>
    <w:link w:val="enumlev1"/>
    <w:uiPriority w:val="99"/>
    <w:rsid w:val="004E4AF4"/>
    <w:rPr>
      <w:rFonts w:ascii="Times New Roman" w:hAnsi="Times New Roman"/>
      <w:sz w:val="24"/>
      <w:lang w:val="en-GB" w:eastAsia="en-US"/>
    </w:rPr>
  </w:style>
  <w:style w:type="character" w:customStyle="1" w:styleId="QuestionNoChar">
    <w:name w:val="Question_No Char"/>
    <w:basedOn w:val="DefaultParagraphFont"/>
    <w:link w:val="QuestionNo"/>
    <w:rsid w:val="004E4AF4"/>
    <w:rPr>
      <w:rFonts w:ascii="Times New Roman" w:hAnsi="Times New Roman"/>
      <w:caps/>
      <w:sz w:val="28"/>
      <w:lang w:val="en-GB" w:eastAsia="en-US"/>
    </w:rPr>
  </w:style>
  <w:style w:type="paragraph" w:customStyle="1" w:styleId="CCI">
    <w:name w:val="CCI"/>
    <w:basedOn w:val="Normal"/>
    <w:next w:val="Call"/>
    <w:rsid w:val="004E4AF4"/>
    <w:pPr>
      <w:keepNext/>
      <w:keepLines/>
      <w:tabs>
        <w:tab w:val="clear" w:pos="1134"/>
        <w:tab w:val="clear" w:pos="1871"/>
        <w:tab w:val="clear" w:pos="2268"/>
      </w:tabs>
      <w:spacing w:before="199"/>
      <w:jc w:val="both"/>
    </w:pPr>
    <w:rPr>
      <w:rFonts w:ascii="CG Times" w:hAnsi="CG Times"/>
      <w:sz w:val="20"/>
    </w:rPr>
  </w:style>
  <w:style w:type="paragraph" w:customStyle="1" w:styleId="Head">
    <w:name w:val="Head"/>
    <w:basedOn w:val="Normal"/>
    <w:rsid w:val="004E4AF4"/>
    <w:pPr>
      <w:tabs>
        <w:tab w:val="clear" w:pos="1134"/>
        <w:tab w:val="clear" w:pos="1871"/>
        <w:tab w:val="clear" w:pos="2268"/>
        <w:tab w:val="left" w:pos="6663"/>
      </w:tabs>
      <w:spacing w:before="0"/>
    </w:pPr>
  </w:style>
  <w:style w:type="paragraph" w:customStyle="1" w:styleId="Subject">
    <w:name w:val="Subject"/>
    <w:basedOn w:val="Normal"/>
    <w:next w:val="Source"/>
    <w:rsid w:val="004E4AF4"/>
    <w:pPr>
      <w:tabs>
        <w:tab w:val="clear" w:pos="1871"/>
        <w:tab w:val="clear" w:pos="2268"/>
      </w:tabs>
      <w:spacing w:before="0"/>
      <w:ind w:left="1134" w:hanging="1134"/>
    </w:pPr>
  </w:style>
  <w:style w:type="paragraph" w:customStyle="1" w:styleId="TableHead0">
    <w:name w:val="Table_Head"/>
    <w:basedOn w:val="Tabletext"/>
    <w:rsid w:val="004E4AF4"/>
    <w:pPr>
      <w:keepNext/>
      <w:tabs>
        <w:tab w:val="clear" w:pos="1871"/>
      </w:tabs>
      <w:overflowPunct/>
      <w:autoSpaceDE/>
      <w:autoSpaceDN/>
      <w:adjustRightInd/>
      <w:spacing w:before="80" w:after="80"/>
      <w:jc w:val="center"/>
      <w:textAlignment w:val="auto"/>
    </w:pPr>
    <w:rPr>
      <w:b/>
      <w:sz w:val="22"/>
    </w:rPr>
  </w:style>
  <w:style w:type="paragraph" w:customStyle="1" w:styleId="RecNoBR">
    <w:name w:val="Rec_No_BR"/>
    <w:basedOn w:val="Normal"/>
    <w:next w:val="Rectitle"/>
    <w:rsid w:val="004E4AF4"/>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BodyText">
    <w:name w:val="BodyText"/>
    <w:basedOn w:val="Normal"/>
    <w:rsid w:val="004E4AF4"/>
    <w:pPr>
      <w:tabs>
        <w:tab w:val="clear" w:pos="1134"/>
        <w:tab w:val="clear" w:pos="1871"/>
        <w:tab w:val="clear" w:pos="2268"/>
      </w:tabs>
      <w:spacing w:before="240"/>
    </w:pPr>
    <w:rPr>
      <w:lang w:val="en-US"/>
    </w:rPr>
  </w:style>
  <w:style w:type="character" w:customStyle="1" w:styleId="NormalaftertitleChar">
    <w:name w:val="Normal_after_title Char"/>
    <w:basedOn w:val="DefaultParagraphFont"/>
    <w:link w:val="Normalaftertitle"/>
    <w:rsid w:val="004E4AF4"/>
    <w:rPr>
      <w:rFonts w:ascii="Times New Roman" w:hAnsi="Times New Roman"/>
      <w:sz w:val="24"/>
      <w:lang w:val="en-GB" w:eastAsia="en-US"/>
    </w:rPr>
  </w:style>
  <w:style w:type="paragraph" w:customStyle="1" w:styleId="AnnexNotitle0">
    <w:name w:val="Annex_No &amp; title"/>
    <w:basedOn w:val="Normal"/>
    <w:next w:val="Normalaftertitle"/>
    <w:uiPriority w:val="99"/>
    <w:rsid w:val="004E4AF4"/>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4E4AF4"/>
    <w:rPr>
      <w:rFonts w:ascii="Times New Roman" w:hAnsi="Times New Roman" w:cs="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link w:val="QuestionNoChar"/>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table" w:styleId="TableGrid">
    <w:name w:val="Table Grid"/>
    <w:basedOn w:val="TableNormal"/>
    <w:rsid w:val="008E4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0D9F"/>
    <w:rPr>
      <w:rFonts w:ascii="Times New Roman" w:hAnsi="Times New Roman"/>
      <w:sz w:val="24"/>
      <w:lang w:val="en-GB" w:eastAsia="en-US"/>
    </w:rPr>
  </w:style>
  <w:style w:type="character" w:styleId="Hyperlink">
    <w:name w:val="Hyperlink"/>
    <w:basedOn w:val="DefaultParagraphFont"/>
    <w:rsid w:val="0021015A"/>
    <w:rPr>
      <w:color w:val="0000FF" w:themeColor="hyperlink"/>
      <w:u w:val="single"/>
    </w:rPr>
  </w:style>
  <w:style w:type="paragraph" w:customStyle="1" w:styleId="QuestionNoBR">
    <w:name w:val="Question_No_BR"/>
    <w:basedOn w:val="Normal"/>
    <w:next w:val="Questiontitle"/>
    <w:rsid w:val="004E4AF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sz w:val="28"/>
    </w:rPr>
  </w:style>
  <w:style w:type="paragraph" w:customStyle="1" w:styleId="QuestionTitleDate">
    <w:name w:val="Question_Title/Date"/>
    <w:basedOn w:val="Normal"/>
    <w:next w:val="Normal"/>
    <w:rsid w:val="004E4AF4"/>
    <w:pPr>
      <w:keepNext/>
      <w:keepLines/>
      <w:tabs>
        <w:tab w:val="clear" w:pos="1134"/>
        <w:tab w:val="clear" w:pos="1871"/>
        <w:tab w:val="clear" w:pos="2268"/>
        <w:tab w:val="right" w:pos="9696"/>
      </w:tabs>
      <w:spacing w:before="136"/>
      <w:jc w:val="right"/>
    </w:pPr>
    <w:rPr>
      <w:rFonts w:ascii="CG Times" w:hAnsi="CG Times"/>
      <w:sz w:val="20"/>
    </w:rPr>
  </w:style>
  <w:style w:type="character" w:customStyle="1" w:styleId="CallChar">
    <w:name w:val="Call Char"/>
    <w:basedOn w:val="DefaultParagraphFont"/>
    <w:link w:val="Call"/>
    <w:rsid w:val="004E4AF4"/>
    <w:rPr>
      <w:rFonts w:ascii="Times New Roman" w:hAnsi="Times New Roman"/>
      <w:i/>
      <w:sz w:val="24"/>
      <w:lang w:val="en-GB" w:eastAsia="en-US"/>
    </w:rPr>
  </w:style>
  <w:style w:type="character" w:customStyle="1" w:styleId="NormalaftertitleChar0">
    <w:name w:val="Normal after title Char"/>
    <w:basedOn w:val="DefaultParagraphFont"/>
    <w:link w:val="Normalaftertitle0"/>
    <w:rsid w:val="004E4AF4"/>
    <w:rPr>
      <w:rFonts w:ascii="Times New Roman" w:hAnsi="Times New Roman"/>
      <w:sz w:val="24"/>
      <w:lang w:val="en-GB" w:eastAsia="en-US"/>
    </w:rPr>
  </w:style>
  <w:style w:type="paragraph" w:customStyle="1" w:styleId="RecTitleDate">
    <w:name w:val="Rec_Title/Date"/>
    <w:basedOn w:val="Normal"/>
    <w:next w:val="Normal"/>
    <w:rsid w:val="004E4AF4"/>
    <w:pPr>
      <w:keepNext/>
      <w:keepLines/>
      <w:tabs>
        <w:tab w:val="clear" w:pos="1134"/>
        <w:tab w:val="clear" w:pos="1871"/>
        <w:tab w:val="clear" w:pos="2268"/>
        <w:tab w:val="right" w:pos="9696"/>
      </w:tabs>
      <w:spacing w:before="136"/>
      <w:jc w:val="right"/>
    </w:pPr>
    <w:rPr>
      <w:rFonts w:ascii="CG Times" w:hAnsi="CG Times"/>
      <w:sz w:val="20"/>
    </w:rPr>
  </w:style>
  <w:style w:type="paragraph" w:customStyle="1" w:styleId="headingb0">
    <w:name w:val="heading_b"/>
    <w:basedOn w:val="Heading3"/>
    <w:next w:val="Normal"/>
    <w:rsid w:val="004E4AF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style>
  <w:style w:type="paragraph" w:customStyle="1" w:styleId="AnnexNoTitle">
    <w:name w:val="Annex_NoTitle"/>
    <w:basedOn w:val="Normal"/>
    <w:next w:val="Normalaftertitle"/>
    <w:uiPriority w:val="99"/>
    <w:rsid w:val="004E4AF4"/>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call0">
    <w:name w:val="call"/>
    <w:basedOn w:val="Normal"/>
    <w:next w:val="Normal"/>
    <w:rsid w:val="004E4AF4"/>
    <w:pPr>
      <w:keepNext/>
      <w:keepLines/>
      <w:tabs>
        <w:tab w:val="clear" w:pos="1134"/>
        <w:tab w:val="clear" w:pos="1871"/>
        <w:tab w:val="clear" w:pos="2268"/>
        <w:tab w:val="left" w:pos="794"/>
      </w:tabs>
      <w:spacing w:before="227"/>
      <w:ind w:left="794"/>
    </w:pPr>
    <w:rPr>
      <w:rFonts w:eastAsia="MS Mincho"/>
      <w:i/>
      <w:sz w:val="20"/>
      <w:lang w:val="es-ES_tradnl"/>
    </w:rPr>
  </w:style>
  <w:style w:type="paragraph" w:customStyle="1" w:styleId="a">
    <w:name w:val="Стиль"/>
    <w:basedOn w:val="Normal"/>
    <w:rsid w:val="004E4AF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paragraph" w:customStyle="1" w:styleId="headfoot">
    <w:name w:val="head_foot"/>
    <w:basedOn w:val="Normal"/>
    <w:next w:val="Normalaftertitle0"/>
    <w:rsid w:val="004E4AF4"/>
    <w:pPr>
      <w:tabs>
        <w:tab w:val="clear" w:pos="1134"/>
        <w:tab w:val="clear" w:pos="1871"/>
        <w:tab w:val="clear" w:pos="2268"/>
      </w:tabs>
      <w:spacing w:before="0"/>
      <w:jc w:val="both"/>
    </w:pPr>
    <w:rPr>
      <w:rFonts w:ascii="Times" w:hAnsi="Times"/>
      <w:color w:val="FFFFFF"/>
      <w:sz w:val="8"/>
    </w:rPr>
  </w:style>
  <w:style w:type="paragraph" w:customStyle="1" w:styleId="Char1CharChar1Char">
    <w:name w:val="Char1 Char Char1 Char"/>
    <w:basedOn w:val="Normal"/>
    <w:rsid w:val="004E4AF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enumlev1Char">
    <w:name w:val="enumlev1 Char"/>
    <w:basedOn w:val="DefaultParagraphFont"/>
    <w:link w:val="enumlev1"/>
    <w:uiPriority w:val="99"/>
    <w:rsid w:val="004E4AF4"/>
    <w:rPr>
      <w:rFonts w:ascii="Times New Roman" w:hAnsi="Times New Roman"/>
      <w:sz w:val="24"/>
      <w:lang w:val="en-GB" w:eastAsia="en-US"/>
    </w:rPr>
  </w:style>
  <w:style w:type="character" w:customStyle="1" w:styleId="QuestionNoChar">
    <w:name w:val="Question_No Char"/>
    <w:basedOn w:val="DefaultParagraphFont"/>
    <w:link w:val="QuestionNo"/>
    <w:rsid w:val="004E4AF4"/>
    <w:rPr>
      <w:rFonts w:ascii="Times New Roman" w:hAnsi="Times New Roman"/>
      <w:caps/>
      <w:sz w:val="28"/>
      <w:lang w:val="en-GB" w:eastAsia="en-US"/>
    </w:rPr>
  </w:style>
  <w:style w:type="paragraph" w:customStyle="1" w:styleId="CCI">
    <w:name w:val="CCI"/>
    <w:basedOn w:val="Normal"/>
    <w:next w:val="Call"/>
    <w:rsid w:val="004E4AF4"/>
    <w:pPr>
      <w:keepNext/>
      <w:keepLines/>
      <w:tabs>
        <w:tab w:val="clear" w:pos="1134"/>
        <w:tab w:val="clear" w:pos="1871"/>
        <w:tab w:val="clear" w:pos="2268"/>
      </w:tabs>
      <w:spacing w:before="199"/>
      <w:jc w:val="both"/>
    </w:pPr>
    <w:rPr>
      <w:rFonts w:ascii="CG Times" w:hAnsi="CG Times"/>
      <w:sz w:val="20"/>
    </w:rPr>
  </w:style>
  <w:style w:type="paragraph" w:customStyle="1" w:styleId="Head">
    <w:name w:val="Head"/>
    <w:basedOn w:val="Normal"/>
    <w:rsid w:val="004E4AF4"/>
    <w:pPr>
      <w:tabs>
        <w:tab w:val="clear" w:pos="1134"/>
        <w:tab w:val="clear" w:pos="1871"/>
        <w:tab w:val="clear" w:pos="2268"/>
        <w:tab w:val="left" w:pos="6663"/>
      </w:tabs>
      <w:spacing w:before="0"/>
    </w:pPr>
  </w:style>
  <w:style w:type="paragraph" w:customStyle="1" w:styleId="Subject">
    <w:name w:val="Subject"/>
    <w:basedOn w:val="Normal"/>
    <w:next w:val="Source"/>
    <w:rsid w:val="004E4AF4"/>
    <w:pPr>
      <w:tabs>
        <w:tab w:val="clear" w:pos="1871"/>
        <w:tab w:val="clear" w:pos="2268"/>
      </w:tabs>
      <w:spacing w:before="0"/>
      <w:ind w:left="1134" w:hanging="1134"/>
    </w:pPr>
  </w:style>
  <w:style w:type="paragraph" w:customStyle="1" w:styleId="TableHead0">
    <w:name w:val="Table_Head"/>
    <w:basedOn w:val="Tabletext"/>
    <w:rsid w:val="004E4AF4"/>
    <w:pPr>
      <w:keepNext/>
      <w:tabs>
        <w:tab w:val="clear" w:pos="1871"/>
      </w:tabs>
      <w:overflowPunct/>
      <w:autoSpaceDE/>
      <w:autoSpaceDN/>
      <w:adjustRightInd/>
      <w:spacing w:before="80" w:after="80"/>
      <w:jc w:val="center"/>
      <w:textAlignment w:val="auto"/>
    </w:pPr>
    <w:rPr>
      <w:b/>
      <w:sz w:val="22"/>
    </w:rPr>
  </w:style>
  <w:style w:type="paragraph" w:customStyle="1" w:styleId="RecNoBR">
    <w:name w:val="Rec_No_BR"/>
    <w:basedOn w:val="Normal"/>
    <w:next w:val="Rectitle"/>
    <w:rsid w:val="004E4AF4"/>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BodyText">
    <w:name w:val="BodyText"/>
    <w:basedOn w:val="Normal"/>
    <w:rsid w:val="004E4AF4"/>
    <w:pPr>
      <w:tabs>
        <w:tab w:val="clear" w:pos="1134"/>
        <w:tab w:val="clear" w:pos="1871"/>
        <w:tab w:val="clear" w:pos="2268"/>
      </w:tabs>
      <w:spacing w:before="240"/>
    </w:pPr>
    <w:rPr>
      <w:lang w:val="en-US"/>
    </w:rPr>
  </w:style>
  <w:style w:type="character" w:customStyle="1" w:styleId="NormalaftertitleChar">
    <w:name w:val="Normal_after_title Char"/>
    <w:basedOn w:val="DefaultParagraphFont"/>
    <w:link w:val="Normalaftertitle"/>
    <w:rsid w:val="004E4AF4"/>
    <w:rPr>
      <w:rFonts w:ascii="Times New Roman" w:hAnsi="Times New Roman"/>
      <w:sz w:val="24"/>
      <w:lang w:val="en-GB" w:eastAsia="en-US"/>
    </w:rPr>
  </w:style>
  <w:style w:type="paragraph" w:customStyle="1" w:styleId="AnnexNotitle0">
    <w:name w:val="Annex_No &amp; title"/>
    <w:basedOn w:val="Normal"/>
    <w:next w:val="Normalaftertitle"/>
    <w:uiPriority w:val="99"/>
    <w:rsid w:val="004E4AF4"/>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4E4AF4"/>
    <w:rPr>
      <w:rFonts w:ascii="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FCCBA-2EB9-4DAB-AC18-9EDB40B6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6</TotalTime>
  <Pages>4</Pages>
  <Words>1186</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mostyn</cp:lastModifiedBy>
  <cp:revision>6</cp:revision>
  <cp:lastPrinted>2012-01-25T09:41:00Z</cp:lastPrinted>
  <dcterms:created xsi:type="dcterms:W3CDTF">2012-06-07T12:09:00Z</dcterms:created>
  <dcterms:modified xsi:type="dcterms:W3CDTF">2012-06-12T14:12:00Z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