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FAFE" w14:textId="77777777" w:rsidR="003A7961" w:rsidRPr="00170E1B" w:rsidRDefault="003A7961" w:rsidP="002A7057">
      <w:pPr>
        <w:pStyle w:val="QuestionNoBR"/>
        <w:tabs>
          <w:tab w:val="clear" w:pos="794"/>
          <w:tab w:val="left" w:pos="1134"/>
        </w:tabs>
        <w:spacing w:before="240"/>
        <w:rPr>
          <w:lang w:val="en-US"/>
        </w:rPr>
      </w:pPr>
      <w:r>
        <w:rPr>
          <w:lang w:val="en-US"/>
        </w:rPr>
        <w:t>QUESTION </w:t>
      </w:r>
      <w:r w:rsidRPr="00582DB6">
        <w:rPr>
          <w:lang w:val="en-US"/>
        </w:rPr>
        <w:t xml:space="preserve">ITU-R </w:t>
      </w:r>
      <w:r>
        <w:rPr>
          <w:lang w:val="en-US"/>
        </w:rPr>
        <w:t>253/5</w:t>
      </w:r>
      <w:r w:rsidR="00FD7FBB" w:rsidRPr="00983E6C">
        <w:rPr>
          <w:rStyle w:val="FootnoteReference"/>
          <w:lang w:val="en-US"/>
        </w:rPr>
        <w:footnoteReference w:id="1"/>
      </w:r>
    </w:p>
    <w:p w14:paraId="6EA99F90" w14:textId="77777777" w:rsidR="003A7961" w:rsidRDefault="003A7961" w:rsidP="003A7961">
      <w:pPr>
        <w:pStyle w:val="Title4"/>
        <w:tabs>
          <w:tab w:val="clear" w:pos="2268"/>
        </w:tabs>
      </w:pPr>
      <w:r>
        <w:t>Fixed service use and future trends</w:t>
      </w:r>
    </w:p>
    <w:p w14:paraId="7C5B477A" w14:textId="77777777" w:rsidR="003A7961" w:rsidRPr="005675E7" w:rsidRDefault="003A7961" w:rsidP="003A7961">
      <w:pPr>
        <w:pStyle w:val="Questiondate"/>
        <w:spacing w:before="240"/>
      </w:pPr>
      <w:r>
        <w:t>(2012)</w:t>
      </w:r>
    </w:p>
    <w:p w14:paraId="54D21060" w14:textId="77777777" w:rsidR="003A7961" w:rsidRPr="004144D7" w:rsidRDefault="003A7961" w:rsidP="003A7961">
      <w:pPr>
        <w:pStyle w:val="Normalaftertitle0"/>
        <w:spacing w:before="240"/>
      </w:pPr>
      <w:r w:rsidRPr="004144D7">
        <w:t>The ITU Radiocommunication Assembly,</w:t>
      </w:r>
    </w:p>
    <w:p w14:paraId="19CB12DC" w14:textId="77777777" w:rsidR="003A7961" w:rsidRPr="0031334F" w:rsidRDefault="003A7961" w:rsidP="003A7961">
      <w:pPr>
        <w:pStyle w:val="Call"/>
      </w:pPr>
      <w:r w:rsidRPr="0031334F">
        <w:t>considering</w:t>
      </w:r>
    </w:p>
    <w:p w14:paraId="1E9F4F8D" w14:textId="77777777" w:rsidR="003A7961" w:rsidRDefault="003A7961" w:rsidP="003A7961">
      <w:r w:rsidRPr="008B034B">
        <w:rPr>
          <w:i/>
          <w:iCs/>
        </w:rPr>
        <w:t>a)</w:t>
      </w:r>
      <w:r>
        <w:tab/>
        <w:t xml:space="preserve">that the fixed service has evolved over the years and there is continuing evolution both in terms of the technology and applications including the use of high capacity fixed wireless </w:t>
      </w:r>
      <w:proofErr w:type="gramStart"/>
      <w:r>
        <w:t>systems;</w:t>
      </w:r>
      <w:proofErr w:type="gramEnd"/>
      <w:r>
        <w:t xml:space="preserve"> </w:t>
      </w:r>
    </w:p>
    <w:p w14:paraId="60BB8E97" w14:textId="77777777" w:rsidR="003A7961" w:rsidRDefault="003A7961" w:rsidP="003A7961">
      <w:r w:rsidRPr="008B034B">
        <w:rPr>
          <w:i/>
          <w:iCs/>
        </w:rPr>
        <w:t>b)</w:t>
      </w:r>
      <w:r>
        <w:tab/>
        <w:t xml:space="preserve">that this evolution in fixed service technology and requirements is leading towards changes in network architectures, capacity and bandwidth </w:t>
      </w:r>
      <w:proofErr w:type="gramStart"/>
      <w:r>
        <w:t>requirements;</w:t>
      </w:r>
      <w:proofErr w:type="gramEnd"/>
    </w:p>
    <w:p w14:paraId="165A23CE" w14:textId="77777777" w:rsidR="003A7961" w:rsidRDefault="003A7961" w:rsidP="003A7961">
      <w:r w:rsidRPr="008B034B">
        <w:rPr>
          <w:i/>
          <w:iCs/>
        </w:rPr>
        <w:t>c)</w:t>
      </w:r>
      <w:r>
        <w:tab/>
        <w:t xml:space="preserve">that </w:t>
      </w:r>
      <w:r>
        <w:rPr>
          <w:lang w:eastAsia="ja-JP"/>
        </w:rPr>
        <w:t xml:space="preserve">exploitation of the higher frequency bands, </w:t>
      </w:r>
      <w:proofErr w:type="gramStart"/>
      <w:r>
        <w:rPr>
          <w:lang w:eastAsia="ja-JP"/>
        </w:rPr>
        <w:t>e.g.</w:t>
      </w:r>
      <w:proofErr w:type="gramEnd"/>
      <w:r>
        <w:rPr>
          <w:lang w:eastAsia="ja-JP"/>
        </w:rPr>
        <w:t xml:space="preserve"> higher millimetre wave bands, is important as one of the measures </w:t>
      </w:r>
      <w:r>
        <w:t>to address these new changing requirements;</w:t>
      </w:r>
    </w:p>
    <w:p w14:paraId="1B1C4D5C" w14:textId="77777777" w:rsidR="003A7961" w:rsidRDefault="003A7961" w:rsidP="003A7961">
      <w:r w:rsidRPr="008B034B">
        <w:rPr>
          <w:rFonts w:hint="eastAsia"/>
          <w:i/>
          <w:iCs/>
          <w:lang w:eastAsia="ja-JP"/>
        </w:rPr>
        <w:t>d</w:t>
      </w:r>
      <w:r w:rsidRPr="008B034B">
        <w:rPr>
          <w:i/>
          <w:iCs/>
        </w:rPr>
        <w:t>)</w:t>
      </w:r>
      <w:r>
        <w:tab/>
        <w:t xml:space="preserve">that these changes may require further spectrum management and regulatory considerations in order to address these new </w:t>
      </w:r>
      <w:proofErr w:type="gramStart"/>
      <w:r>
        <w:t>requirements;</w:t>
      </w:r>
      <w:proofErr w:type="gramEnd"/>
    </w:p>
    <w:p w14:paraId="27D08CC1" w14:textId="77777777" w:rsidR="003A7961" w:rsidRDefault="003A7961" w:rsidP="003A7961">
      <w:r w:rsidRPr="008B034B">
        <w:rPr>
          <w:rFonts w:hint="eastAsia"/>
          <w:i/>
          <w:iCs/>
          <w:lang w:eastAsia="ja-JP"/>
        </w:rPr>
        <w:t>e</w:t>
      </w:r>
      <w:r w:rsidRPr="008B034B">
        <w:rPr>
          <w:i/>
          <w:iCs/>
        </w:rPr>
        <w:t>)</w:t>
      </w:r>
      <w:r>
        <w:tab/>
        <w:t>that there is a requirement for up to date guidance and information on the medium and long term spectrum vision, including key drivers and trends in the fixed service;</w:t>
      </w:r>
    </w:p>
    <w:p w14:paraId="06B482C9" w14:textId="77777777" w:rsidR="003A7961" w:rsidRDefault="003A7961" w:rsidP="003A7961">
      <w:r w:rsidRPr="008B034B">
        <w:rPr>
          <w:rFonts w:hint="eastAsia"/>
          <w:i/>
          <w:iCs/>
          <w:lang w:eastAsia="ja-JP"/>
        </w:rPr>
        <w:t>f</w:t>
      </w:r>
      <w:r w:rsidRPr="008B034B">
        <w:rPr>
          <w:i/>
          <w:iCs/>
        </w:rPr>
        <w:t>)</w:t>
      </w:r>
      <w:r>
        <w:tab/>
        <w:t xml:space="preserve">that such guidance would greatly assist administrations, manufacturers and telecom operators in a range of spectrum management </w:t>
      </w:r>
      <w:proofErr w:type="gramStart"/>
      <w:r>
        <w:t>discussions;</w:t>
      </w:r>
      <w:proofErr w:type="gramEnd"/>
    </w:p>
    <w:p w14:paraId="560A151C" w14:textId="77777777" w:rsidR="003A7961" w:rsidRDefault="003A7961" w:rsidP="003A7961">
      <w:pPr>
        <w:rPr>
          <w:lang w:eastAsia="ja-JP"/>
        </w:rPr>
      </w:pPr>
      <w:r w:rsidRPr="008B034B">
        <w:rPr>
          <w:rFonts w:hint="eastAsia"/>
          <w:i/>
          <w:iCs/>
          <w:lang w:eastAsia="ja-JP"/>
        </w:rPr>
        <w:t>g</w:t>
      </w:r>
      <w:r w:rsidRPr="008B034B">
        <w:rPr>
          <w:i/>
          <w:iCs/>
        </w:rPr>
        <w:t>)</w:t>
      </w:r>
      <w:r w:rsidRPr="008B034B">
        <w:rPr>
          <w:i/>
          <w:iCs/>
        </w:rPr>
        <w:tab/>
      </w:r>
      <w:r w:rsidRPr="00B572B6">
        <w:t xml:space="preserve">that the exponential growth in mobile broadband traffic is placing increasing demand on the fixed service backhaul </w:t>
      </w:r>
      <w:proofErr w:type="gramStart"/>
      <w:r w:rsidRPr="00B572B6">
        <w:t>infrastructure</w:t>
      </w:r>
      <w:r>
        <w:rPr>
          <w:rFonts w:hint="eastAsia"/>
          <w:lang w:eastAsia="ja-JP"/>
        </w:rPr>
        <w:t>;</w:t>
      </w:r>
      <w:proofErr w:type="gramEnd"/>
    </w:p>
    <w:p w14:paraId="5BD8C6EF" w14:textId="77777777" w:rsidR="003A7961" w:rsidRDefault="003A7961" w:rsidP="003A7961">
      <w:pPr>
        <w:rPr>
          <w:lang w:eastAsia="ja-JP"/>
        </w:rPr>
      </w:pPr>
      <w:r w:rsidRPr="008B034B">
        <w:rPr>
          <w:rFonts w:hint="eastAsia"/>
          <w:i/>
          <w:iCs/>
          <w:lang w:eastAsia="ja-JP"/>
        </w:rPr>
        <w:t>h)</w:t>
      </w:r>
      <w:r>
        <w:rPr>
          <w:rFonts w:hint="eastAsia"/>
          <w:lang w:eastAsia="ja-JP"/>
        </w:rPr>
        <w:tab/>
      </w:r>
      <w:r>
        <w:rPr>
          <w:lang w:eastAsia="ja-JP"/>
        </w:rPr>
        <w:t xml:space="preserve">that </w:t>
      </w:r>
      <w:r>
        <w:rPr>
          <w:rFonts w:hint="eastAsia"/>
          <w:lang w:eastAsia="ja-JP"/>
        </w:rPr>
        <w:t>backhaul and relay link</w:t>
      </w:r>
      <w:r w:rsidRPr="000D4900">
        <w:rPr>
          <w:lang w:eastAsia="ja-JP"/>
        </w:rPr>
        <w:t>s</w:t>
      </w:r>
      <w:r>
        <w:rPr>
          <w:rFonts w:hint="eastAsia"/>
          <w:lang w:eastAsia="ja-JP"/>
        </w:rPr>
        <w:t xml:space="preserve"> for nomadic wireless access </w:t>
      </w:r>
      <w:r w:rsidRPr="000D4900">
        <w:rPr>
          <w:lang w:eastAsia="ja-JP"/>
        </w:rPr>
        <w:t>systems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can </w:t>
      </w:r>
      <w:r>
        <w:rPr>
          <w:lang w:eastAsia="ja-JP"/>
        </w:rPr>
        <w:t>be provided by a variety of technologies,</w:t>
      </w:r>
    </w:p>
    <w:p w14:paraId="2654B104" w14:textId="77777777" w:rsidR="003A7961" w:rsidRPr="0031334F" w:rsidRDefault="003A7961" w:rsidP="003A7961">
      <w:pPr>
        <w:pStyle w:val="Call"/>
      </w:pPr>
      <w:r w:rsidRPr="0031334F">
        <w:t>decides</w:t>
      </w:r>
      <w:r w:rsidRPr="0031334F">
        <w:rPr>
          <w:i w:val="0"/>
          <w:iCs/>
        </w:rPr>
        <w:t xml:space="preserve"> that the following Question should be </w:t>
      </w:r>
      <w:proofErr w:type="gramStart"/>
      <w:r w:rsidRPr="0031334F">
        <w:rPr>
          <w:i w:val="0"/>
          <w:iCs/>
        </w:rPr>
        <w:t>studied</w:t>
      </w:r>
      <w:proofErr w:type="gramEnd"/>
    </w:p>
    <w:p w14:paraId="1A17B967" w14:textId="264CDA0E" w:rsidR="003A7961" w:rsidRDefault="003A7961" w:rsidP="003A7961">
      <w:r>
        <w:t xml:space="preserve">What are the key trends and drivers </w:t>
      </w:r>
      <w:r>
        <w:rPr>
          <w:lang w:eastAsia="ja-JP"/>
        </w:rPr>
        <w:t>of technologies and applications for</w:t>
      </w:r>
      <w:r>
        <w:t xml:space="preserve"> the fixed service across the different FS bands over the</w:t>
      </w:r>
      <w:r>
        <w:rPr>
          <w:lang w:eastAsia="ja-JP"/>
        </w:rPr>
        <w:t xml:space="preserve"> 20</w:t>
      </w:r>
      <w:r w:rsidR="007435C7">
        <w:rPr>
          <w:lang w:eastAsia="ja-JP"/>
        </w:rPr>
        <w:t>24</w:t>
      </w:r>
      <w:r>
        <w:rPr>
          <w:lang w:eastAsia="ja-JP"/>
        </w:rPr>
        <w:t>-202</w:t>
      </w:r>
      <w:r w:rsidR="007435C7">
        <w:rPr>
          <w:lang w:eastAsia="ja-JP"/>
        </w:rPr>
        <w:t>7</w:t>
      </w:r>
      <w:r>
        <w:rPr>
          <w:lang w:eastAsia="ja-JP"/>
        </w:rPr>
        <w:t xml:space="preserve"> period</w:t>
      </w:r>
      <w:r>
        <w:t xml:space="preserve"> and beyond, </w:t>
      </w:r>
      <w:proofErr w:type="gramStart"/>
      <w:r>
        <w:t>taking into account</w:t>
      </w:r>
      <w:proofErr w:type="gramEnd"/>
      <w:r>
        <w:rPr>
          <w:lang w:eastAsia="ja-JP"/>
        </w:rPr>
        <w:t>:</w:t>
      </w:r>
    </w:p>
    <w:p w14:paraId="1B305AD2" w14:textId="77777777" w:rsidR="003A7961" w:rsidRPr="0031334F" w:rsidRDefault="003A7961" w:rsidP="003A7961">
      <w:pPr>
        <w:pStyle w:val="enumlev1"/>
      </w:pPr>
      <w:r w:rsidRPr="0031334F">
        <w:t>−</w:t>
      </w:r>
      <w:r w:rsidRPr="0031334F">
        <w:tab/>
        <w:t xml:space="preserve">deployment scenarios, propagation considerations, technology developments, capacity and spectrum </w:t>
      </w:r>
      <w:proofErr w:type="gramStart"/>
      <w:r w:rsidRPr="0031334F">
        <w:t>requirements;</w:t>
      </w:r>
      <w:proofErr w:type="gramEnd"/>
    </w:p>
    <w:p w14:paraId="2918D8D2" w14:textId="77777777" w:rsidR="003A7961" w:rsidRPr="0031334F" w:rsidRDefault="003A7961" w:rsidP="003A7961">
      <w:pPr>
        <w:pStyle w:val="enumlev1"/>
      </w:pPr>
      <w:r w:rsidRPr="0031334F">
        <w:t>−</w:t>
      </w:r>
      <w:r w:rsidRPr="0031334F">
        <w:tab/>
        <w:t>the use of the higher millimetre wave frequency bands (</w:t>
      </w:r>
      <w:proofErr w:type="gramStart"/>
      <w:r w:rsidRPr="0031334F">
        <w:t>e.g.</w:t>
      </w:r>
      <w:proofErr w:type="gramEnd"/>
      <w:r w:rsidRPr="0031334F">
        <w:t xml:space="preserve"> above 60 GHz);</w:t>
      </w:r>
    </w:p>
    <w:p w14:paraId="3942C269" w14:textId="77777777" w:rsidR="003A7961" w:rsidRPr="0031334F" w:rsidRDefault="003A7961" w:rsidP="003A7961">
      <w:pPr>
        <w:pStyle w:val="enumlev1"/>
      </w:pPr>
      <w:r w:rsidRPr="0031334F">
        <w:t>−</w:t>
      </w:r>
      <w:r w:rsidRPr="0031334F">
        <w:tab/>
        <w:t>the technical and operational requirements for fixed wireless systems operating in the higher millimetre wave bands, including high capacity, e.g. Gigabit-class, links?</w:t>
      </w:r>
    </w:p>
    <w:p w14:paraId="512912FB" w14:textId="77777777" w:rsidR="003A7961" w:rsidRPr="0031334F" w:rsidRDefault="003A7961" w:rsidP="003A7961">
      <w:pPr>
        <w:pStyle w:val="Call"/>
      </w:pPr>
      <w:r w:rsidRPr="0031334F">
        <w:t xml:space="preserve">further </w:t>
      </w:r>
      <w:proofErr w:type="gramStart"/>
      <w:r w:rsidRPr="0031334F">
        <w:t>decides</w:t>
      </w:r>
      <w:proofErr w:type="gramEnd"/>
    </w:p>
    <w:p w14:paraId="2FCA030C" w14:textId="77777777" w:rsidR="003A7961" w:rsidRDefault="003A7961" w:rsidP="003A7961">
      <w:r w:rsidRPr="005675E7">
        <w:rPr>
          <w:bCs/>
        </w:rPr>
        <w:t>1</w:t>
      </w:r>
      <w:r>
        <w:tab/>
        <w:t>that the results of the above studies should be included in new and/or revised Reports/Recommendations as appropriate;</w:t>
      </w:r>
    </w:p>
    <w:p w14:paraId="73E3B15B" w14:textId="1AFBFEFB" w:rsidR="003A7961" w:rsidRPr="00B0355C" w:rsidRDefault="003A7961">
      <w:r w:rsidRPr="005675E7">
        <w:rPr>
          <w:bCs/>
        </w:rPr>
        <w:t>2</w:t>
      </w:r>
      <w:r>
        <w:tab/>
        <w:t xml:space="preserve">that initial results of the above studies should be completed by </w:t>
      </w:r>
      <w:r>
        <w:rPr>
          <w:rFonts w:hint="eastAsia"/>
          <w:lang w:eastAsia="ja-JP"/>
        </w:rPr>
        <w:t>20</w:t>
      </w:r>
      <w:r w:rsidR="001C6D51">
        <w:rPr>
          <w:lang w:eastAsia="ja-JP"/>
        </w:rPr>
        <w:t>2</w:t>
      </w:r>
      <w:r w:rsidR="007435C7">
        <w:rPr>
          <w:lang w:eastAsia="ja-JP"/>
        </w:rPr>
        <w:t>7</w:t>
      </w:r>
      <w:r>
        <w:t>.</w:t>
      </w:r>
    </w:p>
    <w:p w14:paraId="0117F3A3" w14:textId="77777777" w:rsidR="003A7961" w:rsidRDefault="003A7961" w:rsidP="00F426A2">
      <w:pPr>
        <w:spacing w:before="360"/>
        <w:outlineLvl w:val="0"/>
        <w:rPr>
          <w:lang w:eastAsia="zh-CN"/>
        </w:rPr>
      </w:pPr>
      <w:r w:rsidRPr="000963D7">
        <w:rPr>
          <w:bCs/>
          <w:lang w:eastAsia="ja-JP"/>
        </w:rPr>
        <w:t>Category:</w:t>
      </w:r>
      <w:r>
        <w:rPr>
          <w:lang w:eastAsia="ja-JP"/>
        </w:rPr>
        <w:t xml:space="preserve">  S2</w:t>
      </w:r>
    </w:p>
    <w:sectPr w:rsidR="003A7961" w:rsidSect="005907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7B59" w14:textId="77777777" w:rsidR="0056757A" w:rsidRDefault="0056757A">
      <w:r>
        <w:separator/>
      </w:r>
    </w:p>
  </w:endnote>
  <w:endnote w:type="continuationSeparator" w:id="0">
    <w:p w14:paraId="1782D25A" w14:textId="77777777" w:rsidR="0056757A" w:rsidRDefault="005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CAEE" w14:textId="77777777" w:rsidR="00FD499B" w:rsidRDefault="00FD4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AFC8" w14:textId="5C75DC6D" w:rsidR="00FD499B" w:rsidRDefault="00F426A2">
    <w:pPr>
      <w:pStyle w:val="Footer"/>
    </w:pPr>
    <w:fldSimple w:instr=" FILENAME \p  \* MERGEFORMAT ">
      <w:r w:rsidR="002A7057">
        <w:t>M:\BRSGD\STAFF\CATHERINE\SG 5 -EDI_Update of Questions\R-QUE-SG05.253-2012-MSW-E (1).docx</w:t>
      </w:r>
    </w:fldSimple>
    <w:r w:rsidR="00FD499B">
      <w:tab/>
    </w:r>
    <w:r w:rsidR="00FD499B">
      <w:fldChar w:fldCharType="begin"/>
    </w:r>
    <w:r w:rsidR="00FD499B">
      <w:instrText xml:space="preserve"> SAVEDATE \@ DD.MM.YY </w:instrText>
    </w:r>
    <w:r w:rsidR="00FD499B">
      <w:fldChar w:fldCharType="separate"/>
    </w:r>
    <w:r w:rsidR="00E254AD">
      <w:t>20.10.23</w:t>
    </w:r>
    <w:r w:rsidR="00FD499B">
      <w:fldChar w:fldCharType="end"/>
    </w:r>
    <w:r w:rsidR="00FD499B">
      <w:tab/>
    </w:r>
    <w:r w:rsidR="00FD499B">
      <w:fldChar w:fldCharType="begin"/>
    </w:r>
    <w:r w:rsidR="00FD499B">
      <w:instrText xml:space="preserve"> PRINTDATE \@ DD.MM.YY </w:instrText>
    </w:r>
    <w:r w:rsidR="00FD499B">
      <w:fldChar w:fldCharType="separate"/>
    </w:r>
    <w:r w:rsidR="002A7057">
      <w:t>05.09.19</w:t>
    </w:r>
    <w:r w:rsidR="00FD499B">
      <w:fldChar w:fldCharType="end"/>
    </w:r>
  </w:p>
  <w:p w14:paraId="332D6738" w14:textId="77777777" w:rsidR="00695AE7" w:rsidRPr="00FD499B" w:rsidRDefault="00695AE7" w:rsidP="00FD49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9DDF" w14:textId="77777777" w:rsidR="00FD499B" w:rsidRPr="00900BE6" w:rsidRDefault="00FD499B" w:rsidP="0090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A45D" w14:textId="77777777" w:rsidR="0056757A" w:rsidRDefault="0056757A">
      <w:r>
        <w:t>____________________</w:t>
      </w:r>
    </w:p>
  </w:footnote>
  <w:footnote w:type="continuationSeparator" w:id="0">
    <w:p w14:paraId="10CF168A" w14:textId="77777777" w:rsidR="0056757A" w:rsidRDefault="0056757A">
      <w:r>
        <w:continuationSeparator/>
      </w:r>
    </w:p>
  </w:footnote>
  <w:footnote w:id="1">
    <w:p w14:paraId="63E43B0E" w14:textId="4465F42A" w:rsidR="00FD7FBB" w:rsidRPr="00FD7FBB" w:rsidRDefault="00FD7FBB" w:rsidP="007435C7">
      <w:pPr>
        <w:pStyle w:val="FootnoteText"/>
        <w:ind w:left="255" w:hanging="255"/>
        <w:rPr>
          <w:lang w:val="en-US"/>
        </w:rPr>
      </w:pPr>
      <w:r w:rsidRPr="00983E6C">
        <w:rPr>
          <w:rStyle w:val="FootnoteReference"/>
        </w:rPr>
        <w:footnoteRef/>
      </w:r>
      <w:r w:rsidRPr="00983E6C">
        <w:t xml:space="preserve"> </w:t>
      </w:r>
      <w:r w:rsidRPr="00983E6C">
        <w:rPr>
          <w:lang w:val="en-US"/>
        </w:rPr>
        <w:tab/>
      </w:r>
      <w:r w:rsidRPr="00983E6C">
        <w:rPr>
          <w:rFonts w:eastAsia="Arial Unicode MS"/>
          <w:szCs w:val="24"/>
        </w:rPr>
        <w:t>In the year 20</w:t>
      </w:r>
      <w:r w:rsidR="007435C7">
        <w:rPr>
          <w:rFonts w:eastAsia="Arial Unicode MS"/>
          <w:szCs w:val="24"/>
        </w:rPr>
        <w:t>23</w:t>
      </w:r>
      <w:r w:rsidRPr="00983E6C">
        <w:rPr>
          <w:rFonts w:eastAsia="Arial Unicode MS"/>
          <w:szCs w:val="24"/>
        </w:rPr>
        <w:t xml:space="preserve">, Radiocommunication Study Group 5 extended the completion date </w:t>
      </w:r>
      <w:r w:rsidRPr="00983E6C">
        <w:rPr>
          <w:szCs w:val="24"/>
        </w:rPr>
        <w:t xml:space="preserve">of studies for </w:t>
      </w:r>
      <w:r w:rsidRPr="00983E6C">
        <w:rPr>
          <w:rFonts w:eastAsia="Arial Unicode MS"/>
          <w:szCs w:val="24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2A97" w14:textId="77777777" w:rsidR="00FD499B" w:rsidRDefault="00FD4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5939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FD7FBB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02DACD55" w14:textId="77777777" w:rsidR="00FA124A" w:rsidRDefault="007224A2" w:rsidP="002F45A8">
    <w:pPr>
      <w:pStyle w:val="Header"/>
      <w:rPr>
        <w:lang w:val="en-US"/>
      </w:rPr>
    </w:pPr>
    <w:r>
      <w:rPr>
        <w:lang w:val="en-US"/>
      </w:rPr>
      <w:t>5/</w:t>
    </w:r>
    <w:r w:rsidR="007217D0">
      <w:rPr>
        <w:lang w:val="en-US"/>
      </w:rPr>
      <w:t>260</w:t>
    </w:r>
    <w:r w:rsidR="0024758D">
      <w:rPr>
        <w:lang w:val="en-US"/>
      </w:rPr>
      <w:t>(Rev.1)</w:t>
    </w:r>
    <w:r>
      <w:rPr>
        <w:lang w:val="en-US"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8413" w14:textId="77777777" w:rsidR="00FD499B" w:rsidRDefault="00FD4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97CAE"/>
    <w:multiLevelType w:val="hybridMultilevel"/>
    <w:tmpl w:val="EA8ED088"/>
    <w:lvl w:ilvl="0" w:tplc="0E6A6F44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156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A2"/>
    <w:rsid w:val="000069D4"/>
    <w:rsid w:val="000174AD"/>
    <w:rsid w:val="000A7D55"/>
    <w:rsid w:val="000C2E8E"/>
    <w:rsid w:val="000E0E7C"/>
    <w:rsid w:val="000F1B4B"/>
    <w:rsid w:val="0012744F"/>
    <w:rsid w:val="00150663"/>
    <w:rsid w:val="00156F66"/>
    <w:rsid w:val="00163271"/>
    <w:rsid w:val="00182528"/>
    <w:rsid w:val="0018500B"/>
    <w:rsid w:val="00196A19"/>
    <w:rsid w:val="001B7D5D"/>
    <w:rsid w:val="001C6D51"/>
    <w:rsid w:val="00202DC1"/>
    <w:rsid w:val="002116EE"/>
    <w:rsid w:val="002309D8"/>
    <w:rsid w:val="0024758D"/>
    <w:rsid w:val="00262026"/>
    <w:rsid w:val="0027366C"/>
    <w:rsid w:val="002A7057"/>
    <w:rsid w:val="002A7FE2"/>
    <w:rsid w:val="002E1B4F"/>
    <w:rsid w:val="002F2E67"/>
    <w:rsid w:val="002F45A8"/>
    <w:rsid w:val="002F7CB3"/>
    <w:rsid w:val="00312490"/>
    <w:rsid w:val="00315546"/>
    <w:rsid w:val="00330567"/>
    <w:rsid w:val="00386A9D"/>
    <w:rsid w:val="00391081"/>
    <w:rsid w:val="003A7961"/>
    <w:rsid w:val="003B2789"/>
    <w:rsid w:val="003C13CE"/>
    <w:rsid w:val="003D4F64"/>
    <w:rsid w:val="003E2518"/>
    <w:rsid w:val="003E7CEF"/>
    <w:rsid w:val="00401CEE"/>
    <w:rsid w:val="00436146"/>
    <w:rsid w:val="004B1EF7"/>
    <w:rsid w:val="004B3FAD"/>
    <w:rsid w:val="00501DCA"/>
    <w:rsid w:val="00513A47"/>
    <w:rsid w:val="005408DF"/>
    <w:rsid w:val="00550157"/>
    <w:rsid w:val="0056757A"/>
    <w:rsid w:val="00573344"/>
    <w:rsid w:val="00583F9B"/>
    <w:rsid w:val="00590710"/>
    <w:rsid w:val="005A7AB9"/>
    <w:rsid w:val="005D4A3A"/>
    <w:rsid w:val="005E5C10"/>
    <w:rsid w:val="005F2C78"/>
    <w:rsid w:val="006144E4"/>
    <w:rsid w:val="00631AD7"/>
    <w:rsid w:val="00650299"/>
    <w:rsid w:val="00655FC5"/>
    <w:rsid w:val="006704CA"/>
    <w:rsid w:val="00695AE7"/>
    <w:rsid w:val="006D51C0"/>
    <w:rsid w:val="00701404"/>
    <w:rsid w:val="00716079"/>
    <w:rsid w:val="007217D0"/>
    <w:rsid w:val="007224A2"/>
    <w:rsid w:val="007435C7"/>
    <w:rsid w:val="00770AFA"/>
    <w:rsid w:val="007D615D"/>
    <w:rsid w:val="008017A7"/>
    <w:rsid w:val="00814E0A"/>
    <w:rsid w:val="00822581"/>
    <w:rsid w:val="008309DD"/>
    <w:rsid w:val="0083227A"/>
    <w:rsid w:val="00847985"/>
    <w:rsid w:val="00866900"/>
    <w:rsid w:val="00877EEC"/>
    <w:rsid w:val="00881BA1"/>
    <w:rsid w:val="008C26B8"/>
    <w:rsid w:val="008E3567"/>
    <w:rsid w:val="008F208F"/>
    <w:rsid w:val="00900BE6"/>
    <w:rsid w:val="00900EDE"/>
    <w:rsid w:val="00912604"/>
    <w:rsid w:val="009169A1"/>
    <w:rsid w:val="00926EB5"/>
    <w:rsid w:val="009274E2"/>
    <w:rsid w:val="00934A72"/>
    <w:rsid w:val="00944B36"/>
    <w:rsid w:val="00982084"/>
    <w:rsid w:val="00983E6C"/>
    <w:rsid w:val="00995963"/>
    <w:rsid w:val="009B61EB"/>
    <w:rsid w:val="009C2064"/>
    <w:rsid w:val="009D1697"/>
    <w:rsid w:val="00A014F8"/>
    <w:rsid w:val="00A347B6"/>
    <w:rsid w:val="00A5173C"/>
    <w:rsid w:val="00A602BF"/>
    <w:rsid w:val="00A61AEF"/>
    <w:rsid w:val="00A82659"/>
    <w:rsid w:val="00AA4304"/>
    <w:rsid w:val="00AB5259"/>
    <w:rsid w:val="00AD2345"/>
    <w:rsid w:val="00AE12B4"/>
    <w:rsid w:val="00AE7A13"/>
    <w:rsid w:val="00AF173A"/>
    <w:rsid w:val="00B0486F"/>
    <w:rsid w:val="00B066A4"/>
    <w:rsid w:val="00B07A13"/>
    <w:rsid w:val="00B4279B"/>
    <w:rsid w:val="00B45FC9"/>
    <w:rsid w:val="00B73C57"/>
    <w:rsid w:val="00B81138"/>
    <w:rsid w:val="00BC7CCF"/>
    <w:rsid w:val="00BD2172"/>
    <w:rsid w:val="00BE470B"/>
    <w:rsid w:val="00C40F24"/>
    <w:rsid w:val="00C57A91"/>
    <w:rsid w:val="00C6499F"/>
    <w:rsid w:val="00C84AF0"/>
    <w:rsid w:val="00CC01C2"/>
    <w:rsid w:val="00CF21F2"/>
    <w:rsid w:val="00D02712"/>
    <w:rsid w:val="00D214D0"/>
    <w:rsid w:val="00D6546B"/>
    <w:rsid w:val="00D73E04"/>
    <w:rsid w:val="00DC52DF"/>
    <w:rsid w:val="00DD4BED"/>
    <w:rsid w:val="00DE39F0"/>
    <w:rsid w:val="00DF0AF3"/>
    <w:rsid w:val="00DF7E9F"/>
    <w:rsid w:val="00E254AD"/>
    <w:rsid w:val="00E25882"/>
    <w:rsid w:val="00E27D7E"/>
    <w:rsid w:val="00E422C8"/>
    <w:rsid w:val="00E42E13"/>
    <w:rsid w:val="00E56D5C"/>
    <w:rsid w:val="00E6257C"/>
    <w:rsid w:val="00E63C59"/>
    <w:rsid w:val="00E6506A"/>
    <w:rsid w:val="00E8607F"/>
    <w:rsid w:val="00EC3122"/>
    <w:rsid w:val="00F11E65"/>
    <w:rsid w:val="00F3016B"/>
    <w:rsid w:val="00F426A2"/>
    <w:rsid w:val="00F55C84"/>
    <w:rsid w:val="00F67C0B"/>
    <w:rsid w:val="00F82FE4"/>
    <w:rsid w:val="00FA124A"/>
    <w:rsid w:val="00FC08DD"/>
    <w:rsid w:val="00FC2316"/>
    <w:rsid w:val="00FC2CFD"/>
    <w:rsid w:val="00FD499B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,"/>
  <w:listSeparator w:val=";"/>
  <w14:docId w14:val="039E7812"/>
  <w15:docId w15:val="{9F0717F9-F0C6-4A89-8E51-D45881D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uiPriority w:val="99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uiPriority w:val="99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73C57"/>
    <w:pPr>
      <w:ind w:leftChars="400" w:left="840"/>
    </w:pPr>
  </w:style>
  <w:style w:type="character" w:styleId="Hyperlink">
    <w:name w:val="Hyperlink"/>
    <w:basedOn w:val="DefaultParagraphFont"/>
    <w:rsid w:val="00B73C57"/>
    <w:rPr>
      <w:color w:val="0000FF" w:themeColor="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B73C57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B73C57"/>
    <w:rPr>
      <w:rFonts w:ascii="Times New Roman" w:hAnsi="Times New Roman"/>
      <w:i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73C5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teChar">
    <w:name w:val="Note Char"/>
    <w:basedOn w:val="DefaultParagraphFont"/>
    <w:link w:val="Note"/>
    <w:uiPriority w:val="99"/>
    <w:locked/>
    <w:rsid w:val="00B73C57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B73C57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3A7961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3A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35C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  <Source xmlns="1a029cd6-340b-4c4d-a48a-2df986580122">WG 5C-4</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759FD7BE441489194919EBCF5F0FB" ma:contentTypeVersion="3" ma:contentTypeDescription="Create a new document." ma:contentTypeScope="" ma:versionID="ad9d1df7887d0869c3aab503d17d4e45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C5177-CB35-4791-ABCD-C6D8B25A380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a029cd6-340b-4c4d-a48a-2df986580122"/>
    <ds:schemaRef ds:uri="http://schemas.microsoft.com/office/2006/documentManagement/types"/>
    <ds:schemaRef ds:uri="4c6a61cb-1973-4fc6-92ae-f4d7a44714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D5AD4D-275C-4E0C-9A81-88745D7A2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BDE07-CEA4-4F9D-AA1F-C3668C14D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28</TotalTime>
  <Pages>1</Pages>
  <Words>320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Status of the Questions within Working Party 5C</vt:lpstr>
      <vt:lpstr>Status of the Questions within Working Party 5C</vt:lpstr>
    </vt:vector>
  </TitlesOfParts>
  <Company>ITU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the Questions within Working Party 5C</dc:title>
  <dc:creator>ITU</dc:creator>
  <cp:lastModifiedBy>Author</cp:lastModifiedBy>
  <cp:revision>8</cp:revision>
  <cp:lastPrinted>2019-09-05T09:04:00Z</cp:lastPrinted>
  <dcterms:created xsi:type="dcterms:W3CDTF">2019-09-04T14:09:00Z</dcterms:created>
  <dcterms:modified xsi:type="dcterms:W3CDTF">2023-11-03T09:35:00Z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0x010100301759FD7BE441489194919EBCF5F0FB</vt:lpwstr>
  </property>
</Properties>
</file>