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31" w:rsidRPr="00F76F50" w:rsidRDefault="00E00931" w:rsidP="0090622B">
      <w:pPr>
        <w:pStyle w:val="QuestionNo0"/>
      </w:pPr>
      <w:r w:rsidRPr="0094263C">
        <w:t>CUESTIÓN UIT-R 238-</w:t>
      </w:r>
      <w:r w:rsidR="0090622B">
        <w:t>2</w:t>
      </w:r>
      <w:r w:rsidRPr="0094263C">
        <w:t>/5</w:t>
      </w:r>
      <w:r w:rsidRPr="0094263C">
        <w:rPr>
          <w:rStyle w:val="FootnoteReference"/>
        </w:rPr>
        <w:footnoteReference w:customMarkFollows="1" w:id="1"/>
        <w:t>*</w:t>
      </w:r>
      <w:r w:rsidRPr="0094263C">
        <w:rPr>
          <w:vertAlign w:val="superscript"/>
        </w:rPr>
        <w:t xml:space="preserve">, </w:t>
      </w:r>
      <w:r w:rsidRPr="0094263C">
        <w:rPr>
          <w:rStyle w:val="FootnoteReference"/>
        </w:rPr>
        <w:footnoteReference w:customMarkFollows="1" w:id="2"/>
        <w:t>**</w:t>
      </w:r>
      <w:r w:rsidR="00FE6E7C" w:rsidRPr="0094263C">
        <w:rPr>
          <w:vertAlign w:val="superscript"/>
        </w:rPr>
        <w:t>,</w:t>
      </w:r>
      <w:r w:rsidR="00FE6E7C">
        <w:rPr>
          <w:vertAlign w:val="superscript"/>
        </w:rPr>
        <w:t xml:space="preserve"> </w:t>
      </w:r>
      <w:bookmarkStart w:id="0" w:name="_GoBack"/>
      <w:r w:rsidR="00FE6E7C" w:rsidRPr="00F76F50">
        <w:rPr>
          <w:rStyle w:val="FootnoteReference"/>
        </w:rPr>
        <w:footnoteReference w:customMarkFollows="1" w:id="3"/>
        <w:t>***</w:t>
      </w:r>
    </w:p>
    <w:bookmarkEnd w:id="0"/>
    <w:p w:rsidR="00E00931" w:rsidRDefault="00E00931" w:rsidP="00E00931">
      <w:pPr>
        <w:pStyle w:val="Questiontitle"/>
      </w:pPr>
      <w:r>
        <w:rPr>
          <w:lang w:val="es-ES"/>
        </w:rPr>
        <w:t>Sistemas móviles de acceso inalámbrico de banda ancha</w:t>
      </w:r>
    </w:p>
    <w:p w:rsidR="00E00931" w:rsidRPr="00920B5F" w:rsidRDefault="00E00931" w:rsidP="00E00931">
      <w:pPr>
        <w:pStyle w:val="Questiondate"/>
        <w:spacing w:before="240"/>
        <w:rPr>
          <w:iCs/>
          <w:lang w:val="es-ES"/>
        </w:rPr>
      </w:pPr>
      <w:r>
        <w:rPr>
          <w:iCs/>
          <w:lang w:val="es-ES"/>
        </w:rPr>
        <w:t>(2006-2007</w:t>
      </w:r>
      <w:r w:rsidR="0090622B">
        <w:rPr>
          <w:iCs/>
          <w:lang w:val="es-ES"/>
        </w:rPr>
        <w:t>-2012</w:t>
      </w:r>
      <w:r>
        <w:rPr>
          <w:iCs/>
          <w:lang w:val="es-ES"/>
        </w:rPr>
        <w:t>)</w:t>
      </w:r>
    </w:p>
    <w:p w:rsidR="0090622B" w:rsidRDefault="0090622B" w:rsidP="0090622B"/>
    <w:p w:rsidR="00E00931" w:rsidRDefault="00E00931" w:rsidP="00E00931">
      <w:pPr>
        <w:pStyle w:val="Normalaftertitle"/>
      </w:pPr>
      <w:r>
        <w:t>La Asamblea de Radiocomunicaciones de la UIT,</w:t>
      </w:r>
    </w:p>
    <w:p w:rsidR="00E00931" w:rsidRDefault="00E00931" w:rsidP="0090622B">
      <w:pPr>
        <w:pStyle w:val="call0"/>
      </w:pPr>
      <w:r>
        <w:t>considerando</w:t>
      </w:r>
    </w:p>
    <w:p w:rsidR="00E00931" w:rsidRDefault="00E00931" w:rsidP="00E00931">
      <w:pPr>
        <w:rPr>
          <w:lang w:val="es-ES"/>
        </w:rPr>
      </w:pPr>
      <w:r w:rsidRPr="0090622B">
        <w:rPr>
          <w:i/>
          <w:iCs/>
          <w:lang w:val="es-ES"/>
        </w:rPr>
        <w:t>a)</w:t>
      </w:r>
      <w:r w:rsidRPr="00C81DE5">
        <w:rPr>
          <w:lang w:val="es-ES"/>
        </w:rPr>
        <w:tab/>
      </w:r>
      <w:r>
        <w:rPr>
          <w:lang w:val="es-ES"/>
        </w:rPr>
        <w:t>que es necesario ofrecer acceso inalámbrico de banda ancha (broadand wireless access, BWA)</w:t>
      </w:r>
      <w:r w:rsidR="00042AD7">
        <w:rPr>
          <w:lang w:val="es-ES"/>
        </w:rPr>
        <w:t xml:space="preserve"> </w:t>
      </w:r>
      <w:r>
        <w:rPr>
          <w:lang w:val="es-ES"/>
        </w:rPr>
        <w:t>en diversos entornos;</w:t>
      </w:r>
    </w:p>
    <w:p w:rsidR="00E00931" w:rsidRDefault="00E00931" w:rsidP="00E00931">
      <w:pPr>
        <w:rPr>
          <w:lang w:val="es-ES"/>
        </w:rPr>
      </w:pPr>
      <w:r w:rsidRPr="0090622B">
        <w:rPr>
          <w:i/>
          <w:iCs/>
          <w:lang w:val="es-ES"/>
        </w:rPr>
        <w:t>b)</w:t>
      </w:r>
      <w:r>
        <w:rPr>
          <w:lang w:val="es-ES"/>
        </w:rPr>
        <w:tab/>
        <w:t>que es conveniente recomendar normas de interfaz radioeléctrica para sistemas móviles de acceso inalámbrico de banda ancha;</w:t>
      </w:r>
    </w:p>
    <w:p w:rsidR="00E00931" w:rsidRDefault="00E00931" w:rsidP="00E00931">
      <w:pPr>
        <w:rPr>
          <w:lang w:val="es-ES"/>
        </w:rPr>
      </w:pPr>
      <w:r w:rsidRPr="0090622B">
        <w:rPr>
          <w:i/>
          <w:iCs/>
          <w:lang w:val="es-ES"/>
        </w:rPr>
        <w:t>c)</w:t>
      </w:r>
      <w:r>
        <w:rPr>
          <w:lang w:val="es-ES"/>
        </w:rPr>
        <w:tab/>
        <w:t>que conviene determinar los requisitos técnicos y de funcionamiento para sistemas móviles de acceso inalámbrico de banda ancha;</w:t>
      </w:r>
    </w:p>
    <w:p w:rsidR="00E00931" w:rsidRDefault="00E00931" w:rsidP="00E00931">
      <w:pPr>
        <w:rPr>
          <w:lang w:val="es-ES"/>
        </w:rPr>
      </w:pPr>
      <w:r w:rsidRPr="0090622B">
        <w:rPr>
          <w:i/>
          <w:iCs/>
          <w:lang w:val="es-ES"/>
        </w:rPr>
        <w:t>d)</w:t>
      </w:r>
      <w:r>
        <w:rPr>
          <w:lang w:val="es-ES"/>
        </w:rPr>
        <w:tab/>
        <w:t xml:space="preserve">que en las radiocomunicaciones de hoy en día, los servicios móviles «de banda ancha» ofrecen posibilidades y experiencia similares, con la ventaja adicional de que permiten la movilidad, dado que están disponibles desde las redes inalámbricas ampliamente instaladas, tales como los módems de cable y DSL de alta velocidad, en particular cuando se reciben y transmiten múltiples aplicaciones de medios; </w:t>
      </w:r>
    </w:p>
    <w:p w:rsidR="00E00931" w:rsidRDefault="00E00931" w:rsidP="00E00931">
      <w:pPr>
        <w:rPr>
          <w:lang w:val="es-ES"/>
        </w:rPr>
      </w:pPr>
      <w:r w:rsidRPr="0090622B">
        <w:rPr>
          <w:i/>
          <w:iCs/>
          <w:lang w:val="es-ES"/>
        </w:rPr>
        <w:t>e)</w:t>
      </w:r>
      <w:r>
        <w:rPr>
          <w:lang w:val="es-ES"/>
        </w:rPr>
        <w:tab/>
        <w:t>que ya existen sistemas móviles y fijos en funcionamiento y también en desarrollo, que ofrecen acceso inalámbrico de banda ancha en diversas bandas de frecuencia;</w:t>
      </w:r>
    </w:p>
    <w:p w:rsidR="00E00931" w:rsidRDefault="00E00931" w:rsidP="00E00931">
      <w:pPr>
        <w:rPr>
          <w:lang w:val="es-ES"/>
        </w:rPr>
      </w:pPr>
      <w:r w:rsidRPr="0090622B">
        <w:rPr>
          <w:i/>
          <w:iCs/>
          <w:lang w:val="es-ES"/>
        </w:rPr>
        <w:t>f)</w:t>
      </w:r>
      <w:r>
        <w:rPr>
          <w:lang w:val="es-ES"/>
        </w:rPr>
        <w:tab/>
        <w:t>que en la infraestructura de banda ancha se utilizan métodos de transferencia de información basados en el protocolo Internet (IP);</w:t>
      </w:r>
    </w:p>
    <w:p w:rsidR="00E00931" w:rsidRDefault="00E00931" w:rsidP="00E00931">
      <w:pPr>
        <w:rPr>
          <w:lang w:val="es-ES"/>
        </w:rPr>
      </w:pPr>
      <w:r w:rsidRPr="0090622B">
        <w:rPr>
          <w:i/>
          <w:iCs/>
          <w:lang w:val="es-ES"/>
        </w:rPr>
        <w:t>g)</w:t>
      </w:r>
      <w:r>
        <w:rPr>
          <w:lang w:val="es-ES"/>
        </w:rPr>
        <w:tab/>
        <w:t>que los organismos de normalización están estudiando la arquitectura y las características técnicas de los sistemas de acceso inalámbrico de banda ancha,</w:t>
      </w:r>
    </w:p>
    <w:p w:rsidR="00E00931" w:rsidRDefault="00E00931" w:rsidP="00E00931">
      <w:pPr>
        <w:pStyle w:val="call0"/>
      </w:pPr>
      <w:r>
        <w:t>observando</w:t>
      </w:r>
    </w:p>
    <w:p w:rsidR="00E00931" w:rsidRDefault="00E00931" w:rsidP="00E00931">
      <w:pPr>
        <w:rPr>
          <w:lang w:val="es-ES"/>
        </w:rPr>
      </w:pPr>
      <w:r w:rsidRPr="0090622B">
        <w:rPr>
          <w:i/>
          <w:iCs/>
          <w:lang w:val="es-ES"/>
        </w:rPr>
        <w:t>a)</w:t>
      </w:r>
      <w:r>
        <w:rPr>
          <w:lang w:val="es-ES"/>
        </w:rPr>
        <w:tab/>
        <w:t>que ya se realizaron estudios sobre el acceso inalámbrico de banda ancha en el contexto de los sistemas de las IMT (véase la Cuestión UIT-R 229/5);</w:t>
      </w:r>
    </w:p>
    <w:p w:rsidR="00E00931" w:rsidRDefault="00E00931" w:rsidP="00E00931">
      <w:pPr>
        <w:rPr>
          <w:lang w:val="es-ES"/>
        </w:rPr>
      </w:pPr>
      <w:r w:rsidRPr="0090622B">
        <w:rPr>
          <w:i/>
          <w:iCs/>
          <w:lang w:val="es-ES"/>
        </w:rPr>
        <w:t>b)</w:t>
      </w:r>
      <w:r>
        <w:rPr>
          <w:lang w:val="es-ES"/>
        </w:rPr>
        <w:tab/>
        <w:t>que se están realizando estudios sobre BWA fijo y BWA nómada, en el marco de las Cuestiones UIT-R 215/5 y UIT-R 212/5, respectivamente,</w:t>
      </w:r>
    </w:p>
    <w:p w:rsidR="00E00931" w:rsidRDefault="00E00931" w:rsidP="00E00931">
      <w:pPr>
        <w:pStyle w:val="call0"/>
      </w:pPr>
      <w:r>
        <w:t xml:space="preserve">decide </w:t>
      </w:r>
      <w:r w:rsidRPr="004355D4">
        <w:rPr>
          <w:i w:val="0"/>
          <w:iCs/>
        </w:rPr>
        <w:t>poner a estudio la</w:t>
      </w:r>
      <w:r>
        <w:rPr>
          <w:i w:val="0"/>
          <w:iCs/>
        </w:rPr>
        <w:t>s</w:t>
      </w:r>
      <w:r w:rsidRPr="004355D4">
        <w:rPr>
          <w:i w:val="0"/>
          <w:iCs/>
        </w:rPr>
        <w:t xml:space="preserve"> siguiente</w:t>
      </w:r>
      <w:r>
        <w:rPr>
          <w:i w:val="0"/>
          <w:iCs/>
        </w:rPr>
        <w:t>s</w:t>
      </w:r>
      <w:r w:rsidRPr="004355D4">
        <w:rPr>
          <w:i w:val="0"/>
          <w:iCs/>
        </w:rPr>
        <w:t xml:space="preserve"> Cuesti</w:t>
      </w:r>
      <w:r>
        <w:rPr>
          <w:i w:val="0"/>
          <w:iCs/>
        </w:rPr>
        <w:t>ones</w:t>
      </w:r>
    </w:p>
    <w:p w:rsidR="00E00931" w:rsidRDefault="00E00931" w:rsidP="00E00931">
      <w:pPr>
        <w:rPr>
          <w:lang w:val="es-ES"/>
        </w:rPr>
      </w:pPr>
      <w:r w:rsidRPr="0090622B">
        <w:rPr>
          <w:bCs/>
          <w:lang w:val="es-ES"/>
        </w:rPr>
        <w:t>1</w:t>
      </w:r>
      <w:r>
        <w:rPr>
          <w:lang w:val="es-ES"/>
        </w:rPr>
        <w:tab/>
        <w:t>¿Cuáles son los requisitos técnicos y de funcionamiento para los sistemas móviles de acceso inalámbrico de banda ancha en el servicio móvil?</w:t>
      </w:r>
    </w:p>
    <w:p w:rsidR="00E00931" w:rsidRDefault="00E00931" w:rsidP="00E00931">
      <w:pPr>
        <w:rPr>
          <w:lang w:val="es-ES"/>
        </w:rPr>
      </w:pPr>
      <w:r w:rsidRPr="0090622B">
        <w:rPr>
          <w:bCs/>
          <w:lang w:val="es-ES"/>
        </w:rPr>
        <w:lastRenderedPageBreak/>
        <w:t>2</w:t>
      </w:r>
      <w:r>
        <w:rPr>
          <w:lang w:val="es-ES"/>
        </w:rPr>
        <w:tab/>
        <w:t>¿Qué normas relativas a la interfaz radioeléctrica son aplicables a los sistemas móviles de acceso inalámbrico de banda ancha en el servicio móvil?</w:t>
      </w:r>
    </w:p>
    <w:p w:rsidR="00E00931" w:rsidRDefault="00E00931" w:rsidP="00E00931">
      <w:pPr>
        <w:rPr>
          <w:lang w:val="es-ES"/>
        </w:rPr>
      </w:pPr>
      <w:r w:rsidRPr="0090622B">
        <w:rPr>
          <w:lang w:val="es-ES"/>
        </w:rPr>
        <w:t>3</w:t>
      </w:r>
      <w:r>
        <w:rPr>
          <w:lang w:val="es-ES"/>
        </w:rPr>
        <w:tab/>
        <w:t>¿Qué sistemas de antena aplicables son adecuados para los sistemas móviles de acceso inalámbrico de banda ancha en el servicio móvil?</w:t>
      </w:r>
    </w:p>
    <w:p w:rsidR="00E00931" w:rsidRPr="00E41D6F" w:rsidRDefault="00E00931" w:rsidP="00E00931">
      <w:pPr>
        <w:rPr>
          <w:lang w:val="es-ES"/>
        </w:rPr>
      </w:pPr>
      <w:r w:rsidRPr="0090622B">
        <w:rPr>
          <w:lang w:val="es-ES"/>
        </w:rPr>
        <w:t>4</w:t>
      </w:r>
      <w:r>
        <w:rPr>
          <w:lang w:val="es-ES"/>
        </w:rPr>
        <w:tab/>
        <w:t>¿Cuáles son los criterios de compartición de frecuencias y/o de compatibilidad asociados a los sistemas de acceso inalámbrico de banda ancha que funcionan en el servicio móvil?</w:t>
      </w:r>
    </w:p>
    <w:p w:rsidR="00E00931" w:rsidRDefault="00E00931" w:rsidP="00E00931">
      <w:pPr>
        <w:pStyle w:val="call0"/>
      </w:pPr>
      <w:r>
        <w:t>decide además</w:t>
      </w:r>
    </w:p>
    <w:p w:rsidR="00E00931" w:rsidRDefault="00E00931" w:rsidP="00E00931">
      <w:pPr>
        <w:rPr>
          <w:lang w:val="es-ES"/>
        </w:rPr>
      </w:pPr>
      <w:r w:rsidRPr="0090622B">
        <w:rPr>
          <w:bCs/>
          <w:lang w:val="es-ES"/>
        </w:rPr>
        <w:t>1</w:t>
      </w:r>
      <w:r>
        <w:rPr>
          <w:lang w:val="es-ES"/>
        </w:rPr>
        <w:tab/>
        <w:t>que los resultados de estos estudios se incluyan en una o varias Recomendaciones, Informes o Manuales;</w:t>
      </w:r>
    </w:p>
    <w:p w:rsidR="00E00931" w:rsidRDefault="00E00931" w:rsidP="00E00931">
      <w:pPr>
        <w:rPr>
          <w:lang w:val="es-ES"/>
        </w:rPr>
      </w:pPr>
      <w:r w:rsidRPr="0090622B">
        <w:rPr>
          <w:bCs/>
          <w:lang w:val="es-ES"/>
        </w:rPr>
        <w:t>2</w:t>
      </w:r>
      <w:r>
        <w:rPr>
          <w:lang w:val="es-ES"/>
        </w:rPr>
        <w:tab/>
        <w:t>que es</w:t>
      </w:r>
      <w:r w:rsidR="00A90B89">
        <w:rPr>
          <w:lang w:val="es-ES"/>
        </w:rPr>
        <w:t>tos estudios se terminen en 2019</w:t>
      </w:r>
      <w:r>
        <w:rPr>
          <w:lang w:val="es-ES"/>
        </w:rPr>
        <w:t>.</w:t>
      </w:r>
    </w:p>
    <w:p w:rsidR="00E00931" w:rsidRDefault="00E00931" w:rsidP="0090622B">
      <w:pPr>
        <w:spacing w:before="240"/>
        <w:rPr>
          <w:lang w:val="es-ES"/>
        </w:rPr>
      </w:pPr>
      <w:r>
        <w:rPr>
          <w:lang w:val="es-ES"/>
        </w:rPr>
        <w:t>Categoría:  S2</w:t>
      </w:r>
    </w:p>
    <w:sectPr w:rsidR="00E00931" w:rsidSect="00FC6F4E">
      <w:headerReference w:type="default" r:id="rId8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E2" w:rsidRDefault="00F760E2">
      <w:r>
        <w:separator/>
      </w:r>
    </w:p>
  </w:endnote>
  <w:endnote w:type="continuationSeparator" w:id="0">
    <w:p w:rsidR="00F760E2" w:rsidRDefault="00F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E2" w:rsidRDefault="00F760E2">
      <w:r>
        <w:t>____________________</w:t>
      </w:r>
    </w:p>
  </w:footnote>
  <w:footnote w:type="continuationSeparator" w:id="0">
    <w:p w:rsidR="00F760E2" w:rsidRDefault="00F760E2">
      <w:r>
        <w:continuationSeparator/>
      </w:r>
    </w:p>
  </w:footnote>
  <w:footnote w:id="1">
    <w:p w:rsidR="00F760E2" w:rsidRPr="00AE4DDF" w:rsidRDefault="00F760E2" w:rsidP="00E00931">
      <w:pPr>
        <w:pStyle w:val="FootnoteText"/>
        <w:rPr>
          <w:szCs w:val="22"/>
          <w:lang w:val="es-ES"/>
        </w:rPr>
      </w:pPr>
      <w:r w:rsidRPr="00AE4DDF">
        <w:rPr>
          <w:rStyle w:val="FootnoteReference"/>
          <w:szCs w:val="22"/>
          <w:lang w:val="es-ES"/>
        </w:rPr>
        <w:t>*</w:t>
      </w:r>
      <w:r w:rsidRPr="00AE4DDF">
        <w:rPr>
          <w:szCs w:val="22"/>
          <w:lang w:val="es-ES"/>
        </w:rPr>
        <w:t xml:space="preserve"> </w:t>
      </w:r>
      <w:r w:rsidRPr="00AE4DDF">
        <w:rPr>
          <w:szCs w:val="22"/>
          <w:lang w:val="es-ES"/>
        </w:rPr>
        <w:tab/>
        <w:t>El acceso inalámbrico de banda ancha se define en la Recomendación UIT-R F.1399.</w:t>
      </w:r>
    </w:p>
  </w:footnote>
  <w:footnote w:id="2">
    <w:p w:rsidR="00F760E2" w:rsidRPr="00AE4DDF" w:rsidRDefault="00F760E2" w:rsidP="00E00931">
      <w:pPr>
        <w:pStyle w:val="FootnoteText"/>
        <w:tabs>
          <w:tab w:val="clear" w:pos="794"/>
          <w:tab w:val="left" w:pos="284"/>
        </w:tabs>
        <w:rPr>
          <w:szCs w:val="22"/>
          <w:lang w:val="es-ES"/>
        </w:rPr>
      </w:pPr>
      <w:r w:rsidRPr="00AE4DDF">
        <w:rPr>
          <w:rStyle w:val="FootnoteReference"/>
          <w:szCs w:val="22"/>
          <w:lang w:val="es-ES"/>
        </w:rPr>
        <w:t>**</w:t>
      </w:r>
      <w:r w:rsidRPr="00AE4DDF">
        <w:rPr>
          <w:szCs w:val="22"/>
          <w:lang w:val="es-ES"/>
        </w:rPr>
        <w:tab/>
        <w:t xml:space="preserve">Esta Cuestión debe señalarse a la atención de la Comisión de Estudio 2 del UIT-D . </w:t>
      </w:r>
    </w:p>
  </w:footnote>
  <w:footnote w:id="3">
    <w:p w:rsidR="00FE6E7C" w:rsidRPr="00FE6E7C" w:rsidRDefault="00FE6E7C">
      <w:pPr>
        <w:pStyle w:val="FootnoteText"/>
      </w:pPr>
      <w:r>
        <w:rPr>
          <w:rStyle w:val="FootnoteReference"/>
        </w:rPr>
        <w:t>***</w:t>
      </w:r>
      <w:r>
        <w:t xml:space="preserve"> </w:t>
      </w:r>
      <w:r w:rsidRPr="00C276FD">
        <w:t>En el año 201</w:t>
      </w:r>
      <w:r>
        <w:t>5</w:t>
      </w:r>
      <w:r w:rsidRPr="00C276FD">
        <w:t>,</w:t>
      </w:r>
      <w:r>
        <w:t xml:space="preserve"> la Comisión de Estudio </w:t>
      </w:r>
      <w:r>
        <w:t>5</w:t>
      </w:r>
      <w:r w:rsidRPr="00C276FD">
        <w:t xml:space="preserve">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E2" w:rsidRDefault="00F760E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6F5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760E2" w:rsidRPr="00F96264" w:rsidRDefault="00F760E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F49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72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02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96A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8C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E1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2C5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7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6C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07F40"/>
    <w:multiLevelType w:val="hybridMultilevel"/>
    <w:tmpl w:val="52F6F8A8"/>
    <w:lvl w:ilvl="0" w:tplc="4DBEE5B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34C11"/>
    <w:multiLevelType w:val="hybridMultilevel"/>
    <w:tmpl w:val="240E7BE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808CB"/>
    <w:multiLevelType w:val="hybridMultilevel"/>
    <w:tmpl w:val="56F08C4A"/>
    <w:lvl w:ilvl="0" w:tplc="53ECD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8779D"/>
    <w:multiLevelType w:val="hybridMultilevel"/>
    <w:tmpl w:val="FF54D30A"/>
    <w:lvl w:ilvl="0" w:tplc="6E02D294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641B0"/>
    <w:multiLevelType w:val="hybridMultilevel"/>
    <w:tmpl w:val="9F9C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3728"/>
    <w:multiLevelType w:val="hybridMultilevel"/>
    <w:tmpl w:val="3D204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42E9B"/>
    <w:multiLevelType w:val="hybridMultilevel"/>
    <w:tmpl w:val="BDFAD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54A27"/>
    <w:multiLevelType w:val="hybridMultilevel"/>
    <w:tmpl w:val="FF02A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E24FE"/>
    <w:multiLevelType w:val="hybridMultilevel"/>
    <w:tmpl w:val="4F56E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263B8"/>
    <w:multiLevelType w:val="hybridMultilevel"/>
    <w:tmpl w:val="673CFF70"/>
    <w:lvl w:ilvl="0" w:tplc="F6C0EC7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46625"/>
    <w:multiLevelType w:val="hybridMultilevel"/>
    <w:tmpl w:val="7A40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55D6E"/>
    <w:multiLevelType w:val="hybridMultilevel"/>
    <w:tmpl w:val="5AE80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E35CC"/>
    <w:multiLevelType w:val="hybridMultilevel"/>
    <w:tmpl w:val="859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84887"/>
    <w:multiLevelType w:val="hybridMultilevel"/>
    <w:tmpl w:val="5E64892C"/>
    <w:lvl w:ilvl="0" w:tplc="4B78937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B20EB"/>
    <w:multiLevelType w:val="hybridMultilevel"/>
    <w:tmpl w:val="D7E63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22"/>
  </w:num>
  <w:num w:numId="19">
    <w:abstractNumId w:val="25"/>
  </w:num>
  <w:num w:numId="20">
    <w:abstractNumId w:val="19"/>
  </w:num>
  <w:num w:numId="21">
    <w:abstractNumId w:val="24"/>
  </w:num>
  <w:num w:numId="22">
    <w:abstractNumId w:val="20"/>
  </w:num>
  <w:num w:numId="23">
    <w:abstractNumId w:val="14"/>
  </w:num>
  <w:num w:numId="24">
    <w:abstractNumId w:val="23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042AD7"/>
    <w:rsid w:val="000A1060"/>
    <w:rsid w:val="001077C0"/>
    <w:rsid w:val="00131358"/>
    <w:rsid w:val="00160366"/>
    <w:rsid w:val="001D1E4E"/>
    <w:rsid w:val="001D60C6"/>
    <w:rsid w:val="00240010"/>
    <w:rsid w:val="0025343E"/>
    <w:rsid w:val="0027071F"/>
    <w:rsid w:val="002857FF"/>
    <w:rsid w:val="00295470"/>
    <w:rsid w:val="002B167B"/>
    <w:rsid w:val="00361D27"/>
    <w:rsid w:val="0041158D"/>
    <w:rsid w:val="004E653E"/>
    <w:rsid w:val="00507FBD"/>
    <w:rsid w:val="00564814"/>
    <w:rsid w:val="005934BB"/>
    <w:rsid w:val="005C71E7"/>
    <w:rsid w:val="00647699"/>
    <w:rsid w:val="00680813"/>
    <w:rsid w:val="006A7F8A"/>
    <w:rsid w:val="006C6006"/>
    <w:rsid w:val="00737D33"/>
    <w:rsid w:val="00742812"/>
    <w:rsid w:val="007839FC"/>
    <w:rsid w:val="007864B4"/>
    <w:rsid w:val="007D51DB"/>
    <w:rsid w:val="00810C1B"/>
    <w:rsid w:val="008C0625"/>
    <w:rsid w:val="008D0040"/>
    <w:rsid w:val="008D276B"/>
    <w:rsid w:val="008E4322"/>
    <w:rsid w:val="0090622B"/>
    <w:rsid w:val="0094263C"/>
    <w:rsid w:val="009967C0"/>
    <w:rsid w:val="00A10ED7"/>
    <w:rsid w:val="00A90B89"/>
    <w:rsid w:val="00AC6C98"/>
    <w:rsid w:val="00AE07DC"/>
    <w:rsid w:val="00B31750"/>
    <w:rsid w:val="00B43985"/>
    <w:rsid w:val="00B4631C"/>
    <w:rsid w:val="00B7094F"/>
    <w:rsid w:val="00BD0273"/>
    <w:rsid w:val="00BD03C9"/>
    <w:rsid w:val="00C038E3"/>
    <w:rsid w:val="00C042BE"/>
    <w:rsid w:val="00C34FDF"/>
    <w:rsid w:val="00C426CD"/>
    <w:rsid w:val="00C474AE"/>
    <w:rsid w:val="00C66181"/>
    <w:rsid w:val="00C879BC"/>
    <w:rsid w:val="00D04A11"/>
    <w:rsid w:val="00D105BE"/>
    <w:rsid w:val="00D2665D"/>
    <w:rsid w:val="00D74DEA"/>
    <w:rsid w:val="00E00931"/>
    <w:rsid w:val="00E16F3F"/>
    <w:rsid w:val="00E823EC"/>
    <w:rsid w:val="00EC6A9D"/>
    <w:rsid w:val="00ED5FA9"/>
    <w:rsid w:val="00F033C3"/>
    <w:rsid w:val="00F040D4"/>
    <w:rsid w:val="00F760E2"/>
    <w:rsid w:val="00F76F50"/>
    <w:rsid w:val="00F96264"/>
    <w:rsid w:val="00FC6F4E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3B7459BB-C8A4-4016-93D6-50D2E189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31D65-CBEF-4531-A9C6-10B4FA47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2531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Sir Bosson, Ana</cp:lastModifiedBy>
  <cp:revision>6</cp:revision>
  <cp:lastPrinted>2012-04-02T09:10:00Z</cp:lastPrinted>
  <dcterms:created xsi:type="dcterms:W3CDTF">2012-04-03T14:16:00Z</dcterms:created>
  <dcterms:modified xsi:type="dcterms:W3CDTF">2015-08-13T13:39:00Z</dcterms:modified>
</cp:coreProperties>
</file>