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18DB" w14:textId="02DE5075" w:rsidR="00E00931" w:rsidRPr="0094263C" w:rsidRDefault="00E00931" w:rsidP="00B530E5">
      <w:pPr>
        <w:pStyle w:val="QuestionNo0"/>
        <w:spacing w:before="0"/>
      </w:pPr>
      <w:r w:rsidRPr="0094263C">
        <w:t>CUESTIÓN UIT-R 215-</w:t>
      </w:r>
      <w:r w:rsidR="00C038E3">
        <w:t>4</w:t>
      </w:r>
      <w:r w:rsidRPr="0094263C">
        <w:t>/5</w:t>
      </w:r>
      <w:r w:rsidR="00385D5C" w:rsidRPr="00FD0545">
        <w:rPr>
          <w:caps w:val="0"/>
          <w:position w:val="6"/>
          <w:sz w:val="18"/>
          <w:lang w:val="es-ES" w:eastAsia="zh-CN"/>
        </w:rPr>
        <w:footnoteReference w:customMarkFollows="1" w:id="1"/>
        <w:t>*</w:t>
      </w:r>
    </w:p>
    <w:p w14:paraId="76C044E6" w14:textId="24CB726E" w:rsidR="00E00931" w:rsidRDefault="00E00931" w:rsidP="007839FC">
      <w:pPr>
        <w:pStyle w:val="Questiontitle"/>
      </w:pPr>
      <w:r>
        <w:t xml:space="preserve">Bandas de frecuencias, características técnicas y requisitos </w:t>
      </w:r>
      <w:r>
        <w:br/>
      </w:r>
      <w:r w:rsidR="003E7F08">
        <w:t xml:space="preserve">operacionales </w:t>
      </w:r>
      <w:r>
        <w:t>de los sistemas de acceso inalámbrico fijo</w:t>
      </w:r>
      <w:r w:rsidR="00385D5C">
        <w:rPr>
          <w:rStyle w:val="FootnoteReference"/>
        </w:rPr>
        <w:footnoteReference w:customMarkFollows="1" w:id="2"/>
        <w:t>**</w:t>
      </w:r>
      <w:r w:rsidR="003E7F08">
        <w:br/>
      </w:r>
      <w:r>
        <w:t>en el servicio móvil terrestre</w:t>
      </w:r>
    </w:p>
    <w:p w14:paraId="4920265D" w14:textId="77777777" w:rsidR="00E00931" w:rsidRDefault="00E00931" w:rsidP="00E00931">
      <w:pPr>
        <w:pStyle w:val="Questiondate"/>
        <w:spacing w:before="240"/>
      </w:pPr>
      <w:r w:rsidRPr="009F3026">
        <w:t>(1997-2000-2007-2009</w:t>
      </w:r>
      <w:r w:rsidR="00C038E3">
        <w:t>-2012</w:t>
      </w:r>
      <w:r w:rsidRPr="009F3026">
        <w:t>)</w:t>
      </w:r>
    </w:p>
    <w:p w14:paraId="6C5839EF" w14:textId="77777777" w:rsidR="00E00931" w:rsidRPr="00064601" w:rsidRDefault="00E00931" w:rsidP="00E00931">
      <w:pPr>
        <w:pStyle w:val="Normalaftertitle0"/>
        <w:rPr>
          <w:lang w:val="es-ES"/>
        </w:rPr>
      </w:pPr>
      <w:r w:rsidRPr="00064601">
        <w:rPr>
          <w:lang w:val="es-ES"/>
        </w:rPr>
        <w:t>La Asamblea de Radiocomunicaciones de la UIT,</w:t>
      </w:r>
    </w:p>
    <w:p w14:paraId="0FB381D5" w14:textId="77777777" w:rsidR="00E00931" w:rsidRDefault="00E00931" w:rsidP="00E00931">
      <w:pPr>
        <w:pStyle w:val="call0"/>
      </w:pPr>
      <w:r>
        <w:t>considerando</w:t>
      </w:r>
    </w:p>
    <w:p w14:paraId="74889387" w14:textId="77777777" w:rsidR="00E00931" w:rsidRDefault="00E00931" w:rsidP="00E00931">
      <w:r w:rsidRPr="00C038E3">
        <w:rPr>
          <w:i/>
          <w:iCs/>
        </w:rPr>
        <w:t>a)</w:t>
      </w:r>
      <w:r>
        <w:tab/>
        <w:t>las posibilidades que ofrece el acceso inalámbrico para mejorar la disponibilidad de los servicios básicos de comunicaciones en muchos países, sobre todo en los países en desarrollo;</w:t>
      </w:r>
    </w:p>
    <w:p w14:paraId="3690A95D" w14:textId="77777777" w:rsidR="00E00931" w:rsidRDefault="00E00931" w:rsidP="00E00931">
      <w:r w:rsidRPr="00C038E3">
        <w:rPr>
          <w:i/>
          <w:iCs/>
        </w:rPr>
        <w:t>b)</w:t>
      </w:r>
      <w:r>
        <w:tab/>
        <w:t>que existe la necesidad de una utilización eficaz del espectro de frecuencias radioeléctricas;</w:t>
      </w:r>
    </w:p>
    <w:p w14:paraId="66BE306C" w14:textId="5EAA462C" w:rsidR="00E00931" w:rsidRDefault="00E00931" w:rsidP="00E00931">
      <w:r w:rsidRPr="00C038E3">
        <w:rPr>
          <w:i/>
          <w:iCs/>
        </w:rPr>
        <w:t>c)</w:t>
      </w:r>
      <w:r>
        <w:tab/>
        <w:t>que el acceso inalámbrico ofrece la posibilidad de obtener unos beneficios económicos y socioeconómicos mayores que otros medios de acceso a las redes de telecomunicaciones (por ejemplo, la RTPC);</w:t>
      </w:r>
    </w:p>
    <w:p w14:paraId="29547EB2" w14:textId="77777777" w:rsidR="00E00931" w:rsidRDefault="00E00931" w:rsidP="00E00931">
      <w:r w:rsidRPr="00C038E3">
        <w:rPr>
          <w:i/>
          <w:iCs/>
        </w:rPr>
        <w:t>d)</w:t>
      </w:r>
      <w:r>
        <w:tab/>
        <w:t>que las tecnologías de acceso inalámbrico permiten la extensión rápida y económica de los medios de telecomunicaciones;</w:t>
      </w:r>
    </w:p>
    <w:p w14:paraId="298D35E0" w14:textId="77777777" w:rsidR="00E00931" w:rsidRDefault="00E00931" w:rsidP="00E00931">
      <w:r w:rsidRPr="00C038E3">
        <w:rPr>
          <w:i/>
          <w:iCs/>
        </w:rPr>
        <w:t>e)</w:t>
      </w:r>
      <w:r>
        <w:tab/>
        <w:t>que es aconsejable una competencia mayor en la prestación de servicios;</w:t>
      </w:r>
    </w:p>
    <w:p w14:paraId="2958A998" w14:textId="77777777" w:rsidR="00E00931" w:rsidRDefault="00E00931" w:rsidP="00E00931">
      <w:r w:rsidRPr="00C038E3">
        <w:rPr>
          <w:i/>
          <w:iCs/>
        </w:rPr>
        <w:t>f)</w:t>
      </w:r>
      <w:r>
        <w:tab/>
        <w:t>que se pueden realizar sistemas de acceso inalámbrico fijo en las bandas de frecuencias utilizadas por los servicios fijo y móvil;</w:t>
      </w:r>
    </w:p>
    <w:p w14:paraId="496EF02E" w14:textId="77777777" w:rsidR="00E00931" w:rsidRDefault="00E00931" w:rsidP="00E00931">
      <w:r w:rsidRPr="00C038E3">
        <w:rPr>
          <w:i/>
          <w:iCs/>
        </w:rPr>
        <w:t>g)</w:t>
      </w:r>
      <w:r>
        <w:tab/>
        <w:t>que existen varias Recomendaciones UIT</w:t>
      </w:r>
      <w:r>
        <w:noBreakHyphen/>
        <w:t xml:space="preserve">R sobre diversos aspectos del acceso inalámbrico fijo, por </w:t>
      </w:r>
      <w:r w:rsidR="0090622B">
        <w:t>ejemplo las Recomendaciones UIT-R F.755, UIT-R F.757, UIT-R F.1399, UIT-R F.1400, UIT-R F.1401, UIT-R F.1490, UIT-R F.1499, UIT-R F.1402, UIT-R M.687, UIT-R M.819, UIT</w:t>
      </w:r>
      <w:r w:rsidR="0090622B">
        <w:noBreakHyphen/>
        <w:t>R M.1033, UIT-</w:t>
      </w:r>
      <w:r>
        <w:t>R M.1073</w:t>
      </w:r>
      <w:r w:rsidRPr="003514AB">
        <w:t xml:space="preserve"> </w:t>
      </w:r>
      <w:r w:rsidR="0090622B">
        <w:t>y UIT-</w:t>
      </w:r>
      <w:r>
        <w:t>R M.1801, así como un Manual sobre el servicio móvil terrestre (incluido el acceso inalámbrico);</w:t>
      </w:r>
    </w:p>
    <w:p w14:paraId="4000E4E2" w14:textId="77777777" w:rsidR="00E00931" w:rsidRDefault="00E00931" w:rsidP="00E00931">
      <w:r w:rsidRPr="00C038E3">
        <w:rPr>
          <w:i/>
          <w:iCs/>
        </w:rPr>
        <w:t>h)</w:t>
      </w:r>
      <w:r>
        <w:tab/>
        <w:t>que diferentes tecnologías de acceso inalámbrico son adecuadas para diferentes entornos;</w:t>
      </w:r>
    </w:p>
    <w:p w14:paraId="7D599993" w14:textId="77777777" w:rsidR="00E00931" w:rsidRDefault="00BA2ACB" w:rsidP="00E00931">
      <w:r>
        <w:rPr>
          <w:i/>
          <w:iCs/>
        </w:rPr>
        <w:t>i</w:t>
      </w:r>
      <w:r w:rsidR="00E00931" w:rsidRPr="00C038E3">
        <w:rPr>
          <w:i/>
          <w:iCs/>
        </w:rPr>
        <w:t>)</w:t>
      </w:r>
      <w:r w:rsidR="00E00931">
        <w:tab/>
        <w:t>que los estudios en curso sobre IMT en la UIT han destacado como importante aplicación el acceso inalámbrico fijo;</w:t>
      </w:r>
    </w:p>
    <w:p w14:paraId="716596AF" w14:textId="26B4FCCE" w:rsidR="00E00931" w:rsidRDefault="00BA2ACB" w:rsidP="00E00931">
      <w:r>
        <w:rPr>
          <w:i/>
          <w:iCs/>
        </w:rPr>
        <w:t>j</w:t>
      </w:r>
      <w:r w:rsidR="00E00931" w:rsidRPr="00C038E3">
        <w:rPr>
          <w:i/>
          <w:iCs/>
        </w:rPr>
        <w:t>)</w:t>
      </w:r>
      <w:r w:rsidR="00E00931">
        <w:tab/>
        <w:t>que la disponibilidad y la posible adaptación de tecnologías móviles para aplicaciones de acceso inalámbrico fijo pueden ofrecer ventajas;</w:t>
      </w:r>
    </w:p>
    <w:p w14:paraId="6152A232" w14:textId="77777777" w:rsidR="00E00931" w:rsidRDefault="00BA2ACB" w:rsidP="00E00931">
      <w:r>
        <w:rPr>
          <w:i/>
          <w:iCs/>
        </w:rPr>
        <w:t>k</w:t>
      </w:r>
      <w:r w:rsidR="00E00931" w:rsidRPr="00C038E3">
        <w:rPr>
          <w:i/>
          <w:iCs/>
        </w:rPr>
        <w:t>)</w:t>
      </w:r>
      <w:r w:rsidR="00E00931">
        <w:tab/>
        <w:t>que la compartición del espectro entre las aplicaciones de acceso inalámbrico a los servicios fijo y móvil puede mejorar la utilización del espectro;</w:t>
      </w:r>
    </w:p>
    <w:p w14:paraId="3A254449" w14:textId="77777777" w:rsidR="00E00931" w:rsidRDefault="00BA2ACB" w:rsidP="00FD0545">
      <w:r>
        <w:rPr>
          <w:i/>
          <w:iCs/>
        </w:rPr>
        <w:t>l</w:t>
      </w:r>
      <w:r w:rsidR="00E00931" w:rsidRPr="0090622B">
        <w:rPr>
          <w:i/>
          <w:iCs/>
        </w:rPr>
        <w:t>)</w:t>
      </w:r>
      <w:r w:rsidR="00E00931">
        <w:tab/>
        <w:t>que es necesario estudiar:</w:t>
      </w:r>
    </w:p>
    <w:p w14:paraId="42B9827B" w14:textId="77777777" w:rsidR="00E00931" w:rsidRDefault="00E00931" w:rsidP="00FD0545">
      <w:pPr>
        <w:pStyle w:val="enumlev1"/>
      </w:pPr>
      <w:r>
        <w:t>–</w:t>
      </w:r>
      <w:r>
        <w:tab/>
        <w:t>los servicios fijos y móviles que utilizan el acceso inalámbrico en su relación mutua; y</w:t>
      </w:r>
    </w:p>
    <w:p w14:paraId="61CF79FB" w14:textId="77777777" w:rsidR="00E00931" w:rsidRDefault="00E00931" w:rsidP="00FD0545">
      <w:pPr>
        <w:pStyle w:val="enumlev1"/>
      </w:pPr>
      <w:r>
        <w:t>–</w:t>
      </w:r>
      <w:r>
        <w:tab/>
        <w:t>la relación de coste y beneficio de la integración de ambos tipos de servicio;</w:t>
      </w:r>
    </w:p>
    <w:p w14:paraId="6F876F18" w14:textId="77777777" w:rsidR="00E00931" w:rsidRDefault="00BA2ACB" w:rsidP="00E00931">
      <w:r>
        <w:rPr>
          <w:i/>
          <w:iCs/>
        </w:rPr>
        <w:lastRenderedPageBreak/>
        <w:t>m</w:t>
      </w:r>
      <w:r w:rsidR="00E00931" w:rsidRPr="0090622B">
        <w:rPr>
          <w:i/>
          <w:iCs/>
        </w:rPr>
        <w:t>)</w:t>
      </w:r>
      <w:r w:rsidR="00E00931">
        <w:tab/>
        <w:t>que diferentes entornos de acceso inalámbrico fijo pueden requerir diferentes bandas de frecuencias;</w:t>
      </w:r>
    </w:p>
    <w:p w14:paraId="39BDCE8D" w14:textId="39F5A4E9" w:rsidR="00E00931" w:rsidRDefault="00BA2ACB" w:rsidP="00E00931">
      <w:r>
        <w:rPr>
          <w:i/>
          <w:iCs/>
        </w:rPr>
        <w:t>n</w:t>
      </w:r>
      <w:r w:rsidR="00E00931" w:rsidRPr="0090622B">
        <w:rPr>
          <w:i/>
          <w:iCs/>
        </w:rPr>
        <w:t>)</w:t>
      </w:r>
      <w:r w:rsidR="00E00931">
        <w:tab/>
        <w:t xml:space="preserve">que </w:t>
      </w:r>
      <w:r w:rsidR="008E4695">
        <w:t>el acceso inalámbrico de banda ancha, incluido el acceso inalámbrico a redes medulares del Protocolo Internet (IP) es una categoría de acceso fijo inalámbrico</w:t>
      </w:r>
      <w:r w:rsidR="005B4B6D">
        <w:t xml:space="preserve"> que</w:t>
      </w:r>
      <w:r w:rsidR="00385D5C">
        <w:t xml:space="preserve"> sigue siendo importante</w:t>
      </w:r>
      <w:r w:rsidR="00CE4718">
        <w:t>,</w:t>
      </w:r>
    </w:p>
    <w:p w14:paraId="41A9C12D" w14:textId="77777777" w:rsidR="00E00931" w:rsidRDefault="00E00931" w:rsidP="00E00931">
      <w:pPr>
        <w:pStyle w:val="call0"/>
      </w:pPr>
      <w:r>
        <w:t xml:space="preserve">decide </w:t>
      </w:r>
      <w:r>
        <w:rPr>
          <w:i w:val="0"/>
          <w:iCs/>
        </w:rPr>
        <w:t>poner en estudio las siguientes Cuestiones</w:t>
      </w:r>
    </w:p>
    <w:p w14:paraId="2864BFE7" w14:textId="77777777" w:rsidR="00E00931" w:rsidRDefault="00E00931" w:rsidP="00E00931">
      <w:r w:rsidRPr="0090622B">
        <w:t>1</w:t>
      </w:r>
      <w:r>
        <w:tab/>
        <w:t>¿Cuáles son las bandas de frecuencias adecuadas para los sistemas de acceso inalámbrico fijo dentro de las atribuciones de frecuencias al servicio terrenal fijo y/o móvil?</w:t>
      </w:r>
    </w:p>
    <w:p w14:paraId="3C22D19E" w14:textId="139F88FA" w:rsidR="00E00931" w:rsidRDefault="00E00931" w:rsidP="00E00931">
      <w:r w:rsidRPr="0090622B">
        <w:t>2</w:t>
      </w:r>
      <w:r>
        <w:tab/>
        <w:t>¿Cuáles son las bandas de frecuencias que pueden permitir el funcionamiento compatible de sistemas de acceso inalámbrico y de sistemas de servicios radioeléctricos existentes dentro de las atribuciones de frecuencias a los servicios terrenales fijo y móvil?</w:t>
      </w:r>
    </w:p>
    <w:p w14:paraId="1ED065EE" w14:textId="77777777" w:rsidR="00E00931" w:rsidRDefault="00E00931" w:rsidP="00E00931">
      <w:r w:rsidRPr="0090622B">
        <w:t>3</w:t>
      </w:r>
      <w:r>
        <w:tab/>
        <w:t>¿Cuáles son las características y los requisitos operacionales de los sistemas de acceso inalámbrico fijo?</w:t>
      </w:r>
    </w:p>
    <w:p w14:paraId="3BE31289" w14:textId="299D3393" w:rsidR="00E00931" w:rsidRDefault="00E00931" w:rsidP="00E00931">
      <w:r w:rsidRPr="0090622B">
        <w:t>4</w:t>
      </w:r>
      <w:r>
        <w:tab/>
        <w:t>¿Cuáles son las necesidades generales de anchura de banda en RF e IF para los sistemas de acceso inalámbrico fijo dentro de las atribuciones de frecuencias a los servicios terrenales fijo y/o móvil?</w:t>
      </w:r>
    </w:p>
    <w:p w14:paraId="114AD8A8" w14:textId="69450656" w:rsidR="00E00931" w:rsidRDefault="00E00931" w:rsidP="00E00931">
      <w:r w:rsidRPr="0090622B">
        <w:t>5</w:t>
      </w:r>
      <w:r>
        <w:tab/>
        <w:t>Cuáles son los criterios de compartición del espectro para:</w:t>
      </w:r>
    </w:p>
    <w:p w14:paraId="7F66520F" w14:textId="0EF14FB0" w:rsidR="00E00931" w:rsidRDefault="00E00931" w:rsidP="00E00931">
      <w:pPr>
        <w:pStyle w:val="enumlev1"/>
      </w:pPr>
      <w:r>
        <w:t>–</w:t>
      </w:r>
      <w:r>
        <w:tab/>
      </w:r>
      <w:r w:rsidR="004E1574">
        <w:t xml:space="preserve">sistemas </w:t>
      </w:r>
      <w:r>
        <w:t>de acceso inalámbrico y sistemas que sirven para otros servicios radioeléctricos?</w:t>
      </w:r>
    </w:p>
    <w:p w14:paraId="13671006" w14:textId="1DF09481" w:rsidR="00E00931" w:rsidRDefault="00E00931" w:rsidP="00E00931">
      <w:pPr>
        <w:pStyle w:val="enumlev1"/>
      </w:pPr>
      <w:r>
        <w:t>–</w:t>
      </w:r>
      <w:r>
        <w:tab/>
      </w:r>
      <w:r w:rsidR="004E1574">
        <w:t xml:space="preserve">sistemas </w:t>
      </w:r>
      <w:r>
        <w:t>de acceso inalámbrico que utilizan tecnologías diferentes?</w:t>
      </w:r>
    </w:p>
    <w:p w14:paraId="73DE7258" w14:textId="77777777" w:rsidR="00E00931" w:rsidRDefault="00E00931" w:rsidP="00E00931">
      <w:r w:rsidRPr="0090622B">
        <w:t>6</w:t>
      </w:r>
      <w:r>
        <w:rPr>
          <w:b/>
        </w:rPr>
        <w:tab/>
      </w:r>
      <w:r>
        <w:t>¿Cuáles son las tecnologías adecuadas para el acceso inalámbrico?</w:t>
      </w:r>
    </w:p>
    <w:p w14:paraId="37D594B4" w14:textId="36D1A8CA" w:rsidR="00E00931" w:rsidRDefault="00E00931" w:rsidP="00E00931">
      <w:r w:rsidRPr="0090622B">
        <w:t>7</w:t>
      </w:r>
      <w:r>
        <w:tab/>
        <w:t>¿Qué técnicas es preciso estudiar para el funcionamiento del acceso inalámbrico fijo con objeto de mejorar la compartición del espectro?</w:t>
      </w:r>
    </w:p>
    <w:p w14:paraId="17B68540" w14:textId="1FC448E7" w:rsidR="00E00931" w:rsidRDefault="00E00931" w:rsidP="00E00931">
      <w:r w:rsidRPr="0090622B">
        <w:t>8</w:t>
      </w:r>
      <w:r>
        <w:tab/>
        <w:t>¿Cuáles son las necesidades de interfaz entre los sistemas de acceso inalámbrico y la red conmutada (por ejemplo, la RTPC)?</w:t>
      </w:r>
    </w:p>
    <w:p w14:paraId="5022A325" w14:textId="77777777" w:rsidR="00E00931" w:rsidRDefault="00E00931" w:rsidP="00E00931">
      <w:r w:rsidRPr="0090622B">
        <w:t>9</w:t>
      </w:r>
      <w:r>
        <w:tab/>
        <w:t>¿Qué vocabulario adicional debe utilizarse con los sistemas de acceso inalámbrico fijo?</w:t>
      </w:r>
    </w:p>
    <w:p w14:paraId="5BD99370" w14:textId="77777777" w:rsidR="00E00931" w:rsidRDefault="00E00931" w:rsidP="00E00931">
      <w:pPr>
        <w:pStyle w:val="call0"/>
      </w:pPr>
      <w:r>
        <w:t>decide también</w:t>
      </w:r>
    </w:p>
    <w:p w14:paraId="44FA1717" w14:textId="24452D71" w:rsidR="00E00931" w:rsidRDefault="00E00931" w:rsidP="00E00931">
      <w:r w:rsidRPr="0090622B">
        <w:rPr>
          <w:bCs/>
        </w:rPr>
        <w:t>1</w:t>
      </w:r>
      <w:r>
        <w:tab/>
        <w:t>que los resultados de estos estudios se incluyan en una o más Recomendaciones, Informes o Manuales;</w:t>
      </w:r>
    </w:p>
    <w:p w14:paraId="49549A4E" w14:textId="72EE8B39" w:rsidR="00E00931" w:rsidRDefault="00E00931" w:rsidP="00E00931">
      <w:r w:rsidRPr="0090622B">
        <w:rPr>
          <w:bCs/>
        </w:rPr>
        <w:t>2</w:t>
      </w:r>
      <w:r>
        <w:tab/>
        <w:t>que dic</w:t>
      </w:r>
      <w:r w:rsidR="00174B16">
        <w:t xml:space="preserve">hos estudios se terminen en </w:t>
      </w:r>
      <w:r w:rsidR="00CE4718">
        <w:t>202</w:t>
      </w:r>
      <w:r w:rsidR="00FD0545">
        <w:t>7</w:t>
      </w:r>
      <w:r>
        <w:t>.</w:t>
      </w:r>
    </w:p>
    <w:p w14:paraId="4DB09114" w14:textId="77777777" w:rsidR="00E00931" w:rsidRPr="001209F1" w:rsidRDefault="00E00931" w:rsidP="00FD0545">
      <w:pPr>
        <w:spacing w:before="360"/>
      </w:pPr>
      <w:r w:rsidRPr="001209F1">
        <w:t xml:space="preserve">Categoría: </w:t>
      </w:r>
      <w:r w:rsidR="0090622B">
        <w:t xml:space="preserve"> </w:t>
      </w:r>
      <w:r w:rsidRPr="001209F1">
        <w:t>S2</w:t>
      </w:r>
    </w:p>
    <w:sectPr w:rsidR="00E00931" w:rsidRPr="001209F1" w:rsidSect="00FC6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23BC" w14:textId="77777777" w:rsidR="00F760E2" w:rsidRDefault="00F760E2">
      <w:r>
        <w:separator/>
      </w:r>
    </w:p>
  </w:endnote>
  <w:endnote w:type="continuationSeparator" w:id="0">
    <w:p w14:paraId="5EB24651" w14:textId="77777777" w:rsidR="00F760E2" w:rsidRDefault="00F7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F2A2" w14:textId="77777777" w:rsidR="00932440" w:rsidRDefault="00932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8773" w14:textId="3E4EE083" w:rsidR="00CE4718" w:rsidRDefault="00FD0545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4E1574">
      <w:t>P:\ESP\ITU-R\DIVERS\505205S.docx</w:t>
    </w:r>
    <w:r>
      <w:fldChar w:fldCharType="end"/>
    </w:r>
    <w:r w:rsidR="004E1574">
      <w:t xml:space="preserve"> (505205)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FBFE" w14:textId="0AF6A195" w:rsidR="00CE4718" w:rsidRDefault="00FD0545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4E1574">
      <w:t>P:\ESP\ITU-R\DIVERS\505205S.docx</w:t>
    </w:r>
    <w:r>
      <w:fldChar w:fldCharType="end"/>
    </w:r>
    <w:r w:rsidR="004E1574">
      <w:t xml:space="preserve"> (505205)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ACB3" w14:textId="77777777" w:rsidR="00F760E2" w:rsidRDefault="00F760E2">
      <w:r>
        <w:t>____________________</w:t>
      </w:r>
    </w:p>
  </w:footnote>
  <w:footnote w:type="continuationSeparator" w:id="0">
    <w:p w14:paraId="1CCA8263" w14:textId="77777777" w:rsidR="00F760E2" w:rsidRDefault="00F760E2">
      <w:r>
        <w:continuationSeparator/>
      </w:r>
    </w:p>
  </w:footnote>
  <w:footnote w:id="1">
    <w:p w14:paraId="3D9F5E22" w14:textId="032DD221" w:rsidR="00385D5C" w:rsidRPr="00385D5C" w:rsidRDefault="00385D5C" w:rsidP="00385D5C">
      <w:pPr>
        <w:pStyle w:val="FootnoteText"/>
        <w:rPr>
          <w:lang w:val="es-ES"/>
        </w:rPr>
      </w:pPr>
      <w:r w:rsidRPr="00385D5C">
        <w:rPr>
          <w:rStyle w:val="FootnoteReference"/>
          <w:lang w:val="es-ES"/>
        </w:rPr>
        <w:t>*</w:t>
      </w:r>
      <w:r w:rsidRPr="00385D5C">
        <w:rPr>
          <w:lang w:val="es-ES"/>
        </w:rPr>
        <w:t xml:space="preserve"> </w:t>
      </w:r>
      <w:r w:rsidRPr="00385D5C">
        <w:rPr>
          <w:lang w:val="es-ES"/>
        </w:rPr>
        <w:tab/>
        <w:t>En el año 201</w:t>
      </w:r>
      <w:r>
        <w:rPr>
          <w:lang w:val="es-ES"/>
        </w:rPr>
        <w:t>9</w:t>
      </w:r>
      <w:r w:rsidRPr="00385D5C">
        <w:rPr>
          <w:lang w:val="es-ES"/>
        </w:rPr>
        <w:t>, la Comisión de Estudio 5 de Radiocomunicaciones pospuso la fecha de finalización de los estudios para esta Cuestión</w:t>
      </w:r>
      <w:r w:rsidRPr="00385D5C">
        <w:rPr>
          <w:rFonts w:eastAsia="Arial Unicode MS"/>
          <w:lang w:val="es-ES"/>
        </w:rPr>
        <w:t>.</w:t>
      </w:r>
    </w:p>
  </w:footnote>
  <w:footnote w:id="2">
    <w:p w14:paraId="7F7C3176" w14:textId="143DECE0" w:rsidR="00385D5C" w:rsidRPr="00385D5C" w:rsidRDefault="00385D5C" w:rsidP="00385D5C">
      <w:pPr>
        <w:pStyle w:val="FootnoteText"/>
        <w:rPr>
          <w:lang w:val="es-ES"/>
        </w:rPr>
      </w:pPr>
      <w:r w:rsidRPr="00385D5C">
        <w:rPr>
          <w:rStyle w:val="FootnoteReference"/>
          <w:lang w:val="es-ES"/>
        </w:rPr>
        <w:t>**</w:t>
      </w:r>
      <w:r w:rsidRPr="00385D5C">
        <w:rPr>
          <w:lang w:val="es-ES"/>
        </w:rPr>
        <w:t xml:space="preserve"> </w:t>
      </w:r>
      <w:r w:rsidRPr="00385D5C">
        <w:rPr>
          <w:lang w:val="es-ES"/>
        </w:rPr>
        <w:tab/>
        <w:t>El término «Sistemas de acceso inalámbrico fijo» está definido en la Recomendación UIT</w:t>
      </w:r>
      <w:r w:rsidR="003B1606">
        <w:rPr>
          <w:lang w:val="es-ES"/>
        </w:rPr>
        <w:noBreakHyphen/>
      </w:r>
      <w:r w:rsidRPr="00385D5C">
        <w:rPr>
          <w:lang w:val="es-ES"/>
        </w:rPr>
        <w:t>R</w:t>
      </w:r>
      <w:r w:rsidR="003B1606">
        <w:rPr>
          <w:lang w:val="es-ES"/>
        </w:rPr>
        <w:t> </w:t>
      </w:r>
      <w:r w:rsidRPr="00385D5C">
        <w:rPr>
          <w:lang w:val="es-ES"/>
        </w:rPr>
        <w:t>F.1399</w:t>
      </w:r>
      <w:r w:rsidRPr="00385D5C">
        <w:rPr>
          <w:szCs w:val="22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9915" w14:textId="77777777" w:rsidR="00932440" w:rsidRDefault="00932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F101" w14:textId="77777777" w:rsidR="00F760E2" w:rsidRDefault="00F760E2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4B1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9725" w14:textId="5AC11A3C" w:rsidR="00B530E5" w:rsidRDefault="00B53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F49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7251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C02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96A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18C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FE1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2C5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667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29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6C2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07F40"/>
    <w:multiLevelType w:val="hybridMultilevel"/>
    <w:tmpl w:val="52F6F8A8"/>
    <w:lvl w:ilvl="0" w:tplc="4DBEE5BE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34C11"/>
    <w:multiLevelType w:val="hybridMultilevel"/>
    <w:tmpl w:val="240E7BE4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808CB"/>
    <w:multiLevelType w:val="hybridMultilevel"/>
    <w:tmpl w:val="56F08C4A"/>
    <w:lvl w:ilvl="0" w:tplc="53ECD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8779D"/>
    <w:multiLevelType w:val="hybridMultilevel"/>
    <w:tmpl w:val="FF54D30A"/>
    <w:lvl w:ilvl="0" w:tplc="6E02D294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641B0"/>
    <w:multiLevelType w:val="hybridMultilevel"/>
    <w:tmpl w:val="9F9CB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F3728"/>
    <w:multiLevelType w:val="hybridMultilevel"/>
    <w:tmpl w:val="3D204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42E9B"/>
    <w:multiLevelType w:val="hybridMultilevel"/>
    <w:tmpl w:val="BDFAD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54A27"/>
    <w:multiLevelType w:val="hybridMultilevel"/>
    <w:tmpl w:val="FF02AE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5E24FE"/>
    <w:multiLevelType w:val="hybridMultilevel"/>
    <w:tmpl w:val="4F56E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263B8"/>
    <w:multiLevelType w:val="hybridMultilevel"/>
    <w:tmpl w:val="673CFF70"/>
    <w:lvl w:ilvl="0" w:tplc="F6C0EC72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46625"/>
    <w:multiLevelType w:val="hybridMultilevel"/>
    <w:tmpl w:val="7A404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55D6E"/>
    <w:multiLevelType w:val="hybridMultilevel"/>
    <w:tmpl w:val="5AE80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E35CC"/>
    <w:multiLevelType w:val="hybridMultilevel"/>
    <w:tmpl w:val="85965A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84887"/>
    <w:multiLevelType w:val="hybridMultilevel"/>
    <w:tmpl w:val="5E64892C"/>
    <w:lvl w:ilvl="0" w:tplc="4B78937C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B20EB"/>
    <w:multiLevelType w:val="hybridMultilevel"/>
    <w:tmpl w:val="D7E63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773304">
    <w:abstractNumId w:val="18"/>
  </w:num>
  <w:num w:numId="2" w16cid:durableId="1733037859">
    <w:abstractNumId w:val="9"/>
  </w:num>
  <w:num w:numId="3" w16cid:durableId="1337027844">
    <w:abstractNumId w:val="7"/>
  </w:num>
  <w:num w:numId="4" w16cid:durableId="602226309">
    <w:abstractNumId w:val="6"/>
  </w:num>
  <w:num w:numId="5" w16cid:durableId="1402675800">
    <w:abstractNumId w:val="5"/>
  </w:num>
  <w:num w:numId="6" w16cid:durableId="1660041088">
    <w:abstractNumId w:val="4"/>
  </w:num>
  <w:num w:numId="7" w16cid:durableId="2111195791">
    <w:abstractNumId w:val="8"/>
  </w:num>
  <w:num w:numId="8" w16cid:durableId="369112337">
    <w:abstractNumId w:val="3"/>
  </w:num>
  <w:num w:numId="9" w16cid:durableId="1011490944">
    <w:abstractNumId w:val="2"/>
  </w:num>
  <w:num w:numId="10" w16cid:durableId="1354500719">
    <w:abstractNumId w:val="1"/>
  </w:num>
  <w:num w:numId="11" w16cid:durableId="1351488484">
    <w:abstractNumId w:val="0"/>
  </w:num>
  <w:num w:numId="12" w16cid:durableId="1301231480">
    <w:abstractNumId w:val="21"/>
  </w:num>
  <w:num w:numId="13" w16cid:durableId="1348557512">
    <w:abstractNumId w:val="17"/>
  </w:num>
  <w:num w:numId="14" w16cid:durableId="380330161">
    <w:abstractNumId w:val="11"/>
  </w:num>
  <w:num w:numId="15" w16cid:durableId="448864375">
    <w:abstractNumId w:val="16"/>
  </w:num>
  <w:num w:numId="16" w16cid:durableId="838807341">
    <w:abstractNumId w:val="12"/>
  </w:num>
  <w:num w:numId="17" w16cid:durableId="1739789302">
    <w:abstractNumId w:val="15"/>
  </w:num>
  <w:num w:numId="18" w16cid:durableId="1751803258">
    <w:abstractNumId w:val="22"/>
  </w:num>
  <w:num w:numId="19" w16cid:durableId="463737602">
    <w:abstractNumId w:val="25"/>
  </w:num>
  <w:num w:numId="20" w16cid:durableId="1322659563">
    <w:abstractNumId w:val="19"/>
  </w:num>
  <w:num w:numId="21" w16cid:durableId="1029453293">
    <w:abstractNumId w:val="24"/>
  </w:num>
  <w:num w:numId="22" w16cid:durableId="1794984296">
    <w:abstractNumId w:val="20"/>
  </w:num>
  <w:num w:numId="23" w16cid:durableId="326708229">
    <w:abstractNumId w:val="14"/>
  </w:num>
  <w:num w:numId="24" w16cid:durableId="289167786">
    <w:abstractNumId w:val="23"/>
  </w:num>
  <w:num w:numId="25" w16cid:durableId="881478612">
    <w:abstractNumId w:val="10"/>
  </w:num>
  <w:num w:numId="26" w16cid:durableId="20142583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DF"/>
    <w:rsid w:val="00042AD7"/>
    <w:rsid w:val="000A1060"/>
    <w:rsid w:val="00131358"/>
    <w:rsid w:val="00160366"/>
    <w:rsid w:val="00174B16"/>
    <w:rsid w:val="001D1E4E"/>
    <w:rsid w:val="001D60C6"/>
    <w:rsid w:val="00240010"/>
    <w:rsid w:val="00243322"/>
    <w:rsid w:val="0025343E"/>
    <w:rsid w:val="0027071F"/>
    <w:rsid w:val="002857FF"/>
    <w:rsid w:val="00295470"/>
    <w:rsid w:val="002B167B"/>
    <w:rsid w:val="00330C86"/>
    <w:rsid w:val="00361D27"/>
    <w:rsid w:val="00385D5C"/>
    <w:rsid w:val="003B054D"/>
    <w:rsid w:val="003B1606"/>
    <w:rsid w:val="003E7F08"/>
    <w:rsid w:val="0041158D"/>
    <w:rsid w:val="004E1574"/>
    <w:rsid w:val="004E653E"/>
    <w:rsid w:val="00507FBD"/>
    <w:rsid w:val="00564814"/>
    <w:rsid w:val="005934BB"/>
    <w:rsid w:val="005B4B6D"/>
    <w:rsid w:val="005C71E7"/>
    <w:rsid w:val="00647699"/>
    <w:rsid w:val="00680813"/>
    <w:rsid w:val="006A7F8A"/>
    <w:rsid w:val="006C6006"/>
    <w:rsid w:val="00737D33"/>
    <w:rsid w:val="00742812"/>
    <w:rsid w:val="007839FC"/>
    <w:rsid w:val="007864B4"/>
    <w:rsid w:val="007D51DB"/>
    <w:rsid w:val="00810C1B"/>
    <w:rsid w:val="008C0625"/>
    <w:rsid w:val="008D0040"/>
    <w:rsid w:val="008D276B"/>
    <w:rsid w:val="008D529F"/>
    <w:rsid w:val="008E4322"/>
    <w:rsid w:val="008E4695"/>
    <w:rsid w:val="0090622B"/>
    <w:rsid w:val="00932440"/>
    <w:rsid w:val="0094263C"/>
    <w:rsid w:val="009967C0"/>
    <w:rsid w:val="00A10ED7"/>
    <w:rsid w:val="00AC6C98"/>
    <w:rsid w:val="00AE07DC"/>
    <w:rsid w:val="00B31750"/>
    <w:rsid w:val="00B43985"/>
    <w:rsid w:val="00B4631C"/>
    <w:rsid w:val="00B530E5"/>
    <w:rsid w:val="00B61F0D"/>
    <w:rsid w:val="00B7094F"/>
    <w:rsid w:val="00BA2ACB"/>
    <w:rsid w:val="00BD0273"/>
    <w:rsid w:val="00BD03C9"/>
    <w:rsid w:val="00C038E3"/>
    <w:rsid w:val="00C042BE"/>
    <w:rsid w:val="00C34FDF"/>
    <w:rsid w:val="00C474AE"/>
    <w:rsid w:val="00C66181"/>
    <w:rsid w:val="00C879BC"/>
    <w:rsid w:val="00CE4718"/>
    <w:rsid w:val="00D04A11"/>
    <w:rsid w:val="00D105BE"/>
    <w:rsid w:val="00D2665D"/>
    <w:rsid w:val="00D74DEA"/>
    <w:rsid w:val="00E00931"/>
    <w:rsid w:val="00E16F3F"/>
    <w:rsid w:val="00E823EC"/>
    <w:rsid w:val="00EC6A9D"/>
    <w:rsid w:val="00F033C3"/>
    <w:rsid w:val="00F040D4"/>
    <w:rsid w:val="00F66AB0"/>
    <w:rsid w:val="00F760E2"/>
    <w:rsid w:val="00F96264"/>
    <w:rsid w:val="00FC6F4E"/>
    <w:rsid w:val="00FD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1EF85EC"/>
  <w15:docId w15:val="{29612FD4-940D-412D-A14A-6DFE5C14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</w:style>
  <w:style w:type="paragraph" w:styleId="TOC3">
    <w:name w:val="toc 3"/>
    <w:basedOn w:val="TOC2"/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Normalaftertitle0">
    <w:name w:val="Normal after title"/>
    <w:basedOn w:val="Normal"/>
    <w:next w:val="Normal"/>
    <w:link w:val="NormalaftertitleChar0"/>
    <w:rsid w:val="00295470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AnnexNoTitle0">
    <w:name w:val="Annex_NoTitle"/>
    <w:basedOn w:val="Normal"/>
    <w:next w:val="Normalaftertitle"/>
    <w:link w:val="AnnexNoTitleChar"/>
    <w:uiPriority w:val="99"/>
    <w:rsid w:val="0029547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rsid w:val="00295470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295470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EC6A9D"/>
    <w:rPr>
      <w:rFonts w:ascii="Times New Roman" w:hAnsi="Times New Roman"/>
      <w:sz w:val="24"/>
      <w:lang w:val="en-GB" w:eastAsia="en-US"/>
    </w:rPr>
  </w:style>
  <w:style w:type="character" w:customStyle="1" w:styleId="h21">
    <w:name w:val="h21"/>
    <w:basedOn w:val="DefaultParagraphFont"/>
    <w:rsid w:val="00680813"/>
    <w:rPr>
      <w:b/>
      <w:bCs/>
      <w:color w:val="3366CC"/>
      <w:sz w:val="36"/>
      <w:szCs w:val="36"/>
    </w:rPr>
  </w:style>
  <w:style w:type="character" w:customStyle="1" w:styleId="Title1Char">
    <w:name w:val="Title 1 Char"/>
    <w:link w:val="Title1"/>
    <w:locked/>
    <w:rsid w:val="00680813"/>
    <w:rPr>
      <w:rFonts w:ascii="Times New Roman" w:hAnsi="Times New Roman"/>
      <w:caps/>
      <w:sz w:val="28"/>
      <w:lang w:val="es-ES_tradnl" w:eastAsia="en-US"/>
    </w:rPr>
  </w:style>
  <w:style w:type="paragraph" w:customStyle="1" w:styleId="headfoot">
    <w:name w:val="head_foot"/>
    <w:basedOn w:val="Normal"/>
    <w:next w:val="Normalaftertitle0"/>
    <w:rsid w:val="0068081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  <w:lang w:val="en-GB"/>
    </w:rPr>
  </w:style>
  <w:style w:type="character" w:customStyle="1" w:styleId="RectitleChar">
    <w:name w:val="Rec_title Char"/>
    <w:basedOn w:val="DefaultParagraphFont"/>
    <w:link w:val="Rectitle"/>
    <w:locked/>
    <w:rsid w:val="00680813"/>
    <w:rPr>
      <w:rFonts w:ascii="Times New Roman" w:hAnsi="Times New Roman"/>
      <w:b/>
      <w:sz w:val="28"/>
      <w:lang w:val="es-ES_tradnl" w:eastAsia="en-US"/>
    </w:rPr>
  </w:style>
  <w:style w:type="paragraph" w:customStyle="1" w:styleId="call0">
    <w:name w:val="call"/>
    <w:basedOn w:val="Normal"/>
    <w:next w:val="Normal"/>
    <w:rsid w:val="00680813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styleId="BodyTextIndent2">
    <w:name w:val="Body Text Indent 2"/>
    <w:basedOn w:val="Normal"/>
    <w:link w:val="BodyTextIndent2Char"/>
    <w:rsid w:val="00680813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80813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00931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E00931"/>
    <w:rPr>
      <w:rFonts w:ascii="Times New Roman" w:hAnsi="Times New Roman"/>
      <w:sz w:val="18"/>
      <w:lang w:val="es-ES_tradnl" w:eastAsia="en-US"/>
    </w:rPr>
  </w:style>
  <w:style w:type="paragraph" w:customStyle="1" w:styleId="Tabletitle">
    <w:name w:val="Table_title"/>
    <w:basedOn w:val="Normal"/>
    <w:next w:val="Tablehead"/>
    <w:rsid w:val="00E00931"/>
    <w:pPr>
      <w:keepNext/>
      <w:keepLines/>
      <w:spacing w:before="0" w:after="120"/>
      <w:jc w:val="center"/>
    </w:pPr>
    <w:rPr>
      <w:b/>
    </w:rPr>
  </w:style>
  <w:style w:type="paragraph" w:customStyle="1" w:styleId="TableNo">
    <w:name w:val="Table_No"/>
    <w:basedOn w:val="Normal"/>
    <w:next w:val="Tabletitle"/>
    <w:rsid w:val="00E00931"/>
    <w:pPr>
      <w:keepNext/>
      <w:spacing w:before="560" w:after="120"/>
      <w:jc w:val="center"/>
    </w:pPr>
    <w:rPr>
      <w:caps/>
    </w:rPr>
  </w:style>
  <w:style w:type="paragraph" w:customStyle="1" w:styleId="AppendixNoTitle0">
    <w:name w:val="Appendix_NoTitle"/>
    <w:basedOn w:val="AnnexNoTitle0"/>
    <w:next w:val="Normalaftertitle"/>
    <w:rsid w:val="00E00931"/>
    <w:rPr>
      <w:lang w:val="es-ES_tradnl"/>
    </w:rPr>
  </w:style>
  <w:style w:type="paragraph" w:customStyle="1" w:styleId="Figuretitle">
    <w:name w:val="Figure_title"/>
    <w:basedOn w:val="Tabletitle"/>
    <w:next w:val="Normal"/>
    <w:rsid w:val="00E00931"/>
  </w:style>
  <w:style w:type="paragraph" w:customStyle="1" w:styleId="FigureNo">
    <w:name w:val="Figure_No"/>
    <w:basedOn w:val="Normal"/>
    <w:next w:val="Figuretitle"/>
    <w:rsid w:val="00E00931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rsid w:val="00E00931"/>
  </w:style>
  <w:style w:type="paragraph" w:customStyle="1" w:styleId="QuestionNo0">
    <w:name w:val="Question_No_"/>
    <w:basedOn w:val="QuestionNo"/>
    <w:rsid w:val="00E00931"/>
    <w:pPr>
      <w:spacing w:before="480"/>
      <w:jc w:val="center"/>
    </w:pPr>
    <w:rPr>
      <w:b w:val="0"/>
      <w:caps/>
    </w:rPr>
  </w:style>
  <w:style w:type="paragraph" w:customStyle="1" w:styleId="Char">
    <w:name w:val="Char"/>
    <w:basedOn w:val="Normal"/>
    <w:rsid w:val="00E0093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E00931"/>
    <w:rPr>
      <w:rFonts w:ascii="Times New Roman" w:hAnsi="Times New Roman"/>
      <w:b/>
      <w:sz w:val="28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E00931"/>
    <w:rPr>
      <w:rFonts w:ascii="Times New Roman" w:hAnsi="Times New Roman"/>
      <w:sz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00931"/>
    <w:rPr>
      <w:rFonts w:ascii="Times New Roman" w:hAnsi="Times New Roman"/>
      <w:b/>
      <w:sz w:val="22"/>
      <w:lang w:val="es-ES_tradnl" w:eastAsia="en-US"/>
    </w:rPr>
  </w:style>
  <w:style w:type="paragraph" w:customStyle="1" w:styleId="Reasons">
    <w:name w:val="Reasons"/>
    <w:basedOn w:val="Normal"/>
    <w:qFormat/>
    <w:rsid w:val="00E009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00931"/>
    <w:pPr>
      <w:ind w:left="720"/>
      <w:contextualSpacing/>
    </w:pPr>
  </w:style>
  <w:style w:type="paragraph" w:styleId="Revision">
    <w:name w:val="Revision"/>
    <w:hidden/>
    <w:uiPriority w:val="99"/>
    <w:semiHidden/>
    <w:rsid w:val="00385D5C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BAD9B-15DA-476C-89E8-2F464028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4088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Fernandez Virginia</dc:creator>
  <cp:keywords/>
  <dc:description/>
  <cp:lastModifiedBy>Author</cp:lastModifiedBy>
  <cp:revision>3</cp:revision>
  <cp:lastPrinted>2012-04-02T09:10:00Z</cp:lastPrinted>
  <dcterms:created xsi:type="dcterms:W3CDTF">2022-05-17T13:00:00Z</dcterms:created>
  <dcterms:modified xsi:type="dcterms:W3CDTF">2023-11-01T16:09:00Z</dcterms:modified>
</cp:coreProperties>
</file>